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19" w:line="1" w:lineRule="exact"/>
      </w:pPr>
    </w:p>
    <w:p>
      <w:pPr>
        <w:widowControl w:val="0"/>
        <w:jc w:val="center"/>
        <w:rPr>
          <w:sz w:val="2"/>
          <w:szCs w:val="2"/>
        </w:rPr>
      </w:pPr>
      <w:r>
        <w:drawing>
          <wp:inline>
            <wp:extent cx="609600" cy="4451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09600" cy="445135"/>
                    </a:xfrm>
                    <a:prstGeom prst="rect"/>
                  </pic:spPr>
                </pic:pic>
              </a:graphicData>
            </a:graphic>
          </wp:inline>
        </w:drawing>
      </w:r>
    </w:p>
    <w:p>
      <w:pPr>
        <w:widowControl w:val="0"/>
        <w:spacing w:after="199" w:line="1" w:lineRule="exact"/>
      </w:pPr>
    </w:p>
    <w:p>
      <w:pPr>
        <w:pStyle w:val="Style6"/>
        <w:keepNext/>
        <w:keepLines/>
        <w:widowControl w:val="0"/>
        <w:shd w:val="clear" w:color="auto" w:fill="auto"/>
        <w:bidi w:val="0"/>
        <w:spacing w:before="0" w:after="0" w:line="226" w:lineRule="exact"/>
        <w:ind w:left="0" w:right="0" w:firstLine="0"/>
        <w:jc w:val="center"/>
      </w:pPr>
      <w:bookmarkStart w:id="0" w:name="bookmark0"/>
      <w:bookmarkStart w:id="1" w:name="bookmark1"/>
      <w:bookmarkStart w:id="2" w:name="bookmark2"/>
      <w:r>
        <w:rPr>
          <w:color w:val="1B7BBC"/>
          <w:spacing w:val="0"/>
          <w:w w:val="100"/>
          <w:position w:val="0"/>
          <w:shd w:val="clear" w:color="auto" w:fill="FFFFFF"/>
        </w:rPr>
        <w:t>由脂宅财</w:t>
      </w:r>
      <w:bookmarkEnd w:id="0"/>
      <w:bookmarkEnd w:id="1"/>
      <w:bookmarkEnd w:id="2"/>
    </w:p>
    <w:p>
      <w:pPr>
        <w:pStyle w:val="Style9"/>
        <w:keepNext w:val="0"/>
        <w:keepLines w:val="0"/>
        <w:widowControl w:val="0"/>
        <w:shd w:val="clear" w:color="auto" w:fill="auto"/>
        <w:bidi w:val="0"/>
        <w:spacing w:before="0" w:after="340" w:line="226" w:lineRule="exact"/>
        <w:ind w:left="0" w:right="0" w:firstLine="0"/>
        <w:jc w:val="center"/>
        <w:rPr>
          <w:sz w:val="28"/>
          <w:szCs w:val="28"/>
        </w:rPr>
      </w:pPr>
      <w:r>
        <w:rPr>
          <w:rFonts w:ascii="Times New Roman" w:eastAsia="Times New Roman" w:hAnsi="Times New Roman" w:cs="Times New Roman"/>
          <w:b/>
          <w:bCs/>
          <w:color w:val="1B7BBC"/>
          <w:spacing w:val="0"/>
          <w:w w:val="100"/>
          <w:position w:val="0"/>
          <w:sz w:val="28"/>
          <w:szCs w:val="28"/>
        </w:rPr>
        <w:t>sinodcitci</w:t>
      </w:r>
    </w:p>
    <w:p>
      <w:pPr>
        <w:pStyle w:val="Style9"/>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北京中科金财科技股份有限公司</w:t>
      </w:r>
    </w:p>
    <w:p>
      <w:pPr>
        <w:pStyle w:val="Style6"/>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9"/>
        <w:keepNext w:val="0"/>
        <w:keepLines w:val="0"/>
        <w:widowControl w:val="0"/>
        <w:shd w:val="clear" w:color="auto" w:fill="auto"/>
        <w:bidi w:val="0"/>
        <w:spacing w:before="0" w:after="306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widowControl w:val="0"/>
        <w:jc w:val="center"/>
        <w:rPr>
          <w:sz w:val="2"/>
          <w:szCs w:val="2"/>
        </w:rPr>
        <w:sectPr>
          <w:headerReference w:type="default" r:id="rId7"/>
          <w:headerReference w:type="even" r:id="rId8"/>
          <w:footnotePr>
            <w:pos w:val="pageBottom"/>
            <w:numFmt w:val="decimal"/>
            <w:numRestart w:val="continuous"/>
          </w:footnotePr>
          <w:pgSz w:w="11909" w:h="17415"/>
          <w:pgMar w:top="1309" w:right="1112" w:bottom="1106" w:left="1102" w:header="0" w:footer="678" w:gutter="0"/>
          <w:pgNumType w:start="1"/>
          <w:cols w:space="720"/>
          <w:noEndnote/>
          <w:rtlGutter w:val="0"/>
          <w:docGrid w:linePitch="360"/>
        </w:sectPr>
      </w:pPr>
      <w:r>
        <w:drawing>
          <wp:inline>
            <wp:extent cx="1718945" cy="9817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1718945" cy="981710"/>
                    </a:xfrm>
                    <a:prstGeom prst="rect"/>
                  </pic:spPr>
                </pic:pic>
              </a:graphicData>
            </a:graphic>
          </wp:inline>
        </w:drawing>
      </w:r>
    </w:p>
    <w:p>
      <w:pPr>
        <w:pStyle w:val="Style6"/>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0.70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公司负责人朱烨东、主管会计工作负责人赵学荣及会计机构负责人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尹亚楠声明：保证年度报告中财务报告的真实、准确、完整。</w:t>
      </w:r>
    </w:p>
    <w:p>
      <w:pPr>
        <w:pStyle w:val="Style9"/>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pos="910" w:val="left"/>
          <w:tab w:leader="dot" w:pos="9614"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6" w:tooltip="Current Document">
        <w:r>
          <w:rPr>
            <w:color w:val="000000"/>
            <w:spacing w:val="0"/>
            <w:w w:val="100"/>
            <w:position w:val="0"/>
            <w:sz w:val="22"/>
            <w:szCs w:val="22"/>
          </w:rPr>
          <w:t>第二节公司简介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8"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7"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88"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23"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58"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98"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pos="910" w:val="left"/>
          <w:tab w:leader="dot" w:pos="9614" w:val="right"/>
        </w:tabs>
        <w:bidi w:val="0"/>
        <w:spacing w:before="0" w:line="240" w:lineRule="auto"/>
        <w:ind w:left="0" w:right="0" w:firstLine="0"/>
        <w:jc w:val="both"/>
        <w:rPr>
          <w:sz w:val="24"/>
          <w:szCs w:val="24"/>
        </w:rPr>
      </w:pPr>
      <w:hyperlink w:anchor="bookmark384" w:tooltip="Current Document">
        <w:r>
          <w:rPr>
            <w:color w:val="000000"/>
            <w:spacing w:val="0"/>
            <w:w w:val="100"/>
            <w:position w:val="0"/>
            <w:sz w:val="22"/>
            <w:szCs w:val="22"/>
          </w:rPr>
          <w:t>第九节</w:t>
          <w:tab/>
          <w:t>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11"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4" w:val="right"/>
        </w:tabs>
        <w:bidi w:val="0"/>
        <w:spacing w:before="0" w:after="5060" w:line="240" w:lineRule="auto"/>
        <w:ind w:left="0" w:right="0" w:firstLine="0"/>
        <w:jc w:val="both"/>
        <w:rPr>
          <w:sz w:val="24"/>
          <w:szCs w:val="24"/>
        </w:rPr>
      </w:pPr>
      <w:hyperlink w:anchor="bookmark1105" w:tooltip="Current Document">
        <w:r>
          <w:rPr>
            <w:color w:val="000000"/>
            <w:spacing w:val="0"/>
            <w:w w:val="100"/>
            <w:position w:val="0"/>
            <w:sz w:val="22"/>
            <w:szCs w:val="22"/>
          </w:rPr>
          <w:t>第十一节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149</w:t>
        </w:r>
      </w:hyperlink>
      <w:r>
        <w:fldChar w:fldCharType="end"/>
      </w:r>
    </w:p>
    <w:p>
      <w:pPr>
        <w:widowControl w:val="0"/>
        <w:jc w:val="center"/>
        <w:rPr>
          <w:sz w:val="2"/>
          <w:szCs w:val="2"/>
        </w:rPr>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1909" w:h="17415"/>
          <w:pgMar w:top="1309" w:right="1112" w:bottom="1106" w:left="1102" w:header="0" w:footer="3" w:gutter="0"/>
          <w:pgNumType w:start="1"/>
          <w:cols w:space="720"/>
          <w:noEndnote/>
          <w:titlePg/>
          <w:rtlGutter w:val="0"/>
          <w:docGrid w:linePitch="360"/>
        </w:sectPr>
      </w:pPr>
      <w:r>
        <w:drawing>
          <wp:inline>
            <wp:extent cx="1718945" cy="9817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stretch/>
                  </pic:blipFill>
                  <pic:spPr>
                    <a:xfrm>
                      <a:ext cx="1718945" cy="981710"/>
                    </a:xfrm>
                    <a:prstGeom prst="rect"/>
                  </pic:spPr>
                </pic:pic>
              </a:graphicData>
            </a:graphic>
          </wp:inline>
        </w:drawing>
      </w:r>
    </w:p>
    <w:p>
      <w:pPr>
        <w:pStyle w:val="Style6"/>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中科金财、公司</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中科商务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北京中科金财电子商务有限公司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中科信息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北京中科金财信息技术有限公司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中科电子</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北京中科金财电子产品有限公司</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发改委</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中华人民共和国国家发展和改革委员会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银监会</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中国银行业监督管理委员会</w:t>
            </w:r>
          </w:p>
        </w:tc>
      </w:tr>
    </w:tbl>
    <w:p>
      <w:pPr>
        <w:widowControl w:val="0"/>
        <w:spacing w:after="8779" w:line="1" w:lineRule="exact"/>
      </w:pPr>
    </w:p>
    <w:p>
      <w:pPr>
        <w:widowControl w:val="0"/>
        <w:jc w:val="center"/>
        <w:rPr>
          <w:sz w:val="2"/>
          <w:szCs w:val="2"/>
        </w:rPr>
        <w:sectPr>
          <w:footnotePr>
            <w:pos w:val="pageBottom"/>
            <w:numFmt w:val="decimal"/>
            <w:numRestart w:val="continuous"/>
          </w:footnotePr>
          <w:pgSz w:w="11909" w:h="17415"/>
          <w:pgMar w:top="2381" w:right="1200" w:bottom="288" w:left="1123" w:header="0" w:footer="3" w:gutter="0"/>
          <w:cols w:space="720"/>
          <w:noEndnote/>
          <w:rtlGutter w:val="0"/>
          <w:docGrid w:linePitch="360"/>
        </w:sectPr>
      </w:pPr>
      <w:r>
        <w:drawing>
          <wp:inline>
            <wp:extent cx="1718945" cy="9817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stretch/>
                  </pic:blipFill>
                  <pic:spPr>
                    <a:xfrm>
                      <a:ext cx="1718945" cy="981710"/>
                    </a:xfrm>
                    <a:prstGeom prst="rect"/>
                  </pic:spPr>
                </pic:pic>
              </a:graphicData>
            </a:graphic>
          </wp:inline>
        </w:drawing>
      </w:r>
    </w:p>
    <w:p>
      <w:pPr>
        <w:pStyle w:val="Style6"/>
        <w:keepNext/>
        <w:keepLines/>
        <w:widowControl w:val="0"/>
        <w:shd w:val="clear" w:color="auto" w:fill="auto"/>
        <w:bidi w:val="0"/>
        <w:spacing w:before="0" w:after="6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6"/>
        <w:keepNext w:val="0"/>
        <w:keepLines w:val="0"/>
        <w:widowControl w:val="0"/>
        <w:shd w:val="clear" w:color="auto" w:fill="auto"/>
        <w:bidi w:val="0"/>
        <w:spacing w:before="0" w:after="11020" w:line="626" w:lineRule="exact"/>
        <w:ind w:left="0" w:right="0"/>
        <w:jc w:val="both"/>
      </w:pPr>
      <w:r>
        <w:rPr>
          <w:color w:val="000000"/>
          <w:spacing w:val="0"/>
          <w:w w:val="100"/>
          <w:position w:val="0"/>
        </w:rPr>
        <w:t>公司存在的风险因素主要有市场竞争风险、行业技术风险、人力资源风险 等，有关主要风险因素及公司应对措施已在本报告第四节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 未来发展的展望</w:t>
      </w:r>
      <w:r>
        <w:rPr>
          <w:rFonts w:ascii="Times New Roman" w:eastAsia="Times New Roman" w:hAnsi="Times New Roman" w:cs="Times New Roman"/>
          <w:color w:val="000000"/>
          <w:spacing w:val="0"/>
          <w:w w:val="100"/>
          <w:position w:val="0"/>
        </w:rPr>
        <w:t>”</w:t>
      </w:r>
      <w:r>
        <w:rPr>
          <w:color w:val="000000"/>
          <w:spacing w:val="0"/>
          <w:w w:val="100"/>
          <w:position w:val="0"/>
        </w:rPr>
        <w:t>详细阐述。</w:t>
      </w:r>
    </w:p>
    <w:p>
      <w:pPr>
        <w:widowControl w:val="0"/>
        <w:jc w:val="center"/>
        <w:rPr>
          <w:sz w:val="2"/>
          <w:szCs w:val="2"/>
        </w:rPr>
        <w:sectPr>
          <w:footnotePr>
            <w:pos w:val="pageBottom"/>
            <w:numFmt w:val="decimal"/>
            <w:numRestart w:val="continuous"/>
          </w:footnotePr>
          <w:pgSz w:w="11909" w:h="17415"/>
          <w:pgMar w:top="2218" w:right="1119" w:bottom="289" w:left="1114" w:header="0" w:footer="3" w:gutter="0"/>
          <w:cols w:space="720"/>
          <w:noEndnote/>
          <w:rtlGutter w:val="0"/>
          <w:docGrid w:linePitch="360"/>
        </w:sectPr>
      </w:pPr>
      <w:r>
        <w:drawing>
          <wp:inline>
            <wp:extent cx="1718945" cy="9817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stretch/>
                  </pic:blipFill>
                  <pic:spPr>
                    <a:xfrm>
                      <a:ext cx="1718945" cy="981710"/>
                    </a:xfrm>
                    <a:prstGeom prst="rect"/>
                  </pic:spPr>
                </pic:pic>
              </a:graphicData>
            </a:graphic>
          </wp:inline>
        </w:drawing>
      </w:r>
    </w:p>
    <w:p>
      <w:pPr>
        <w:pStyle w:val="Style6"/>
        <w:keepNext/>
        <w:keepLines/>
        <w:widowControl w:val="0"/>
        <w:shd w:val="clear" w:color="auto" w:fill="auto"/>
        <w:bidi w:val="0"/>
        <w:spacing w:before="0" w:after="58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w:t>
      </w:r>
      <w:bookmarkEnd w:id="15"/>
      <w:bookmarkEnd w:id="16"/>
      <w:bookmarkEnd w:id="17"/>
    </w:p>
    <w:p>
      <w:pPr>
        <w:pStyle w:val="Style22"/>
        <w:keepNext/>
        <w:keepLines/>
        <w:widowControl w:val="0"/>
        <w:shd w:val="clear" w:color="auto" w:fill="auto"/>
        <w:bidi w:val="0"/>
        <w:spacing w:before="0" w:after="320" w:line="240" w:lineRule="auto"/>
        <w:ind w:left="0" w:right="0" w:firstLine="240"/>
        <w:jc w:val="both"/>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002657</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SINODATA CO., LTD.</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SINODATA</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号楼首享科技大厦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100191</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号楼首享科技大厦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"http://www.sinodata.net.cn" </w:instrText>
            </w:r>
            <w:r>
              <w:fldChar w:fldCharType="separate"/>
            </w:r>
            <w:r>
              <w:rPr>
                <w:rFonts w:ascii="Times New Roman" w:eastAsia="Times New Roman" w:hAnsi="Times New Roman" w:cs="Times New Roman"/>
                <w:color w:val="000000"/>
                <w:spacing w:val="0"/>
                <w:w w:val="100"/>
                <w:position w:val="0"/>
                <w:sz w:val="18"/>
                <w:szCs w:val="18"/>
              </w:rPr>
              <w:t>www.sinodata.net.cn</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贺岩</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号楼首享科技大 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号楼首享科技大 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010-62309608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010-62309608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010-62309595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010-62309595</w:t>
            </w: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http://www.cninfb.com.cn</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9" w:h="17415"/>
          <w:pgMar w:top="2131" w:right="1200" w:bottom="2131" w:left="1123" w:header="0" w:footer="3" w:gutter="0"/>
          <w:cols w:space="720"/>
          <w:noEndnote/>
          <w:rtlGutter w:val="0"/>
          <w:docGrid w:linePitch="360"/>
        </w:sectPr>
      </w:pPr>
    </w:p>
    <w:p>
      <w:pPr>
        <w:pStyle w:val="Style22"/>
        <w:keepNext/>
        <w:keepLines/>
        <w:widowControl w:val="0"/>
        <w:shd w:val="clear" w:color="auto" w:fill="auto"/>
        <w:bidi w:val="0"/>
        <w:spacing w:before="0" w:after="34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、注册变更情况</w:t>
      </w:r>
      <w:bookmarkEnd w:id="29"/>
      <w:bookmarkEnd w:id="30"/>
      <w:bookmarkEnd w:id="32"/>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北京市工商行政管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1101081633302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110108757740123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75774012-3</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北京市工商行政管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110108006333023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110108757740123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75774012-3</w:t>
            </w:r>
          </w:p>
        </w:tc>
      </w:tr>
      <w:tr>
        <w:trPr>
          <w:trHeight w:val="715" w:hRule="exact"/>
        </w:trPr>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公司自上市以来主营业务未发生变化。</w:t>
            </w:r>
          </w:p>
        </w:tc>
      </w:tr>
      <w:tr>
        <w:trPr>
          <w:trHeight w:val="408" w:hRule="exact"/>
        </w:trPr>
        <w:tc>
          <w:tcPr>
            <w:gridSpan w:val="2"/>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公司控股股东未发生变更。</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五</w:t>
      </w:r>
      <w:bookmarkEnd w:id="35"/>
      <w:r>
        <w:rPr>
          <w:color w:val="000000"/>
          <w:spacing w:val="0"/>
          <w:w w:val="100"/>
          <w:position w:val="0"/>
        </w:rPr>
        <w:t>、其他有关资料</w:t>
      </w:r>
      <w:bookmarkEnd w:id="33"/>
      <w:bookmarkEnd w:id="34"/>
      <w:bookmarkEnd w:id="3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王云成、汪沛</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东北证券股份有限公司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北京市西城区锦什坊街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5</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田树春、郭兆强</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49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27"/>
          <w:footerReference w:type="default" r:id="rId28"/>
          <w:headerReference w:type="even" r:id="rId29"/>
          <w:footerReference w:type="even" r:id="rId30"/>
          <w:footnotePr>
            <w:pos w:val="pageBottom"/>
            <w:numFmt w:val="decimal"/>
            <w:numRestart w:val="continuous"/>
          </w:footnotePr>
          <w:pgSz w:w="11909" w:h="17415"/>
          <w:pgMar w:top="1743" w:right="1200" w:bottom="289" w:left="1114" w:header="0" w:footer="3" w:gutter="0"/>
          <w:cols w:space="720"/>
          <w:noEndnote/>
          <w:rtlGutter w:val="0"/>
          <w:docGrid w:linePitch="360"/>
        </w:sectPr>
      </w:pPr>
      <w:r>
        <w:drawing>
          <wp:inline>
            <wp:extent cx="1718945" cy="98171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1"/>
                    <a:stretch/>
                  </pic:blipFill>
                  <pic:spPr>
                    <a:xfrm>
                      <a:ext cx="1718945" cy="981710"/>
                    </a:xfrm>
                    <a:prstGeom prst="rect"/>
                  </pic:spPr>
                </pic:pic>
              </a:graphicData>
            </a:graphic>
          </wp:inline>
        </w:drawing>
      </w:r>
    </w:p>
    <w:p>
      <w:pPr>
        <w:pStyle w:val="Style6"/>
        <w:keepNext/>
        <w:keepLines/>
        <w:widowControl w:val="0"/>
        <w:shd w:val="clear" w:color="auto" w:fill="auto"/>
        <w:bidi w:val="0"/>
        <w:spacing w:before="0" w:line="240" w:lineRule="auto"/>
        <w:ind w:left="0" w:right="0" w:firstLine="0"/>
        <w:jc w:val="center"/>
      </w:pPr>
      <w:bookmarkStart w:id="37" w:name="bookmark37"/>
      <w:bookmarkStart w:id="38" w:name="bookmark38"/>
      <w:bookmarkStart w:id="39" w:name="bookmark39"/>
      <w:r>
        <w:rPr>
          <w:color w:val="000000"/>
          <w:spacing w:val="0"/>
          <w:w w:val="100"/>
          <w:position w:val="0"/>
        </w:rPr>
        <w:t>第三节会计数据和财务指标摘要</w:t>
      </w:r>
      <w:bookmarkEnd w:id="37"/>
      <w:bookmarkEnd w:id="38"/>
      <w:bookmarkEnd w:id="39"/>
    </w:p>
    <w:p>
      <w:pPr>
        <w:pStyle w:val="Style22"/>
        <w:keepNext/>
        <w:keepLines/>
        <w:widowControl w:val="0"/>
        <w:shd w:val="clear" w:color="auto" w:fill="auto"/>
        <w:bidi w:val="0"/>
        <w:spacing w:before="0" w:after="220" w:line="240" w:lineRule="auto"/>
        <w:ind w:left="0" w:right="0" w:firstLine="240"/>
        <w:jc w:val="both"/>
      </w:pPr>
      <w:bookmarkStart w:id="40" w:name="bookmark40"/>
      <w:bookmarkStart w:id="41" w:name="bookmark41"/>
      <w:bookmarkStart w:id="42" w:name="bookmark42"/>
      <w:r>
        <w:rPr>
          <w:color w:val="000000"/>
          <w:spacing w:val="0"/>
          <w:w w:val="100"/>
          <w:position w:val="0"/>
        </w:rPr>
        <w:t>、主要会计数据和财务指标</w:t>
      </w:r>
      <w:bookmarkEnd w:id="40"/>
      <w:bookmarkEnd w:id="41"/>
      <w:bookmarkEnd w:id="42"/>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1,022,822,674.03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521,676,656.99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458,893,487.69</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56,021,607.58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63,372,945.76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56,306,779.89</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45,606,907.25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61,090,241.70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51,505,574.02</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149,966,809.23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-9,874,664.84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64,444,872.91</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1,368,366,255.97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1,018,573,636.31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414,347,983.61</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704,174,127.30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658,621,558.18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261,515,095.18</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240"/>
        <w:jc w:val="both"/>
      </w:pPr>
      <w:bookmarkStart w:id="43" w:name="bookmark43"/>
      <w:bookmarkStart w:id="44" w:name="bookmark44"/>
      <w:bookmarkStart w:id="45" w:name="bookmark45"/>
      <w:r>
        <w:rPr>
          <w:color w:val="000000"/>
          <w:spacing w:val="0"/>
          <w:w w:val="100"/>
          <w:position w:val="0"/>
        </w:rPr>
        <w:t>、非经常性损益项目及金额</w:t>
      </w:r>
      <w:bookmarkEnd w:id="43"/>
      <w:bookmarkEnd w:id="44"/>
      <w:bookmarkEnd w:id="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-64,386.26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10,922,466.67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2,685,534.19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5,710,863.75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1,230,850.42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402,830.13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847,271.62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9" w:h="17415"/>
          <w:pgMar w:top="2213" w:right="1200" w:bottom="1968" w:left="1123"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41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10,414,700.33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2,282,704.06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4,801,205.87</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120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9" w:h="17415"/>
          <w:pgMar w:top="1728" w:right="1114" w:bottom="288" w:left="1109" w:header="0" w:footer="3" w:gutter="0"/>
          <w:cols w:space="720"/>
          <w:noEndnote/>
          <w:rtlGutter w:val="0"/>
          <w:docGrid w:linePitch="360"/>
        </w:sectPr>
      </w:pPr>
      <w:r>
        <w:drawing>
          <wp:inline>
            <wp:extent cx="1718945" cy="98171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3"/>
                    <a:stretch/>
                  </pic:blipFill>
                  <pic:spPr>
                    <a:xfrm>
                      <a:ext cx="1718945" cy="981710"/>
                    </a:xfrm>
                    <a:prstGeom prst="rect"/>
                  </pic:spPr>
                </pic:pic>
              </a:graphicData>
            </a:graphic>
          </wp:inline>
        </w:drawing>
      </w:r>
    </w:p>
    <w:p>
      <w:pPr>
        <w:pStyle w:val="Style6"/>
        <w:keepNext/>
        <w:keepLines/>
        <w:widowControl w:val="0"/>
        <w:shd w:val="clear" w:color="auto" w:fill="auto"/>
        <w:bidi w:val="0"/>
        <w:spacing w:before="600" w:line="240" w:lineRule="auto"/>
        <w:ind w:left="0" w:right="0" w:firstLine="0"/>
        <w:jc w:val="center"/>
      </w:pPr>
      <w:bookmarkStart w:id="46" w:name="bookmark46"/>
      <w:bookmarkStart w:id="47" w:name="bookmark47"/>
      <w:bookmarkStart w:id="48" w:name="bookmark48"/>
      <w:r>
        <w:rPr>
          <w:color w:val="000000"/>
          <w:spacing w:val="0"/>
          <w:w w:val="100"/>
          <w:position w:val="0"/>
        </w:rPr>
        <w:t>第四节董事会报告</w:t>
      </w:r>
      <w:bookmarkEnd w:id="46"/>
      <w:bookmarkEnd w:id="47"/>
      <w:bookmarkEnd w:id="48"/>
    </w:p>
    <w:p>
      <w:pPr>
        <w:pStyle w:val="Style22"/>
        <w:keepNext/>
        <w:keepLines/>
        <w:widowControl w:val="0"/>
        <w:shd w:val="clear" w:color="auto" w:fill="auto"/>
        <w:tabs>
          <w:tab w:pos="480" w:val="left"/>
        </w:tabs>
        <w:bidi w:val="0"/>
        <w:spacing w:before="0" w:after="1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w:t>
        <w:tab/>
        <w:t>概述</w:t>
      </w:r>
      <w:bookmarkEnd w:id="49"/>
      <w:bookmarkEnd w:id="50"/>
      <w:bookmarkEnd w:id="52"/>
    </w:p>
    <w:p>
      <w:pPr>
        <w:pStyle w:val="Style33"/>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2013</w:t>
      </w:r>
      <w:r>
        <w:rPr>
          <w:color w:val="000000"/>
          <w:spacing w:val="0"/>
          <w:w w:val="100"/>
          <w:position w:val="0"/>
        </w:rPr>
        <w:t>年，公司确立了以智能银行整体解决方案为核心业务，以数据中心、</w:t>
      </w:r>
      <w:r>
        <w:rPr>
          <w:color w:val="000000"/>
          <w:spacing w:val="0"/>
          <w:w w:val="100"/>
          <w:position w:val="0"/>
        </w:rPr>
        <w:t>IT</w:t>
      </w:r>
      <w:r>
        <w:rPr>
          <w:color w:val="000000"/>
          <w:spacing w:val="0"/>
          <w:w w:val="100"/>
          <w:position w:val="0"/>
        </w:rPr>
        <w:t>服务管理、行业应用软件 开发、</w:t>
      </w:r>
      <w:r>
        <w:rPr>
          <w:color w:val="000000"/>
          <w:spacing w:val="0"/>
          <w:w w:val="100"/>
          <w:position w:val="0"/>
        </w:rPr>
        <w:t>IT</w:t>
      </w:r>
      <w:r>
        <w:rPr>
          <w:color w:val="000000"/>
          <w:spacing w:val="0"/>
          <w:w w:val="100"/>
          <w:position w:val="0"/>
        </w:rPr>
        <w:t>产品增值分销为重要业务，以金融电子商务、金融大数据、信息安全等成长性较好业务为重点培 育业务的经营战略，充分利用多年来核心业务在客户粘度、技术、市场等方面的优势，各业务条线实行深 度专业化，不断提高业务协同能力，为客户提供整体解决方案。</w:t>
      </w:r>
      <w:r>
        <w:rPr>
          <w:color w:val="000000"/>
          <w:spacing w:val="0"/>
          <w:w w:val="100"/>
          <w:position w:val="0"/>
        </w:rPr>
        <w:t>2013</w:t>
      </w:r>
      <w:r>
        <w:rPr>
          <w:color w:val="000000"/>
          <w:spacing w:val="0"/>
          <w:w w:val="100"/>
          <w:position w:val="0"/>
        </w:rPr>
        <w:t>年，公司继续巩固和提高了在智能银 行、数据中心、</w:t>
      </w:r>
      <w:r>
        <w:rPr>
          <w:color w:val="000000"/>
          <w:spacing w:val="0"/>
          <w:w w:val="100"/>
          <w:position w:val="0"/>
        </w:rPr>
        <w:t>IT</w:t>
      </w:r>
      <w:r>
        <w:rPr>
          <w:color w:val="000000"/>
          <w:spacing w:val="0"/>
          <w:w w:val="100"/>
          <w:position w:val="0"/>
        </w:rPr>
        <w:t>服务管理等领域的市场占有率和竞争优势，与银联及商业银行在金融电子商务方面不断 加深合作，进一步扩大了全国的营销与服务网络，不断健全以企业技术中心为核心的创新机制，加强人才 队伍培养和引进，提升软件产品的研发和产业化速度，并积极发展新的利润增长点。报告期内，公司实现 营业收入</w:t>
      </w:r>
      <w:r>
        <w:rPr>
          <w:color w:val="000000"/>
          <w:spacing w:val="0"/>
          <w:w w:val="100"/>
          <w:position w:val="0"/>
        </w:rPr>
        <w:t xml:space="preserve">1, 022, 822, </w:t>
      </w:r>
      <w:r>
        <w:rPr>
          <w:color w:val="000000"/>
          <w:spacing w:val="0"/>
          <w:w w:val="100"/>
          <w:position w:val="0"/>
        </w:rPr>
        <w:t xml:space="preserve">674. </w:t>
      </w:r>
      <w:r>
        <w:rPr>
          <w:color w:val="000000"/>
          <w:spacing w:val="0"/>
          <w:w w:val="100"/>
          <w:position w:val="0"/>
        </w:rPr>
        <w:t>03</w:t>
      </w:r>
      <w:r>
        <w:rPr>
          <w:color w:val="000000"/>
          <w:spacing w:val="0"/>
          <w:w w:val="100"/>
          <w:position w:val="0"/>
        </w:rPr>
        <w:t>元，较上年同期增长</w:t>
      </w:r>
      <w:r>
        <w:rPr>
          <w:color w:val="000000"/>
          <w:spacing w:val="0"/>
          <w:w w:val="100"/>
          <w:position w:val="0"/>
        </w:rPr>
        <w:t>96.06%</w:t>
      </w:r>
      <w:r>
        <w:rPr>
          <w:color w:val="000000"/>
          <w:spacing w:val="0"/>
          <w:w w:val="100"/>
          <w:position w:val="0"/>
        </w:rPr>
        <w:t>；归属于上市公司股东的净利润</w:t>
      </w:r>
      <w:r>
        <w:rPr>
          <w:color w:val="000000"/>
          <w:spacing w:val="0"/>
          <w:w w:val="100"/>
          <w:position w:val="0"/>
        </w:rPr>
        <w:t>56,021,607.58</w:t>
      </w:r>
      <w:r>
        <w:rPr>
          <w:color w:val="000000"/>
          <w:spacing w:val="0"/>
          <w:w w:val="100"/>
          <w:position w:val="0"/>
        </w:rPr>
        <w:t>元， 较上年同期下降</w:t>
      </w:r>
      <w:r>
        <w:rPr>
          <w:color w:val="000000"/>
          <w:spacing w:val="0"/>
          <w:w w:val="100"/>
          <w:position w:val="0"/>
        </w:rPr>
        <w:t>11.60%</w:t>
      </w:r>
      <w:r>
        <w:rPr>
          <w:color w:val="000000"/>
          <w:spacing w:val="0"/>
          <w:w w:val="100"/>
          <w:position w:val="0"/>
        </w:rPr>
        <w:t>。主要源于公司夯实优势领域、大力推进募集资金项目建设、加大投入电子商务建 设，积极拓展系统集成及</w:t>
      </w:r>
      <w:r>
        <w:rPr>
          <w:color w:val="000000"/>
          <w:spacing w:val="0"/>
          <w:w w:val="100"/>
          <w:position w:val="0"/>
        </w:rPr>
        <w:t>IT</w:t>
      </w:r>
      <w:r>
        <w:rPr>
          <w:color w:val="000000"/>
          <w:spacing w:val="0"/>
          <w:w w:val="100"/>
          <w:position w:val="0"/>
        </w:rPr>
        <w:t>产品分销业务等，保障了公司的持续健康发展。</w:t>
      </w:r>
    </w:p>
    <w:p>
      <w:pPr>
        <w:pStyle w:val="Style22"/>
        <w:keepNext/>
        <w:keepLines/>
        <w:widowControl w:val="0"/>
        <w:shd w:val="clear" w:color="auto" w:fill="auto"/>
        <w:tabs>
          <w:tab w:pos="480" w:val="left"/>
        </w:tabs>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二</w:t>
      </w:r>
      <w:bookmarkEnd w:id="55"/>
      <w:r>
        <w:rPr>
          <w:color w:val="000000"/>
          <w:spacing w:val="0"/>
          <w:w w:val="100"/>
          <w:position w:val="0"/>
        </w:rPr>
        <w:t>、</w:t>
        <w:tab/>
        <w:t>主营业务分析</w:t>
      </w:r>
      <w:bookmarkEnd w:id="53"/>
      <w:bookmarkEnd w:id="54"/>
      <w:bookmarkEnd w:id="56"/>
    </w:p>
    <w:p>
      <w:pPr>
        <w:pStyle w:val="Style36"/>
        <w:keepNext/>
        <w:keepLines/>
        <w:widowControl w:val="0"/>
        <w:shd w:val="clear" w:color="auto" w:fill="auto"/>
        <w:bidi w:val="0"/>
        <w:spacing w:before="0" w:after="0" w:line="48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、概述</w:t>
      </w:r>
      <w:bookmarkEnd w:id="57"/>
      <w:bookmarkEnd w:id="58"/>
      <w:bookmarkEnd w:id="60"/>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报告期内，公司进一步加大对智能银行解决方案及金融电子商务的研发投入力度和市场营销力度，同 时投资设立了北京中科金财电子产品有限公司和北京中科金财信息技术有限公司，横向拓宽了公司的业务 领域，拉动了公司的主营业务销售，增强了公司的综合竞争力。与此同时，</w:t>
      </w:r>
      <w:r>
        <w:rPr>
          <w:color w:val="000000"/>
          <w:spacing w:val="0"/>
          <w:w w:val="100"/>
          <w:position w:val="0"/>
        </w:rPr>
        <w:t>IT</w:t>
      </w:r>
      <w:r>
        <w:rPr>
          <w:color w:val="000000"/>
          <w:spacing w:val="0"/>
          <w:w w:val="100"/>
          <w:position w:val="0"/>
        </w:rPr>
        <w:t>产品分销业务及系统集成业 务的开展，迅速扩大了公司收入的规模，也导致公司主营业务成本和资金占用量加大，摊低了公司主营业 务的综合毛利率。</w:t>
      </w:r>
      <w:r>
        <w:rPr>
          <w:color w:val="000000"/>
          <w:spacing w:val="0"/>
          <w:w w:val="100"/>
          <w:position w:val="0"/>
        </w:rPr>
        <w:t>2013</w:t>
      </w:r>
      <w:r>
        <w:rPr>
          <w:color w:val="000000"/>
          <w:spacing w:val="0"/>
          <w:w w:val="100"/>
          <w:position w:val="0"/>
        </w:rPr>
        <w:t>年，公司实现主营业务收入</w:t>
      </w:r>
      <w:r>
        <w:rPr>
          <w:color w:val="000000"/>
          <w:spacing w:val="0"/>
          <w:w w:val="100"/>
          <w:position w:val="0"/>
        </w:rPr>
        <w:t>1,021,541,177.65</w:t>
      </w:r>
      <w:r>
        <w:rPr>
          <w:color w:val="000000"/>
          <w:spacing w:val="0"/>
          <w:w w:val="100"/>
          <w:position w:val="0"/>
        </w:rPr>
        <w:t>元，比上年同期增长</w:t>
      </w:r>
      <w:r>
        <w:rPr>
          <w:color w:val="000000"/>
          <w:spacing w:val="0"/>
          <w:w w:val="100"/>
          <w:position w:val="0"/>
        </w:rPr>
        <w:t>97.00%，</w:t>
      </w:r>
      <w:r>
        <w:rPr>
          <w:color w:val="000000"/>
          <w:spacing w:val="0"/>
          <w:w w:val="100"/>
          <w:position w:val="0"/>
        </w:rPr>
        <w:t>主营业 务成本</w:t>
      </w:r>
      <w:r>
        <w:rPr>
          <w:color w:val="000000"/>
          <w:spacing w:val="0"/>
          <w:w w:val="100"/>
          <w:position w:val="0"/>
        </w:rPr>
        <w:t xml:space="preserve">754, 785, </w:t>
      </w:r>
      <w:r>
        <w:rPr>
          <w:color w:val="000000"/>
          <w:spacing w:val="0"/>
          <w:w w:val="100"/>
          <w:position w:val="0"/>
        </w:rPr>
        <w:t xml:space="preserve">935. </w:t>
      </w:r>
      <w:r>
        <w:rPr>
          <w:color w:val="000000"/>
          <w:spacing w:val="0"/>
          <w:w w:val="100"/>
          <w:position w:val="0"/>
        </w:rPr>
        <w:t>32</w:t>
      </w:r>
      <w:r>
        <w:rPr>
          <w:color w:val="000000"/>
          <w:spacing w:val="0"/>
          <w:w w:val="100"/>
          <w:position w:val="0"/>
        </w:rPr>
        <w:t>元，比上年同期增长</w:t>
      </w:r>
      <w:r>
        <w:rPr>
          <w:color w:val="000000"/>
          <w:spacing w:val="0"/>
          <w:w w:val="100"/>
          <w:position w:val="0"/>
        </w:rPr>
        <w:t>164.33%</w:t>
      </w:r>
      <w:r>
        <w:rPr>
          <w:color w:val="000000"/>
          <w:spacing w:val="0"/>
          <w:w w:val="100"/>
          <w:position w:val="0"/>
        </w:rPr>
        <w:t>。</w:t>
      </w:r>
    </w:p>
    <w:p>
      <w:pPr>
        <w:pStyle w:val="Style36"/>
        <w:keepNext/>
        <w:keepLines/>
        <w:widowControl w:val="0"/>
        <w:shd w:val="clear" w:color="auto" w:fill="auto"/>
        <w:bidi w:val="0"/>
        <w:spacing w:before="0" w:after="0" w:line="466" w:lineRule="exact"/>
        <w:ind w:left="0" w:right="0" w:firstLine="0"/>
        <w:jc w:val="left"/>
      </w:pPr>
      <w:bookmarkStart w:id="61" w:name="bookmark61"/>
      <w:bookmarkStart w:id="62" w:name="bookmark62"/>
      <w:bookmarkStart w:id="63" w:name="bookmark63"/>
      <w:r>
        <w:rPr>
          <w:color w:val="000000"/>
          <w:spacing w:val="0"/>
          <w:w w:val="100"/>
          <w:position w:val="0"/>
        </w:rPr>
        <w:t>公司回顾总结前期披露的发展战略和经营计划在报告期内的进展情况</w:t>
      </w:r>
      <w:bookmarkEnd w:id="61"/>
      <w:bookmarkEnd w:id="62"/>
      <w:bookmarkEnd w:id="63"/>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w:t>
      </w:r>
      <w:r>
        <w:rPr>
          <w:color w:val="000000"/>
          <w:spacing w:val="0"/>
          <w:w w:val="100"/>
          <w:position w:val="0"/>
        </w:rPr>
        <w:t>年公司继续巩固和深化在银行、企业、政府领域内智能银行解决方案、数据中心、</w:t>
      </w:r>
      <w:r>
        <w:rPr>
          <w:color w:val="000000"/>
          <w:spacing w:val="0"/>
          <w:w w:val="100"/>
          <w:position w:val="0"/>
        </w:rPr>
        <w:t>IT</w:t>
      </w:r>
      <w:r>
        <w:rPr>
          <w:color w:val="000000"/>
          <w:spacing w:val="0"/>
          <w:w w:val="100"/>
          <w:position w:val="0"/>
        </w:rPr>
        <w:t>服务管理、 金融电子商务等产品的市场领先地位，坚持“以智能银行整体解决方案”为核心，其他业务条线协同发展 的相关多元化经营战略，增强高端咨询能力、设计规划能力以及软硬件标准化产品开发能力，积极拓展智 能银行、银行票据自助受理系统、金融电子商务等创新业务，努力打造全业务链的</w:t>
      </w:r>
      <w:r>
        <w:rPr>
          <w:color w:val="000000"/>
          <w:spacing w:val="0"/>
          <w:w w:val="100"/>
          <w:position w:val="0"/>
        </w:rPr>
        <w:t>IT</w:t>
      </w:r>
      <w:r>
        <w:rPr>
          <w:color w:val="000000"/>
          <w:spacing w:val="0"/>
          <w:w w:val="100"/>
          <w:position w:val="0"/>
        </w:rPr>
        <w:t xml:space="preserve">综合服务提供商。公 司在营销服务网络建设、产品开发、人才培养与激励、资本运营等方面采取了一系列针对性措施，保持并 </w:t>
      </w:r>
      <w:r>
        <w:rPr>
          <w:color w:val="000000"/>
          <w:spacing w:val="0"/>
          <w:w w:val="100"/>
          <w:position w:val="0"/>
        </w:rPr>
        <w:t>增强了公司的成长性及业务的稳定性。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营销服务网络建设：公司营销与服务网络建设基本完成，已形成了以北京为中心、遍布全国的营销和 服务网络体系，初步完成了从一家北京的区域型公司向全国性公司的转变，使公司业务更加贴近客户，把 高品质服务更快捷地交付给客户。营销与服务网络体系的建立扩大了公司的服务与产品线的覆盖范围，进 一步提高了公司的行业知名度和品牌影响力，为公司快速有效地开拓市场、提高市场份额提供有力的保证。</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产品开发</w:t>
      </w:r>
      <w:r>
        <w:rPr>
          <w:color w:val="000000"/>
          <w:spacing w:val="0"/>
          <w:w w:val="100"/>
          <w:position w:val="0"/>
        </w:rPr>
        <w:t>：2013</w:t>
      </w:r>
      <w:r>
        <w:rPr>
          <w:color w:val="000000"/>
          <w:spacing w:val="0"/>
          <w:w w:val="100"/>
          <w:position w:val="0"/>
        </w:rPr>
        <w:t>年，公司承担了包括中关村产业联盟影像集中处理系统应用示范项目、发改委移动金 融云安全服务平台建设项目、工信部面向移动电子商务的综合支付平台及产业化项目、智能高精准金融影 像处理技术成果转化项目在内的多项国家级、北京市级重大科研项目。同时，公司募集资金投资建设项目 进展情况良好，基础组件支撑平台</w:t>
      </w:r>
      <w:r>
        <w:rPr>
          <w:color w:val="000000"/>
          <w:spacing w:val="0"/>
          <w:w w:val="100"/>
          <w:position w:val="0"/>
        </w:rPr>
        <w:t>V2.0</w:t>
      </w:r>
      <w:r>
        <w:rPr>
          <w:color w:val="000000"/>
          <w:spacing w:val="0"/>
          <w:w w:val="100"/>
          <w:position w:val="0"/>
        </w:rPr>
        <w:t>项目、</w:t>
      </w:r>
      <w:r>
        <w:rPr>
          <w:color w:val="000000"/>
          <w:spacing w:val="0"/>
          <w:w w:val="100"/>
          <w:position w:val="0"/>
        </w:rPr>
        <w:t>IT</w:t>
      </w:r>
      <w:r>
        <w:rPr>
          <w:color w:val="000000"/>
          <w:spacing w:val="0"/>
          <w:w w:val="100"/>
          <w:position w:val="0"/>
        </w:rPr>
        <w:t>服务综合业务管理系统以及影像集中作业平台</w:t>
      </w:r>
      <w:r>
        <w:rPr>
          <w:color w:val="000000"/>
          <w:spacing w:val="0"/>
          <w:w w:val="100"/>
          <w:position w:val="0"/>
        </w:rPr>
        <w:t>V2.0</w:t>
      </w:r>
      <w:r>
        <w:rPr>
          <w:color w:val="000000"/>
          <w:spacing w:val="0"/>
          <w:w w:val="100"/>
          <w:position w:val="0"/>
        </w:rPr>
        <w:t>项目研 发工作基本完成，票据自助受理系统项目、智能银行渠道整合平台</w:t>
      </w:r>
      <w:r>
        <w:rPr>
          <w:color w:val="000000"/>
          <w:spacing w:val="0"/>
          <w:w w:val="100"/>
          <w:position w:val="0"/>
        </w:rPr>
        <w:t>V1.0</w:t>
      </w:r>
      <w:r>
        <w:rPr>
          <w:color w:val="000000"/>
          <w:spacing w:val="0"/>
          <w:w w:val="100"/>
          <w:position w:val="0"/>
        </w:rPr>
        <w:t>项目、银行网点优化服务平台项目 的研发均按照计划开展。</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人才培养与激励：公司坚持“发展吸引人，文化凝聚人，机制稳定人，事业成就人”的人才战略，以 胜任力模型为核心形成公司的人力资源管理体系，打造人才梯队，持续优化人才结构，调整技术队伍，着 重引进高端人才，截止到</w:t>
      </w:r>
      <w:r>
        <w:rPr>
          <w:color w:val="000000"/>
          <w:spacing w:val="0"/>
          <w:w w:val="100"/>
          <w:position w:val="0"/>
        </w:rPr>
        <w:t>2013</w:t>
      </w:r>
      <w:r>
        <w:rPr>
          <w:color w:val="000000"/>
          <w:spacing w:val="0"/>
          <w:w w:val="100"/>
          <w:position w:val="0"/>
        </w:rPr>
        <w:t>年底，公司总人数达到</w:t>
      </w:r>
      <w:r>
        <w:rPr>
          <w:color w:val="000000"/>
          <w:spacing w:val="0"/>
          <w:w w:val="100"/>
          <w:position w:val="0"/>
        </w:rPr>
        <w:t>821</w:t>
      </w:r>
      <w:r>
        <w:rPr>
          <w:color w:val="000000"/>
          <w:spacing w:val="0"/>
          <w:w w:val="100"/>
          <w:position w:val="0"/>
        </w:rPr>
        <w:t xml:space="preserve">人，其中研究开发及技术人员占到员工总数的 </w:t>
      </w:r>
      <w:r>
        <w:rPr>
          <w:color w:val="000000"/>
          <w:spacing w:val="0"/>
          <w:w w:val="100"/>
          <w:position w:val="0"/>
        </w:rPr>
        <w:t>72.72%</w:t>
      </w:r>
      <w:r>
        <w:rPr>
          <w:color w:val="000000"/>
          <w:spacing w:val="0"/>
          <w:w w:val="100"/>
          <w:position w:val="0"/>
        </w:rPr>
        <w:t>。</w:t>
      </w:r>
    </w:p>
    <w:p>
      <w:pPr>
        <w:pStyle w:val="Style3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资本运营</w:t>
      </w:r>
      <w:r>
        <w:rPr>
          <w:color w:val="000000"/>
          <w:spacing w:val="0"/>
          <w:w w:val="100"/>
          <w:position w:val="0"/>
        </w:rPr>
        <w:t>：2013</w:t>
      </w:r>
      <w:r>
        <w:rPr>
          <w:color w:val="000000"/>
          <w:spacing w:val="0"/>
          <w:w w:val="100"/>
          <w:position w:val="0"/>
        </w:rPr>
        <w:t>年，公司投资设立控股子公司北京中科金财信息技术有限公司、北京中科金财电子产 品有限公司以及全资子公司北京中科金财软件技术有限公司。子公司的成立有利于公司快速进入新的业务 领域，扩大公司业务的客户覆盖率，有利于拉动公司主营业务销售，增强公司综合竞争力，保障公司业务 快速发展。同时，</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月公司发行</w:t>
      </w:r>
      <w:r>
        <w:rPr>
          <w:color w:val="000000"/>
          <w:spacing w:val="0"/>
          <w:w w:val="100"/>
          <w:position w:val="0"/>
        </w:rPr>
        <w:t>2.4</w:t>
      </w:r>
      <w:r>
        <w:rPr>
          <w:color w:val="000000"/>
          <w:spacing w:val="0"/>
          <w:w w:val="100"/>
          <w:position w:val="0"/>
        </w:rPr>
        <w:t>亿元公司债券的再融资计划圆满完成，在一定程度上满足了公司 持续增长的资金需求，保障了公司生产经营的平稳运行。</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100" w:line="48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、收入</w:t>
      </w:r>
      <w:bookmarkEnd w:id="64"/>
      <w:bookmarkEnd w:id="65"/>
      <w:bookmarkEnd w:id="67"/>
    </w:p>
    <w:tbl>
      <w:tblPr>
        <w:tblOverlap w:val="never"/>
        <w:jc w:val="center"/>
        <w:tblLayout w:type="fixed"/>
      </w:tblPr>
      <w:tblGrid>
        <w:gridCol w:w="2227"/>
        <w:gridCol w:w="2342"/>
        <w:gridCol w:w="2338"/>
        <w:gridCol w:w="2750"/>
      </w:tblGrid>
      <w:tr>
        <w:trPr>
          <w:trHeight w:val="336"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年度</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同比增减变动比例</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1,021,541,177.65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518,551,596.94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97.00%</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1,281,496.38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3,125,060.05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-58.99%</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1,022,822,674.03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521,676,656.99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96.06%</w:t>
            </w:r>
          </w:p>
        </w:tc>
      </w:tr>
    </w:tbl>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其中：主营业务收入分类如下:</w:t>
      </w:r>
    </w:p>
    <w:p>
      <w:pPr>
        <w:widowControl w:val="0"/>
        <w:spacing w:after="99" w:line="1" w:lineRule="exact"/>
      </w:pPr>
    </w:p>
    <w:tbl>
      <w:tblPr>
        <w:tblOverlap w:val="never"/>
        <w:jc w:val="center"/>
        <w:tblLayout w:type="fixed"/>
      </w:tblPr>
      <w:tblGrid>
        <w:gridCol w:w="1003"/>
        <w:gridCol w:w="1699"/>
        <w:gridCol w:w="1982"/>
        <w:gridCol w:w="1843"/>
        <w:gridCol w:w="1987"/>
        <w:gridCol w:w="1142"/>
      </w:tblGrid>
      <w:tr>
        <w:trPr>
          <w:trHeight w:val="341" w:hRule="exact"/>
        </w:trPr>
        <w:tc>
          <w:tcPr>
            <w:vMerge w:val="restart"/>
            <w:tcBorders>
              <w:top w:val="single" w:sz="4"/>
              <w:left w:val="single" w:sz="4"/>
            </w:tcBorders>
            <w:shd w:val="clear" w:color="auto" w:fill="D4D4D4"/>
            <w:vAlign w:val="top"/>
          </w:tcPr>
          <w:p>
            <w:pPr>
              <w:pStyle w:val="Style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年度</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年度</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同比增减变 动比例</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占主营业务收入比重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占主营业务收入比重</w:t>
            </w: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802,720,339.92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78.58%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302,256,682.38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58.29%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165.58%</w:t>
            </w:r>
          </w:p>
        </w:tc>
      </w:tr>
    </w:tbl>
    <w:p>
      <w:pPr>
        <w:spacing w:lineRule="exact" w:line="1"/>
        <w:rPr>
          <w:sz w:val="2"/>
          <w:szCs w:val="2"/>
        </w:rPr>
      </w:pPr>
      <w:r>
        <w:br w:type="page"/>
      </w:r>
    </w:p>
    <w:tbl>
      <w:tblPr>
        <w:tblOverlap w:val="never"/>
        <w:jc w:val="center"/>
        <w:tblLayout w:type="fixed"/>
      </w:tblPr>
      <w:tblGrid>
        <w:gridCol w:w="1003"/>
        <w:gridCol w:w="1699"/>
        <w:gridCol w:w="1982"/>
        <w:gridCol w:w="1843"/>
        <w:gridCol w:w="1987"/>
        <w:gridCol w:w="1142"/>
      </w:tblGrid>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64,197,328.45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69,003,526.31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154,623,509.28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147,291,388.25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1,021,541,177.65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518,551,596.94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公司实物销售收入是否大于劳务收入</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公司重大的在手订单情况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公司报告期内产品或服务发生重大变化或调整有关情况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267,204,279.83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rPr>
          <w:sz w:val="22"/>
          <w:szCs w:val="22"/>
        </w:rPr>
      </w:pPr>
      <w:r>
        <w:rPr>
          <w:rFonts w:ascii="SimHei" w:eastAsia="SimHei" w:hAnsi="SimHei" w:cs="SimHei"/>
          <w:color w:val="000000"/>
          <w:spacing w:val="0"/>
          <w:w w:val="100"/>
          <w:position w:val="0"/>
          <w:sz w:val="22"/>
          <w:szCs w:val="22"/>
        </w:rPr>
        <w:t>公司前</w:t>
      </w:r>
      <w:r>
        <w:rPr>
          <w:rFonts w:ascii="Times New Roman" w:eastAsia="Times New Roman" w:hAnsi="Times New Roman" w:cs="Times New Roman"/>
          <w:color w:val="000000"/>
          <w:spacing w:val="0"/>
          <w:w w:val="100"/>
          <w:position w:val="0"/>
          <w:sz w:val="22"/>
          <w:szCs w:val="22"/>
        </w:rPr>
        <w:t>5</w:t>
      </w:r>
      <w:r>
        <w:rPr>
          <w:rFonts w:ascii="SimHei" w:eastAsia="SimHei" w:hAnsi="SimHei" w:cs="SimHei"/>
          <w:color w:val="000000"/>
          <w:spacing w:val="0"/>
          <w:w w:val="100"/>
          <w:position w:val="0"/>
          <w:sz w:val="22"/>
          <w:szCs w:val="22"/>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中经网（北京）数据科技发展有限公司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84,231,196.64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中科软科技股份有限公司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51,338,066.76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中国人寿保险股份有限公司上海数据中心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49,512,547.22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北京中天智捷商贸有限公司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44,278,819.64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北京高信达通信科技股份有限公司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37,843,649.57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267,204,279.83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3</w:t>
      </w:r>
      <w:bookmarkEnd w:id="70"/>
      <w:r>
        <w:rPr>
          <w:color w:val="000000"/>
          <w:spacing w:val="0"/>
          <w:w w:val="100"/>
          <w:position w:val="0"/>
        </w:rPr>
        <w:t>、成本</w:t>
      </w:r>
      <w:bookmarkEnd w:id="68"/>
      <w:bookmarkEnd w:id="69"/>
      <w:bookmarkEnd w:id="71"/>
    </w:p>
    <w:tbl>
      <w:tblPr>
        <w:tblOverlap w:val="never"/>
        <w:jc w:val="center"/>
        <w:tblLayout w:type="fixed"/>
      </w:tblPr>
      <w:tblGrid>
        <w:gridCol w:w="2227"/>
        <w:gridCol w:w="2602"/>
        <w:gridCol w:w="2410"/>
        <w:gridCol w:w="2280"/>
      </w:tblGrid>
      <w:tr>
        <w:trPr>
          <w:trHeight w:val="336"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年度</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同比增减变动比例</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754,785,935.32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285,541,910.29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164.33%</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616,042.62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2,755,080.30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-77.64%</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755,401,977.94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288,296,990.59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162.02%</w:t>
            </w:r>
          </w:p>
        </w:tc>
      </w:tr>
    </w:tbl>
    <w:p>
      <w:pPr>
        <w:widowControl w:val="0"/>
        <w:spacing w:after="119" w:line="1" w:lineRule="exact"/>
      </w:pPr>
    </w:p>
    <w:p>
      <w:pPr>
        <w:pStyle w:val="Style36"/>
        <w:keepNext/>
        <w:keepLines/>
        <w:widowControl w:val="0"/>
        <w:shd w:val="clear" w:color="auto" w:fill="auto"/>
        <w:bidi w:val="0"/>
        <w:spacing w:before="0" w:after="120" w:line="240" w:lineRule="auto"/>
        <w:ind w:left="0" w:right="0" w:firstLine="0"/>
        <w:jc w:val="left"/>
        <w:rPr>
          <w:sz w:val="22"/>
          <w:szCs w:val="22"/>
        </w:rPr>
      </w:pPr>
      <w:bookmarkStart w:id="72" w:name="bookmark72"/>
      <w:bookmarkStart w:id="73" w:name="bookmark73"/>
      <w:bookmarkStart w:id="74" w:name="bookmark74"/>
      <w:r>
        <w:rPr>
          <w:rFonts w:ascii="SimHei" w:eastAsia="SimHei" w:hAnsi="SimHei" w:cs="SimHei"/>
          <w:color w:val="000000"/>
          <w:spacing w:val="0"/>
          <w:w w:val="100"/>
          <w:position w:val="0"/>
          <w:sz w:val="22"/>
          <w:szCs w:val="22"/>
        </w:rPr>
        <w:t>其中：主营业务成本分类如下:</w:t>
      </w:r>
      <w:bookmarkEnd w:id="72"/>
      <w:bookmarkEnd w:id="73"/>
      <w:bookmarkEnd w:id="74"/>
    </w:p>
    <w:tbl>
      <w:tblPr>
        <w:tblOverlap w:val="never"/>
        <w:jc w:val="center"/>
        <w:tblLayout w:type="fixed"/>
      </w:tblPr>
      <w:tblGrid>
        <w:gridCol w:w="1003"/>
        <w:gridCol w:w="1699"/>
        <w:gridCol w:w="1843"/>
        <w:gridCol w:w="1560"/>
        <w:gridCol w:w="1699"/>
        <w:gridCol w:w="1714"/>
      </w:tblGrid>
      <w:tr>
        <w:trPr>
          <w:trHeight w:val="350"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同比增减变动比例</w:t>
            </w:r>
          </w:p>
        </w:tc>
      </w:tr>
      <w:tr>
        <w:trPr>
          <w:trHeight w:val="33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占主营业务成本比重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占主营业务成本比重</w:t>
            </w:r>
          </w:p>
        </w:tc>
        <w:tc>
          <w:tcPr>
            <w:vMerge/>
            <w:tcBorders>
              <w:left w:val="single" w:sz="4"/>
              <w:right w:val="single" w:sz="4"/>
            </w:tcBorders>
            <w:shd w:val="clear" w:color="auto" w:fill="D4D4D4"/>
            <w:vAlign w:val="center"/>
          </w:tcPr>
          <w:p>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745,089,551.88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278,260,148.20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167.77%</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9,687,380.89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7,218,093.99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9,002.55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63,668.10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754,785,935.32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285,541,910.29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302,387,976.03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苹果（上海）贸易有限公司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86,334,164.00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重庆佳杰创越营销结算有限公司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70,237,435.08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51,397,128.23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北京佳讯飞鸿电气股份有限公司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49,772,752.70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赞华（中国）电子系统有限公司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44,646,496.02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302,387,976.03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4</w:t>
      </w:r>
      <w:bookmarkEnd w:id="77"/>
      <w:r>
        <w:rPr>
          <w:color w:val="000000"/>
          <w:spacing w:val="0"/>
          <w:w w:val="100"/>
          <w:position w:val="0"/>
        </w:rPr>
        <w:t>、费用</w:t>
      </w:r>
      <w:bookmarkEnd w:id="75"/>
      <w:bookmarkEnd w:id="76"/>
      <w:bookmarkEnd w:id="78"/>
    </w:p>
    <w:tbl>
      <w:tblPr>
        <w:tblOverlap w:val="never"/>
        <w:jc w:val="center"/>
        <w:tblLayout w:type="fixed"/>
      </w:tblPr>
      <w:tblGrid>
        <w:gridCol w:w="2030"/>
        <w:gridCol w:w="2515"/>
        <w:gridCol w:w="2314"/>
        <w:gridCol w:w="2669"/>
      </w:tblGrid>
      <w:tr>
        <w:trPr>
          <w:trHeight w:val="437"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40,383,429.56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39,538,464.65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180,114,157.44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137,328,900.26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16,410,063.72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-609,120.49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2794.06%</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7,969,671.92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8,828,615.25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r>
    </w:tbl>
    <w:p>
      <w:pPr>
        <w:pStyle w:val="Style33"/>
        <w:keepNext w:val="0"/>
        <w:keepLines w:val="0"/>
        <w:widowControl w:val="0"/>
        <w:shd w:val="clear" w:color="auto" w:fill="auto"/>
        <w:bidi w:val="0"/>
        <w:spacing w:before="0" w:after="220" w:line="485" w:lineRule="exact"/>
        <w:ind w:left="0" w:right="0" w:firstLine="440"/>
        <w:jc w:val="left"/>
      </w:pPr>
      <w:r>
        <w:rPr>
          <w:color w:val="000000"/>
          <w:spacing w:val="0"/>
          <w:w w:val="100"/>
          <w:position w:val="0"/>
        </w:rPr>
        <w:t>管理费用较上年同期增长</w:t>
      </w:r>
      <w:r>
        <w:rPr>
          <w:rFonts w:ascii="Times New Roman" w:eastAsia="Times New Roman" w:hAnsi="Times New Roman" w:cs="Times New Roman"/>
          <w:color w:val="000000"/>
          <w:spacing w:val="0"/>
          <w:w w:val="100"/>
          <w:position w:val="0"/>
        </w:rPr>
        <w:t>31.16%</w:t>
      </w:r>
      <w:r>
        <w:rPr>
          <w:color w:val="000000"/>
          <w:spacing w:val="0"/>
          <w:w w:val="100"/>
          <w:position w:val="0"/>
        </w:rPr>
        <w:t>,主要系报告期内公司扩大办公场地，增加管理人员、技术人员，相 应管理费用增加，固定资产及无形资产增加引起折旧及摊销费用增加所致。</w:t>
      </w:r>
    </w:p>
    <w:p>
      <w:pPr>
        <w:pStyle w:val="Style33"/>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财务费用较上年同期增长</w:t>
      </w:r>
      <w:r>
        <w:rPr>
          <w:rFonts w:ascii="Times New Roman" w:eastAsia="Times New Roman" w:hAnsi="Times New Roman" w:cs="Times New Roman"/>
          <w:color w:val="000000"/>
          <w:spacing w:val="0"/>
          <w:w w:val="100"/>
          <w:position w:val="0"/>
        </w:rPr>
        <w:t>2794.06%</w:t>
      </w:r>
      <w:r>
        <w:rPr>
          <w:color w:val="000000"/>
          <w:spacing w:val="0"/>
          <w:w w:val="100"/>
          <w:position w:val="0"/>
        </w:rPr>
        <w:t>，主要系公司发行债券相关费用及计提应付债券利息所致。</w:t>
      </w:r>
    </w:p>
    <w:p>
      <w:pPr>
        <w:pStyle w:val="Style36"/>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5</w:t>
      </w:r>
      <w:bookmarkEnd w:id="81"/>
      <w:r>
        <w:rPr>
          <w:color w:val="000000"/>
          <w:spacing w:val="0"/>
          <w:w w:val="100"/>
          <w:position w:val="0"/>
        </w:rPr>
        <w:t>、研发支出</w:t>
      </w:r>
      <w:bookmarkEnd w:id="79"/>
      <w:bookmarkEnd w:id="80"/>
      <w:bookmarkEnd w:id="82"/>
    </w:p>
    <w:tbl>
      <w:tblPr>
        <w:tblOverlap w:val="never"/>
        <w:jc w:val="center"/>
        <w:tblLayout w:type="fixed"/>
      </w:tblPr>
      <w:tblGrid>
        <w:gridCol w:w="4243"/>
        <w:gridCol w:w="1910"/>
        <w:gridCol w:w="1757"/>
        <w:gridCol w:w="1618"/>
      </w:tblGrid>
      <w:tr>
        <w:trPr>
          <w:trHeight w:val="35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128,170,335.19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102,532,277.60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58,678,488.02</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资本化的研发支出总额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43,399,838.24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38,357,921.28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研发支出占当期营业收入的比重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r>
    </w:tbl>
    <w:p>
      <w:pPr>
        <w:widowControl w:val="0"/>
        <w:spacing w:after="79" w:line="1" w:lineRule="exact"/>
      </w:pPr>
    </w:p>
    <w:p>
      <w:pPr>
        <w:pStyle w:val="Style3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年主要研发成果如下:</w:t>
      </w:r>
    </w:p>
    <w:p>
      <w:pPr>
        <w:pStyle w:val="Style3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）专利</w:t>
      </w:r>
    </w:p>
    <w:tbl>
      <w:tblPr>
        <w:tblOverlap w:val="never"/>
        <w:jc w:val="center"/>
        <w:tblLayout w:type="fixed"/>
      </w:tblPr>
      <w:tblGrid>
        <w:gridCol w:w="624"/>
        <w:gridCol w:w="2280"/>
        <w:gridCol w:w="3907"/>
        <w:gridCol w:w="1987"/>
        <w:gridCol w:w="715"/>
      </w:tblGrid>
      <w:tr>
        <w:trPr>
          <w:trHeight w:val="52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序号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专利号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登记名称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类型</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期限</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2012 3 </w:t>
            </w:r>
            <w:r>
              <w:rPr>
                <w:rFonts w:ascii="Times New Roman" w:eastAsia="Times New Roman" w:hAnsi="Times New Roman" w:cs="Times New Roman"/>
                <w:color w:val="000000"/>
                <w:spacing w:val="0"/>
                <w:w w:val="100"/>
                <w:position w:val="0"/>
                <w:sz w:val="20"/>
                <w:szCs w:val="20"/>
              </w:rPr>
              <w:t>0441827.8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票据自助受理终端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外观设计专利证书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2012 2 </w:t>
            </w:r>
            <w:r>
              <w:rPr>
                <w:rFonts w:ascii="Times New Roman" w:eastAsia="Times New Roman" w:hAnsi="Times New Roman" w:cs="Times New Roman"/>
                <w:color w:val="000000"/>
                <w:spacing w:val="0"/>
                <w:w w:val="100"/>
                <w:position w:val="0"/>
                <w:sz w:val="20"/>
                <w:szCs w:val="20"/>
              </w:rPr>
              <w:t>0341861.2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高精度图像采集装置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2012 2 </w:t>
            </w:r>
            <w:r>
              <w:rPr>
                <w:rFonts w:ascii="Times New Roman" w:eastAsia="Times New Roman" w:hAnsi="Times New Roman" w:cs="Times New Roman"/>
                <w:color w:val="000000"/>
                <w:spacing w:val="0"/>
                <w:w w:val="100"/>
                <w:position w:val="0"/>
                <w:sz w:val="20"/>
                <w:szCs w:val="20"/>
              </w:rPr>
              <w:t>0370308.1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风险号码异常性识别系统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2012 2 </w:t>
            </w:r>
            <w:r>
              <w:rPr>
                <w:rFonts w:ascii="Times New Roman" w:eastAsia="Times New Roman" w:hAnsi="Times New Roman" w:cs="Times New Roman"/>
                <w:color w:val="000000"/>
                <w:spacing w:val="0"/>
                <w:w w:val="100"/>
                <w:position w:val="0"/>
                <w:sz w:val="20"/>
                <w:szCs w:val="20"/>
              </w:rPr>
              <w:t>0387811.8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基于生物特征识别支付风险的系统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2012 2 </w:t>
            </w:r>
            <w:r>
              <w:rPr>
                <w:rFonts w:ascii="Times New Roman" w:eastAsia="Times New Roman" w:hAnsi="Times New Roman" w:cs="Times New Roman"/>
                <w:color w:val="000000"/>
                <w:spacing w:val="0"/>
                <w:w w:val="100"/>
                <w:position w:val="0"/>
                <w:sz w:val="20"/>
                <w:szCs w:val="20"/>
              </w:rPr>
              <w:t>0474222.3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具有盖章功能的票据自助受理装置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2012 2 </w:t>
            </w:r>
            <w:r>
              <w:rPr>
                <w:rFonts w:ascii="Times New Roman" w:eastAsia="Times New Roman" w:hAnsi="Times New Roman" w:cs="Times New Roman"/>
                <w:color w:val="000000"/>
                <w:spacing w:val="0"/>
                <w:w w:val="100"/>
                <w:position w:val="0"/>
                <w:sz w:val="20"/>
                <w:szCs w:val="20"/>
              </w:rPr>
              <w:t>0474194.5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高安全性的票据自助受理终端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实用新型证书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bl>
    <w:p>
      <w:pPr>
        <w:spacing w:lineRule="exact" w:line="1"/>
        <w:rPr>
          <w:sz w:val="2"/>
          <w:szCs w:val="2"/>
        </w:rPr>
      </w:pPr>
      <w:r>
        <w:br w:type="page"/>
      </w:r>
    </w:p>
    <w:tbl>
      <w:tblPr>
        <w:tblOverlap w:val="never"/>
        <w:jc w:val="center"/>
        <w:tblLayout w:type="fixed"/>
      </w:tblPr>
      <w:tblGrid>
        <w:gridCol w:w="624"/>
        <w:gridCol w:w="2280"/>
        <w:gridCol w:w="3907"/>
        <w:gridCol w:w="1987"/>
        <w:gridCol w:w="715"/>
      </w:tblGrid>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2010 1 </w:t>
            </w:r>
            <w:r>
              <w:rPr>
                <w:rFonts w:ascii="Times New Roman" w:eastAsia="Times New Roman" w:hAnsi="Times New Roman" w:cs="Times New Roman"/>
                <w:color w:val="000000"/>
                <w:spacing w:val="0"/>
                <w:w w:val="100"/>
                <w:position w:val="0"/>
                <w:sz w:val="20"/>
                <w:szCs w:val="20"/>
              </w:rPr>
              <w:t>0187187.2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基于荧光信息分析的票据防伪自助受理方法 及设备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发明专利证书</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65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2011 1 </w:t>
            </w:r>
            <w:r>
              <w:rPr>
                <w:rFonts w:ascii="Times New Roman" w:eastAsia="Times New Roman" w:hAnsi="Times New Roman" w:cs="Times New Roman"/>
                <w:color w:val="000000"/>
                <w:spacing w:val="0"/>
                <w:w w:val="100"/>
                <w:position w:val="0"/>
                <w:sz w:val="20"/>
                <w:szCs w:val="20"/>
              </w:rPr>
              <w:t>0029403.5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实现票据材质信息处理系统的票据材质信息 处理方法</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发明专利证书</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2012 2 </w:t>
            </w:r>
            <w:r>
              <w:rPr>
                <w:rFonts w:ascii="Times New Roman" w:eastAsia="Times New Roman" w:hAnsi="Times New Roman" w:cs="Times New Roman"/>
                <w:color w:val="000000"/>
                <w:spacing w:val="0"/>
                <w:w w:val="100"/>
                <w:position w:val="0"/>
                <w:sz w:val="20"/>
                <w:szCs w:val="20"/>
              </w:rPr>
              <w:t>0474261.3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高安全性的金融交易自助受理装置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2012 2 </w:t>
            </w:r>
            <w:r>
              <w:rPr>
                <w:rFonts w:ascii="Times New Roman" w:eastAsia="Times New Roman" w:hAnsi="Times New Roman" w:cs="Times New Roman"/>
                <w:color w:val="000000"/>
                <w:spacing w:val="0"/>
                <w:w w:val="100"/>
                <w:position w:val="0"/>
                <w:sz w:val="20"/>
                <w:szCs w:val="20"/>
              </w:rPr>
              <w:t>0387370.1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基于位置变换的支付风险识别系统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2010 1 </w:t>
            </w:r>
            <w:r>
              <w:rPr>
                <w:rFonts w:ascii="Times New Roman" w:eastAsia="Times New Roman" w:hAnsi="Times New Roman" w:cs="Times New Roman"/>
                <w:color w:val="000000"/>
                <w:spacing w:val="0"/>
                <w:w w:val="100"/>
                <w:position w:val="0"/>
                <w:sz w:val="20"/>
                <w:szCs w:val="20"/>
              </w:rPr>
              <w:t>0156690.1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实现票据自助受理系统的票据自助受理方法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发明专利证书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2010 1 </w:t>
            </w:r>
            <w:r>
              <w:rPr>
                <w:rFonts w:ascii="Times New Roman" w:eastAsia="Times New Roman" w:hAnsi="Times New Roman" w:cs="Times New Roman"/>
                <w:color w:val="000000"/>
                <w:spacing w:val="0"/>
                <w:w w:val="100"/>
                <w:position w:val="0"/>
                <w:sz w:val="20"/>
                <w:szCs w:val="20"/>
              </w:rPr>
              <w:t>0187164.1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基于二维图码技术的票据防伪自助受理方法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发明专利证书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65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2011 1 </w:t>
            </w:r>
            <w:r>
              <w:rPr>
                <w:rFonts w:ascii="Times New Roman" w:eastAsia="Times New Roman" w:hAnsi="Times New Roman" w:cs="Times New Roman"/>
                <w:color w:val="000000"/>
                <w:spacing w:val="0"/>
                <w:w w:val="100"/>
                <w:position w:val="0"/>
                <w:sz w:val="20"/>
                <w:szCs w:val="20"/>
              </w:rPr>
              <w:t>0029339.0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票据影像信息处理的方法、系统及自动柜员 机</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发明专利证书</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2013 3 </w:t>
            </w:r>
            <w:r>
              <w:rPr>
                <w:rFonts w:ascii="Times New Roman" w:eastAsia="Times New Roman" w:hAnsi="Times New Roman" w:cs="Times New Roman"/>
                <w:color w:val="000000"/>
                <w:spacing w:val="0"/>
                <w:w w:val="100"/>
                <w:position w:val="0"/>
                <w:sz w:val="20"/>
                <w:szCs w:val="20"/>
              </w:rPr>
              <w:t>0045988.X</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自助票单机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外观设计专利证书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65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2010 1 </w:t>
            </w:r>
            <w:r>
              <w:rPr>
                <w:rFonts w:ascii="Times New Roman" w:eastAsia="Times New Roman" w:hAnsi="Times New Roman" w:cs="Times New Roman"/>
                <w:color w:val="000000"/>
                <w:spacing w:val="0"/>
                <w:w w:val="100"/>
                <w:position w:val="0"/>
                <w:sz w:val="20"/>
                <w:szCs w:val="20"/>
              </w:rPr>
              <w:t>0187161.8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一种基于材质信息分析的票据防伪自助受理 方法</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发明专利证书</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2013 2 </w:t>
            </w:r>
            <w:r>
              <w:rPr>
                <w:rFonts w:ascii="Times New Roman" w:eastAsia="Times New Roman" w:hAnsi="Times New Roman" w:cs="Times New Roman"/>
                <w:color w:val="000000"/>
                <w:spacing w:val="0"/>
                <w:w w:val="100"/>
                <w:position w:val="0"/>
                <w:sz w:val="20"/>
                <w:szCs w:val="20"/>
              </w:rPr>
              <w:t>0009972.8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一种自助票据处理终端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实用新型专利</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ZL </w:t>
            </w:r>
            <w:r>
              <w:rPr>
                <w:rFonts w:ascii="Times New Roman" w:eastAsia="Times New Roman" w:hAnsi="Times New Roman" w:cs="Times New Roman"/>
                <w:color w:val="000000"/>
                <w:spacing w:val="0"/>
                <w:w w:val="100"/>
                <w:position w:val="0"/>
                <w:sz w:val="20"/>
                <w:szCs w:val="20"/>
              </w:rPr>
              <w:t xml:space="preserve">2013 2 </w:t>
            </w:r>
            <w:r>
              <w:rPr>
                <w:rFonts w:ascii="Times New Roman" w:eastAsia="Times New Roman" w:hAnsi="Times New Roman" w:cs="Times New Roman"/>
                <w:color w:val="000000"/>
                <w:spacing w:val="0"/>
                <w:w w:val="100"/>
                <w:position w:val="0"/>
                <w:sz w:val="20"/>
                <w:szCs w:val="20"/>
              </w:rPr>
              <w:t>0010869.5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一种带有自动防盗报警功能的自助票据终端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实用新型专利</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年</w:t>
            </w:r>
          </w:p>
        </w:tc>
      </w:tr>
    </w:tbl>
    <w:p>
      <w:pPr>
        <w:widowControl w:val="0"/>
        <w:spacing w:after="139" w:line="1" w:lineRule="exact"/>
      </w:pPr>
    </w:p>
    <w:p>
      <w:pPr>
        <w:pStyle w:val="Style33"/>
        <w:keepNext w:val="0"/>
        <w:keepLines w:val="0"/>
        <w:widowControl w:val="0"/>
        <w:numPr>
          <w:ilvl w:val="0"/>
          <w:numId w:val="1"/>
        </w:numPr>
        <w:shd w:val="clear" w:color="auto" w:fill="auto"/>
        <w:bidi w:val="0"/>
        <w:spacing w:before="0" w:after="140" w:line="240" w:lineRule="auto"/>
        <w:ind w:left="0" w:right="0" w:firstLine="0"/>
        <w:jc w:val="left"/>
      </w:pPr>
      <w:bookmarkStart w:id="83" w:name="bookmark83"/>
      <w:bookmarkEnd w:id="83"/>
      <w:r>
        <w:rPr>
          <w:color w:val="000000"/>
          <w:spacing w:val="0"/>
          <w:w w:val="100"/>
          <w:position w:val="0"/>
        </w:rPr>
        <w:t>计算机软件著作权</w:t>
      </w:r>
    </w:p>
    <w:tbl>
      <w:tblPr>
        <w:tblOverlap w:val="never"/>
        <w:jc w:val="center"/>
        <w:tblLayout w:type="fixed"/>
      </w:tblPr>
      <w:tblGrid>
        <w:gridCol w:w="1085"/>
        <w:gridCol w:w="2640"/>
        <w:gridCol w:w="3341"/>
        <w:gridCol w:w="1190"/>
      </w:tblGrid>
      <w:tr>
        <w:trPr>
          <w:trHeight w:val="499"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序号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登记号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软件名称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著作权人</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2013SR008324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基础组件支撑平台系统</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2013SR019220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影像切片处理系统</w:t>
            </w:r>
            <w:r>
              <w:rPr>
                <w:rFonts w:ascii="Times New Roman" w:eastAsia="Times New Roman" w:hAnsi="Times New Roman" w:cs="Times New Roman"/>
                <w:color w:val="000000"/>
                <w:spacing w:val="0"/>
                <w:w w:val="100"/>
                <w:position w:val="0"/>
                <w:sz w:val="20"/>
                <w:szCs w:val="20"/>
              </w:rPr>
              <w:t>Si noCPS 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2013SR028702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智慧家居系统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2013SR028757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移动</w:t>
            </w:r>
            <w:r>
              <w:rPr>
                <w:rFonts w:ascii="Times New Roman" w:eastAsia="Times New Roman" w:hAnsi="Times New Roman" w:cs="Times New Roman"/>
                <w:color w:val="000000"/>
                <w:spacing w:val="0"/>
                <w:w w:val="100"/>
                <w:position w:val="0"/>
                <w:sz w:val="20"/>
                <w:szCs w:val="20"/>
              </w:rPr>
              <w:t>OA</w:t>
            </w:r>
            <w:r>
              <w:rPr>
                <w:color w:val="000000"/>
                <w:spacing w:val="0"/>
                <w:w w:val="100"/>
                <w:position w:val="0"/>
                <w:sz w:val="19"/>
                <w:szCs w:val="19"/>
              </w:rPr>
              <w:t>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2013SR032574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在线客户系统</w:t>
            </w:r>
            <w:r>
              <w:rPr>
                <w:rFonts w:ascii="Times New Roman" w:eastAsia="Times New Roman" w:hAnsi="Times New Roman" w:cs="Times New Roman"/>
                <w:color w:val="000000"/>
                <w:spacing w:val="0"/>
                <w:w w:val="100"/>
                <w:position w:val="0"/>
                <w:sz w:val="20"/>
                <w:szCs w:val="20"/>
              </w:rPr>
              <w:t>Si noICC 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2013SR036847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跨银行数据综合服务系统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2013SR047145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移动展业系统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2013SR070917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19"/>
                <w:szCs w:val="19"/>
              </w:rPr>
              <w:t>服务集中管理系统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2013SR100192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数据服务平台</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2013SR100194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多渠道服务整合平台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2013SR102578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业务支撑平台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2013SR105702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社区全科业务平台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2013SR105704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区域医疗协同平台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中科金财</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2013SR027773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移动项目管理系统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2013SR036843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电子商务业务监控平台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2013SR036827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手机便民服务平台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2013SR036840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电子商务商户资金归集系统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2013SR036837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手机内容管理平台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2013SR040105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订单管理系统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2013SR040322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订单管理系统</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2013SR040103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移动视图平台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2013SR105733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商户营销平台及手机支付平台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中科商务</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6</w:t>
      </w:r>
      <w:bookmarkEnd w:id="86"/>
      <w:r>
        <w:rPr>
          <w:color w:val="000000"/>
          <w:spacing w:val="0"/>
          <w:w w:val="100"/>
          <w:position w:val="0"/>
        </w:rPr>
        <w:t>、现金流</w:t>
      </w:r>
      <w:bookmarkEnd w:id="84"/>
      <w:bookmarkEnd w:id="85"/>
      <w:bookmarkEnd w:id="8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1,521,242,514.51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828,384,854.11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1,371,275,705.28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838,259,518.95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149,966,809.23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-9,874,664.84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229,354,910.36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397,947,886.13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139,695,853.81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184.87%</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-168,592,975.77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-139,695,853.81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332,763,624.25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467,771,824.84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189,482,022.15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72,834,856.23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160.15%</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143,281,602.10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394,936,968.61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124,656,077.38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245,366,449.96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85" w:lineRule="exact"/>
        <w:ind w:left="0" w:right="0" w:firstLine="440"/>
        <w:jc w:val="both"/>
      </w:pPr>
      <w:r>
        <w:rPr>
          <w:color w:val="000000"/>
          <w:spacing w:val="0"/>
          <w:w w:val="100"/>
          <w:position w:val="0"/>
        </w:rPr>
        <w:t>经营活动现金流入小计较上年增长</w:t>
      </w:r>
      <w:r>
        <w:rPr>
          <w:color w:val="000000"/>
          <w:spacing w:val="0"/>
          <w:w w:val="100"/>
          <w:position w:val="0"/>
        </w:rPr>
        <w:t>83.64%，</w:t>
      </w:r>
      <w:r>
        <w:rPr>
          <w:color w:val="000000"/>
          <w:spacing w:val="0"/>
          <w:w w:val="100"/>
          <w:position w:val="0"/>
        </w:rPr>
        <w:t>主要原因系公司开展</w:t>
      </w:r>
      <w:r>
        <w:rPr>
          <w:color w:val="000000"/>
          <w:spacing w:val="0"/>
          <w:w w:val="100"/>
          <w:position w:val="0"/>
        </w:rPr>
        <w:t>IT</w:t>
      </w:r>
      <w:r>
        <w:rPr>
          <w:color w:val="000000"/>
          <w:spacing w:val="0"/>
          <w:w w:val="100"/>
          <w:position w:val="0"/>
        </w:rPr>
        <w:t>产品分销、扩大系统集成业务，同 时加速应收账款的回收所致。</w:t>
      </w:r>
    </w:p>
    <w:p>
      <w:pPr>
        <w:pStyle w:val="Style33"/>
        <w:keepNext w:val="0"/>
        <w:keepLines w:val="0"/>
        <w:widowControl w:val="0"/>
        <w:shd w:val="clear" w:color="auto" w:fill="auto"/>
        <w:bidi w:val="0"/>
        <w:spacing w:before="0" w:after="0" w:line="485" w:lineRule="exact"/>
        <w:ind w:left="0" w:right="0" w:firstLine="440"/>
        <w:jc w:val="both"/>
      </w:pPr>
      <w:r>
        <w:rPr>
          <w:color w:val="000000"/>
          <w:spacing w:val="0"/>
          <w:w w:val="100"/>
          <w:position w:val="0"/>
        </w:rPr>
        <w:t>经营活动现金流出小计较上年增长</w:t>
      </w:r>
      <w:r>
        <w:rPr>
          <w:color w:val="000000"/>
          <w:spacing w:val="0"/>
          <w:w w:val="100"/>
          <w:position w:val="0"/>
        </w:rPr>
        <w:t>63.59%，</w:t>
      </w:r>
      <w:r>
        <w:rPr>
          <w:color w:val="000000"/>
          <w:spacing w:val="0"/>
          <w:w w:val="100"/>
          <w:position w:val="0"/>
        </w:rPr>
        <w:t>主要原因系</w:t>
      </w:r>
      <w:r>
        <w:rPr>
          <w:color w:val="000000"/>
          <w:spacing w:val="0"/>
          <w:w w:val="100"/>
          <w:position w:val="0"/>
        </w:rPr>
        <w:t>IT</w:t>
      </w:r>
      <w:r>
        <w:rPr>
          <w:color w:val="000000"/>
          <w:spacing w:val="0"/>
          <w:w w:val="100"/>
          <w:position w:val="0"/>
        </w:rPr>
        <w:t>产品分销及系统集成业务销售规模扩大，增 加备货支付货款及管理费用增加所致。</w:t>
      </w:r>
    </w:p>
    <w:p>
      <w:pPr>
        <w:pStyle w:val="Style33"/>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投资活动现金流入小计较上年增长</w:t>
      </w:r>
      <w:r>
        <w:rPr>
          <w:color w:val="000000"/>
          <w:spacing w:val="0"/>
          <w:w w:val="100"/>
          <w:position w:val="0"/>
        </w:rPr>
        <w:t>100%,</w:t>
      </w:r>
      <w:r>
        <w:rPr>
          <w:color w:val="000000"/>
          <w:spacing w:val="0"/>
          <w:w w:val="100"/>
          <w:position w:val="0"/>
        </w:rPr>
        <w:t>主要原因系公司购买的保本型理财产品赎回所致。</w:t>
      </w:r>
    </w:p>
    <w:p>
      <w:pPr>
        <w:pStyle w:val="Style33"/>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投资活动现金流出小计较上年增长</w:t>
      </w:r>
      <w:r>
        <w:rPr>
          <w:color w:val="000000"/>
          <w:spacing w:val="0"/>
          <w:w w:val="100"/>
          <w:position w:val="0"/>
        </w:rPr>
        <w:t>184.87%,</w:t>
      </w:r>
      <w:r>
        <w:rPr>
          <w:color w:val="000000"/>
          <w:spacing w:val="0"/>
          <w:w w:val="100"/>
          <w:position w:val="0"/>
        </w:rPr>
        <w:t>主要原因系公司购买保本型理财产品所致。</w:t>
      </w:r>
    </w:p>
    <w:p>
      <w:pPr>
        <w:pStyle w:val="Style33"/>
        <w:keepNext w:val="0"/>
        <w:keepLines w:val="0"/>
        <w:widowControl w:val="0"/>
        <w:shd w:val="clear" w:color="auto" w:fill="auto"/>
        <w:bidi w:val="0"/>
        <w:spacing w:before="0" w:after="0" w:line="427" w:lineRule="exact"/>
        <w:ind w:left="0" w:right="0" w:firstLine="440"/>
        <w:jc w:val="left"/>
      </w:pPr>
      <w:r>
        <w:rPr>
          <w:color w:val="000000"/>
          <w:spacing w:val="0"/>
          <w:w w:val="100"/>
          <w:position w:val="0"/>
          <w:shd w:val="clear" w:color="auto" w:fill="FFFFFF"/>
        </w:rPr>
        <w:t>筹资活动现金流出小计较上年增长</w:t>
      </w:r>
      <w:r>
        <w:rPr>
          <w:color w:val="000000"/>
          <w:spacing w:val="0"/>
          <w:w w:val="100"/>
          <w:position w:val="0"/>
          <w:shd w:val="clear" w:color="auto" w:fill="FFFFFF"/>
        </w:rPr>
        <w:t>160.15%,</w:t>
      </w:r>
      <w:r>
        <w:rPr>
          <w:color w:val="000000"/>
          <w:spacing w:val="0"/>
          <w:w w:val="100"/>
          <w:position w:val="0"/>
          <w:shd w:val="clear" w:color="auto" w:fill="FFFFFF"/>
        </w:rPr>
        <w:t>主要原因系公司偿还贷款及支付现金股利所致。</w:t>
      </w:r>
    </w:p>
    <w:p>
      <w:pPr>
        <w:pStyle w:val="Style27"/>
        <w:keepNext w:val="0"/>
        <w:keepLines w:val="0"/>
        <w:widowControl w:val="0"/>
        <w:shd w:val="clear" w:color="auto" w:fill="auto"/>
        <w:bidi w:val="0"/>
        <w:spacing w:before="0" w:line="427" w:lineRule="exact"/>
        <w:ind w:left="0" w:right="0" w:firstLine="0"/>
        <w:jc w:val="left"/>
      </w:pPr>
      <w:r>
        <w:rPr>
          <w:color w:val="000000"/>
          <w:spacing w:val="0"/>
          <w:w w:val="100"/>
          <w:position w:val="0"/>
        </w:rPr>
        <w:t>报告期内公司经营活动的现金流量与本年度净利润存在重大差异的原因说明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三</w:t>
      </w:r>
      <w:bookmarkEnd w:id="90"/>
      <w:r>
        <w:rPr>
          <w:color w:val="000000"/>
          <w:spacing w:val="0"/>
          <w:w w:val="100"/>
          <w:position w:val="0"/>
        </w:rPr>
        <w:t>、主营业务构成情况</w:t>
      </w:r>
      <w:bookmarkEnd w:id="88"/>
      <w:bookmarkEnd w:id="89"/>
      <w:bookmarkEnd w:id="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701,540,552.96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496,452,919.58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w:t>
            </w:r>
          </w:p>
        </w:tc>
      </w:tr>
    </w:tbl>
    <w:p>
      <w:p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9" w:h="17415"/>
          <w:pgMar w:top="1608" w:right="1066" w:bottom="1771" w:left="1051" w:header="0" w:footer="3" w:gutter="0"/>
          <w:cols w:space="720"/>
          <w:noEndnote/>
          <w:titlePg/>
          <w:rtlGutter w:val="0"/>
          <w:docGrid w:linePitch="360"/>
        </w:sectPr>
      </w:pP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144,543,286.56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110,684,045.65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144,003,818.45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117,901,557.73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31,453,519.68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29,747,412.36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服务管理解决 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162,122,399.66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4,506,173.38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数据中心综合建 设解决方案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753,780,893.63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675,564,712.55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银行影像解决方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105,637,884.36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74,715,049.39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r>
      <w:tr>
        <w:trPr>
          <w:trHeight w:val="403"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2,908,033.83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2,159,651.16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815,271,880.39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607,639,502.65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89,768,956.15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71,241,373.47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18,110,254.90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16,232,586.46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19,191,644.48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15,868,820.70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67,984,135.92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37,330,460.22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8,306,271.98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4,313,540.66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四</w:t>
      </w:r>
      <w:bookmarkEnd w:id="94"/>
      <w:r>
        <w:rPr>
          <w:color w:val="000000"/>
          <w:spacing w:val="0"/>
          <w:w w:val="100"/>
          <w:position w:val="0"/>
        </w:rPr>
        <w:t>、资产、负债状况分析</w:t>
      </w:r>
      <w:bookmarkEnd w:id="92"/>
      <w:bookmarkEnd w:id="93"/>
      <w:bookmarkEnd w:id="95"/>
    </w:p>
    <w:p>
      <w:pPr>
        <w:pStyle w:val="Style36"/>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、资产项目重大变动情况</w:t>
      </w:r>
      <w:bookmarkEnd w:id="96"/>
      <w:bookmarkEnd w:id="97"/>
      <w:bookmarkEnd w:id="9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25"/>
        <w:gridCol w:w="1277"/>
        <w:gridCol w:w="1416"/>
        <w:gridCol w:w="1277"/>
        <w:gridCol w:w="1416"/>
        <w:gridCol w:w="149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540,241,217.39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409,779,804.29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35,943,554.02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43,543,176.04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370,897,977.16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304,557,960.67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81,557,425.24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98,250,666.97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、负债项目重大变动情况</w:t>
      </w:r>
      <w:bookmarkEnd w:id="100"/>
      <w:bookmarkEnd w:id="101"/>
      <w:bookmarkEnd w:id="10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2458"/>
        <w:gridCol w:w="2693"/>
        <w:gridCol w:w="1277"/>
        <w:gridCol w:w="1781"/>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9" w:h="17415"/>
          <w:pgMar w:top="1608" w:right="1066" w:bottom="1771" w:left="1051" w:header="0" w:footer="3" w:gutter="0"/>
          <w:cols w:space="720"/>
          <w:noEndnote/>
          <w:rtlGutter w:val="0"/>
          <w:docGrid w:linePitch="360"/>
        </w:sectPr>
      </w:pPr>
    </w:p>
    <w:tbl>
      <w:tblPr>
        <w:tblOverlap w:val="never"/>
        <w:jc w:val="center"/>
        <w:tblLayout w:type="fixed"/>
      </w:tblPr>
      <w:tblGrid>
        <w:gridCol w:w="1378"/>
        <w:gridCol w:w="1162"/>
        <w:gridCol w:w="1296"/>
        <w:gridCol w:w="1277"/>
        <w:gridCol w:w="1416"/>
        <w:gridCol w:w="1277"/>
        <w:gridCol w:w="1781"/>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118,739,665.00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20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五</w:t>
      </w:r>
      <w:bookmarkEnd w:id="106"/>
      <w:r>
        <w:rPr>
          <w:color w:val="000000"/>
          <w:spacing w:val="0"/>
          <w:w w:val="100"/>
          <w:position w:val="0"/>
        </w:rPr>
        <w:t>、核心竞争力分析</w:t>
      </w:r>
      <w:bookmarkEnd w:id="104"/>
      <w:bookmarkEnd w:id="105"/>
      <w:bookmarkEnd w:id="107"/>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公司经过多年的发展，在软件行业所处细分领域在市场地位、策略联盟、核心技术、核心团队、企业 资质、业务协同、政策扶持等方面已取得一定的领先优势：</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公司目前在</w:t>
      </w:r>
      <w:r>
        <w:rPr>
          <w:color w:val="000000"/>
          <w:spacing w:val="0"/>
          <w:w w:val="100"/>
          <w:position w:val="0"/>
        </w:rPr>
        <w:t>IT</w:t>
      </w:r>
      <w:r>
        <w:rPr>
          <w:color w:val="000000"/>
          <w:spacing w:val="0"/>
          <w:w w:val="100"/>
          <w:position w:val="0"/>
        </w:rPr>
        <w:t>服务管理软件、银行影像市场、票据自助处理市场、流程银行市场、银行电子商务等领 域均位居前列，公司与</w:t>
      </w:r>
      <w:r>
        <w:rPr>
          <w:color w:val="000000"/>
          <w:spacing w:val="0"/>
          <w:w w:val="100"/>
          <w:position w:val="0"/>
        </w:rPr>
        <w:t>IBM</w:t>
      </w:r>
      <w:r>
        <w:rPr>
          <w:color w:val="000000"/>
          <w:spacing w:val="0"/>
          <w:w w:val="100"/>
          <w:position w:val="0"/>
        </w:rPr>
        <w:t>、惠普、甲骨文等国际企业达成战略合作关系，继甲骨文授予公司金牌合作伙 伴，惠普授予公司伯金行业合作伙伴后，</w:t>
      </w:r>
      <w:r>
        <w:rPr>
          <w:color w:val="000000"/>
          <w:spacing w:val="0"/>
          <w:w w:val="100"/>
          <w:position w:val="0"/>
        </w:rPr>
        <w:t>2012</w:t>
      </w:r>
      <w:r>
        <w:rPr>
          <w:color w:val="000000"/>
          <w:spacing w:val="0"/>
          <w:w w:val="100"/>
          <w:position w:val="0"/>
        </w:rPr>
        <w:t>年底又与苹果公司达成战略合作，授予公司全线产品的行业 总代理资格。</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到目前为止公司已经参与了工信部《信息技术服务》行业标准、人民银行《票据自助柜员机</w:t>
      </w:r>
      <w:r>
        <w:rPr>
          <w:color w:val="000000"/>
          <w:spacing w:val="0"/>
          <w:w w:val="100"/>
          <w:position w:val="0"/>
        </w:rPr>
        <w:t xml:space="preserve">（ATM） </w:t>
      </w:r>
      <w:r>
        <w:rPr>
          <w:color w:val="000000"/>
          <w:spacing w:val="0"/>
          <w:w w:val="100"/>
          <w:position w:val="0"/>
        </w:rPr>
        <w:t>终端企业标准》行业标准、银监会《银行监管报表</w:t>
      </w:r>
      <w:r>
        <w:rPr>
          <w:color w:val="000000"/>
          <w:spacing w:val="0"/>
          <w:w w:val="100"/>
          <w:position w:val="0"/>
        </w:rPr>
        <w:t>XBRL</w:t>
      </w:r>
      <w:r>
        <w:rPr>
          <w:color w:val="000000"/>
          <w:spacing w:val="0"/>
          <w:w w:val="100"/>
          <w:position w:val="0"/>
        </w:rPr>
        <w:t>扩展分类标准》等行业标准的制定工作。继公司 获得国家发改委国家信息安全专项、国家发改委重点产业振兴和技术改造项目、工信部“新一代宽带无线 移动通信网”国家科技重大专项、国家发改委下一代互联网技术研发、产业化和规模商用专项等多个专项 支持后，</w:t>
      </w:r>
      <w:r>
        <w:rPr>
          <w:color w:val="000000"/>
          <w:spacing w:val="0"/>
          <w:w w:val="100"/>
          <w:position w:val="0"/>
        </w:rPr>
        <w:t>2013</w:t>
      </w:r>
      <w:r>
        <w:rPr>
          <w:color w:val="000000"/>
          <w:spacing w:val="0"/>
          <w:w w:val="100"/>
          <w:position w:val="0"/>
        </w:rPr>
        <w:t>年，影像集中处理系统应用示范项目获得了中关村产业联盟重大示范项目专项支持。截至</w:t>
      </w:r>
      <w:r>
        <w:rPr>
          <w:color w:val="000000"/>
          <w:spacing w:val="0"/>
          <w:w w:val="100"/>
          <w:position w:val="0"/>
        </w:rPr>
        <w:t xml:space="preserve">2013 </w:t>
      </w:r>
      <w:r>
        <w:rPr>
          <w:color w:val="000000"/>
          <w:spacing w:val="0"/>
          <w:w w:val="100"/>
          <w:position w:val="0"/>
        </w:rPr>
        <w:t>年底，公司共拥有专利</w:t>
      </w:r>
      <w:r>
        <w:rPr>
          <w:color w:val="000000"/>
          <w:spacing w:val="0"/>
          <w:w w:val="100"/>
          <w:position w:val="0"/>
        </w:rPr>
        <w:t>47</w:t>
      </w:r>
      <w:r>
        <w:rPr>
          <w:color w:val="000000"/>
          <w:spacing w:val="0"/>
          <w:w w:val="100"/>
          <w:position w:val="0"/>
        </w:rPr>
        <w:t>项，软件著作权证书累计达到</w:t>
      </w:r>
      <w:r>
        <w:rPr>
          <w:color w:val="000000"/>
          <w:spacing w:val="0"/>
          <w:w w:val="100"/>
          <w:position w:val="0"/>
        </w:rPr>
        <w:t>109</w:t>
      </w:r>
      <w:r>
        <w:rPr>
          <w:color w:val="000000"/>
          <w:spacing w:val="0"/>
          <w:w w:val="100"/>
          <w:position w:val="0"/>
        </w:rPr>
        <w:t>项。公司技术中心通过了北京市企业技术中心 认定，公司的“金融行业海量数据处理实验室”被北京市认定为“工程实验室”。公司目前是工信部信息 技术服务标准工作组（简称</w:t>
      </w:r>
      <w:r>
        <w:rPr>
          <w:color w:val="000000"/>
          <w:spacing w:val="0"/>
          <w:w w:val="100"/>
          <w:position w:val="0"/>
        </w:rPr>
        <w:t>ITSS）</w:t>
      </w:r>
      <w:r>
        <w:rPr>
          <w:color w:val="000000"/>
          <w:spacing w:val="0"/>
          <w:w w:val="100"/>
          <w:position w:val="0"/>
        </w:rPr>
        <w:t>的全权成员单位、咨询组的副组长单位，工信部</w:t>
      </w:r>
      <w:r>
        <w:rPr>
          <w:color w:val="000000"/>
          <w:spacing w:val="0"/>
          <w:w w:val="100"/>
          <w:position w:val="0"/>
        </w:rPr>
        <w:t>IT</w:t>
      </w:r>
      <w:r>
        <w:rPr>
          <w:color w:val="000000"/>
          <w:spacing w:val="0"/>
          <w:w w:val="100"/>
          <w:position w:val="0"/>
        </w:rPr>
        <w:t xml:space="preserve">运维行业从业人员培 训教材的编委单位和考试题库（运维工程师部分）编写组组长单位。公司还是中国信息协会常务理事单位、 中国信息协会信息技术服务专业委员会副会长单位、工信部电子商务核心交易标准的组长单位。公司通过 了 </w:t>
      </w:r>
      <w:r>
        <w:rPr>
          <w:color w:val="000000"/>
          <w:spacing w:val="0"/>
          <w:w w:val="100"/>
          <w:position w:val="0"/>
        </w:rPr>
        <w:t>ISO/IEC 20000-1:</w:t>
      </w:r>
      <w:r>
        <w:rPr>
          <w:color w:val="000000"/>
          <w:spacing w:val="0"/>
          <w:w w:val="100"/>
          <w:position w:val="0"/>
        </w:rPr>
        <w:t xml:space="preserve">2005 </w:t>
      </w:r>
      <w:r>
        <w:rPr>
          <w:color w:val="000000"/>
          <w:spacing w:val="0"/>
          <w:w w:val="100"/>
          <w:position w:val="0"/>
        </w:rPr>
        <w:t>IT</w:t>
      </w:r>
      <w:r>
        <w:rPr>
          <w:color w:val="000000"/>
          <w:spacing w:val="0"/>
          <w:w w:val="100"/>
          <w:position w:val="0"/>
        </w:rPr>
        <w:t>服务管理体系认证、</w:t>
      </w:r>
      <w:r>
        <w:rPr>
          <w:color w:val="000000"/>
          <w:spacing w:val="0"/>
          <w:w w:val="100"/>
          <w:position w:val="0"/>
        </w:rPr>
        <w:t xml:space="preserve">ISO/IEC </w:t>
      </w:r>
      <w:r>
        <w:rPr>
          <w:color w:val="000000"/>
          <w:spacing w:val="0"/>
          <w:w w:val="100"/>
          <w:position w:val="0"/>
        </w:rPr>
        <w:t>27001： 2005</w:t>
      </w:r>
      <w:r>
        <w:rPr>
          <w:color w:val="000000"/>
          <w:spacing w:val="0"/>
          <w:w w:val="100"/>
          <w:position w:val="0"/>
        </w:rPr>
        <w:t>信息安全管理体系认证、</w:t>
      </w:r>
      <w:r>
        <w:rPr>
          <w:color w:val="000000"/>
          <w:spacing w:val="0"/>
          <w:w w:val="100"/>
          <w:position w:val="0"/>
        </w:rPr>
        <w:t>IS09001:</w:t>
      </w:r>
      <w:r>
        <w:rPr>
          <w:color w:val="000000"/>
          <w:spacing w:val="0"/>
          <w:w w:val="100"/>
          <w:position w:val="0"/>
        </w:rPr>
        <w:t xml:space="preserve">2008 </w:t>
      </w:r>
      <w:r>
        <w:rPr>
          <w:color w:val="000000"/>
          <w:spacing w:val="0"/>
          <w:w w:val="100"/>
          <w:position w:val="0"/>
        </w:rPr>
        <w:t>质量管理体系认证、</w:t>
      </w:r>
      <w:r>
        <w:rPr>
          <w:color w:val="000000"/>
          <w:spacing w:val="0"/>
          <w:w w:val="100"/>
          <w:position w:val="0"/>
        </w:rPr>
        <w:t>ISO14001</w:t>
      </w:r>
      <w:r>
        <w:rPr>
          <w:color w:val="000000"/>
          <w:spacing w:val="0"/>
          <w:w w:val="100"/>
          <w:position w:val="0"/>
        </w:rPr>
        <w:t>（</w:t>
      </w:r>
      <w:r>
        <w:rPr>
          <w:color w:val="000000"/>
          <w:spacing w:val="0"/>
          <w:w w:val="100"/>
          <w:position w:val="0"/>
        </w:rPr>
        <w:t>环境管理体系）认证、软件能力成熟度模型</w:t>
      </w:r>
      <w:r>
        <w:rPr>
          <w:color w:val="000000"/>
          <w:spacing w:val="0"/>
          <w:w w:val="100"/>
          <w:position w:val="0"/>
        </w:rPr>
        <w:t>CMMI</w:t>
      </w:r>
      <w:r>
        <w:rPr>
          <w:color w:val="000000"/>
          <w:spacing w:val="0"/>
          <w:w w:val="100"/>
          <w:position w:val="0"/>
        </w:rPr>
        <w:t>三级认证，获得了计算机 信息系统集成一级资质等系列行业资质，公司软件服务资质完整性目前居中国软件行业前列。</w:t>
      </w:r>
    </w:p>
    <w:p>
      <w:pPr>
        <w:pStyle w:val="Style33"/>
        <w:keepNext w:val="0"/>
        <w:keepLines w:val="0"/>
        <w:widowControl w:val="0"/>
        <w:shd w:val="clear" w:color="auto" w:fill="auto"/>
        <w:bidi w:val="0"/>
        <w:spacing w:before="0" w:after="1460" w:line="469" w:lineRule="exact"/>
        <w:ind w:left="0" w:right="0" w:firstLine="440"/>
        <w:jc w:val="both"/>
      </w:pPr>
      <w:r>
        <w:rPr>
          <w:color w:val="000000"/>
          <w:spacing w:val="0"/>
          <w:w w:val="100"/>
          <w:position w:val="0"/>
        </w:rPr>
        <w:t>公司获得了北京市高新技术企业、双软认定企业、北京市火炬计划企业、北京市经信委“四个一批” 工程企业、中关村新锐百强、中关村“十百千工程”企业等系列资质。</w:t>
      </w:r>
      <w:r>
        <w:rPr>
          <w:color w:val="000000"/>
          <w:spacing w:val="0"/>
          <w:w w:val="100"/>
          <w:position w:val="0"/>
        </w:rPr>
        <w:t>2013</w:t>
      </w:r>
      <w:r>
        <w:rPr>
          <w:color w:val="000000"/>
          <w:spacing w:val="0"/>
          <w:w w:val="100"/>
          <w:position w:val="0"/>
        </w:rPr>
        <w:t>年公司成功获得</w:t>
      </w:r>
      <w:r>
        <w:rPr>
          <w:color w:val="000000"/>
          <w:spacing w:val="0"/>
          <w:w w:val="100"/>
          <w:position w:val="0"/>
        </w:rPr>
        <w:t>2013-2014</w:t>
      </w:r>
      <w:r>
        <w:rPr>
          <w:color w:val="000000"/>
          <w:spacing w:val="0"/>
          <w:w w:val="100"/>
          <w:position w:val="0"/>
        </w:rPr>
        <w:t>年 度“国家规划布局内重点软件企业”证书，意味着公司成为国家重点支持的高新技术企业，享受</w:t>
      </w:r>
      <w:r>
        <w:rPr>
          <w:color w:val="000000"/>
          <w:spacing w:val="0"/>
          <w:w w:val="100"/>
          <w:position w:val="0"/>
        </w:rPr>
        <w:t>10%</w:t>
      </w:r>
      <w:r>
        <w:rPr>
          <w:color w:val="000000"/>
          <w:spacing w:val="0"/>
          <w:w w:val="100"/>
          <w:position w:val="0"/>
        </w:rPr>
        <w:t>的企 业所得税税收优惠政策支持。</w:t>
      </w:r>
    </w:p>
    <w:p>
      <w:pPr>
        <w:widowControl w:val="0"/>
        <w:jc w:val="center"/>
        <w:rPr>
          <w:sz w:val="2"/>
          <w:szCs w:val="2"/>
        </w:rPr>
        <w:sectPr>
          <w:headerReference w:type="default" r:id="rId45"/>
          <w:footerReference w:type="default" r:id="rId46"/>
          <w:headerReference w:type="even" r:id="rId47"/>
          <w:footerReference w:type="even" r:id="rId48"/>
          <w:footnotePr>
            <w:pos w:val="pageBottom"/>
            <w:numFmt w:val="decimal"/>
            <w:numRestart w:val="continuous"/>
          </w:footnotePr>
          <w:pgSz w:w="11909" w:h="17415"/>
          <w:pgMar w:top="1728" w:right="1008" w:bottom="288" w:left="1114" w:header="0" w:footer="3" w:gutter="0"/>
          <w:cols w:space="720"/>
          <w:noEndnote/>
          <w:rtlGutter w:val="0"/>
          <w:docGrid w:linePitch="360"/>
        </w:sectPr>
      </w:pPr>
      <w:r>
        <w:drawing>
          <wp:inline>
            <wp:extent cx="1718945" cy="98171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9"/>
                    <a:stretch/>
                  </pic:blipFill>
                  <pic:spPr>
                    <a:xfrm>
                      <a:ext cx="1718945" cy="981710"/>
                    </a:xfrm>
                    <a:prstGeom prst="rect"/>
                  </pic:spPr>
                </pic:pic>
              </a:graphicData>
            </a:graphic>
          </wp:inline>
        </w:drawing>
      </w:r>
    </w:p>
    <w:p>
      <w:pPr>
        <w:pStyle w:val="Style22"/>
        <w:keepNext/>
        <w:keepLines/>
        <w:widowControl w:val="0"/>
        <w:shd w:val="clear" w:color="auto" w:fill="auto"/>
        <w:bidi w:val="0"/>
        <w:spacing w:before="400" w:after="36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六</w:t>
      </w:r>
      <w:bookmarkEnd w:id="110"/>
      <w:r>
        <w:rPr>
          <w:color w:val="000000"/>
          <w:spacing w:val="0"/>
          <w:w w:val="100"/>
          <w:position w:val="0"/>
        </w:rPr>
        <w:t>、投资状况分析</w:t>
      </w:r>
      <w:bookmarkEnd w:id="108"/>
      <w:bookmarkEnd w:id="109"/>
      <w:bookmarkEnd w:id="111"/>
    </w:p>
    <w:p>
      <w:pPr>
        <w:pStyle w:val="Style36"/>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、对外股权投资情况</w:t>
      </w:r>
      <w:bookmarkEnd w:id="112"/>
      <w:bookmarkEnd w:id="113"/>
      <w:bookmarkEnd w:id="115"/>
    </w:p>
    <w:p>
      <w:pPr>
        <w:pStyle w:val="Style36"/>
        <w:keepNext/>
        <w:keepLines/>
        <w:widowControl w:val="0"/>
        <w:shd w:val="clear" w:color="auto" w:fill="auto"/>
        <w:bidi w:val="0"/>
        <w:spacing w:before="0" w:after="320" w:line="240" w:lineRule="auto"/>
        <w:ind w:left="0" w:right="0" w:firstLine="0"/>
        <w:jc w:val="left"/>
      </w:pPr>
      <w:bookmarkStart w:id="112" w:name="bookmark112"/>
      <w:bookmarkStart w:id="113" w:name="bookmark113"/>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12"/>
      <w:bookmarkEnd w:id="113"/>
      <w:bookmarkEnd w:id="117"/>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w:t>
            </w:r>
          </w:p>
        </w:tc>
      </w:tr>
      <w:tr>
        <w:trPr>
          <w:trHeight w:val="403" w:hRule="exact"/>
        </w:trPr>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主要从事专业承包；技术开发、技术转 让、技术咨询、技术服务、技术推广； 计算机技术培训；软件开发；计算机系 统服务；销售计算机、软件及辅助设备、 电子产品、通讯设备；货物进出口、技 术进出口、代理进出口。</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北京中科金财电子产品有限公司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主要从事计算机、平板电脑等信息科技 类电子产品的销售及相关软件产品的开 发和服务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北京中科金财软件技术有限公司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主要从事软件开发、计算机系统服务、 技术培训、技术咨询及销售计算机、软 件及辅助设备。</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、委托理财、衍生品投资和委托贷款情况</w:t>
      </w:r>
      <w:bookmarkEnd w:id="118"/>
      <w:bookmarkEnd w:id="119"/>
      <w:bookmarkEnd w:id="121"/>
    </w:p>
    <w:p>
      <w:pPr>
        <w:pStyle w:val="Style36"/>
        <w:keepNext/>
        <w:keepLines/>
        <w:widowControl w:val="0"/>
        <w:shd w:val="clear" w:color="auto" w:fill="auto"/>
        <w:bidi w:val="0"/>
        <w:spacing w:before="0" w:line="240" w:lineRule="auto"/>
        <w:ind w:left="0" w:right="0" w:firstLine="0"/>
        <w:jc w:val="left"/>
      </w:pPr>
      <w:bookmarkStart w:id="118" w:name="bookmark118"/>
      <w:bookmarkStart w:id="119" w:name="bookmark119"/>
      <w:bookmarkStart w:id="122" w:name="bookmark122"/>
      <w:bookmarkStart w:id="123" w:name="bookmark123"/>
      <w:r>
        <w:rPr>
          <w:rFonts w:ascii="Times New Roman" w:eastAsia="Times New Roman" w:hAnsi="Times New Roman" w:cs="Times New Roman"/>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18"/>
      <w:bookmarkEnd w:id="119"/>
      <w:bookmarkEnd w:id="1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受托人名 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 股份有限 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保本保证</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平安银行 股份有限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保本浮动</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 股份有限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保本浮动</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到期一次 还本付息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 股份有限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4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278"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8.78</w:t>
            </w: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8.07</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36.75</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17.75</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67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r>
      <w:tr>
        <w:trPr>
          <w:trHeight w:val="398" w:hRule="exact"/>
        </w:trPr>
        <w:tc>
          <w:tcPr>
            <w:gridSpan w:val="4"/>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32,260</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w:t>
            </w:r>
          </w:p>
        </w:tc>
      </w:tr>
      <w:tr>
        <w:trPr>
          <w:trHeight w:val="403" w:hRule="exact"/>
        </w:trPr>
        <w:tc>
          <w:tcPr>
            <w:gridSpan w:val="4"/>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暂时闲置募集资金和暂时闲置的流动资金</w:t>
            </w:r>
          </w:p>
        </w:tc>
      </w:tr>
      <w:tr>
        <w:trPr>
          <w:trHeight w:val="403" w:hRule="exact"/>
        </w:trPr>
        <w:tc>
          <w:tcPr>
            <w:gridSpan w:val="4"/>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6"/>
                <w:szCs w:val="16"/>
              </w:rPr>
              <w:t>委托理财审批董事会公告披露日期（如 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20" w:hRule="exact"/>
        </w:trPr>
        <w:tc>
          <w:tcPr>
            <w:gridSpan w:val="4"/>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6"/>
                <w:szCs w:val="16"/>
              </w:rPr>
              <w:t>委托理财审批股东会公告披露日期（如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3</w:t>
      </w:r>
      <w:bookmarkEnd w:id="126"/>
      <w:r>
        <w:rPr>
          <w:color w:val="000000"/>
          <w:spacing w:val="0"/>
          <w:w w:val="100"/>
          <w:position w:val="0"/>
        </w:rPr>
        <w:t>、募集资金使用情况</w:t>
      </w:r>
      <w:bookmarkEnd w:id="124"/>
      <w:bookmarkEnd w:id="125"/>
      <w:bookmarkEnd w:id="127"/>
    </w:p>
    <w:p>
      <w:pPr>
        <w:pStyle w:val="Style36"/>
        <w:keepNext/>
        <w:keepLines/>
        <w:widowControl w:val="0"/>
        <w:shd w:val="clear" w:color="auto" w:fill="auto"/>
        <w:bidi w:val="0"/>
        <w:spacing w:before="0" w:after="380" w:line="240" w:lineRule="auto"/>
        <w:ind w:left="0" w:right="0" w:firstLine="0"/>
        <w:jc w:val="left"/>
      </w:pPr>
      <w:bookmarkStart w:id="124" w:name="bookmark124"/>
      <w:bookmarkStart w:id="125" w:name="bookmark125"/>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24"/>
      <w:bookmarkEnd w:id="125"/>
      <w:bookmarkEnd w:id="12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57,133.35</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8,283.46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21,282.63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3,043.66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3,043.66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845" w:hRule="exact"/>
        </w:trPr>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468"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［2012］152</w:t>
            </w:r>
            <w:r>
              <w:rPr>
                <w:color w:val="000000"/>
                <w:spacing w:val="0"/>
                <w:w w:val="100"/>
                <w:position w:val="0"/>
              </w:rPr>
              <w:t>号文《关于核准北京中科金财科技股份有限公司首次公开发行股票的 批复》核准，北京中科金财科技股份有限公司于中国境内首次公开发行人民币普通股股票。公司于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日通过 深圳证券交易所发行人民币普通股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1745.00</w:t>
            </w:r>
            <w:r>
              <w:rPr>
                <w:color w:val="000000"/>
                <w:spacing w:val="0"/>
                <w:w w:val="100"/>
                <w:position w:val="0"/>
              </w:rPr>
              <w:t>万股，发行价格为每股人民币</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 xml:space="preserve">383,900,000.00 </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333,733,517.24</w:t>
            </w:r>
            <w:r>
              <w:rPr>
                <w:color w:val="000000"/>
                <w:spacing w:val="0"/>
                <w:w w:val="100"/>
                <w:position w:val="0"/>
              </w:rPr>
              <w:t>元，上述募集资金到位情况已经立信会计师事务所（特殊普通合伙）审验，并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日出具信会师报字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210034</w:t>
            </w:r>
            <w:r>
              <w:rPr>
                <w:color w:val="000000"/>
                <w:spacing w:val="0"/>
                <w:w w:val="100"/>
                <w:position w:val="0"/>
              </w:rPr>
              <w:t>号验资报告。截止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sz w:val="18"/>
                <w:szCs w:val="18"/>
              </w:rPr>
              <w:t xml:space="preserve">21,170.12 </w:t>
            </w:r>
            <w:r>
              <w:rPr>
                <w:color w:val="000000"/>
                <w:spacing w:val="0"/>
                <w:w w:val="100"/>
                <w:position w:val="0"/>
              </w:rPr>
              <w:t>万元，募集资金可使用余额</w:t>
            </w:r>
            <w:r>
              <w:rPr>
                <w:rFonts w:ascii="Times New Roman" w:eastAsia="Times New Roman" w:hAnsi="Times New Roman" w:cs="Times New Roman"/>
                <w:color w:val="000000"/>
                <w:spacing w:val="0"/>
                <w:w w:val="100"/>
                <w:position w:val="0"/>
                <w:sz w:val="18"/>
                <w:szCs w:val="18"/>
              </w:rPr>
              <w:t>12,751.74</w:t>
            </w:r>
            <w:r>
              <w:rPr>
                <w:color w:val="000000"/>
                <w:spacing w:val="0"/>
                <w:w w:val="100"/>
                <w:position w:val="0"/>
              </w:rPr>
              <w:t>万元（含利息收入）。</w:t>
            </w:r>
          </w:p>
          <w:p>
            <w:pPr>
              <w:pStyle w:val="Style9"/>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日向社会公开发行</w:t>
            </w:r>
            <w:r>
              <w:rPr>
                <w:rFonts w:ascii="Times New Roman" w:eastAsia="Times New Roman" w:hAnsi="Times New Roman" w:cs="Times New Roman"/>
                <w:color w:val="000000"/>
                <w:spacing w:val="0"/>
                <w:w w:val="100"/>
                <w:position w:val="0"/>
                <w:sz w:val="18"/>
                <w:szCs w:val="18"/>
              </w:rPr>
              <w:t>240,000,000.00</w:t>
            </w:r>
            <w:r>
              <w:rPr>
                <w:color w:val="000000"/>
                <w:spacing w:val="0"/>
                <w:w w:val="100"/>
                <w:position w:val="0"/>
              </w:rPr>
              <w:t>元的公司债券，债券票面利率为</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，交易费用为</w:t>
            </w:r>
            <w:r>
              <w:rPr>
                <w:rFonts w:ascii="Times New Roman" w:eastAsia="Times New Roman" w:hAnsi="Times New Roman" w:cs="Times New Roman"/>
                <w:color w:val="000000"/>
                <w:spacing w:val="0"/>
                <w:w w:val="100"/>
                <w:position w:val="0"/>
                <w:sz w:val="18"/>
                <w:szCs w:val="18"/>
              </w:rPr>
              <w:t xml:space="preserve">2,400,000.00 </w:t>
            </w:r>
            <w:r>
              <w:rPr>
                <w:color w:val="000000"/>
                <w:spacing w:val="0"/>
                <w:w w:val="100"/>
                <w:position w:val="0"/>
              </w:rPr>
              <w:t>元。公司债券已获得中国证券监督管理委员会证监许可</w:t>
            </w:r>
            <w:r>
              <w:rPr>
                <w:rFonts w:ascii="Times New Roman" w:eastAsia="Times New Roman" w:hAnsi="Times New Roman" w:cs="Times New Roman"/>
                <w:color w:val="000000"/>
                <w:spacing w:val="0"/>
                <w:w w:val="100"/>
                <w:position w:val="0"/>
                <w:sz w:val="18"/>
                <w:szCs w:val="18"/>
              </w:rPr>
              <w:t>［2013］39</w:t>
            </w:r>
            <w:r>
              <w:rPr>
                <w:color w:val="000000"/>
                <w:spacing w:val="0"/>
                <w:w w:val="100"/>
                <w:position w:val="0"/>
              </w:rPr>
              <w:t>号文核准，并于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日在深圳证券交易所上市</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9" w:h="17415"/>
          <w:pgMar w:top="1387" w:right="1028" w:bottom="1460" w:left="1050" w:header="0" w:footer="3" w:gutter="0"/>
          <w:cols w:space="720"/>
          <w:noEndnote/>
          <w:rtlGutter w:val="0"/>
          <w:docGrid w:linePitch="360"/>
        </w:sectPr>
      </w:pPr>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交易。</w:t>
      </w:r>
    </w:p>
    <w:p>
      <w:pPr>
        <w:pStyle w:val="Style36"/>
        <w:keepNext/>
        <w:keepLines/>
        <w:widowControl w:val="0"/>
        <w:numPr>
          <w:ilvl w:val="0"/>
          <w:numId w:val="3"/>
        </w:numPr>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募集资金承诺项目情况</w:t>
      </w:r>
      <w:bookmarkEnd w:id="130"/>
      <w:bookmarkEnd w:id="131"/>
      <w:bookmarkEnd w:id="1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含部分 变更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w:t>
            </w:r>
          </w:p>
          <w:p>
            <w:pPr>
              <w:pStyle w:val="Style9"/>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6"/>
                <w:szCs w:val="16"/>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 实现的效</w:t>
            </w:r>
          </w:p>
          <w:p>
            <w:pPr>
              <w:pStyle w:val="Style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益</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服务综合业务管理 系统项目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4,522.96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4,522.96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621.69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影像集中作业平台</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999.15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基础组件支撑平台</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营销与服务网络建设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智能银行渠道整合平</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3,043.66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3,043.66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19,971.42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16,927.76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2,441.68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9,092.34</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1,620.84</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票据自助受理系统项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4,082.99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4,082.99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5,235.08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14,118.07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14,118.07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12,077.78</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34,089.49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31,045.83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21,170.12</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1,637.46</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营销与服务网络建设项目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总投资额为</w:t>
            </w:r>
            <w:r>
              <w:rPr>
                <w:rFonts w:ascii="Times New Roman" w:eastAsia="Times New Roman" w:hAnsi="Times New Roman" w:cs="Times New Roman"/>
                <w:color w:val="000000"/>
                <w:spacing w:val="0"/>
                <w:w w:val="100"/>
                <w:position w:val="0"/>
                <w:sz w:val="18"/>
                <w:szCs w:val="18"/>
              </w:rPr>
              <w:t>3,228.20</w:t>
            </w:r>
            <w:r>
              <w:rPr>
                <w:color w:val="000000"/>
                <w:spacing w:val="0"/>
                <w:w w:val="100"/>
                <w:position w:val="0"/>
              </w:rPr>
              <w:t>万元，项目达到预定可使用状态日期为</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日。由于近年来各地不断攀升的房地产价格及公司各营销与服务网点业务规模的迅</w:t>
            </w:r>
          </w:p>
        </w:tc>
      </w:tr>
    </w:tbl>
    <w:p>
      <w:pPr>
        <w:spacing w:lineRule="exact" w:line="1"/>
        <w:rPr>
          <w:sz w:val="2"/>
          <w:szCs w:val="2"/>
        </w:rPr>
      </w:pPr>
      <w:r>
        <w:br w:type="page"/>
      </w:r>
    </w:p>
    <w:tbl>
      <w:tblPr>
        <w:tblOverlap w:val="never"/>
        <w:jc w:val="center"/>
        <w:tblLayout w:type="fixed"/>
      </w:tblPr>
      <w:tblGrid>
        <w:gridCol w:w="1781"/>
        <w:gridCol w:w="7805"/>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9" w:lineRule="exact"/>
              <w:ind w:left="0" w:right="0" w:firstLine="0"/>
              <w:jc w:val="both"/>
            </w:pPr>
            <w:r>
              <w:rPr>
                <w:color w:val="000000"/>
                <w:spacing w:val="0"/>
                <w:w w:val="100"/>
                <w:position w:val="0"/>
              </w:rPr>
              <w:t>速发展，原预计购置办公场地面积以及投资金额难以满足实际需求。因营销与服务网络建设项目的 预计目标及效益已经基本达成，为了提高募集资金的使用效益，推进公司发展战略的实施，公司决 定终止原募投项目，将项目剩余募集资金</w:t>
            </w:r>
            <w:r>
              <w:rPr>
                <w:rFonts w:ascii="Times New Roman" w:eastAsia="Times New Roman" w:hAnsi="Times New Roman" w:cs="Times New Roman"/>
                <w:color w:val="000000"/>
                <w:spacing w:val="0"/>
                <w:w w:val="100"/>
                <w:position w:val="0"/>
                <w:sz w:val="18"/>
                <w:szCs w:val="18"/>
              </w:rPr>
              <w:t>3043.66</w:t>
            </w:r>
            <w:r>
              <w:rPr>
                <w:color w:val="000000"/>
                <w:spacing w:val="0"/>
                <w:w w:val="100"/>
                <w:position w:val="0"/>
              </w:rPr>
              <w:t>万元（未包括利息利入）用于投资智能银行渠道 整合平台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项目。</w:t>
            </w:r>
          </w:p>
        </w:tc>
      </w:tr>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426"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公司因上市公开发行股票实际募集资金净额为人民币</w:t>
            </w:r>
            <w:r>
              <w:rPr>
                <w:rFonts w:ascii="Times New Roman" w:eastAsia="Times New Roman" w:hAnsi="Times New Roman" w:cs="Times New Roman"/>
                <w:color w:val="000000"/>
                <w:spacing w:val="0"/>
                <w:w w:val="100"/>
                <w:position w:val="0"/>
                <w:sz w:val="18"/>
                <w:szCs w:val="18"/>
              </w:rPr>
              <w:t>333,733,517.24</w:t>
            </w:r>
            <w:r>
              <w:rPr>
                <w:color w:val="000000"/>
                <w:spacing w:val="0"/>
                <w:w w:val="100"/>
                <w:position w:val="0"/>
              </w:rPr>
              <w:t>元，扣除募集资金项目投资总 额人民币</w:t>
            </w:r>
            <w:r>
              <w:rPr>
                <w:rFonts w:ascii="Times New Roman" w:eastAsia="Times New Roman" w:hAnsi="Times New Roman" w:cs="Times New Roman"/>
                <w:color w:val="000000"/>
                <w:spacing w:val="0"/>
                <w:w w:val="100"/>
                <w:position w:val="0"/>
                <w:sz w:val="18"/>
                <w:szCs w:val="18"/>
              </w:rPr>
              <w:t>169,277,600.00</w:t>
            </w:r>
            <w:r>
              <w:rPr>
                <w:color w:val="000000"/>
                <w:spacing w:val="0"/>
                <w:w w:val="100"/>
                <w:position w:val="0"/>
              </w:rPr>
              <w:t>元，超额募集资金为人民币</w:t>
            </w:r>
            <w:r>
              <w:rPr>
                <w:rFonts w:ascii="Times New Roman" w:eastAsia="Times New Roman" w:hAnsi="Times New Roman" w:cs="Times New Roman"/>
                <w:color w:val="000000"/>
                <w:spacing w:val="0"/>
                <w:w w:val="100"/>
                <w:position w:val="0"/>
                <w:sz w:val="18"/>
                <w:szCs w:val="18"/>
              </w:rPr>
              <w:t>164,455,917.24</w:t>
            </w:r>
            <w:r>
              <w:rPr>
                <w:color w:val="000000"/>
                <w:spacing w:val="0"/>
                <w:w w:val="100"/>
                <w:position w:val="0"/>
              </w:rPr>
              <w:t>元。超募资金具体使用情况如下：</w:t>
            </w:r>
          </w:p>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日第二届董事会第八次会议及第二届监事会第四次会议，审议通过了《关于审 议部分超募资金用于偿还银行贷款的议案》，同意以超募资金</w:t>
            </w:r>
            <w:r>
              <w:rPr>
                <w:rFonts w:ascii="Times New Roman" w:eastAsia="Times New Roman" w:hAnsi="Times New Roman" w:cs="Times New Roman"/>
                <w:color w:val="000000"/>
                <w:spacing w:val="0"/>
                <w:w w:val="100"/>
                <w:position w:val="0"/>
                <w:sz w:val="18"/>
                <w:szCs w:val="18"/>
              </w:rPr>
              <w:t>52,350,780.00</w:t>
            </w:r>
            <w:r>
              <w:rPr>
                <w:color w:val="000000"/>
                <w:spacing w:val="0"/>
                <w:w w:val="100"/>
                <w:position w:val="0"/>
              </w:rPr>
              <w:t>元偿还银行贷款。公司 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年使用超募资金</w:t>
            </w:r>
            <w:r>
              <w:rPr>
                <w:rFonts w:ascii="Times New Roman" w:eastAsia="Times New Roman" w:hAnsi="Times New Roman" w:cs="Times New Roman"/>
                <w:color w:val="000000"/>
                <w:spacing w:val="0"/>
                <w:w w:val="100"/>
                <w:position w:val="0"/>
                <w:sz w:val="18"/>
                <w:szCs w:val="18"/>
              </w:rPr>
              <w:t>52,350,780.00</w:t>
            </w:r>
            <w:r>
              <w:rPr>
                <w:color w:val="000000"/>
                <w:spacing w:val="0"/>
                <w:w w:val="100"/>
                <w:position w:val="0"/>
              </w:rPr>
              <w:t>元偿还银行贷款。</w:t>
            </w:r>
          </w:p>
          <w:p>
            <w:pPr>
              <w:pStyle w:val="Style9"/>
              <w:keepNext w:val="0"/>
              <w:keepLines w:val="0"/>
              <w:widowControl w:val="0"/>
              <w:shd w:val="clear" w:color="auto" w:fill="auto"/>
              <w:tabs>
                <w:tab w:pos="25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日第二届董事会第十次会议、第二届监事会第六次会议审议通过了《关于部分超 募资金暂时补充流动资金的议案》,并经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 同意使用超募资金</w:t>
            </w:r>
            <w:r>
              <w:rPr>
                <w:rFonts w:ascii="Times New Roman" w:eastAsia="Times New Roman" w:hAnsi="Times New Roman" w:cs="Times New Roman"/>
                <w:color w:val="000000"/>
                <w:spacing w:val="0"/>
                <w:w w:val="100"/>
                <w:position w:val="0"/>
                <w:sz w:val="18"/>
                <w:szCs w:val="18"/>
              </w:rPr>
              <w:t>71,000,000.00</w:t>
            </w:r>
            <w:r>
              <w:rPr>
                <w:color w:val="000000"/>
                <w:spacing w:val="0"/>
                <w:w w:val="100"/>
                <w:position w:val="0"/>
              </w:rPr>
              <w:t>元暂时补充流动资金（使用期限不超过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使用超募资金</w:t>
            </w:r>
            <w:r>
              <w:rPr>
                <w:rFonts w:ascii="Times New Roman" w:eastAsia="Times New Roman" w:hAnsi="Times New Roman" w:cs="Times New Roman"/>
                <w:color w:val="000000"/>
                <w:spacing w:val="0"/>
                <w:w w:val="100"/>
                <w:position w:val="0"/>
                <w:sz w:val="18"/>
                <w:szCs w:val="18"/>
              </w:rPr>
              <w:t>71,000,000.00</w:t>
            </w:r>
            <w:r>
              <w:rPr>
                <w:color w:val="000000"/>
                <w:spacing w:val="0"/>
                <w:w w:val="100"/>
                <w:position w:val="0"/>
              </w:rPr>
              <w:t>元补充流动资金。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日上述资金已归还至原募集资金专 用账户，公司已通知保荐机构及保荐人，并对外公告披露。</w:t>
            </w:r>
          </w:p>
          <w:p>
            <w:pPr>
              <w:pStyle w:val="Style9"/>
              <w:keepNext w:val="0"/>
              <w:keepLines w:val="0"/>
              <w:widowControl w:val="0"/>
              <w:shd w:val="clear" w:color="auto" w:fill="auto"/>
              <w:tabs>
                <w:tab w:pos="25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日第二届董事会第十次会议和第二届监事会第六次会议，审议并通过了《关于部 分超募资金用于票据自助受理系统项目的议案》，同意将</w:t>
            </w:r>
            <w:r>
              <w:rPr>
                <w:rFonts w:ascii="Times New Roman" w:eastAsia="Times New Roman" w:hAnsi="Times New Roman" w:cs="Times New Roman"/>
                <w:color w:val="000000"/>
                <w:spacing w:val="0"/>
                <w:w w:val="100"/>
                <w:position w:val="0"/>
                <w:sz w:val="18"/>
                <w:szCs w:val="18"/>
              </w:rPr>
              <w:t>4,082.99</w:t>
            </w:r>
            <w:r>
              <w:rPr>
                <w:color w:val="000000"/>
                <w:spacing w:val="0"/>
                <w:w w:val="100"/>
                <w:position w:val="0"/>
              </w:rPr>
              <w:t>万元超募资金用于票据受理系统项</w:t>
            </w:r>
          </w:p>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目。截至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日，公司已使用超募资金投入本项目</w:t>
            </w:r>
            <w:r>
              <w:rPr>
                <w:rFonts w:ascii="Times New Roman" w:eastAsia="Times New Roman" w:hAnsi="Times New Roman" w:cs="Times New Roman"/>
                <w:color w:val="000000"/>
                <w:spacing w:val="0"/>
                <w:w w:val="100"/>
                <w:position w:val="0"/>
                <w:sz w:val="18"/>
                <w:szCs w:val="18"/>
              </w:rPr>
              <w:t>20,426,987.13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日第三届董事会第三次会议及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年第二次临时股东大会，审议通过了《关于审 议超募资金投资项目延期的议案》，同意将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票据自助受理系统项目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完成时间延长至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p>
            <w:pPr>
              <w:pStyle w:val="Style9"/>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日第二届董事会第十六次会议和第二届监事会第八次会议审议并通过了《关于审 议部分超募资金永久性补充流动资金的议案》，同意公司运用</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元超募资金永久性补充 流动资金</w:t>
            </w:r>
            <w:r>
              <w:rPr>
                <w:color w:val="000000"/>
                <w:spacing w:val="0"/>
                <w:w w:val="100"/>
                <w:position w:val="0"/>
                <w:sz w:val="18"/>
                <w:szCs w:val="18"/>
              </w:rPr>
              <w:t>，</w:t>
            </w:r>
            <w:r>
              <w:rPr>
                <w:color w:val="000000"/>
                <w:spacing w:val="0"/>
                <w:w w:val="100"/>
                <w:position w:val="0"/>
              </w:rPr>
              <w:t>并承诺本次利用部分超募资金永久补充流动资金后十二个月内不进行证券投资等高风险 投资及为他人提供财务资助并对外披露，每十二个月用于偿还银行借款或补充流动资金的累计金额 不超过超募资金总额的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年年度股东大会审议通过了该议案；公 司独立董事及保荐机构分别发表了同意的独立意见及核查意见，并已对外公告披露。</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日公司已使用超募资金</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元补充流动资金。</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3182"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营销与服务网络建设项目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总投资额为</w:t>
            </w:r>
            <w:r>
              <w:rPr>
                <w:rFonts w:ascii="Times New Roman" w:eastAsia="Times New Roman" w:hAnsi="Times New Roman" w:cs="Times New Roman"/>
                <w:color w:val="000000"/>
                <w:spacing w:val="0"/>
                <w:w w:val="100"/>
                <w:position w:val="0"/>
                <w:sz w:val="18"/>
                <w:szCs w:val="18"/>
              </w:rPr>
              <w:t>3,228.20</w:t>
            </w:r>
            <w:r>
              <w:rPr>
                <w:color w:val="000000"/>
                <w:spacing w:val="0"/>
                <w:w w:val="100"/>
                <w:position w:val="0"/>
              </w:rPr>
              <w:t>万元，计划两年内在西安、武汉、广州、 成都、南京、天津、沈阳七个城市建立营销与服务网络，资金主要用于购置营销与服务网络商业用 房、办公用各类必要的设备、设施、营业用车辆等。项目达到预定可使用状态日期为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日。近年来国内房地产价格不断上涨，原计划购置的办公场地价格已大大超出预算，因此公司在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营销与服务网络建设项目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的实施决策上保持了充分的谨慎，在开办过程中一直暂以租赁的形式开 展营销网络的建设。此外，公司在车辆、设备购置、费用支出等方面也是本着勤俭节约的原则，充 分调配现有资源，节省了大量资金。至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月，该项目累计实际投入金额</w:t>
            </w:r>
            <w:r>
              <w:rPr>
                <w:rFonts w:ascii="Times New Roman" w:eastAsia="Times New Roman" w:hAnsi="Times New Roman" w:cs="Times New Roman"/>
                <w:color w:val="000000"/>
                <w:spacing w:val="0"/>
                <w:w w:val="100"/>
                <w:position w:val="0"/>
                <w:sz w:val="18"/>
                <w:szCs w:val="18"/>
              </w:rPr>
              <w:t>184.54</w:t>
            </w:r>
            <w:r>
              <w:rPr>
                <w:color w:val="000000"/>
                <w:spacing w:val="0"/>
                <w:w w:val="100"/>
                <w:position w:val="0"/>
              </w:rPr>
              <w:t>万元，占投 资总额的</w:t>
            </w:r>
            <w:r>
              <w:rPr>
                <w:rFonts w:ascii="Times New Roman" w:eastAsia="Times New Roman" w:hAnsi="Times New Roman" w:cs="Times New Roman"/>
                <w:color w:val="000000"/>
                <w:spacing w:val="0"/>
                <w:w w:val="100"/>
                <w:position w:val="0"/>
                <w:sz w:val="18"/>
                <w:szCs w:val="18"/>
              </w:rPr>
              <w:t>5.72</w:t>
            </w:r>
            <w:r>
              <w:rPr>
                <w:color w:val="000000"/>
                <w:spacing w:val="0"/>
                <w:w w:val="100"/>
                <w:position w:val="0"/>
              </w:rPr>
              <w:t>%。公司已经建立起了以北京为中心、遍布全国的营销与服务网络体系，营销与服务 网络建设项目的预计目标及效益已经基本达成。为了提高募集资金的使用效益，推进公司发展战略 的实施，公司决定终止原募投项目，将项目剩余募集资金</w:t>
            </w:r>
            <w:r>
              <w:rPr>
                <w:rFonts w:ascii="Times New Roman" w:eastAsia="Times New Roman" w:hAnsi="Times New Roman" w:cs="Times New Roman"/>
                <w:color w:val="000000"/>
                <w:spacing w:val="0"/>
                <w:w w:val="100"/>
                <w:position w:val="0"/>
                <w:sz w:val="18"/>
                <w:szCs w:val="18"/>
              </w:rPr>
              <w:t>3,043.66</w:t>
            </w:r>
            <w:r>
              <w:rPr>
                <w:color w:val="000000"/>
                <w:spacing w:val="0"/>
                <w:w w:val="100"/>
                <w:position w:val="0"/>
              </w:rPr>
              <w:t>万元（未包括利息利入）用于投</w:t>
            </w:r>
          </w:p>
        </w:tc>
      </w:tr>
    </w:tbl>
    <w:p>
      <w:pPr>
        <w:spacing w:lineRule="exact" w:line="1"/>
        <w:rPr>
          <w:sz w:val="2"/>
          <w:szCs w:val="2"/>
        </w:rPr>
      </w:pPr>
      <w:r>
        <w:br w:type="page"/>
      </w:r>
    </w:p>
    <w:tbl>
      <w:tblPr>
        <w:tblOverlap w:val="never"/>
        <w:jc w:val="center"/>
        <w:tblLayout w:type="fixed"/>
      </w:tblPr>
      <w:tblGrid>
        <w:gridCol w:w="1781"/>
        <w:gridCol w:w="7805"/>
      </w:tblGrid>
      <w:tr>
        <w:trPr>
          <w:trHeight w:val="196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资新的项目。</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日，第三届董事会第三次会议审议通过了《关于审议募集资金投资项目变更的议案》， 会议同意公司将募集资金投资项目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营销与服务网络建设项目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剩余资金</w:t>
            </w:r>
            <w:r>
              <w:rPr>
                <w:rFonts w:ascii="Times New Roman" w:eastAsia="Times New Roman" w:hAnsi="Times New Roman" w:cs="Times New Roman"/>
                <w:color w:val="000000"/>
                <w:spacing w:val="0"/>
                <w:w w:val="100"/>
                <w:position w:val="0"/>
                <w:sz w:val="18"/>
                <w:szCs w:val="18"/>
              </w:rPr>
              <w:t>3,043.66</w:t>
            </w:r>
            <w:r>
              <w:rPr>
                <w:color w:val="000000"/>
                <w:spacing w:val="0"/>
                <w:w w:val="100"/>
                <w:position w:val="0"/>
              </w:rPr>
              <w:t>万元（未包括利息 利入）用于实施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智能银行渠道整合平台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。监事会、独立董事及保荐机构均出具了同意的 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年第二次临时股东大会审议并通过了该议案，公司已进行了公告披 露。</w:t>
            </w:r>
          </w:p>
        </w:tc>
      </w:tr>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部分募集资金项目在募集资金实际到位之前已由公司利用自筹资金先行投入，截止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日公司实际资金支出</w:t>
            </w:r>
            <w:r>
              <w:rPr>
                <w:rFonts w:ascii="Times New Roman" w:eastAsia="Times New Roman" w:hAnsi="Times New Roman" w:cs="Times New Roman"/>
                <w:color w:val="000000"/>
                <w:spacing w:val="0"/>
                <w:w w:val="100"/>
                <w:position w:val="0"/>
                <w:sz w:val="18"/>
                <w:szCs w:val="18"/>
              </w:rPr>
              <w:t>153.14</w:t>
            </w:r>
            <w:r>
              <w:rPr>
                <w:color w:val="000000"/>
                <w:spacing w:val="0"/>
                <w:w w:val="100"/>
                <w:position w:val="0"/>
              </w:rPr>
              <w:t>万元，该项支出已经过立信会计师事务所（特殊普通合伙）审计确认， 审计报告号为信会师报字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210073</w:t>
            </w:r>
            <w:r>
              <w:rPr>
                <w:color w:val="000000"/>
                <w:spacing w:val="0"/>
                <w:w w:val="100"/>
                <w:position w:val="0"/>
              </w:rPr>
              <w:t>号，公司已于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日对该项支出进行置换。</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募投项目中基础组件支撑平台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日获得计算机软件著作权:基础组件支撑 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w:t>
            </w:r>
            <w:r>
              <w:rPr>
                <w:color w:val="000000"/>
                <w:spacing w:val="0"/>
                <w:w w:val="100"/>
                <w:position w:val="0"/>
              </w:rPr>
              <w:t>登记号为</w:t>
            </w:r>
            <w:r>
              <w:rPr>
                <w:rFonts w:ascii="Times New Roman" w:eastAsia="Times New Roman" w:hAnsi="Times New Roman" w:cs="Times New Roman"/>
                <w:color w:val="000000"/>
                <w:spacing w:val="0"/>
                <w:w w:val="100"/>
                <w:position w:val="0"/>
                <w:sz w:val="18"/>
                <w:szCs w:val="18"/>
              </w:rPr>
              <w:t>2012SR008324</w:t>
            </w:r>
            <w:r>
              <w:rPr>
                <w:color w:val="000000"/>
                <w:spacing w:val="0"/>
                <w:w w:val="100"/>
                <w:position w:val="0"/>
              </w:rPr>
              <w:t>，项目完成后，公司对项目进行决算，确认项目结余资金</w:t>
            </w:r>
            <w:r>
              <w:rPr>
                <w:rFonts w:ascii="Times New Roman" w:eastAsia="Times New Roman" w:hAnsi="Times New Roman" w:cs="Times New Roman"/>
                <w:color w:val="000000"/>
                <w:spacing w:val="0"/>
                <w:w w:val="100"/>
                <w:position w:val="0"/>
                <w:sz w:val="18"/>
                <w:szCs w:val="18"/>
              </w:rPr>
              <w:t xml:space="preserve">632.67 </w:t>
            </w:r>
            <w:r>
              <w:rPr>
                <w:color w:val="000000"/>
                <w:spacing w:val="0"/>
                <w:w w:val="100"/>
                <w:position w:val="0"/>
              </w:rPr>
              <w:t>万元（不含利息收入），原因为市场价格浮动及社会环境的变化节约了设备投入资金、在研发过程中 工作切分合理，优化了人员结构，节约了人工成本等。</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尚未使用的募集资金除尚未赎回的理财产品</w:t>
            </w:r>
            <w:r>
              <w:rPr>
                <w:rFonts w:ascii="Times New Roman" w:eastAsia="Times New Roman" w:hAnsi="Times New Roman" w:cs="Times New Roman"/>
                <w:color w:val="000000"/>
                <w:spacing w:val="0"/>
                <w:w w:val="100"/>
                <w:position w:val="0"/>
                <w:sz w:val="18"/>
                <w:szCs w:val="18"/>
              </w:rPr>
              <w:t>3,460</w:t>
            </w:r>
            <w:r>
              <w:rPr>
                <w:color w:val="000000"/>
                <w:spacing w:val="0"/>
                <w:w w:val="100"/>
                <w:position w:val="0"/>
              </w:rPr>
              <w:t>万元外全部以银行存款的形式存放于募投资金专 户。</w:t>
            </w:r>
          </w:p>
        </w:tc>
      </w:tr>
      <w:tr>
        <w:trPr>
          <w:trHeight w:val="1037"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、主要子公司、参股公司分析</w:t>
      </w:r>
      <w:bookmarkEnd w:id="134"/>
      <w:bookmarkEnd w:id="135"/>
      <w:bookmarkEnd w:id="13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351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 金财电子 商务有限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软件与信 息技术服 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移动支付 解决方案、 移动营销 解决方案、 移动多媒 体互动电 子杂志产 品、手机银 行等行业 移动信息 化产品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98,679,119.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98,151,436.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11,814,014.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-23,187,8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-19,443,935.6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零售与批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计算机、平</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40,141,150.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8,858,673.9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87,976,666.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1,152,864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858,673.94</w:t>
            </w:r>
          </w:p>
        </w:tc>
      </w:tr>
    </w:tbl>
    <w:p>
      <w:pPr>
        <w:spacing w:lineRule="exact" w:line="1"/>
        <w:rPr>
          <w:sz w:val="2"/>
          <w:szCs w:val="2"/>
        </w:rPr>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223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金财电子 产品有限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板电脑等 信息科技 类电子产 品及相关 软件产品 的开发和 服务</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6341"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北京中科 金财信息 技术有限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软件与信 息技术服 务业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专业承包； 技术开发、 技术转让、 技术咨询、 技术服务、 技术推广； 计算机技 术培训；软 件开发；计 算机系统 服务；销售 计算机、软 件及辅助 设备、电子 产品、通讯 设备；货物 进出口、技 术进出口、 代理进出 口。</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17,163,835.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9,994,471.5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31,066,627.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1,991,992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1,493,753.19</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七</w:t>
      </w:r>
      <w:bookmarkEnd w:id="140"/>
      <w:r>
        <w:rPr>
          <w:color w:val="000000"/>
          <w:spacing w:val="0"/>
          <w:w w:val="100"/>
          <w:position w:val="0"/>
        </w:rPr>
        <w:t>、公司未来发展的展望</w:t>
      </w:r>
      <w:bookmarkEnd w:id="138"/>
      <w:bookmarkEnd w:id="139"/>
      <w:bookmarkEnd w:id="141"/>
    </w:p>
    <w:p>
      <w:pPr>
        <w:pStyle w:val="Style33"/>
        <w:keepNext w:val="0"/>
        <w:keepLines w:val="0"/>
        <w:widowControl w:val="0"/>
        <w:shd w:val="clear" w:color="auto" w:fill="auto"/>
        <w:bidi w:val="0"/>
        <w:spacing w:before="0" w:after="0" w:line="468" w:lineRule="exact"/>
        <w:ind w:left="0" w:right="0" w:firstLine="440"/>
        <w:jc w:val="left"/>
      </w:pPr>
      <w:bookmarkStart w:id="142" w:name="bookmark142"/>
      <w:r>
        <w:rPr>
          <w:color w:val="000000"/>
          <w:spacing w:val="0"/>
          <w:w w:val="100"/>
          <w:position w:val="0"/>
        </w:rPr>
        <w:t>（</w:t>
      </w:r>
      <w:bookmarkEnd w:id="142"/>
      <w:r>
        <w:rPr>
          <w:color w:val="000000"/>
          <w:spacing w:val="0"/>
          <w:w w:val="100"/>
          <w:position w:val="0"/>
        </w:rPr>
        <w:t>一）行业竞争格局和发展趋势</w:t>
      </w:r>
    </w:p>
    <w:p>
      <w:pPr>
        <w:pStyle w:val="Style33"/>
        <w:keepNext w:val="0"/>
        <w:keepLines w:val="0"/>
        <w:widowControl w:val="0"/>
        <w:shd w:val="clear" w:color="auto" w:fill="auto"/>
        <w:bidi w:val="0"/>
        <w:spacing w:before="0" w:after="180" w:line="468" w:lineRule="exact"/>
        <w:ind w:left="0" w:right="0" w:firstLine="440"/>
        <w:jc w:val="left"/>
        <w:sectPr>
          <w:headerReference w:type="default" r:id="rId55"/>
          <w:footerReference w:type="default" r:id="rId56"/>
          <w:headerReference w:type="even" r:id="rId57"/>
          <w:footerReference w:type="even" r:id="rId58"/>
          <w:footnotePr>
            <w:pos w:val="pageBottom"/>
            <w:numFmt w:val="decimal"/>
            <w:numRestart w:val="continuous"/>
          </w:footnotePr>
          <w:pgSz w:w="11909" w:h="17415"/>
          <w:pgMar w:top="1387" w:right="1028" w:bottom="1460" w:left="1050" w:header="0" w:footer="3" w:gutter="0"/>
          <w:cols w:space="720"/>
          <w:noEndnote/>
          <w:rtlGutter w:val="0"/>
          <w:docGrid w:linePitch="360"/>
        </w:sectPr>
      </w:pPr>
      <w:r>
        <w:rPr>
          <w:color w:val="000000"/>
          <w:spacing w:val="0"/>
          <w:w w:val="100"/>
          <w:position w:val="0"/>
        </w:rPr>
        <w:t>公司属于计算机应用服务业中的软件行业。软件产业是国家战略性新兴产业，是国民经济和社会信息 化的重要基础。</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日，国务院印发了《进一步鼓励软件产业和集成电路产业发展的若干政策》 的通知（国发</w:t>
      </w:r>
      <w:r>
        <w:rPr>
          <w:color w:val="000000"/>
          <w:spacing w:val="0"/>
          <w:w w:val="100"/>
          <w:position w:val="0"/>
        </w:rPr>
        <w:t>[2011]4</w:t>
      </w:r>
      <w:r>
        <w:rPr>
          <w:color w:val="000000"/>
          <w:spacing w:val="0"/>
          <w:w w:val="100"/>
          <w:position w:val="0"/>
        </w:rPr>
        <w:t>号），提出进一步优化软件产业发展环境，提高产业发展质量和水平，培育一批有 实力和影响力的行业领先企业。随着国发</w:t>
      </w:r>
      <w:r>
        <w:rPr>
          <w:color w:val="000000"/>
          <w:spacing w:val="0"/>
          <w:w w:val="100"/>
          <w:position w:val="0"/>
        </w:rPr>
        <w:t>[2011]4</w:t>
      </w:r>
      <w:r>
        <w:rPr>
          <w:color w:val="000000"/>
          <w:spacing w:val="0"/>
          <w:w w:val="100"/>
          <w:position w:val="0"/>
        </w:rPr>
        <w:t>号文件的执行，公司将继续获得国家对于软件企业的扶 持和优惠政策支持，包括继续享受软件增值税优惠政策，进一步享受营业税优惠政策，继续享受企业所得 税的优惠税率，在国家鼓励、支持软件企业通过资源整合做大做强的政策环境下，有助于公司更加顺利地 实施重组并购，以及其他人才引进和知识产权保护。</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当前中国国内银行业面临着国内经济下行趋势，房地产等高利润行业利率市场化、人民币国际化</w:t>
      </w:r>
      <w:r>
        <w:rPr>
          <w:color w:val="000000"/>
          <w:spacing w:val="0"/>
          <w:w w:val="100"/>
          <w:position w:val="0"/>
        </w:rPr>
        <w:t>、</w:t>
      </w:r>
      <w:r>
        <w:rPr>
          <w:color w:val="000000"/>
          <w:spacing w:val="0"/>
          <w:w w:val="100"/>
          <w:position w:val="0"/>
        </w:rPr>
        <w:t>WT</w:t>
      </w:r>
      <w:r>
        <w:rPr>
          <w:color w:val="000000"/>
          <w:spacing w:val="0"/>
          <w:w w:val="100"/>
          <w:position w:val="0"/>
        </w:rPr>
        <w:t xml:space="preserve">。 </w:t>
      </w:r>
      <w:r>
        <w:rPr>
          <w:color w:val="000000"/>
          <w:spacing w:val="0"/>
          <w:w w:val="100"/>
          <w:position w:val="0"/>
        </w:rPr>
        <w:t>金融业开放的外部竞争环境变化及第三方支付与互联网金融企业的渗透与蚕食，国内银行业的收益过分依 赖垄断政策保护下的高利差收益，运营成本高居不下，同质化严重。未来数年内，银行业面临着存款利率 市场化、民营银行牌照放开以及互联网金融等因素冲击，降低运营成本，有效控制风险，提高经营效益的 需求将日益凸显。目前，大多数国内银行已经开始采用流程再造、网点转型、渠道整合、大数据分析、电 子商务转型等等一系列措施进行运营管理、经营模式变革，银行业也逐步进入“智能化、移动化、轻型化、 电商化”新时代，跨界融合与竞争将成为未来产业创新的发展趋势。根据公司未来发展规划，公司下一步 将有计划的向金融领域深入发展，重点聚焦智能银行、金融电子商务领域，积极研究和开展智能银行转型 管理咨询服务、多渠道整合、轻型网点、企业自助银行、金融大数据分析平台、移动支付、金融电子商务 运营外包、金融产品导购、直销银行、社区银行、社区电子商务等一系列解决方案和服务。与此同时，金 融互联网、全功能自助银行在内的新增需求将带动金融自助设备及服务行业的发展，未来数年该行业仍会 维持</w:t>
      </w:r>
      <w:r>
        <w:rPr>
          <w:color w:val="000000"/>
          <w:spacing w:val="0"/>
          <w:w w:val="100"/>
          <w:position w:val="0"/>
        </w:rPr>
        <w:t>20%</w:t>
      </w:r>
      <w:r>
        <w:rPr>
          <w:color w:val="000000"/>
          <w:spacing w:val="0"/>
          <w:w w:val="100"/>
          <w:position w:val="0"/>
        </w:rPr>
        <w:t>以上的增长。</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随着互联网、大数据、云计算的不断发展以及互联网金融等新兴业态的不断涌现，传统互联网企业跨 界涉足金融行业日趋常态，对传统金融行业、传统银行的多个领域形成巨大冲击与挑战。从支付结算到投 融资服务、再到流通货币，银行、保险、证券、基金等传统金融机构，渗入范围不断扩大，并向金融业的 核心领域拓展。央行在《</w:t>
      </w:r>
      <w:r>
        <w:rPr>
          <w:color w:val="000000"/>
          <w:spacing w:val="0"/>
          <w:w w:val="100"/>
          <w:position w:val="0"/>
        </w:rPr>
        <w:t>2013</w:t>
      </w:r>
      <w:r>
        <w:rPr>
          <w:color w:val="000000"/>
          <w:spacing w:val="0"/>
          <w:w w:val="100"/>
          <w:position w:val="0"/>
        </w:rPr>
        <w:t>年支付体系运行总体情况》中发布的数据显示，电子支付业务增长较快， 移动支付业务保持高位增长。</w:t>
      </w:r>
      <w:r>
        <w:rPr>
          <w:color w:val="000000"/>
          <w:spacing w:val="0"/>
          <w:w w:val="100"/>
          <w:position w:val="0"/>
        </w:rPr>
        <w:t>2013</w:t>
      </w:r>
      <w:r>
        <w:rPr>
          <w:color w:val="000000"/>
          <w:spacing w:val="0"/>
          <w:w w:val="100"/>
          <w:position w:val="0"/>
        </w:rPr>
        <w:t>年移动支付业务</w:t>
      </w:r>
      <w:r>
        <w:rPr>
          <w:color w:val="000000"/>
          <w:spacing w:val="0"/>
          <w:w w:val="100"/>
          <w:position w:val="0"/>
        </w:rPr>
        <w:t>16.74</w:t>
      </w:r>
      <w:r>
        <w:rPr>
          <w:color w:val="000000"/>
          <w:spacing w:val="0"/>
          <w:w w:val="100"/>
          <w:position w:val="0"/>
        </w:rPr>
        <w:t>亿笔，金额</w:t>
      </w:r>
      <w:r>
        <w:rPr>
          <w:color w:val="000000"/>
          <w:spacing w:val="0"/>
          <w:w w:val="100"/>
          <w:position w:val="0"/>
        </w:rPr>
        <w:t>9.64</w:t>
      </w:r>
      <w:r>
        <w:rPr>
          <w:color w:val="000000"/>
          <w:spacing w:val="0"/>
          <w:w w:val="100"/>
          <w:position w:val="0"/>
        </w:rPr>
        <w:t>万亿元，同比分别增长</w:t>
      </w:r>
      <w:r>
        <w:rPr>
          <w:color w:val="000000"/>
          <w:spacing w:val="0"/>
          <w:w w:val="100"/>
          <w:position w:val="0"/>
        </w:rPr>
        <w:t>212.86%</w:t>
      </w:r>
      <w:r>
        <w:rPr>
          <w:color w:val="000000"/>
          <w:spacing w:val="0"/>
          <w:w w:val="100"/>
          <w:position w:val="0"/>
        </w:rPr>
        <w:t xml:space="preserve">和 </w:t>
      </w:r>
      <w:r>
        <w:rPr>
          <w:color w:val="000000"/>
          <w:spacing w:val="0"/>
          <w:w w:val="100"/>
          <w:position w:val="0"/>
        </w:rPr>
        <w:t>317.56%</w:t>
      </w:r>
      <w:r>
        <w:rPr>
          <w:color w:val="000000"/>
          <w:spacing w:val="0"/>
          <w:w w:val="100"/>
          <w:position w:val="0"/>
        </w:rPr>
        <w:t>。互联网金融的迅猛发展在一定程度上迫使传统银行必须改变服务模式，更加智能的方式不断推 动银行业务的转型与创新，才能应对全新的市场环境与挑战。</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公司是国内“智能银行”理念的倡导者，全力打造出顺应银行业智慧化潮流的</w:t>
      </w:r>
      <w:r>
        <w:rPr>
          <w:color w:val="000000"/>
          <w:spacing w:val="0"/>
          <w:w w:val="100"/>
          <w:position w:val="0"/>
        </w:rPr>
        <w:t>“iBank”</w:t>
      </w:r>
      <w:r>
        <w:rPr>
          <w:color w:val="000000"/>
          <w:spacing w:val="0"/>
          <w:w w:val="100"/>
          <w:position w:val="0"/>
        </w:rPr>
        <w:t>智能银行整 体解决方案，助力中国银行业的变革和转型，更加智慧地应对全新的市场环境与挑战。公司能够为银行提 供包括管理咨询服务、业务流程再造、多渠道整合、移动支付运营外包、理财产品导购、金融机具制造、 金融大数据、信息安全、金融电子商务运营外包等全业务链的综合服务，是目前国内为银行提供业务转型 服务能力最全面的公司之一，未来力争成为商业银行在金融互联网时代转型成为智能银行过程中不可或缺 的合作伙伴。另一方面，智能银行、金融电子商务、数据中心建设、</w:t>
      </w:r>
      <w:r>
        <w:rPr>
          <w:color w:val="000000"/>
          <w:spacing w:val="0"/>
          <w:w w:val="100"/>
          <w:position w:val="0"/>
        </w:rPr>
        <w:t>IT</w:t>
      </w:r>
      <w:r>
        <w:rPr>
          <w:color w:val="000000"/>
          <w:spacing w:val="0"/>
          <w:w w:val="100"/>
          <w:position w:val="0"/>
        </w:rPr>
        <w:t>服务管理等领域有广阔的发展前景， 这些领域一直以来也是在</w:t>
      </w:r>
      <w:r>
        <w:rPr>
          <w:color w:val="000000"/>
          <w:spacing w:val="0"/>
          <w:w w:val="100"/>
          <w:position w:val="0"/>
        </w:rPr>
        <w:t>IT</w:t>
      </w:r>
      <w:r>
        <w:rPr>
          <w:color w:val="000000"/>
          <w:spacing w:val="0"/>
          <w:w w:val="100"/>
          <w:position w:val="0"/>
        </w:rPr>
        <w:t>方面投入最大的领域，信息化成为引领金融、政府、企业现代化建设的重要手 段，层出不穷、日新月异的</w:t>
      </w:r>
      <w:r>
        <w:rPr>
          <w:color w:val="000000"/>
          <w:spacing w:val="0"/>
          <w:w w:val="100"/>
          <w:position w:val="0"/>
        </w:rPr>
        <w:t>IT</w:t>
      </w:r>
      <w:r>
        <w:rPr>
          <w:color w:val="000000"/>
          <w:spacing w:val="0"/>
          <w:w w:val="100"/>
          <w:position w:val="0"/>
        </w:rPr>
        <w:t>应用需求，给公司发展提供了广阔的发展机会。</w:t>
      </w:r>
    </w:p>
    <w:p>
      <w:pPr>
        <w:pStyle w:val="Style33"/>
        <w:keepNext w:val="0"/>
        <w:keepLines w:val="0"/>
        <w:widowControl w:val="0"/>
        <w:shd w:val="clear" w:color="auto" w:fill="auto"/>
        <w:bidi w:val="0"/>
        <w:spacing w:before="0" w:after="0" w:line="467" w:lineRule="exact"/>
        <w:ind w:left="0" w:right="0" w:firstLine="440"/>
        <w:jc w:val="both"/>
      </w:pPr>
      <w:bookmarkStart w:id="143" w:name="bookmark143"/>
      <w:r>
        <w:rPr>
          <w:color w:val="000000"/>
          <w:spacing w:val="0"/>
          <w:w w:val="100"/>
          <w:position w:val="0"/>
        </w:rPr>
        <w:t>（</w:t>
      </w:r>
      <w:bookmarkEnd w:id="143"/>
      <w:r>
        <w:rPr>
          <w:color w:val="000000"/>
          <w:spacing w:val="0"/>
          <w:w w:val="100"/>
          <w:position w:val="0"/>
        </w:rPr>
        <w:t>二）公司发展战略</w:t>
      </w:r>
    </w:p>
    <w:p>
      <w:pPr>
        <w:pStyle w:val="Style33"/>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公司的整体发展战略是：专注于银行、政府、企业等行业客户的需求，以提高用户业务与管理水平为 目标，秉承“关注用户体验，关注员工发展，开放性成长，为客户提供</w:t>
      </w:r>
      <w:r>
        <w:rPr>
          <w:color w:val="000000"/>
          <w:spacing w:val="0"/>
          <w:w w:val="100"/>
          <w:position w:val="0"/>
        </w:rPr>
        <w:t>IT</w:t>
      </w:r>
      <w:r>
        <w:rPr>
          <w:color w:val="000000"/>
          <w:spacing w:val="0"/>
          <w:w w:val="100"/>
          <w:position w:val="0"/>
        </w:rPr>
        <w:t>综合服务”的发居坡略.不新创</w:t>
      </w:r>
    </w:p>
    <w:p>
      <w:pPr>
        <w:pStyle w:val="Style9"/>
        <w:keepNext w:val="0"/>
        <w:keepLines w:val="0"/>
        <w:widowControl w:val="0"/>
        <w:shd w:val="clear" w:color="auto" w:fill="auto"/>
        <w:tabs>
          <w:tab w:pos="3773"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24</w:t>
        <w:tab/>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 xml:space="preserve">&lt; </w:t>
      </w:r>
      <w:r>
        <w:rPr>
          <w:rStyle w:val="CharStyle34"/>
        </w:rPr>
        <w:t>新、持续成长，逐步发展成为中国领先的</w:t>
      </w:r>
      <w:r>
        <w:rPr>
          <w:rStyle w:val="CharStyle34"/>
        </w:rPr>
        <w:t>IT</w:t>
      </w:r>
      <w:r>
        <w:rPr>
          <w:rStyle w:val="CharStyle34"/>
        </w:rPr>
        <w:t>综合服务提供商。</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2013</w:t>
      </w:r>
      <w:r>
        <w:rPr>
          <w:color w:val="000000"/>
          <w:spacing w:val="0"/>
          <w:w w:val="100"/>
          <w:position w:val="0"/>
        </w:rPr>
        <w:t>年公司推行相关多元化战略，以“收敛、聚焦、整合、协同”为重点，以智能银行整体解决方案 为核心业务，以数据中心、</w:t>
      </w:r>
      <w:r>
        <w:rPr>
          <w:color w:val="000000"/>
          <w:spacing w:val="0"/>
          <w:w w:val="100"/>
          <w:position w:val="0"/>
        </w:rPr>
        <w:t>IT</w:t>
      </w:r>
      <w:r>
        <w:rPr>
          <w:color w:val="000000"/>
          <w:spacing w:val="0"/>
          <w:w w:val="100"/>
          <w:position w:val="0"/>
        </w:rPr>
        <w:t>服务管理、行业应用软件开发、</w:t>
      </w:r>
      <w:r>
        <w:rPr>
          <w:color w:val="000000"/>
          <w:spacing w:val="0"/>
          <w:w w:val="100"/>
          <w:position w:val="0"/>
        </w:rPr>
        <w:t>IT</w:t>
      </w:r>
      <w:r>
        <w:rPr>
          <w:color w:val="000000"/>
          <w:spacing w:val="0"/>
          <w:w w:val="100"/>
          <w:position w:val="0"/>
        </w:rPr>
        <w:t>产品增值分销为重要业务，以金融电子商 务、金融大数据、信息安全等成长性较好业务为重点培育业务的经营战略，强化业务协同机制，完善智能 银行整体解决方案与数据中心、</w:t>
      </w:r>
      <w:r>
        <w:rPr>
          <w:color w:val="000000"/>
          <w:spacing w:val="0"/>
          <w:w w:val="100"/>
          <w:position w:val="0"/>
        </w:rPr>
        <w:t>IT</w:t>
      </w:r>
      <w:r>
        <w:rPr>
          <w:color w:val="000000"/>
          <w:spacing w:val="0"/>
          <w:w w:val="100"/>
          <w:position w:val="0"/>
        </w:rPr>
        <w:t>服务管理、行业应用软件开发、金融电子商务等业务的协同效应，全面 打造中科金财智能服务品牌，为客户提供涵盖从基础架构到应用系统的全面综合服务，在销售、研发、交 付三大方面不断积累并形成核心竞争力。</w:t>
      </w:r>
    </w:p>
    <w:p>
      <w:pPr>
        <w:pStyle w:val="Style33"/>
        <w:keepNext w:val="0"/>
        <w:keepLines w:val="0"/>
        <w:widowControl w:val="0"/>
        <w:shd w:val="clear" w:color="auto" w:fill="auto"/>
        <w:bidi w:val="0"/>
        <w:spacing w:before="0" w:after="0" w:line="470" w:lineRule="exact"/>
        <w:ind w:left="0" w:right="0" w:firstLine="440"/>
        <w:jc w:val="both"/>
      </w:pPr>
      <w:bookmarkStart w:id="144" w:name="bookmark144"/>
      <w:r>
        <w:rPr>
          <w:color w:val="000000"/>
          <w:spacing w:val="0"/>
          <w:w w:val="100"/>
          <w:position w:val="0"/>
        </w:rPr>
        <w:t>（</w:t>
      </w:r>
      <w:bookmarkEnd w:id="144"/>
      <w:r>
        <w:rPr>
          <w:color w:val="000000"/>
          <w:spacing w:val="0"/>
          <w:w w:val="100"/>
          <w:position w:val="0"/>
        </w:rPr>
        <w:t>三</w:t>
      </w:r>
      <w:r>
        <w:rPr>
          <w:color w:val="000000"/>
          <w:spacing w:val="0"/>
          <w:w w:val="100"/>
          <w:position w:val="0"/>
        </w:rPr>
        <w:t>）2014</w:t>
      </w:r>
      <w:r>
        <w:rPr>
          <w:color w:val="000000"/>
          <w:spacing w:val="0"/>
          <w:w w:val="100"/>
          <w:position w:val="0"/>
        </w:rPr>
        <w:t>年业务发展规划</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2014</w:t>
      </w:r>
      <w:r>
        <w:rPr>
          <w:color w:val="000000"/>
          <w:spacing w:val="0"/>
          <w:w w:val="100"/>
          <w:position w:val="0"/>
        </w:rPr>
        <w:t>年，公司将继续贯彻以智能银行整体解决方案为核心业务，其他业务条线协同发展的相关多元化 经营战略，在银行、企业、政府领域内充分利用核心业务在客户粘度、技术、市场等方面的优势，各业务 条线实行深度专业化，从</w:t>
      </w:r>
      <w:r>
        <w:rPr>
          <w:color w:val="000000"/>
          <w:spacing w:val="0"/>
          <w:w w:val="100"/>
          <w:position w:val="0"/>
        </w:rPr>
        <w:t>IT</w:t>
      </w:r>
      <w:r>
        <w:rPr>
          <w:color w:val="000000"/>
          <w:spacing w:val="0"/>
          <w:w w:val="100"/>
          <w:position w:val="0"/>
        </w:rPr>
        <w:t>服务深化至知识外包服务，以客户为中心提供多种产品和服务。报告期内公司 与银联及商业银行在金融电子商务方面不断加深合作，继续巩固和提高了在智能银行、数据中心、</w:t>
      </w:r>
      <w:r>
        <w:rPr>
          <w:color w:val="000000"/>
          <w:spacing w:val="0"/>
          <w:w w:val="100"/>
          <w:position w:val="0"/>
        </w:rPr>
        <w:t>IT</w:t>
      </w:r>
      <w:r>
        <w:rPr>
          <w:color w:val="000000"/>
          <w:spacing w:val="0"/>
          <w:w w:val="100"/>
          <w:position w:val="0"/>
        </w:rPr>
        <w:t>服务 管理、金融电子商务等领域的市场占有率和竞争优势，不断提升行业应用深度和广度，不断健全以企业技 术中心为核心的创新机制，加强人才队伍培养和引进，提升软件产品的研发和产业化速度，积极发展新的 利润增长点，利用收购兼并手段开展资源整合和产业链整合，推动公司业务持续健康发展。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在技术创新方面，公司将加大在所处领域的核心产品和技术研发及产业化投入，不断增强技术实力， 保持行业技术领先水平，增强企业的核心竞争能力，为公司的成长提供产品和技术优势。</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在研发发展方面，</w:t>
      </w:r>
      <w:r>
        <w:rPr>
          <w:color w:val="000000"/>
          <w:spacing w:val="0"/>
          <w:w w:val="100"/>
          <w:position w:val="0"/>
        </w:rPr>
        <w:t>2013</w:t>
      </w:r>
      <w:r>
        <w:rPr>
          <w:color w:val="000000"/>
          <w:spacing w:val="0"/>
          <w:w w:val="100"/>
          <w:position w:val="0"/>
        </w:rPr>
        <w:t>年度公司将利用募集资金完成智能银行渠道整合平台</w:t>
      </w:r>
      <w:r>
        <w:rPr>
          <w:color w:val="000000"/>
          <w:spacing w:val="0"/>
          <w:w w:val="100"/>
          <w:position w:val="0"/>
        </w:rPr>
        <w:t>V1.0</w:t>
      </w:r>
      <w:r>
        <w:rPr>
          <w:color w:val="000000"/>
          <w:spacing w:val="0"/>
          <w:w w:val="100"/>
          <w:position w:val="0"/>
        </w:rPr>
        <w:t>、</w:t>
      </w:r>
      <w:r>
        <w:rPr>
          <w:color w:val="000000"/>
          <w:spacing w:val="0"/>
          <w:w w:val="100"/>
          <w:position w:val="0"/>
        </w:rPr>
        <w:t>票据自助受理系统 等项目建设，加强技术研发与创新中心建设，进行共性基础平台和关键核心技术研发和创新。同时，利用 自有资金积极研究和开展银行多渠道整合、企业自助银行、金融大数据分析平台、移动支付、金融产品导 购、社区银行、社区电子商务等一系列创新产品及解决方案。通过这些项目的实施，公司将进一步提高公 司的产品和服务质量，提升新产品研发和生产的快速反应能力，增强企业的核心竞争力。</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在市场营销与服务网络建设方面，公司已经建立起了以北京为中心、遍布全国的营销与服务网络体系， 公司将充分利用营销与服务网络的辐射优势，进一步扩大公司服务与产品线的覆盖范围，加大公司的营销 力度，增强运维服务网点营销服务能力，不断提高公司的行业知名度和品牌影响力。</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在企业并购方面，公司已明确内生式发展与外延式发展相结合的发展方式是企业快速做大做强的重要 方式。目前公司成立了专门的并购团队，积极发掘优秀的企业实施并购工作，以有效实现人才、技术、产 品、资本等资源整合和有效协同，增强上市公司综合实力，促进企业快速做大做强。</w:t>
      </w:r>
    </w:p>
    <w:p>
      <w:pPr>
        <w:pStyle w:val="Style33"/>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公司将以现有的综合优势为基础，结合上市带来的资金、品牌和平台等优势，通过强大的技术储备、 营销服务支撑平台的拓展和对研发发展规划的实施，进一步增强公司的竞争能力，继续保挂公司在细分行</w:t>
      </w:r>
    </w:p>
    <w:p>
      <w:pPr>
        <w:pStyle w:val="Style9"/>
        <w:keepNext w:val="0"/>
        <w:keepLines w:val="0"/>
        <w:widowControl w:val="0"/>
        <w:shd w:val="clear" w:color="auto" w:fill="auto"/>
        <w:bidi w:val="0"/>
        <w:spacing w:before="0" w:after="60" w:line="240" w:lineRule="auto"/>
        <w:ind w:left="0" w:right="0" w:firstLine="0"/>
        <w:jc w:val="right"/>
        <w:rPr>
          <w:sz w:val="38"/>
          <w:szCs w:val="38"/>
        </w:rPr>
        <w:sectPr>
          <w:headerReference w:type="default" r:id="rId59"/>
          <w:footerReference w:type="default" r:id="rId60"/>
          <w:headerReference w:type="even" r:id="rId61"/>
          <w:footerReference w:type="even" r:id="rId62"/>
          <w:footnotePr>
            <w:pos w:val="pageBottom"/>
            <w:numFmt w:val="decimal"/>
            <w:numRestart w:val="continuous"/>
          </w:footnotePr>
          <w:pgSz w:w="11909" w:h="17415"/>
          <w:pgMar w:top="1387" w:right="1028" w:bottom="1460" w:left="1050" w:header="0" w:footer="1032" w:gutter="0"/>
          <w:pgNumType w:start="25"/>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25 </w:t>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&lt;</w:t>
      </w:r>
    </w:p>
    <w:p>
      <w:pPr>
        <w:pStyle w:val="Style33"/>
        <w:keepNext w:val="0"/>
        <w:keepLines w:val="0"/>
        <w:widowControl w:val="0"/>
        <w:shd w:val="clear" w:color="auto" w:fill="auto"/>
        <w:bidi w:val="0"/>
        <w:spacing w:before="0" w:after="0" w:line="456" w:lineRule="exact"/>
        <w:ind w:left="0" w:right="0" w:firstLine="0"/>
        <w:jc w:val="left"/>
      </w:pPr>
      <w:r>
        <w:rPr>
          <w:color w:val="000000"/>
          <w:spacing w:val="0"/>
          <w:w w:val="100"/>
          <w:position w:val="0"/>
        </w:rPr>
        <w:t>业的技术优势和领先地位，对公司的持续成长提供有力保障。</w:t>
      </w:r>
    </w:p>
    <w:p>
      <w:pPr>
        <w:pStyle w:val="Style33"/>
        <w:keepNext w:val="0"/>
        <w:keepLines w:val="0"/>
        <w:widowControl w:val="0"/>
        <w:shd w:val="clear" w:color="auto" w:fill="auto"/>
        <w:bidi w:val="0"/>
        <w:spacing w:before="0" w:after="0" w:line="456" w:lineRule="exact"/>
        <w:ind w:left="0" w:right="0" w:firstLine="440"/>
        <w:jc w:val="both"/>
      </w:pPr>
      <w:bookmarkStart w:id="145" w:name="bookmark145"/>
      <w:r>
        <w:rPr>
          <w:color w:val="000000"/>
          <w:spacing w:val="0"/>
          <w:w w:val="100"/>
          <w:position w:val="0"/>
        </w:rPr>
        <w:t>（</w:t>
      </w:r>
      <w:bookmarkEnd w:id="145"/>
      <w:r>
        <w:rPr>
          <w:color w:val="000000"/>
          <w:spacing w:val="0"/>
          <w:w w:val="100"/>
          <w:position w:val="0"/>
        </w:rPr>
        <w:t>四）可能面对的风险</w:t>
      </w:r>
    </w:p>
    <w:p>
      <w:pPr>
        <w:pStyle w:val="Style33"/>
        <w:keepNext w:val="0"/>
        <w:keepLines w:val="0"/>
        <w:widowControl w:val="0"/>
        <w:numPr>
          <w:ilvl w:val="0"/>
          <w:numId w:val="5"/>
        </w:numPr>
        <w:shd w:val="clear" w:color="auto" w:fill="auto"/>
        <w:tabs>
          <w:tab w:pos="760" w:val="left"/>
        </w:tabs>
        <w:bidi w:val="0"/>
        <w:spacing w:before="0" w:after="0" w:line="456" w:lineRule="exact"/>
        <w:ind w:left="0" w:right="0" w:firstLine="440"/>
        <w:jc w:val="both"/>
      </w:pPr>
      <w:bookmarkStart w:id="146" w:name="bookmark146"/>
      <w:bookmarkEnd w:id="146"/>
      <w:r>
        <w:rPr>
          <w:color w:val="000000"/>
          <w:spacing w:val="0"/>
          <w:w w:val="100"/>
          <w:position w:val="0"/>
        </w:rPr>
        <w:t>市场竞争风险</w:t>
      </w:r>
    </w:p>
    <w:p>
      <w:pPr>
        <w:pStyle w:val="Style33"/>
        <w:keepNext w:val="0"/>
        <w:keepLines w:val="0"/>
        <w:widowControl w:val="0"/>
        <w:shd w:val="clear" w:color="auto" w:fill="auto"/>
        <w:bidi w:val="0"/>
        <w:spacing w:before="0" w:after="0" w:line="456" w:lineRule="exact"/>
        <w:ind w:left="0" w:right="0" w:firstLine="440"/>
        <w:jc w:val="both"/>
      </w:pPr>
      <w:r>
        <w:rPr>
          <w:color w:val="000000"/>
          <w:spacing w:val="0"/>
          <w:w w:val="100"/>
          <w:position w:val="0"/>
        </w:rPr>
        <w:t>随着金融电子化领域及移动互联网领域的不断发展，相关业务获得了较大的市场发展空间，产品及服 务提供商之间的市场竞争日趋激烈，使得产品价格、市场份额面临着逐步下降的风险。公司未来面临的市 场竞争可能会限制公司销售规模的增长幅度，影响公司的盈利水平。如果行业竞争进一步加剧，公司的市 场占有率和盈利能力可能存在下降的风险。</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针对以上风险，公司要充分发挥核心技术优势，提高产品竞争力；加大市场拓展力度，努力抢占市场 份额；同时顺应业务领域发展趋势，不断完善公司产品并积极挖掘新的利润增长点，以规避市场竞争加剧 对公司造成的风险。</w:t>
      </w:r>
    </w:p>
    <w:p>
      <w:pPr>
        <w:pStyle w:val="Style33"/>
        <w:keepNext w:val="0"/>
        <w:keepLines w:val="0"/>
        <w:widowControl w:val="0"/>
        <w:numPr>
          <w:ilvl w:val="0"/>
          <w:numId w:val="5"/>
        </w:numPr>
        <w:shd w:val="clear" w:color="auto" w:fill="auto"/>
        <w:tabs>
          <w:tab w:pos="774" w:val="left"/>
        </w:tabs>
        <w:bidi w:val="0"/>
        <w:spacing w:before="0" w:after="0" w:line="468" w:lineRule="exact"/>
        <w:ind w:left="0" w:right="0" w:firstLine="440"/>
        <w:jc w:val="left"/>
      </w:pPr>
      <w:bookmarkStart w:id="147" w:name="bookmark147"/>
      <w:bookmarkEnd w:id="147"/>
      <w:r>
        <w:rPr>
          <w:color w:val="000000"/>
          <w:spacing w:val="0"/>
          <w:w w:val="100"/>
          <w:position w:val="0"/>
        </w:rPr>
        <w:t>行业技术风险</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软件行业用户对产品的技术要求高，技术更新换代速度快，市场需求变化快的特点以及公司规模化扩 张对公司保持持续的技术领先提出了更高的要求。公司经过多年发展，已适应了软件行业技术进步快、产 品更新快、市场需求变化快的特点，逐渐在细分市场中占据了竞争优势，形成了自身的核心竞争力。但如 果公司不能准确地跟踪市场变化，及时响应市场需求，优化产品功能，提升服务品质，公司将面临技术更 新与产品开发的风险。</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针对上述问题公司将加强自身研发队伍的建设，以市场需求为导向，研究行业技术发展方向，及时掌 握国内外技术和产品的最新发展动态；强化公司核心技术，积极发展自主知识产权的计算机软件产品。</w:t>
      </w:r>
    </w:p>
    <w:p>
      <w:pPr>
        <w:pStyle w:val="Style33"/>
        <w:keepNext w:val="0"/>
        <w:keepLines w:val="0"/>
        <w:widowControl w:val="0"/>
        <w:numPr>
          <w:ilvl w:val="0"/>
          <w:numId w:val="5"/>
        </w:numPr>
        <w:shd w:val="clear" w:color="auto" w:fill="auto"/>
        <w:tabs>
          <w:tab w:pos="774" w:val="left"/>
        </w:tabs>
        <w:bidi w:val="0"/>
        <w:spacing w:before="0" w:after="0" w:line="468" w:lineRule="exact"/>
        <w:ind w:left="0" w:right="0" w:firstLine="440"/>
        <w:jc w:val="left"/>
      </w:pPr>
      <w:bookmarkStart w:id="148" w:name="bookmark148"/>
      <w:bookmarkEnd w:id="148"/>
      <w:r>
        <w:rPr>
          <w:color w:val="000000"/>
          <w:spacing w:val="0"/>
          <w:w w:val="100"/>
          <w:position w:val="0"/>
        </w:rPr>
        <w:t>人力资源风险</w:t>
      </w:r>
    </w:p>
    <w:p>
      <w:pPr>
        <w:pStyle w:val="Style3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人力资源是软件企业的核心资源，随着公司生产经营规模的持续扩张，对研发人才、销售人才、技术 服务人才、管理人才等需求量快速增加。公司人才队伍的数量及质量，已成为公司能否健康快速发展的重 要因素。针对上述风险，公司将进一步完善人才保障的常态化机制，通过提供畅通的晋升渠道、有竞争力 的薪酬条件、推行有的绩效考核与多元激励机制等措施，来满足公司业务发展对人才的需求。</w:t>
      </w:r>
    </w:p>
    <w:p>
      <w:pPr>
        <w:pStyle w:val="Style22"/>
        <w:keepNext/>
        <w:keepLines/>
        <w:widowControl w:val="0"/>
        <w:shd w:val="clear" w:color="auto" w:fill="auto"/>
        <w:tabs>
          <w:tab w:pos="581" w:val="left"/>
        </w:tabs>
        <w:bidi w:val="0"/>
        <w:spacing w:before="0" w:after="12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八</w:t>
      </w:r>
      <w:bookmarkEnd w:id="151"/>
      <w:r>
        <w:rPr>
          <w:color w:val="000000"/>
          <w:spacing w:val="0"/>
          <w:w w:val="100"/>
          <w:position w:val="0"/>
        </w:rPr>
        <w:t>、</w:t>
        <w:tab/>
        <w:t>与上年度财务报告相比，会计政策、会计估计和核算方法发生变化的情况说明</w:t>
      </w:r>
      <w:bookmarkEnd w:id="149"/>
      <w:bookmarkEnd w:id="150"/>
      <w:bookmarkEnd w:id="152"/>
    </w:p>
    <w:p>
      <w:pPr>
        <w:pStyle w:val="Style33"/>
        <w:keepNext w:val="0"/>
        <w:keepLines w:val="0"/>
        <w:widowControl w:val="0"/>
        <w:shd w:val="clear" w:color="auto" w:fill="auto"/>
        <w:bidi w:val="0"/>
        <w:spacing w:before="0" w:after="360" w:line="468" w:lineRule="exact"/>
        <w:ind w:left="0" w:right="0" w:firstLine="520"/>
        <w:jc w:val="left"/>
      </w:pPr>
      <w:r>
        <w:rPr>
          <w:color w:val="000000"/>
          <w:spacing w:val="0"/>
          <w:w w:val="100"/>
          <w:position w:val="0"/>
        </w:rPr>
        <w:t>与上年财务报告相比，会计政策、会计估计和核算方法未发生变化。</w:t>
      </w:r>
    </w:p>
    <w:p>
      <w:pPr>
        <w:pStyle w:val="Style22"/>
        <w:keepNext/>
        <w:keepLines/>
        <w:widowControl w:val="0"/>
        <w:shd w:val="clear" w:color="auto" w:fill="auto"/>
        <w:tabs>
          <w:tab w:pos="581" w:val="left"/>
        </w:tabs>
        <w:bidi w:val="0"/>
        <w:spacing w:before="0" w:after="20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九</w:t>
      </w:r>
      <w:bookmarkEnd w:id="155"/>
      <w:r>
        <w:rPr>
          <w:color w:val="000000"/>
          <w:spacing w:val="0"/>
          <w:w w:val="100"/>
          <w:position w:val="0"/>
        </w:rPr>
        <w:t>、</w:t>
        <w:tab/>
        <w:t>与上年度财务报告相比，合并报表范围发生变化的情况说明</w:t>
      </w:r>
      <w:bookmarkEnd w:id="153"/>
      <w:bookmarkEnd w:id="154"/>
      <w:bookmarkEnd w:id="156"/>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与上期相比本期新增合并单位</w:t>
      </w:r>
      <w:r>
        <w:rPr>
          <w:rFonts w:ascii="Times New Roman" w:eastAsia="Times New Roman" w:hAnsi="Times New Roman" w:cs="Times New Roman"/>
          <w:color w:val="000000"/>
          <w:spacing w:val="0"/>
          <w:w w:val="100"/>
          <w:position w:val="0"/>
        </w:rPr>
        <w:t>3</w:t>
      </w:r>
      <w:r>
        <w:rPr>
          <w:color w:val="000000"/>
          <w:spacing w:val="0"/>
          <w:w w:val="100"/>
          <w:position w:val="0"/>
        </w:rPr>
        <w:t>家，原因为公司通过新设成立子公司</w:t>
      </w:r>
      <w:r>
        <w:rPr>
          <w:rFonts w:ascii="Times New Roman" w:eastAsia="Times New Roman" w:hAnsi="Times New Roman" w:cs="Times New Roman"/>
          <w:color w:val="000000"/>
          <w:spacing w:val="0"/>
          <w:w w:val="100"/>
          <w:position w:val="0"/>
        </w:rPr>
        <w:t>3</w:t>
      </w:r>
      <w:r>
        <w:rPr>
          <w:color w:val="000000"/>
          <w:spacing w:val="0"/>
          <w:w w:val="100"/>
          <w:position w:val="0"/>
        </w:rPr>
        <w:t>家：</w:t>
      </w:r>
    </w:p>
    <w:p>
      <w:pPr>
        <w:pStyle w:val="Style33"/>
        <w:keepNext w:val="0"/>
        <w:keepLines w:val="0"/>
        <w:widowControl w:val="0"/>
        <w:shd w:val="clear" w:color="auto" w:fill="auto"/>
        <w:bidi w:val="0"/>
        <w:spacing w:before="0" w:after="0" w:line="468" w:lineRule="exact"/>
        <w:ind w:left="0" w:right="0" w:firstLine="440"/>
        <w:jc w:val="both"/>
      </w:pPr>
      <w:bookmarkStart w:id="157" w:name="bookmark157"/>
      <w:r>
        <w:rPr>
          <w:rFonts w:ascii="Times New Roman" w:eastAsia="Times New Roman" w:hAnsi="Times New Roman" w:cs="Times New Roman"/>
          <w:color w:val="000000"/>
          <w:spacing w:val="0"/>
          <w:w w:val="100"/>
          <w:position w:val="0"/>
        </w:rPr>
        <w:t>1</w:t>
      </w:r>
      <w:bookmarkEnd w:id="157"/>
      <w:r>
        <w:rPr>
          <w:color w:val="000000"/>
          <w:spacing w:val="0"/>
          <w:w w:val="100"/>
          <w:position w:val="0"/>
        </w:rPr>
        <w:t xml:space="preserve">、北京中科金财电子产品有限公司由公司与北京恒沙科技有限责任公司共同组建成立的有限责任公 </w:t>
      </w:r>
      <w:r>
        <w:rPr>
          <w:color w:val="000000"/>
          <w:spacing w:val="0"/>
          <w:w w:val="100"/>
          <w:position w:val="0"/>
        </w:rPr>
        <w:t>司，该公司注册资本</w:t>
      </w:r>
      <w:r>
        <w:rPr>
          <w:rFonts w:ascii="Times New Roman" w:eastAsia="Times New Roman" w:hAnsi="Times New Roman" w:cs="Times New Roman"/>
          <w:color w:val="000000"/>
          <w:spacing w:val="0"/>
          <w:w w:val="100"/>
          <w:position w:val="0"/>
        </w:rPr>
        <w:t>4,000</w:t>
      </w:r>
      <w:r>
        <w:rPr>
          <w:color w:val="000000"/>
          <w:spacing w:val="0"/>
          <w:w w:val="100"/>
          <w:position w:val="0"/>
        </w:rPr>
        <w:t>万元，公司投资</w:t>
      </w:r>
      <w:r>
        <w:rPr>
          <w:rFonts w:ascii="Times New Roman" w:eastAsia="Times New Roman" w:hAnsi="Times New Roman" w:cs="Times New Roman"/>
          <w:color w:val="000000"/>
          <w:spacing w:val="0"/>
          <w:w w:val="100"/>
          <w:position w:val="0"/>
        </w:rPr>
        <w:t>2,040.00</w:t>
      </w:r>
      <w:r>
        <w:rPr>
          <w:color w:val="000000"/>
          <w:spacing w:val="0"/>
          <w:w w:val="100"/>
          <w:position w:val="0"/>
        </w:rPr>
        <w:t>万元，持股比例</w:t>
      </w:r>
      <w:r>
        <w:rPr>
          <w:rFonts w:ascii="Times New Roman" w:eastAsia="Times New Roman" w:hAnsi="Times New Roman" w:cs="Times New Roman"/>
          <w:color w:val="000000"/>
          <w:spacing w:val="0"/>
          <w:w w:val="100"/>
          <w:position w:val="0"/>
        </w:rPr>
        <w:t>51%</w:t>
      </w:r>
      <w:r>
        <w:rPr>
          <w:color w:val="000000"/>
          <w:spacing w:val="0"/>
          <w:w w:val="100"/>
          <w:position w:val="0"/>
        </w:rPr>
        <w:t>，</w:t>
      </w:r>
      <w:r>
        <w:rPr>
          <w:color w:val="000000"/>
          <w:spacing w:val="0"/>
          <w:w w:val="100"/>
          <w:position w:val="0"/>
        </w:rPr>
        <w:t>截止至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日，中科电子 实收资本</w:t>
      </w:r>
      <w:r>
        <w:rPr>
          <w:rFonts w:ascii="Times New Roman" w:eastAsia="Times New Roman" w:hAnsi="Times New Roman" w:cs="Times New Roman"/>
          <w:color w:val="000000"/>
          <w:spacing w:val="0"/>
          <w:w w:val="100"/>
          <w:position w:val="0"/>
        </w:rPr>
        <w:t>800</w:t>
      </w:r>
      <w:r>
        <w:rPr>
          <w:color w:val="000000"/>
          <w:spacing w:val="0"/>
          <w:w w:val="100"/>
          <w:position w:val="0"/>
        </w:rPr>
        <w:t>万元，其中公司缴付</w:t>
      </w:r>
      <w:r>
        <w:rPr>
          <w:rFonts w:ascii="Times New Roman" w:eastAsia="Times New Roman" w:hAnsi="Times New Roman" w:cs="Times New Roman"/>
          <w:color w:val="000000"/>
          <w:spacing w:val="0"/>
          <w:w w:val="100"/>
          <w:position w:val="0"/>
        </w:rPr>
        <w:t>408</w:t>
      </w:r>
      <w:r>
        <w:rPr>
          <w:color w:val="000000"/>
          <w:spacing w:val="0"/>
          <w:w w:val="100"/>
          <w:position w:val="0"/>
        </w:rPr>
        <w:t>万元，其他股东缴付</w:t>
      </w:r>
      <w:r>
        <w:rPr>
          <w:rFonts w:ascii="Times New Roman" w:eastAsia="Times New Roman" w:hAnsi="Times New Roman" w:cs="Times New Roman"/>
          <w:color w:val="000000"/>
          <w:spacing w:val="0"/>
          <w:w w:val="100"/>
          <w:position w:val="0"/>
        </w:rPr>
        <w:t>392</w:t>
      </w:r>
      <w:r>
        <w:rPr>
          <w:color w:val="000000"/>
          <w:spacing w:val="0"/>
          <w:w w:val="100"/>
          <w:position w:val="0"/>
        </w:rPr>
        <w:t>万元。</w:t>
      </w:r>
    </w:p>
    <w:p>
      <w:pPr>
        <w:pStyle w:val="Style33"/>
        <w:keepNext w:val="0"/>
        <w:keepLines w:val="0"/>
        <w:widowControl w:val="0"/>
        <w:shd w:val="clear" w:color="auto" w:fill="auto"/>
        <w:bidi w:val="0"/>
        <w:spacing w:before="0" w:after="0" w:line="466" w:lineRule="exact"/>
        <w:ind w:left="0" w:right="0" w:firstLine="440"/>
        <w:jc w:val="left"/>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 北京中科金财信息技术有限公司由公司与自然人袁渊、蒋渊舜、帅军共同组建成立的有限责任公 司，该公司注册资本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万元，公司投资</w:t>
      </w:r>
      <w:r>
        <w:rPr>
          <w:rFonts w:ascii="Times New Roman" w:eastAsia="Times New Roman" w:hAnsi="Times New Roman" w:cs="Times New Roman"/>
          <w:color w:val="000000"/>
          <w:spacing w:val="0"/>
          <w:w w:val="100"/>
          <w:position w:val="0"/>
        </w:rPr>
        <w:t>700.00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70%</w:t>
      </w:r>
      <w:r>
        <w:rPr>
          <w:color w:val="000000"/>
          <w:spacing w:val="0"/>
          <w:w w:val="100"/>
          <w:position w:val="0"/>
        </w:rPr>
        <w:t>，</w:t>
      </w:r>
      <w:r>
        <w:rPr>
          <w:color w:val="000000"/>
          <w:spacing w:val="0"/>
          <w:w w:val="100"/>
          <w:position w:val="0"/>
        </w:rPr>
        <w:t>截止至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日，中科信息 实收资本</w:t>
      </w:r>
      <w:r>
        <w:rPr>
          <w:rFonts w:ascii="Times New Roman" w:eastAsia="Times New Roman" w:hAnsi="Times New Roman" w:cs="Times New Roman"/>
          <w:color w:val="000000"/>
          <w:spacing w:val="0"/>
          <w:w w:val="100"/>
          <w:position w:val="0"/>
        </w:rPr>
        <w:t>850</w:t>
      </w:r>
      <w:r>
        <w:rPr>
          <w:color w:val="000000"/>
          <w:spacing w:val="0"/>
          <w:w w:val="100"/>
          <w:position w:val="0"/>
        </w:rPr>
        <w:t>万元，其中公司缴付</w:t>
      </w:r>
      <w:r>
        <w:rPr>
          <w:rFonts w:ascii="Times New Roman" w:eastAsia="Times New Roman" w:hAnsi="Times New Roman" w:cs="Times New Roman"/>
          <w:color w:val="000000"/>
          <w:spacing w:val="0"/>
          <w:w w:val="100"/>
          <w:position w:val="0"/>
        </w:rPr>
        <w:t>700</w:t>
      </w:r>
      <w:r>
        <w:rPr>
          <w:color w:val="000000"/>
          <w:spacing w:val="0"/>
          <w:w w:val="100"/>
          <w:position w:val="0"/>
        </w:rPr>
        <w:t>万元，其它股东合计共缴付</w:t>
      </w:r>
      <w:r>
        <w:rPr>
          <w:rFonts w:ascii="Times New Roman" w:eastAsia="Times New Roman" w:hAnsi="Times New Roman" w:cs="Times New Roman"/>
          <w:color w:val="000000"/>
          <w:spacing w:val="0"/>
          <w:w w:val="100"/>
          <w:position w:val="0"/>
        </w:rPr>
        <w:t>150</w:t>
      </w:r>
      <w:r>
        <w:rPr>
          <w:color w:val="000000"/>
          <w:spacing w:val="0"/>
          <w:w w:val="100"/>
          <w:position w:val="0"/>
        </w:rPr>
        <w:t>万元。</w:t>
      </w:r>
    </w:p>
    <w:p>
      <w:pPr>
        <w:pStyle w:val="Style33"/>
        <w:keepNext w:val="0"/>
        <w:keepLines w:val="0"/>
        <w:widowControl w:val="0"/>
        <w:shd w:val="clear" w:color="auto" w:fill="auto"/>
        <w:bidi w:val="0"/>
        <w:spacing w:before="0" w:after="460" w:line="466" w:lineRule="exact"/>
        <w:ind w:left="0" w:right="0" w:firstLine="440"/>
        <w:jc w:val="left"/>
      </w:pPr>
      <w:bookmarkStart w:id="159" w:name="bookmark159"/>
      <w:r>
        <w:rPr>
          <w:rFonts w:ascii="Times New Roman" w:eastAsia="Times New Roman" w:hAnsi="Times New Roman" w:cs="Times New Roman"/>
          <w:color w:val="000000"/>
          <w:spacing w:val="0"/>
          <w:w w:val="100"/>
          <w:position w:val="0"/>
        </w:rPr>
        <w:t>3</w:t>
      </w:r>
      <w:bookmarkEnd w:id="159"/>
      <w:r>
        <w:rPr>
          <w:color w:val="000000"/>
          <w:spacing w:val="0"/>
          <w:w w:val="100"/>
          <w:position w:val="0"/>
        </w:rPr>
        <w:t>、 北京中科金财软件技术有限公司由公司独资设立的有限责任公司，注册资本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万元。截止至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日，企业尚未正式运营。</w:t>
      </w:r>
    </w:p>
    <w:p>
      <w:pPr>
        <w:pStyle w:val="Style22"/>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r>
        <w:rPr>
          <w:color w:val="000000"/>
          <w:spacing w:val="0"/>
          <w:w w:val="100"/>
          <w:position w:val="0"/>
        </w:rPr>
        <w:t>十、公司利润分配及分红派息情况</w:t>
      </w:r>
      <w:bookmarkEnd w:id="160"/>
      <w:bookmarkEnd w:id="161"/>
      <w:bookmarkEnd w:id="16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根据中国证监会《关于进一步落实上市公司现金分红有关事项的通知》（证监发</w:t>
      </w:r>
      <w:r>
        <w:rPr>
          <w:color w:val="000000"/>
          <w:spacing w:val="0"/>
          <w:w w:val="100"/>
          <w:position w:val="0"/>
        </w:rPr>
        <w:t>[2012]37</w:t>
      </w:r>
      <w:r>
        <w:rPr>
          <w:color w:val="000000"/>
          <w:spacing w:val="0"/>
          <w:w w:val="100"/>
          <w:position w:val="0"/>
        </w:rPr>
        <w:t>号）、北京证 监局《关于进一步完善上市公司现金分红有关事项的通知》（京证公司发</w:t>
      </w:r>
      <w:r>
        <w:rPr>
          <w:color w:val="000000"/>
          <w:spacing w:val="0"/>
          <w:w w:val="100"/>
          <w:position w:val="0"/>
        </w:rPr>
        <w:t>[2012]101</w:t>
      </w:r>
      <w:r>
        <w:rPr>
          <w:color w:val="000000"/>
          <w:spacing w:val="0"/>
          <w:w w:val="100"/>
          <w:position w:val="0"/>
        </w:rPr>
        <w:t>号）等规范性文件的要 求，结合自身实际情况，公司对《北京中科金财科技股份有限公司章程》中有关利润分配的内容进行了修 订，并于公司第二届董事会第十次会议、</w:t>
      </w:r>
      <w:r>
        <w:rPr>
          <w:color w:val="000000"/>
          <w:spacing w:val="0"/>
          <w:w w:val="100"/>
          <w:position w:val="0"/>
        </w:rPr>
        <w:t>2012</w:t>
      </w:r>
      <w:r>
        <w:rPr>
          <w:color w:val="000000"/>
          <w:spacing w:val="0"/>
          <w:w w:val="100"/>
          <w:position w:val="0"/>
        </w:rPr>
        <w:t>年第一次临时股东大会审议通过。目前公司的股利分配政策 如下：</w:t>
      </w:r>
    </w:p>
    <w:p>
      <w:pPr>
        <w:pStyle w:val="Style33"/>
        <w:keepNext w:val="0"/>
        <w:keepLines w:val="0"/>
        <w:widowControl w:val="0"/>
        <w:shd w:val="clear" w:color="auto" w:fill="auto"/>
        <w:tabs>
          <w:tab w:pos="1071" w:val="left"/>
        </w:tabs>
        <w:bidi w:val="0"/>
        <w:spacing w:before="0" w:after="0" w:line="469" w:lineRule="exact"/>
        <w:ind w:left="0" w:right="0" w:firstLine="440"/>
        <w:jc w:val="left"/>
      </w:pPr>
      <w:bookmarkStart w:id="163" w:name="bookmark163"/>
      <w:r>
        <w:rPr>
          <w:color w:val="000000"/>
          <w:spacing w:val="0"/>
          <w:w w:val="100"/>
          <w:position w:val="0"/>
        </w:rPr>
        <w:t>（</w:t>
      </w:r>
      <w:bookmarkEnd w:id="163"/>
      <w:r>
        <w:rPr>
          <w:color w:val="000000"/>
          <w:spacing w:val="0"/>
          <w:w w:val="100"/>
          <w:position w:val="0"/>
        </w:rPr>
        <w:t>一）</w:t>
        <w:tab/>
        <w:t>公司利润分配政策的基本原则</w:t>
      </w:r>
      <w:r>
        <w:rPr>
          <w:color w:val="000000"/>
          <w:spacing w:val="0"/>
          <w:w w:val="100"/>
          <w:position w:val="0"/>
        </w:rPr>
        <w:t>1</w:t>
      </w:r>
      <w:r>
        <w:rPr>
          <w:color w:val="000000"/>
          <w:spacing w:val="0"/>
          <w:w w:val="100"/>
          <w:position w:val="0"/>
        </w:rPr>
        <w:t>、公司充分考虑对投资者的回报，每年将当年实现的可分配利 润按本章程的规定比例和方式向股东分配股利；</w:t>
      </w:r>
      <w:r>
        <w:rPr>
          <w:color w:val="000000"/>
          <w:spacing w:val="0"/>
          <w:w w:val="100"/>
          <w:position w:val="0"/>
        </w:rPr>
        <w:t>2</w:t>
      </w:r>
      <w:r>
        <w:rPr>
          <w:color w:val="000000"/>
          <w:spacing w:val="0"/>
          <w:w w:val="100"/>
          <w:position w:val="0"/>
        </w:rPr>
        <w:t>、公司的利润分配政策保持连续性和稳定性，同时兼顾 公司的长远利益、全体股东的整体利益及公司的可持续发展；</w:t>
      </w:r>
      <w:r>
        <w:rPr>
          <w:color w:val="000000"/>
          <w:spacing w:val="0"/>
          <w:w w:val="100"/>
          <w:position w:val="0"/>
        </w:rPr>
        <w:t>3</w:t>
      </w:r>
      <w:r>
        <w:rPr>
          <w:color w:val="000000"/>
          <w:spacing w:val="0"/>
          <w:w w:val="100"/>
          <w:position w:val="0"/>
        </w:rPr>
        <w:t>、公司优先采用现金分红的利润分配方式。</w:t>
      </w:r>
    </w:p>
    <w:p>
      <w:pPr>
        <w:pStyle w:val="Style33"/>
        <w:keepNext w:val="0"/>
        <w:keepLines w:val="0"/>
        <w:widowControl w:val="0"/>
        <w:shd w:val="clear" w:color="auto" w:fill="auto"/>
        <w:tabs>
          <w:tab w:pos="1071" w:val="left"/>
        </w:tabs>
        <w:bidi w:val="0"/>
        <w:spacing w:before="0" w:after="0" w:line="469" w:lineRule="exact"/>
        <w:ind w:left="0" w:right="0" w:firstLine="440"/>
        <w:jc w:val="left"/>
      </w:pPr>
      <w:bookmarkStart w:id="164" w:name="bookmark164"/>
      <w:r>
        <w:rPr>
          <w:color w:val="000000"/>
          <w:spacing w:val="0"/>
          <w:w w:val="100"/>
          <w:position w:val="0"/>
        </w:rPr>
        <w:t>（</w:t>
      </w:r>
      <w:bookmarkEnd w:id="164"/>
      <w:r>
        <w:rPr>
          <w:color w:val="000000"/>
          <w:spacing w:val="0"/>
          <w:w w:val="100"/>
          <w:position w:val="0"/>
        </w:rPr>
        <w:t>二）</w:t>
        <w:tab/>
        <w:t>公司具体的利润分配政策</w:t>
      </w:r>
      <w:r>
        <w:rPr>
          <w:color w:val="000000"/>
          <w:spacing w:val="0"/>
          <w:w w:val="100"/>
          <w:position w:val="0"/>
        </w:rPr>
        <w:t>1</w:t>
      </w:r>
      <w:r>
        <w:rPr>
          <w:color w:val="000000"/>
          <w:spacing w:val="0"/>
          <w:w w:val="100"/>
          <w:position w:val="0"/>
        </w:rPr>
        <w:t>、利润分配的形式：公司采用现金、股票或者现金与股票相结合的 方式分配股利。在有条件的情况下，公司可以进行中期利润分配；</w:t>
      </w:r>
      <w:r>
        <w:rPr>
          <w:color w:val="000000"/>
          <w:spacing w:val="0"/>
          <w:w w:val="100"/>
          <w:position w:val="0"/>
        </w:rPr>
        <w:t>2</w:t>
      </w:r>
      <w:r>
        <w:rPr>
          <w:color w:val="000000"/>
          <w:spacing w:val="0"/>
          <w:w w:val="100"/>
          <w:position w:val="0"/>
        </w:rPr>
        <w:t>、公司现金分红的具体条件和比例： 除特殊情况外，公司在当年盈利且累计未分配利润为正的情况下，采取现金方式分配股利，每年以现金方 式分配的利润不少于当年实现的可分配利润的</w:t>
      </w:r>
      <w:r>
        <w:rPr>
          <w:color w:val="000000"/>
          <w:spacing w:val="0"/>
          <w:w w:val="100"/>
          <w:position w:val="0"/>
        </w:rPr>
        <w:t>15%</w:t>
      </w:r>
      <w:r>
        <w:rPr>
          <w:color w:val="000000"/>
          <w:spacing w:val="0"/>
          <w:w w:val="100"/>
          <w:position w:val="0"/>
        </w:rPr>
        <w:t>。特殊情况是指：</w:t>
      </w:r>
      <w:r>
        <w:rPr>
          <w:color w:val="000000"/>
          <w:spacing w:val="0"/>
          <w:w w:val="100"/>
          <w:position w:val="0"/>
        </w:rPr>
        <w:t>（1）</w:t>
      </w:r>
      <w:r>
        <w:rPr>
          <w:color w:val="000000"/>
          <w:spacing w:val="0"/>
          <w:w w:val="100"/>
          <w:position w:val="0"/>
        </w:rPr>
        <w:t>公司有重大投资计划或重大现金 支出等事项发生（募集资金项目除外）。即，公司未来十二个月内拟对外投资、收购资产或者购买设备累 计支出达到或超过公司最近一期经审计净资产的</w:t>
      </w:r>
      <w:r>
        <w:rPr>
          <w:color w:val="000000"/>
          <w:spacing w:val="0"/>
          <w:w w:val="100"/>
          <w:position w:val="0"/>
        </w:rPr>
        <w:t>30%；（2）</w:t>
      </w:r>
      <w:r>
        <w:rPr>
          <w:color w:val="000000"/>
          <w:spacing w:val="0"/>
          <w:w w:val="100"/>
          <w:position w:val="0"/>
        </w:rPr>
        <w:t>公司年末资产负债率超过</w:t>
      </w:r>
      <w:r>
        <w:rPr>
          <w:color w:val="000000"/>
          <w:spacing w:val="0"/>
          <w:w w:val="100"/>
          <w:position w:val="0"/>
        </w:rPr>
        <w:t>70%；（3）</w:t>
      </w:r>
      <w:r>
        <w:rPr>
          <w:color w:val="000000"/>
          <w:spacing w:val="0"/>
          <w:w w:val="100"/>
          <w:position w:val="0"/>
        </w:rPr>
        <w:t>公司当年 经营活动产生的现金流量净额为负数。</w:t>
      </w:r>
      <w:r>
        <w:rPr>
          <w:color w:val="000000"/>
          <w:spacing w:val="0"/>
          <w:w w:val="100"/>
          <w:position w:val="0"/>
        </w:rPr>
        <w:t>3</w:t>
      </w:r>
      <w:r>
        <w:rPr>
          <w:color w:val="000000"/>
          <w:spacing w:val="0"/>
          <w:w w:val="100"/>
          <w:position w:val="0"/>
        </w:rPr>
        <w:t>、公司发放股票股利的具体条件：公司在经营情况良好，同时当 年实现的每股收益超过</w:t>
      </w:r>
      <w:r>
        <w:rPr>
          <w:color w:val="000000"/>
          <w:spacing w:val="0"/>
          <w:w w:val="100"/>
          <w:position w:val="0"/>
        </w:rPr>
        <w:t>0.5</w:t>
      </w:r>
      <w:r>
        <w:rPr>
          <w:color w:val="000000"/>
          <w:spacing w:val="0"/>
          <w:w w:val="100"/>
          <w:position w:val="0"/>
        </w:rPr>
        <w:t>元时，并且董事会认为公司股票价格与公司股本规模不匹配、发放股票股利有 利于公司全体股东整体利益时，可以在满足上述现金分红的条件下，提出股票股利分配预案。</w:t>
      </w:r>
    </w:p>
    <w:p>
      <w:pPr>
        <w:pStyle w:val="Style33"/>
        <w:keepNext w:val="0"/>
        <w:keepLines w:val="0"/>
        <w:widowControl w:val="0"/>
        <w:shd w:val="clear" w:color="auto" w:fill="auto"/>
        <w:tabs>
          <w:tab w:pos="1066" w:val="left"/>
        </w:tabs>
        <w:bidi w:val="0"/>
        <w:spacing w:before="0" w:after="0" w:line="469" w:lineRule="exact"/>
        <w:ind w:left="0" w:right="0" w:firstLine="440"/>
        <w:jc w:val="left"/>
      </w:pPr>
      <w:bookmarkStart w:id="165" w:name="bookmark165"/>
      <w:r>
        <w:rPr>
          <w:color w:val="000000"/>
          <w:spacing w:val="0"/>
          <w:w w:val="100"/>
          <w:position w:val="0"/>
        </w:rPr>
        <w:t>（</w:t>
      </w:r>
      <w:bookmarkEnd w:id="165"/>
      <w:r>
        <w:rPr>
          <w:color w:val="000000"/>
          <w:spacing w:val="0"/>
          <w:w w:val="100"/>
          <w:position w:val="0"/>
        </w:rPr>
        <w:t>三）</w:t>
        <w:tab/>
        <w:t>公司利润分配方案的审议程序：</w:t>
      </w:r>
      <w:r>
        <w:rPr>
          <w:color w:val="000000"/>
          <w:spacing w:val="0"/>
          <w:w w:val="100"/>
          <w:position w:val="0"/>
        </w:rPr>
        <w:t>1</w:t>
      </w:r>
      <w:r>
        <w:rPr>
          <w:color w:val="000000"/>
          <w:spacing w:val="0"/>
          <w:w w:val="100"/>
          <w:position w:val="0"/>
        </w:rPr>
        <w:t xml:space="preserve">、公司的利润分配方案由董事会战略委员会拟定后提交公司 董事会、监事会审议，独立董事应对利润分配方案发表明确意见。董事会应就利润分配方案的合理性进行 </w:t>
      </w:r>
      <w:r>
        <w:rPr>
          <w:color w:val="000000"/>
          <w:spacing w:val="0"/>
          <w:w w:val="100"/>
          <w:position w:val="0"/>
        </w:rPr>
        <w:t>充分讨论，形成专项决议后提交股东大会审议，并在发布召开股东大会的通知时，公告独立董事和监事会 意见。</w:t>
      </w:r>
      <w:r>
        <w:rPr>
          <w:color w:val="000000"/>
          <w:spacing w:val="0"/>
          <w:w w:val="100"/>
          <w:position w:val="0"/>
        </w:rPr>
        <w:t>2</w:t>
      </w:r>
      <w:r>
        <w:rPr>
          <w:color w:val="000000"/>
          <w:spacing w:val="0"/>
          <w:w w:val="100"/>
          <w:position w:val="0"/>
        </w:rPr>
        <w:t>、公司因前述（二）的规定的特殊情况而不进行现金分红时，董事会就不进行现金分红的具体原 因、公司留存收益的确切用途及预计投资收益等事项进行专项说明，经独立董事发表意见后提交股东大会 审议批准，同时，公司应当在定期报告中披露原因。股东大会审议不进行现金分红的议案时，公司应为股 东提供网络投票方式。</w:t>
      </w:r>
      <w:r>
        <w:rPr>
          <w:color w:val="000000"/>
          <w:spacing w:val="0"/>
          <w:w w:val="100"/>
          <w:position w:val="0"/>
        </w:rPr>
        <w:t>3</w:t>
      </w:r>
      <w:r>
        <w:rPr>
          <w:color w:val="000000"/>
          <w:spacing w:val="0"/>
          <w:w w:val="100"/>
          <w:position w:val="0"/>
        </w:rPr>
        <w:t>、股东大会对现金分红具体方案进行审议时，应当通过多种渠道主动与股东特别 是中小股东进行沟通和交流（包括但不限于电话沟通、筹划投资者接待日或邀请中小股东参会等），充分 听取中小股东的意见和诉求，并及时答复中小股东关心的问题。</w:t>
      </w:r>
    </w:p>
    <w:p>
      <w:pPr>
        <w:pStyle w:val="Style33"/>
        <w:keepNext w:val="0"/>
        <w:keepLines w:val="0"/>
        <w:widowControl w:val="0"/>
        <w:shd w:val="clear" w:color="auto" w:fill="auto"/>
        <w:tabs>
          <w:tab w:pos="1071" w:val="left"/>
        </w:tabs>
        <w:bidi w:val="0"/>
        <w:spacing w:before="0" w:after="0" w:line="467" w:lineRule="exact"/>
        <w:ind w:left="0" w:right="0" w:firstLine="440"/>
        <w:jc w:val="left"/>
      </w:pPr>
      <w:bookmarkStart w:id="166" w:name="bookmark166"/>
      <w:r>
        <w:rPr>
          <w:color w:val="000000"/>
          <w:spacing w:val="0"/>
          <w:w w:val="100"/>
          <w:position w:val="0"/>
        </w:rPr>
        <w:t>（</w:t>
      </w:r>
      <w:bookmarkEnd w:id="166"/>
      <w:r>
        <w:rPr>
          <w:color w:val="000000"/>
          <w:spacing w:val="0"/>
          <w:w w:val="100"/>
          <w:position w:val="0"/>
        </w:rPr>
        <w:t>四）</w:t>
        <w:tab/>
        <w:t>公司利润分配方案的实施：公司股东大会对利润分配方案做出决议后，公司董事会须在股东大 会召开后</w:t>
      </w:r>
      <w:r>
        <w:rPr>
          <w:color w:val="000000"/>
          <w:spacing w:val="0"/>
          <w:w w:val="100"/>
          <w:position w:val="0"/>
        </w:rPr>
        <w:t>2</w:t>
      </w:r>
      <w:r>
        <w:rPr>
          <w:color w:val="000000"/>
          <w:spacing w:val="0"/>
          <w:w w:val="100"/>
          <w:position w:val="0"/>
        </w:rPr>
        <w:t>个月内完成股利（或股份）的派发事项。</w:t>
      </w:r>
    </w:p>
    <w:p>
      <w:pPr>
        <w:pStyle w:val="Style33"/>
        <w:keepNext w:val="0"/>
        <w:keepLines w:val="0"/>
        <w:widowControl w:val="0"/>
        <w:shd w:val="clear" w:color="auto" w:fill="auto"/>
        <w:tabs>
          <w:tab w:pos="1071" w:val="left"/>
        </w:tabs>
        <w:bidi w:val="0"/>
        <w:spacing w:before="0" w:after="0" w:line="467" w:lineRule="exact"/>
        <w:ind w:left="0" w:right="0" w:firstLine="440"/>
        <w:jc w:val="left"/>
      </w:pPr>
      <w:bookmarkStart w:id="167" w:name="bookmark167"/>
      <w:r>
        <w:rPr>
          <w:color w:val="000000"/>
          <w:spacing w:val="0"/>
          <w:w w:val="100"/>
          <w:position w:val="0"/>
        </w:rPr>
        <w:t>（</w:t>
      </w:r>
      <w:bookmarkEnd w:id="167"/>
      <w:r>
        <w:rPr>
          <w:color w:val="000000"/>
          <w:spacing w:val="0"/>
          <w:w w:val="100"/>
          <w:position w:val="0"/>
        </w:rPr>
        <w:t>五）</w:t>
        <w:tab/>
        <w:t>公司利润分配政策的变更：</w:t>
      </w:r>
      <w:r>
        <w:rPr>
          <w:color w:val="000000"/>
          <w:spacing w:val="0"/>
          <w:w w:val="100"/>
          <w:position w:val="0"/>
        </w:rPr>
        <w:t>1</w:t>
      </w:r>
      <w:r>
        <w:rPr>
          <w:color w:val="000000"/>
          <w:spacing w:val="0"/>
          <w:w w:val="100"/>
          <w:position w:val="0"/>
        </w:rPr>
        <w:t>、如遇到战争、自然灾害等不可抗力、或者公司外部经营环境变 化并对公司生产经营造成重大影响，或公司自身经营状况发生较大变化时，公司可对利润分配政策进行调 整，调整后的利润分配政策不得违反中国证监会和证券交易所的有关规定。</w:t>
      </w:r>
      <w:r>
        <w:rPr>
          <w:color w:val="000000"/>
          <w:spacing w:val="0"/>
          <w:w w:val="100"/>
          <w:position w:val="0"/>
        </w:rPr>
        <w:t>2</w:t>
      </w:r>
      <w:r>
        <w:rPr>
          <w:color w:val="000000"/>
          <w:spacing w:val="0"/>
          <w:w w:val="100"/>
          <w:position w:val="0"/>
        </w:rPr>
        <w:t>、公司调整利润分配政策应 由董事会做出专题论述，详细论证调整理由，形成书面论证报告并经独立董事审议后提交股东大会特别决 议通过。同时，公司应当提供网络投票方式为公众投资者参加股东大会提供便利。</w:t>
      </w:r>
      <w:r>
        <w:rPr>
          <w:color w:val="000000"/>
          <w:spacing w:val="0"/>
          <w:w w:val="100"/>
          <w:position w:val="0"/>
        </w:rPr>
        <w:t>3</w:t>
      </w:r>
      <w:r>
        <w:rPr>
          <w:color w:val="000000"/>
          <w:spacing w:val="0"/>
          <w:w w:val="100"/>
          <w:position w:val="0"/>
        </w:rPr>
        <w:t>、在充分考虑对投资 者的合理投资回报并兼顾公司的可持续发展的基础上，公司董事会可制订股利分配规划，并报股东大会批 准。</w:t>
      </w:r>
    </w:p>
    <w:p>
      <w:pPr>
        <w:pStyle w:val="Style33"/>
        <w:keepNext w:val="0"/>
        <w:keepLines w:val="0"/>
        <w:widowControl w:val="0"/>
        <w:shd w:val="clear" w:color="auto" w:fill="auto"/>
        <w:tabs>
          <w:tab w:pos="1066" w:val="left"/>
        </w:tabs>
        <w:bidi w:val="0"/>
        <w:spacing w:before="0" w:after="0" w:line="467" w:lineRule="exact"/>
        <w:ind w:left="0" w:right="0" w:firstLine="440"/>
        <w:jc w:val="left"/>
      </w:pPr>
      <w:bookmarkStart w:id="168" w:name="bookmark168"/>
      <w:r>
        <w:rPr>
          <w:color w:val="000000"/>
          <w:spacing w:val="0"/>
          <w:w w:val="100"/>
          <w:position w:val="0"/>
        </w:rPr>
        <w:t>（</w:t>
      </w:r>
      <w:bookmarkEnd w:id="168"/>
      <w:r>
        <w:rPr>
          <w:color w:val="000000"/>
          <w:spacing w:val="0"/>
          <w:w w:val="100"/>
          <w:position w:val="0"/>
        </w:rPr>
        <w:t>六）</w:t>
        <w:tab/>
        <w:t>存在股东违规占用公司资金情况的，公司应当扣减该股东所分配的现金红利，以偿还其占用的 资金。</w:t>
      </w:r>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公司现金分红政策的执行情况：</w:t>
      </w:r>
    </w:p>
    <w:p>
      <w:pPr>
        <w:pStyle w:val="Style33"/>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公司严格按照《公司章程》的规定制定现金分红方案。公司于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日第二届董事会第十六 次会议审议通过了《</w:t>
      </w:r>
      <w:r>
        <w:rPr>
          <w:color w:val="000000"/>
          <w:spacing w:val="0"/>
          <w:w w:val="100"/>
          <w:position w:val="0"/>
        </w:rPr>
        <w:t>2012</w:t>
      </w:r>
      <w:r>
        <w:rPr>
          <w:color w:val="000000"/>
          <w:spacing w:val="0"/>
          <w:w w:val="100"/>
          <w:position w:val="0"/>
        </w:rPr>
        <w:t>年利润分配预案》，公司</w:t>
      </w:r>
      <w:r>
        <w:rPr>
          <w:color w:val="000000"/>
          <w:spacing w:val="0"/>
          <w:w w:val="100"/>
          <w:position w:val="0"/>
        </w:rPr>
        <w:t>2012</w:t>
      </w:r>
      <w:r>
        <w:rPr>
          <w:color w:val="000000"/>
          <w:spacing w:val="0"/>
          <w:w w:val="100"/>
          <w:position w:val="0"/>
        </w:rPr>
        <w:t>年年度利润分配预案如下：以公司截止</w:t>
      </w:r>
      <w:r>
        <w:rPr>
          <w:color w:val="000000"/>
          <w:spacing w:val="0"/>
          <w:w w:val="100"/>
          <w:position w:val="0"/>
        </w:rPr>
        <w:t>2012</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69,797,534</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1.5</w:t>
      </w:r>
      <w:r>
        <w:rPr>
          <w:color w:val="000000"/>
          <w:spacing w:val="0"/>
          <w:w w:val="100"/>
          <w:position w:val="0"/>
        </w:rPr>
        <w:t>元（含税），共计派发 现金股利</w:t>
      </w:r>
      <w:r>
        <w:rPr>
          <w:color w:val="000000"/>
          <w:spacing w:val="0"/>
          <w:w w:val="100"/>
          <w:position w:val="0"/>
        </w:rPr>
        <w:t>10,469,630.08</w:t>
      </w:r>
      <w:r>
        <w:rPr>
          <w:color w:val="000000"/>
          <w:spacing w:val="0"/>
          <w:w w:val="100"/>
          <w:position w:val="0"/>
        </w:rPr>
        <w:t>元；同时进行资本公积金转增股本，以公司总股本</w:t>
      </w:r>
      <w:r>
        <w:rPr>
          <w:color w:val="000000"/>
          <w:spacing w:val="0"/>
          <w:w w:val="100"/>
          <w:position w:val="0"/>
        </w:rPr>
        <w:t>69,797,534</w:t>
      </w:r>
      <w:r>
        <w:rPr>
          <w:color w:val="000000"/>
          <w:spacing w:val="0"/>
          <w:w w:val="100"/>
          <w:position w:val="0"/>
        </w:rPr>
        <w:t>股为基础，向全 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股。资本公积金转增股本后公司总股本增加至</w:t>
      </w:r>
      <w:r>
        <w:rPr>
          <w:color w:val="000000"/>
          <w:spacing w:val="0"/>
          <w:w w:val="100"/>
          <w:position w:val="0"/>
        </w:rPr>
        <w:t>104,696, 301</w:t>
      </w:r>
      <w:r>
        <w:rPr>
          <w:color w:val="000000"/>
          <w:spacing w:val="0"/>
          <w:w w:val="100"/>
          <w:position w:val="0"/>
        </w:rPr>
        <w:t>股，上述现金股利及送 转股份已于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日记入股东账户。本次利润分配后，公司总股本增加至</w:t>
      </w:r>
      <w:r>
        <w:rPr>
          <w:color w:val="000000"/>
          <w:spacing w:val="0"/>
          <w:w w:val="100"/>
          <w:position w:val="0"/>
        </w:rPr>
        <w:t>104,696,301</w:t>
      </w:r>
      <w:r>
        <w:rPr>
          <w:color w:val="000000"/>
          <w:spacing w:val="0"/>
          <w:w w:val="100"/>
          <w:position w:val="0"/>
        </w:rPr>
        <w:t>股。</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9" w:h="17415"/>
          <w:pgMar w:top="1387" w:right="1028" w:bottom="1460" w:left="1050" w:header="0" w:footer="3" w:gutter="0"/>
          <w:pgNumType w:start="26"/>
          <w:cols w:space="720"/>
          <w:noEndnote/>
          <w:rtlGutter w:val="0"/>
          <w:docGrid w:linePitch="360"/>
        </w:sectPr>
      </w:pPr>
    </w:p>
    <w:tbl>
      <w:tblPr>
        <w:tblOverlap w:val="never"/>
        <w:jc w:val="center"/>
        <w:tblLayout w:type="fixed"/>
      </w:tblPr>
      <w:tblGrid>
        <w:gridCol w:w="4234"/>
        <w:gridCol w:w="5352"/>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6"/>
        <w:keepNext/>
        <w:keepLines/>
        <w:widowControl w:val="0"/>
        <w:shd w:val="clear" w:color="auto" w:fill="auto"/>
        <w:bidi w:val="0"/>
        <w:spacing w:before="0" w:after="0" w:line="240" w:lineRule="auto"/>
        <w:ind w:left="0" w:right="0" w:firstLine="0"/>
        <w:jc w:val="both"/>
      </w:pPr>
      <w:bookmarkStart w:id="169" w:name="bookmark169"/>
      <w:bookmarkStart w:id="170" w:name="bookmark170"/>
      <w:bookmarkStart w:id="171" w:name="bookmark171"/>
      <w:r>
        <w:rPr>
          <w:color w:val="000000"/>
          <w:spacing w:val="0"/>
          <w:w w:val="100"/>
          <w:position w:val="0"/>
        </w:rPr>
        <w:t>公司近3年（含报告期）的利润分配预案或方案及资本公积金转增股本预案或方案情况</w:t>
      </w:r>
      <w:bookmarkEnd w:id="169"/>
      <w:bookmarkEnd w:id="170"/>
      <w:bookmarkEnd w:id="171"/>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w:t>
      </w:r>
      <w:r>
        <w:rPr>
          <w:color w:val="000000"/>
          <w:spacing w:val="0"/>
          <w:w w:val="100"/>
          <w:position w:val="0"/>
        </w:rPr>
        <w:t>2011</w:t>
      </w:r>
      <w:r>
        <w:rPr>
          <w:color w:val="000000"/>
          <w:spacing w:val="0"/>
          <w:w w:val="100"/>
          <w:position w:val="0"/>
        </w:rPr>
        <w:t>年度未进行现金分红，主要原因是</w:t>
      </w:r>
      <w:r>
        <w:rPr>
          <w:color w:val="000000"/>
          <w:spacing w:val="0"/>
          <w:w w:val="100"/>
          <w:position w:val="0"/>
        </w:rPr>
        <w:t>：2012</w:t>
      </w:r>
      <w:r>
        <w:rPr>
          <w:color w:val="000000"/>
          <w:spacing w:val="0"/>
          <w:w w:val="100"/>
          <w:position w:val="0"/>
        </w:rPr>
        <w:t>年年初，根据中国证监会的要求，公司在上市招股 意向书中补充更新了</w:t>
      </w:r>
      <w:r>
        <w:rPr>
          <w:color w:val="000000"/>
          <w:spacing w:val="0"/>
          <w:w w:val="100"/>
          <w:position w:val="0"/>
        </w:rPr>
        <w:t>2011</w:t>
      </w:r>
      <w:r>
        <w:rPr>
          <w:color w:val="000000"/>
          <w:spacing w:val="0"/>
          <w:w w:val="100"/>
          <w:position w:val="0"/>
        </w:rPr>
        <w:t>年度财务数据及利润分配方案。为保护上市后新增投资者利益，经公司</w:t>
      </w:r>
      <w:r>
        <w:rPr>
          <w:color w:val="000000"/>
          <w:spacing w:val="0"/>
          <w:w w:val="100"/>
          <w:position w:val="0"/>
        </w:rPr>
        <w:t>2012</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21</w:t>
      </w:r>
      <w:r>
        <w:rPr>
          <w:color w:val="000000"/>
          <w:spacing w:val="0"/>
          <w:w w:val="100"/>
          <w:position w:val="0"/>
        </w:rPr>
        <w:t>日召开的二届七次董事会审议通过了</w:t>
      </w:r>
      <w:r>
        <w:rPr>
          <w:color w:val="000000"/>
          <w:spacing w:val="0"/>
          <w:w w:val="100"/>
          <w:position w:val="0"/>
        </w:rPr>
        <w:t>2011</w:t>
      </w:r>
      <w:r>
        <w:rPr>
          <w:color w:val="000000"/>
          <w:spacing w:val="0"/>
          <w:w w:val="100"/>
          <w:position w:val="0"/>
        </w:rPr>
        <w:t>年度利润不分配，由新老股东共享滚存利润的议案。公司上 市后，该议案已于</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日在公司</w:t>
      </w:r>
      <w:r>
        <w:rPr>
          <w:color w:val="000000"/>
          <w:spacing w:val="0"/>
          <w:w w:val="100"/>
          <w:position w:val="0"/>
        </w:rPr>
        <w:t>2011</w:t>
      </w:r>
      <w:r>
        <w:rPr>
          <w:color w:val="000000"/>
          <w:spacing w:val="0"/>
          <w:w w:val="100"/>
          <w:position w:val="0"/>
        </w:rPr>
        <w:t>年度股东大会上审议通过。</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w:t>
      </w:r>
      <w:r>
        <w:rPr>
          <w:color w:val="000000"/>
          <w:spacing w:val="0"/>
          <w:w w:val="100"/>
          <w:position w:val="0"/>
        </w:rPr>
        <w:t>2012</w:t>
      </w:r>
      <w:r>
        <w:rPr>
          <w:color w:val="000000"/>
          <w:spacing w:val="0"/>
          <w:w w:val="100"/>
          <w:position w:val="0"/>
        </w:rPr>
        <w:t>年度利润分配方案：以公司截止</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总股本</w:t>
      </w:r>
      <w:r>
        <w:rPr>
          <w:color w:val="000000"/>
          <w:spacing w:val="0"/>
          <w:w w:val="100"/>
          <w:position w:val="0"/>
        </w:rPr>
        <w:t>69,797,534</w:t>
      </w:r>
      <w:r>
        <w:rPr>
          <w:color w:val="000000"/>
          <w:spacing w:val="0"/>
          <w:w w:val="100"/>
          <w:position w:val="0"/>
        </w:rPr>
        <w:t xml:space="preserve">股为基数，向全体股东每 </w:t>
      </w:r>
      <w:r>
        <w:rPr>
          <w:color w:val="000000"/>
          <w:spacing w:val="0"/>
          <w:w w:val="100"/>
          <w:position w:val="0"/>
        </w:rPr>
        <w:t>10</w:t>
      </w:r>
      <w:r>
        <w:rPr>
          <w:color w:val="000000"/>
          <w:spacing w:val="0"/>
          <w:w w:val="100"/>
          <w:position w:val="0"/>
        </w:rPr>
        <w:t>股派发现金股利人民币</w:t>
      </w:r>
      <w:r>
        <w:rPr>
          <w:color w:val="000000"/>
          <w:spacing w:val="0"/>
          <w:w w:val="100"/>
          <w:position w:val="0"/>
        </w:rPr>
        <w:t>1</w:t>
      </w:r>
      <w:r>
        <w:rPr>
          <w:color w:val="000000"/>
          <w:spacing w:val="0"/>
          <w:w w:val="100"/>
          <w:position w:val="0"/>
        </w:rPr>
        <w:t>.5</w:t>
      </w:r>
      <w:r>
        <w:rPr>
          <w:color w:val="000000"/>
          <w:spacing w:val="0"/>
          <w:w w:val="100"/>
          <w:position w:val="0"/>
        </w:rPr>
        <w:t>元（含税）</w:t>
      </w:r>
      <w:r>
        <w:rPr>
          <w:color w:val="000000"/>
          <w:spacing w:val="0"/>
          <w:w w:val="100"/>
          <w:position w:val="0"/>
        </w:rPr>
        <w:t>，</w:t>
      </w:r>
      <w:r>
        <w:rPr>
          <w:color w:val="000000"/>
          <w:spacing w:val="0"/>
          <w:w w:val="100"/>
          <w:position w:val="0"/>
        </w:rPr>
        <w:t>共计派发现金股利</w:t>
      </w:r>
      <w:r>
        <w:rPr>
          <w:color w:val="000000"/>
          <w:spacing w:val="0"/>
          <w:w w:val="100"/>
          <w:position w:val="0"/>
        </w:rPr>
        <w:t>10,469,630.08</w:t>
      </w:r>
      <w:r>
        <w:rPr>
          <w:color w:val="000000"/>
          <w:spacing w:val="0"/>
          <w:w w:val="100"/>
          <w:position w:val="0"/>
        </w:rPr>
        <w:t>元；同时进行资本公积金转增 股本，以公司总股本</w:t>
      </w:r>
      <w:r>
        <w:rPr>
          <w:color w:val="000000"/>
          <w:spacing w:val="0"/>
          <w:w w:val="100"/>
          <w:position w:val="0"/>
        </w:rPr>
        <w:t>69,797,534</w:t>
      </w:r>
      <w:r>
        <w:rPr>
          <w:color w:val="000000"/>
          <w:spacing w:val="0"/>
          <w:w w:val="100"/>
          <w:position w:val="0"/>
        </w:rPr>
        <w:t>股为基础，向全体股东每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w:t>
      </w:r>
      <w:r>
        <w:rPr>
          <w:color w:val="000000"/>
          <w:spacing w:val="0"/>
          <w:w w:val="100"/>
          <w:position w:val="0"/>
        </w:rPr>
        <w:t>2013</w:t>
      </w:r>
      <w:r>
        <w:rPr>
          <w:color w:val="000000"/>
          <w:spacing w:val="0"/>
          <w:w w:val="100"/>
          <w:position w:val="0"/>
        </w:rPr>
        <w:t>年度利润分配方案：以公司截止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总股本</w:t>
      </w:r>
      <w:r>
        <w:rPr>
          <w:color w:val="000000"/>
          <w:spacing w:val="0"/>
          <w:w w:val="100"/>
          <w:position w:val="0"/>
        </w:rPr>
        <w:t>104,696,301</w:t>
      </w:r>
      <w:r>
        <w:rPr>
          <w:color w:val="000000"/>
          <w:spacing w:val="0"/>
          <w:w w:val="100"/>
          <w:position w:val="0"/>
        </w:rPr>
        <w:t>股为基数，向全体股东 每</w:t>
      </w:r>
      <w:r>
        <w:rPr>
          <w:color w:val="000000"/>
          <w:spacing w:val="0"/>
          <w:w w:val="100"/>
          <w:position w:val="0"/>
        </w:rPr>
        <w:t>10</w:t>
      </w:r>
      <w:r>
        <w:rPr>
          <w:color w:val="000000"/>
          <w:spacing w:val="0"/>
          <w:w w:val="100"/>
          <w:position w:val="0"/>
        </w:rPr>
        <w:t>股派发现金股利人民币</w:t>
      </w:r>
      <w:r>
        <w:rPr>
          <w:color w:val="000000"/>
          <w:spacing w:val="0"/>
          <w:w w:val="100"/>
          <w:position w:val="0"/>
        </w:rPr>
        <w:t>0.70</w:t>
      </w:r>
      <w:r>
        <w:rPr>
          <w:color w:val="000000"/>
          <w:spacing w:val="0"/>
          <w:w w:val="100"/>
          <w:position w:val="0"/>
        </w:rPr>
        <w:t>元（含税），共计派发现金股利</w:t>
      </w:r>
      <w:r>
        <w:rPr>
          <w:color w:val="000000"/>
          <w:spacing w:val="0"/>
          <w:w w:val="100"/>
          <w:position w:val="0"/>
        </w:rPr>
        <w:t>7,328,741.07</w:t>
      </w:r>
      <w:r>
        <w:rPr>
          <w:color w:val="000000"/>
          <w:spacing w:val="0"/>
          <w:w w:val="100"/>
          <w:position w:val="0"/>
        </w:rPr>
        <w:t>元。</w:t>
      </w:r>
    </w:p>
    <w:p>
      <w:pPr>
        <w:pStyle w:val="Style36"/>
        <w:keepNext/>
        <w:keepLines/>
        <w:widowControl w:val="0"/>
        <w:shd w:val="clear" w:color="auto" w:fill="auto"/>
        <w:bidi w:val="0"/>
        <w:spacing w:before="0" w:after="100" w:line="467" w:lineRule="exact"/>
        <w:ind w:left="0" w:right="0" w:firstLine="0"/>
        <w:jc w:val="both"/>
      </w:pPr>
      <w:bookmarkStart w:id="172" w:name="bookmark172"/>
      <w:bookmarkStart w:id="173" w:name="bookmark173"/>
      <w:bookmarkStart w:id="174" w:name="bookmark174"/>
      <w:r>
        <w:rPr>
          <w:color w:val="000000"/>
          <w:spacing w:val="0"/>
          <w:w w:val="100"/>
          <w:position w:val="0"/>
        </w:rPr>
        <w:t>公司近三年现金分红情况表</w:t>
      </w:r>
      <w:bookmarkEnd w:id="172"/>
      <w:bookmarkEnd w:id="173"/>
      <w:bookmarkEnd w:id="17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7,328,741.07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56,021,607.58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10,469,630.08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63,372,945.76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56,306,779.89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公司报告期内盈利且母公司未分配利润为正但未提出现金红利分配预案</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r>
        <w:rPr>
          <w:color w:val="000000"/>
          <w:spacing w:val="0"/>
          <w:w w:val="100"/>
          <w:position w:val="0"/>
        </w:rPr>
        <w:t>十一、本报告期利润分配及资本公积金转增股本预案</w:t>
      </w:r>
      <w:bookmarkEnd w:id="175"/>
      <w:bookmarkEnd w:id="176"/>
      <w:bookmarkEnd w:id="177"/>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104,696,301</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7,328,741.07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252,068,156.16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1909" w:h="17415"/>
          <w:pgMar w:top="1387" w:right="1028" w:bottom="1460" w:left="1050" w:header="0" w:footer="3" w:gutter="0"/>
          <w:cols w:space="720"/>
          <w:noEndnote/>
          <w:rtlGutter w:val="0"/>
          <w:docGrid w:linePitch="360"/>
        </w:sectPr>
      </w:pP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100" w:after="60" w:line="314" w:lineRule="exact"/>
        <w:ind w:left="0" w:right="0" w:firstLine="0"/>
        <w:jc w:val="center"/>
      </w:pPr>
      <w:r>
        <w:rPr>
          <w:color w:val="000000"/>
          <w:spacing w:val="0"/>
          <w:w w:val="100"/>
          <w:position w:val="0"/>
        </w:rPr>
        <w:t>利润分配或资本公积金转增预案的详细情况说明</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00"/>
        <w:jc w:val="both"/>
      </w:pPr>
      <w:r>
        <w:rPr>
          <w:color w:val="000000"/>
          <w:spacing w:val="0"/>
          <w:w w:val="100"/>
          <w:position w:val="0"/>
        </w:rPr>
        <w:t>根据立信会计师事务所（特殊普通合伙）出具的《北京中科金财科技股份有限公司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年度审计报告》（信会师报字</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210290</w:t>
      </w:r>
      <w:r>
        <w:rPr>
          <w:color w:val="000000"/>
          <w:spacing w:val="0"/>
          <w:w w:val="100"/>
          <w:position w:val="0"/>
        </w:rPr>
        <w:t>号），公司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56,122,643.24</w:t>
      </w:r>
      <w:r>
        <w:rPr>
          <w:color w:val="000000"/>
          <w:spacing w:val="0"/>
          <w:w w:val="100"/>
          <w:position w:val="0"/>
        </w:rPr>
        <w:t>元，其中母公司实现净利润</w:t>
      </w:r>
      <w:r>
        <w:rPr>
          <w:rFonts w:ascii="Times New Roman" w:eastAsia="Times New Roman" w:hAnsi="Times New Roman" w:cs="Times New Roman"/>
          <w:color w:val="000000"/>
          <w:spacing w:val="0"/>
          <w:w w:val="100"/>
          <w:position w:val="0"/>
          <w:sz w:val="18"/>
          <w:szCs w:val="18"/>
        </w:rPr>
        <w:t>73,279,536.34</w:t>
      </w:r>
      <w:r>
        <w:rPr>
          <w:color w:val="000000"/>
          <w:spacing w:val="0"/>
          <w:w w:val="100"/>
          <w:position w:val="0"/>
        </w:rPr>
        <w:t>元，按照《公司 法》和《公司章程》的规定，计提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的法定公积金</w:t>
      </w:r>
      <w:r>
        <w:rPr>
          <w:rFonts w:ascii="Times New Roman" w:eastAsia="Times New Roman" w:hAnsi="Times New Roman" w:cs="Times New Roman"/>
          <w:color w:val="000000"/>
          <w:spacing w:val="0"/>
          <w:w w:val="100"/>
          <w:position w:val="0"/>
          <w:sz w:val="18"/>
          <w:szCs w:val="18"/>
        </w:rPr>
        <w:t>7,327,953.63</w:t>
      </w:r>
      <w:r>
        <w:rPr>
          <w:color w:val="000000"/>
          <w:spacing w:val="0"/>
          <w:w w:val="100"/>
          <w:position w:val="0"/>
        </w:rPr>
        <w:t>元，加上母公司年初未分配利润</w:t>
      </w:r>
      <w:r>
        <w:rPr>
          <w:rFonts w:ascii="Times New Roman" w:eastAsia="Times New Roman" w:hAnsi="Times New Roman" w:cs="Times New Roman"/>
          <w:color w:val="000000"/>
          <w:spacing w:val="0"/>
          <w:w w:val="100"/>
          <w:position w:val="0"/>
          <w:sz w:val="18"/>
          <w:szCs w:val="18"/>
        </w:rPr>
        <w:t>196,586,203.53</w:t>
      </w:r>
      <w:r>
        <w:rPr>
          <w:color w:val="000000"/>
          <w:spacing w:val="0"/>
          <w:w w:val="100"/>
          <w:position w:val="0"/>
        </w:rPr>
        <w:t>元，扣 除本年度实施利润分配方案减少的</w:t>
      </w:r>
      <w:r>
        <w:rPr>
          <w:rFonts w:ascii="Times New Roman" w:eastAsia="Times New Roman" w:hAnsi="Times New Roman" w:cs="Times New Roman"/>
          <w:color w:val="000000"/>
          <w:spacing w:val="0"/>
          <w:w w:val="100"/>
          <w:position w:val="0"/>
          <w:sz w:val="18"/>
          <w:szCs w:val="18"/>
        </w:rPr>
        <w:t>10,469,630.08</w:t>
      </w:r>
      <w:r>
        <w:rPr>
          <w:color w:val="000000"/>
          <w:spacing w:val="0"/>
          <w:w w:val="100"/>
          <w:position w:val="0"/>
        </w:rPr>
        <w:t>元，当年可供股东分配的利润为</w:t>
      </w:r>
      <w:r>
        <w:rPr>
          <w:rFonts w:ascii="Times New Roman" w:eastAsia="Times New Roman" w:hAnsi="Times New Roman" w:cs="Times New Roman"/>
          <w:color w:val="000000"/>
          <w:spacing w:val="0"/>
          <w:w w:val="100"/>
          <w:position w:val="0"/>
          <w:sz w:val="18"/>
          <w:szCs w:val="18"/>
        </w:rPr>
        <w:t>252,068,156.16</w:t>
      </w:r>
      <w:r>
        <w:rPr>
          <w:color w:val="000000"/>
          <w:spacing w:val="0"/>
          <w:w w:val="100"/>
          <w:position w:val="0"/>
        </w:rPr>
        <w:t>元，当年实现的归属于母 公司股东的净利润为</w:t>
      </w:r>
      <w:r>
        <w:rPr>
          <w:rFonts w:ascii="Times New Roman" w:eastAsia="Times New Roman" w:hAnsi="Times New Roman" w:cs="Times New Roman"/>
          <w:color w:val="000000"/>
          <w:spacing w:val="0"/>
          <w:w w:val="100"/>
          <w:position w:val="0"/>
          <w:sz w:val="18"/>
          <w:szCs w:val="18"/>
        </w:rPr>
        <w:t>56,021,607.58</w:t>
      </w:r>
      <w:r>
        <w:rPr>
          <w:color w:val="000000"/>
          <w:spacing w:val="0"/>
          <w:w w:val="100"/>
          <w:position w:val="0"/>
        </w:rPr>
        <w:t>元。</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104,696,301</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元（含税）。本次利润分配合计派发现金股利</w:t>
      </w:r>
      <w:r>
        <w:rPr>
          <w:rFonts w:ascii="Times New Roman" w:eastAsia="Times New Roman" w:hAnsi="Times New Roman" w:cs="Times New Roman"/>
          <w:color w:val="000000"/>
          <w:spacing w:val="0"/>
          <w:w w:val="100"/>
          <w:position w:val="0"/>
          <w:sz w:val="18"/>
          <w:szCs w:val="18"/>
        </w:rPr>
        <w:t>7,328,741.07</w:t>
      </w:r>
      <w:r>
        <w:rPr>
          <w:color w:val="000000"/>
          <w:spacing w:val="0"/>
          <w:w w:val="100"/>
          <w:position w:val="0"/>
        </w:rPr>
        <w:t>元，本次股利分配后剩余未分配利润滚存至下一年度。</w:t>
      </w:r>
    </w:p>
    <w:p>
      <w:pPr>
        <w:pStyle w:val="Style22"/>
        <w:keepNext/>
        <w:keepLines/>
        <w:widowControl w:val="0"/>
        <w:shd w:val="clear" w:color="auto" w:fill="auto"/>
        <w:bidi w:val="0"/>
        <w:spacing w:before="0" w:after="200" w:line="240" w:lineRule="auto"/>
        <w:ind w:left="0" w:right="0" w:firstLine="0"/>
        <w:jc w:val="left"/>
      </w:pPr>
      <w:bookmarkStart w:id="178" w:name="bookmark178"/>
      <w:bookmarkStart w:id="179" w:name="bookmark179"/>
      <w:bookmarkStart w:id="180" w:name="bookmark180"/>
      <w:r>
        <w:rPr>
          <w:color w:val="000000"/>
          <w:spacing w:val="0"/>
          <w:w w:val="100"/>
          <w:position w:val="0"/>
        </w:rPr>
        <w:t>十二、社会责任情况</w:t>
      </w:r>
      <w:bookmarkEnd w:id="178"/>
      <w:bookmarkEnd w:id="179"/>
      <w:bookmarkEnd w:id="180"/>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公司上市后，在努力做好各项业务的同时，对社会责任有了更进一步的要求。</w:t>
      </w:r>
      <w:r>
        <w:rPr>
          <w:color w:val="000000"/>
          <w:spacing w:val="0"/>
          <w:w w:val="100"/>
          <w:position w:val="0"/>
        </w:rPr>
        <w:t>2013</w:t>
      </w:r>
      <w:r>
        <w:rPr>
          <w:color w:val="000000"/>
          <w:spacing w:val="0"/>
          <w:w w:val="100"/>
          <w:position w:val="0"/>
        </w:rPr>
        <w:t>年，公司在保障股 东权益、维护员工权益等方面取得了良好的进展，现总结如下：</w:t>
      </w:r>
    </w:p>
    <w:p>
      <w:pPr>
        <w:pStyle w:val="Style33"/>
        <w:keepNext w:val="0"/>
        <w:keepLines w:val="0"/>
        <w:widowControl w:val="0"/>
        <w:shd w:val="clear" w:color="auto" w:fill="auto"/>
        <w:tabs>
          <w:tab w:pos="990" w:val="left"/>
        </w:tabs>
        <w:bidi w:val="0"/>
        <w:spacing w:before="0" w:after="0" w:line="468" w:lineRule="exact"/>
        <w:ind w:left="0" w:right="0" w:firstLine="440"/>
        <w:jc w:val="both"/>
      </w:pPr>
      <w:bookmarkStart w:id="181" w:name="bookmark181"/>
      <w:r>
        <w:rPr>
          <w:color w:val="000000"/>
          <w:spacing w:val="0"/>
          <w:w w:val="100"/>
          <w:position w:val="0"/>
        </w:rPr>
        <w:t>（</w:t>
      </w:r>
      <w:bookmarkEnd w:id="181"/>
      <w:r>
        <w:rPr>
          <w:color w:val="000000"/>
          <w:spacing w:val="0"/>
          <w:w w:val="100"/>
          <w:position w:val="0"/>
        </w:rPr>
        <w:t>一）</w:t>
        <w:tab/>
        <w:t>股东与投资人的权益保护</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公司严格按照《公司法》、《证券法》、《上市公司治理准则》等法律法规要求，不断完善公司治理， 制定了《股东大会议事规则》、《董事会议事规则》、《监事会议事规则》、《对外投资管理制度》、《关 联交易决策制度》等制度，建立了以《公司章程》为基础的内控体系，以股东大会、董事会、监事会及管 理层为主的决策与经营体系，从制度上切实保障全体股东及债权人的权益。</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公司自成立以来，一直努力确保公司发展的持续性、成长性和竞争力，依法经营，稳步推进公司业务， 逐步巩固和深化在银行、企业、政府等行业客户中的市场领先地位，本着诚信勤勉、尽职守则的原则，努 力经营，规范运作，实现了资产、所有者权益和营业总收入的稳定增长，为投资者创造稳定的回报。</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在保护股东权益方面，</w:t>
      </w:r>
      <w:r>
        <w:rPr>
          <w:color w:val="000000"/>
          <w:spacing w:val="0"/>
          <w:w w:val="100"/>
          <w:position w:val="0"/>
        </w:rPr>
        <w:t>2013</w:t>
      </w:r>
      <w:r>
        <w:rPr>
          <w:color w:val="000000"/>
          <w:spacing w:val="0"/>
          <w:w w:val="100"/>
          <w:position w:val="0"/>
        </w:rPr>
        <w:t>年公司召开了三次股东大会，大会的召集、召开、表决程序均合法有效， 符合《公司章程》及《股东大会议事规则》的规定，确保了股东对公司重大事项的知情权、参与权和表决 权。信息披露方面，公司严格按照深交所上市规则及规范运作指引的要求开展工作，所有达到信息披露标 准的事项公司都进行了公告，不存在应披露而未披露的信息。与此同时，公司积极开展与投资者的沟通交 流工作，</w:t>
      </w:r>
      <w:r>
        <w:rPr>
          <w:color w:val="000000"/>
          <w:spacing w:val="0"/>
          <w:w w:val="100"/>
          <w:position w:val="0"/>
        </w:rPr>
        <w:t>2013</w:t>
      </w:r>
      <w:r>
        <w:rPr>
          <w:color w:val="000000"/>
          <w:spacing w:val="0"/>
          <w:w w:val="100"/>
          <w:position w:val="0"/>
        </w:rPr>
        <w:t>年共接待机构投资者调研</w:t>
      </w:r>
      <w:r>
        <w:rPr>
          <w:color w:val="000000"/>
          <w:spacing w:val="0"/>
          <w:w w:val="100"/>
          <w:position w:val="0"/>
        </w:rPr>
        <w:t>7</w:t>
      </w:r>
      <w:r>
        <w:rPr>
          <w:color w:val="000000"/>
          <w:spacing w:val="0"/>
          <w:w w:val="100"/>
          <w:position w:val="0"/>
        </w:rPr>
        <w:t>次，还通过电话交流、投资者互动平台等方式，搭建了与投资者 沟通的桥梁，增进了投资者对公司价值的了解。</w:t>
      </w:r>
    </w:p>
    <w:p>
      <w:pPr>
        <w:pStyle w:val="Style33"/>
        <w:keepNext w:val="0"/>
        <w:keepLines w:val="0"/>
        <w:widowControl w:val="0"/>
        <w:shd w:val="clear" w:color="auto" w:fill="auto"/>
        <w:tabs>
          <w:tab w:pos="990" w:val="left"/>
        </w:tabs>
        <w:bidi w:val="0"/>
        <w:spacing w:before="0" w:after="0" w:line="468" w:lineRule="exact"/>
        <w:ind w:left="0" w:right="0" w:firstLine="440"/>
        <w:jc w:val="both"/>
      </w:pPr>
      <w:bookmarkStart w:id="182" w:name="bookmark182"/>
      <w:r>
        <w:rPr>
          <w:color w:val="000000"/>
          <w:spacing w:val="0"/>
          <w:w w:val="100"/>
          <w:position w:val="0"/>
        </w:rPr>
        <w:t>（</w:t>
      </w:r>
      <w:bookmarkEnd w:id="182"/>
      <w:r>
        <w:rPr>
          <w:color w:val="000000"/>
          <w:spacing w:val="0"/>
          <w:w w:val="100"/>
          <w:position w:val="0"/>
        </w:rPr>
        <w:t>二）</w:t>
        <w:tab/>
        <w:t>与供应商和客户精诚合作</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公司相关物资的采购，均严格选择在工商部门登记注册、合法纳税并具备与所采购规模相匹配的生产 制造设备的供应商，合法签订合同，实行互惠共赢，确保企业产品的质量信誉与消费者安全。</w:t>
      </w:r>
    </w:p>
    <w:p>
      <w:pPr>
        <w:pStyle w:val="Style33"/>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为了提高客户满意度，公司不断提高公司产品质量及研发水平，陆续获得实用新型专利证书以及包括 计算机信息系统集成一级资质、</w:t>
      </w:r>
      <w:r>
        <w:rPr>
          <w:color w:val="000000"/>
          <w:spacing w:val="0"/>
          <w:w w:val="100"/>
          <w:position w:val="0"/>
        </w:rPr>
        <w:t>IS027001</w:t>
      </w:r>
      <w:r>
        <w:rPr>
          <w:color w:val="000000"/>
          <w:spacing w:val="0"/>
          <w:w w:val="100"/>
          <w:position w:val="0"/>
        </w:rPr>
        <w:t>信息安全管理体系认证、</w:t>
      </w:r>
      <w:r>
        <w:rPr>
          <w:color w:val="000000"/>
          <w:spacing w:val="0"/>
          <w:w w:val="100"/>
          <w:position w:val="0"/>
        </w:rPr>
        <w:t>IS9001:2008</w:t>
      </w:r>
      <w:r>
        <w:rPr>
          <w:color w:val="000000"/>
          <w:spacing w:val="0"/>
          <w:w w:val="100"/>
          <w:position w:val="0"/>
        </w:rPr>
        <w:t xml:space="preserve">质量管理体系认证、银行 </w:t>
      </w:r>
      <w:r>
        <w:rPr>
          <w:color w:val="000000"/>
          <w:spacing w:val="0"/>
          <w:w w:val="100"/>
          <w:position w:val="0"/>
        </w:rPr>
        <w:t>AAA</w:t>
      </w:r>
      <w:r>
        <w:rPr>
          <w:color w:val="000000"/>
          <w:spacing w:val="0"/>
          <w:w w:val="100"/>
          <w:position w:val="0"/>
        </w:rPr>
        <w:t>级信用证书等各种资质，为客户提供优质的产品及服务，并不断提高公司行业声誉。</w:t>
      </w:r>
    </w:p>
    <w:p>
      <w:pPr>
        <w:pStyle w:val="Style33"/>
        <w:keepNext w:val="0"/>
        <w:keepLines w:val="0"/>
        <w:widowControl w:val="0"/>
        <w:shd w:val="clear" w:color="auto" w:fill="auto"/>
        <w:bidi w:val="0"/>
        <w:spacing w:before="0" w:after="0" w:line="470" w:lineRule="exact"/>
        <w:ind w:left="0" w:right="0" w:firstLine="440"/>
        <w:jc w:val="both"/>
      </w:pPr>
      <w:bookmarkStart w:id="183" w:name="bookmark183"/>
      <w:r>
        <w:rPr>
          <w:color w:val="000000"/>
          <w:spacing w:val="0"/>
          <w:w w:val="100"/>
          <w:position w:val="0"/>
        </w:rPr>
        <w:t>（</w:t>
      </w:r>
      <w:bookmarkEnd w:id="183"/>
      <w:r>
        <w:rPr>
          <w:color w:val="000000"/>
          <w:spacing w:val="0"/>
          <w:w w:val="100"/>
          <w:position w:val="0"/>
        </w:rPr>
        <w:t>三）重视员工权益和个人发展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公司始终视人才为公司最重要的战略资源，是公司核心的生产要素。公司坚持“先有核心人员，后有 核心技术、核心产品”的人才观和“发展吸引人，文化凝聚人，机制稳定人，事业成就人”的人才战略， 使公司的使命与个人发展目标结合，为员工、股东、客户、合作伙伴提供共同成长、充分施展才华的平台。 以胜任力模型为核心形成中科金财的人力资源管理体系，打造中科金财的人才梯队，培养熟悉信息技术服 务标准、掌握标准贯彻实施方法的专业人员，健全公司导师制度，持续优化人才结构，降低人力资源风险。</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公司一直非常注重提高员工的个人能力，通过各种培训及讲座提高员工业务能力和管理水平。</w:t>
      </w:r>
      <w:r>
        <w:rPr>
          <w:color w:val="000000"/>
          <w:spacing w:val="0"/>
          <w:w w:val="100"/>
          <w:position w:val="0"/>
        </w:rPr>
        <w:t xml:space="preserve">2013 </w:t>
      </w:r>
      <w:r>
        <w:rPr>
          <w:color w:val="000000"/>
          <w:spacing w:val="0"/>
          <w:w w:val="100"/>
          <w:position w:val="0"/>
        </w:rPr>
        <w:t>年公司组织了包括新员工入职培训、在职员工业务培训、管理能力提升培训及其他单场讲座等多层次培训， 事前通过调查员工需求，寻求各种培训资源和渠道，来提高培训的有效性和效率，这些培训充分调动了员 工学习积极性，既能促进公司整体战略目标的实施，又能满足员工个人能力和职业发展的需求，实现企业 和员工的共同进步，共同发展。</w:t>
      </w:r>
    </w:p>
    <w:p>
      <w:pPr>
        <w:pStyle w:val="Style3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2014</w:t>
      </w:r>
      <w:r>
        <w:rPr>
          <w:color w:val="000000"/>
          <w:spacing w:val="0"/>
          <w:w w:val="100"/>
          <w:position w:val="0"/>
        </w:rPr>
        <w:t>年，公司将继续努力提升公司自身业务水平，确保股东利益，促进员工发展与成长，进一步增强 企业的社会责任感，实现商业利益与社会责任的和谐共赢。</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上市公司及其子公司是否属于国家环境保护部门规定的重污染行业</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2"/>
        <w:keepNext/>
        <w:keepLines/>
        <w:widowControl w:val="0"/>
        <w:shd w:val="clear" w:color="auto" w:fill="auto"/>
        <w:bidi w:val="0"/>
        <w:spacing w:before="0" w:after="320" w:line="240" w:lineRule="auto"/>
        <w:ind w:left="0" w:right="0" w:firstLine="0"/>
        <w:jc w:val="left"/>
      </w:pPr>
      <w:bookmarkStart w:id="184" w:name="bookmark184"/>
      <w:bookmarkStart w:id="185" w:name="bookmark185"/>
      <w:bookmarkStart w:id="186" w:name="bookmark186"/>
      <w:r>
        <w:rPr>
          <w:color w:val="000000"/>
          <w:spacing w:val="0"/>
          <w:w w:val="100"/>
          <w:position w:val="0"/>
        </w:rPr>
        <w:t>十三、报告期内接待调研、沟通、采访等活动登记表</w:t>
      </w:r>
      <w:bookmarkEnd w:id="184"/>
      <w:bookmarkEnd w:id="185"/>
      <w:bookmarkEnd w:id="186"/>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宏源证券、日信证 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公司发展情况，产品储备 情况，市场竞争力。未提 供资料。</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中信证券、远策投 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公司发展情况，产品储备 情况，市场竞争力。未提 供资料。</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中信建投、海通证 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公司发展情况，产品储备 情况，市场竞争力。未提 供资料。</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华泰证券、国泰君 安、日信证券、华 宝基金、财富证券、</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公司发展情况，产品储备 情况，市场竞争力。未提 供资料。</w:t>
            </w:r>
          </w:p>
        </w:tc>
      </w:tr>
    </w:tbl>
    <w:p>
      <w:p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9" w:h="17415"/>
          <w:pgMar w:top="1613" w:right="1003" w:bottom="1748" w:left="1104" w:header="0" w:footer="3" w:gutter="0"/>
          <w:cols w:space="720"/>
          <w:noEndnote/>
          <w:titlePg/>
          <w:rtlGutter w:val="0"/>
          <w:docGrid w:linePitch="360"/>
        </w:sectPr>
      </w:pPr>
    </w:p>
    <w:tbl>
      <w:tblPr>
        <w:tblOverlap w:val="never"/>
        <w:jc w:val="center"/>
        <w:tblLayout w:type="fixed"/>
      </w:tblPr>
      <w:tblGrid>
        <w:gridCol w:w="1502"/>
        <w:gridCol w:w="1498"/>
        <w:gridCol w:w="1498"/>
        <w:gridCol w:w="1498"/>
        <w:gridCol w:w="1498"/>
        <w:gridCol w:w="209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华能贵诚信托、光 大证券、尚雅投资、 东兴证券</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广发证券、国泰君 安、宏源证券、尚 雅投资、齐鲁证券、 云程泰投资、民生 证券、民族证券、 天弘基金、华商基 金、中富投资、嘉 鑫投资、新华基金、 中信建投</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公司发展情况，产品储备 情况，市场竞争力。未提 供资料。</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英大基金、金百镕 投资、中信建投、 光大永明、鼎萨投 资、富泰基金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公司发展情况，产品储备 情况，市场竞争力。未提 供资料。</w:t>
            </w:r>
          </w:p>
        </w:tc>
      </w:tr>
      <w:tr>
        <w:trPr>
          <w:trHeight w:val="103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新华基金</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公司发展情况，产品储备 情况，市场竞争力。未提 供资料。</w:t>
            </w:r>
          </w:p>
        </w:tc>
      </w:tr>
    </w:tbl>
    <w:p>
      <w:pPr>
        <w:widowControl w:val="0"/>
        <w:spacing w:after="7579" w:line="1" w:lineRule="exact"/>
      </w:pPr>
    </w:p>
    <w:p>
      <w:pPr>
        <w:widowControl w:val="0"/>
        <w:jc w:val="center"/>
        <w:rPr>
          <w:sz w:val="2"/>
          <w:szCs w:val="2"/>
        </w:rPr>
        <w:sectPr>
          <w:headerReference w:type="default" r:id="rId77"/>
          <w:footerReference w:type="default" r:id="rId78"/>
          <w:headerReference w:type="even" r:id="rId79"/>
          <w:footerReference w:type="even" r:id="rId80"/>
          <w:footnotePr>
            <w:pos w:val="pageBottom"/>
            <w:numFmt w:val="decimal"/>
            <w:numRestart w:val="continuous"/>
          </w:footnotePr>
          <w:pgSz w:w="11909" w:h="17415"/>
          <w:pgMar w:top="1728" w:right="1200" w:bottom="288" w:left="1123" w:header="0" w:footer="3" w:gutter="0"/>
          <w:cols w:space="720"/>
          <w:noEndnote/>
          <w:rtlGutter w:val="0"/>
          <w:docGrid w:linePitch="360"/>
        </w:sectPr>
      </w:pPr>
      <w:r>
        <w:drawing>
          <wp:inline>
            <wp:extent cx="1718945" cy="981710"/>
            <wp:docPr id="194" name="Picutre 194"/>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81"/>
                    <a:stretch/>
                  </pic:blipFill>
                  <pic:spPr>
                    <a:xfrm>
                      <a:ext cx="1718945" cy="981710"/>
                    </a:xfrm>
                    <a:prstGeom prst="rect"/>
                  </pic:spPr>
                </pic:pic>
              </a:graphicData>
            </a:graphic>
          </wp:inline>
        </w:drawing>
      </w:r>
    </w:p>
    <w:p>
      <w:pPr>
        <w:pStyle w:val="Style6"/>
        <w:keepNext/>
        <w:keepLines/>
        <w:widowControl w:val="0"/>
        <w:shd w:val="clear" w:color="auto" w:fill="auto"/>
        <w:bidi w:val="0"/>
        <w:spacing w:before="480" w:line="240" w:lineRule="auto"/>
        <w:ind w:left="0" w:right="0" w:firstLine="0"/>
        <w:jc w:val="center"/>
      </w:pPr>
      <w:bookmarkStart w:id="187" w:name="bookmark187"/>
      <w:bookmarkStart w:id="188" w:name="bookmark188"/>
      <w:bookmarkStart w:id="189" w:name="bookmark189"/>
      <w:r>
        <w:rPr>
          <w:color w:val="000000"/>
          <w:spacing w:val="0"/>
          <w:w w:val="100"/>
          <w:position w:val="0"/>
        </w:rPr>
        <w:t>第五节重要事项</w:t>
      </w:r>
      <w:bookmarkEnd w:id="187"/>
      <w:bookmarkEnd w:id="188"/>
      <w:bookmarkEnd w:id="189"/>
    </w:p>
    <w:p>
      <w:pPr>
        <w:pStyle w:val="Style22"/>
        <w:keepNext/>
        <w:keepLines/>
        <w:widowControl w:val="0"/>
        <w:shd w:val="clear" w:color="auto" w:fill="auto"/>
        <w:tabs>
          <w:tab w:pos="517"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一</w:t>
      </w:r>
      <w:bookmarkEnd w:id="192"/>
      <w:r>
        <w:rPr>
          <w:color w:val="000000"/>
          <w:spacing w:val="0"/>
          <w:w w:val="100"/>
          <w:position w:val="0"/>
        </w:rPr>
        <w:t>、</w:t>
        <w:tab/>
        <w:t>重大诉讼仲裁事项</w:t>
      </w:r>
      <w:bookmarkEnd w:id="190"/>
      <w:bookmarkEnd w:id="191"/>
      <w:bookmarkEnd w:id="193"/>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tabs>
          <w:tab w:pos="517" w:val="left"/>
        </w:tabs>
        <w:bidi w:val="0"/>
        <w:spacing w:before="0" w:after="36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二</w:t>
      </w:r>
      <w:bookmarkEnd w:id="196"/>
      <w:r>
        <w:rPr>
          <w:color w:val="000000"/>
          <w:spacing w:val="0"/>
          <w:w w:val="100"/>
          <w:position w:val="0"/>
        </w:rPr>
        <w:t>、</w:t>
        <w:tab/>
        <w:t>媒体质疑情况</w:t>
      </w:r>
      <w:bookmarkEnd w:id="194"/>
      <w:bookmarkEnd w:id="195"/>
      <w:bookmarkEnd w:id="19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2"/>
        <w:keepNext/>
        <w:keepLines/>
        <w:widowControl w:val="0"/>
        <w:shd w:val="clear" w:color="auto" w:fill="auto"/>
        <w:tabs>
          <w:tab w:pos="522"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三</w:t>
      </w:r>
      <w:bookmarkEnd w:id="200"/>
      <w:r>
        <w:rPr>
          <w:color w:val="000000"/>
          <w:spacing w:val="0"/>
          <w:w w:val="100"/>
          <w:position w:val="0"/>
        </w:rPr>
        <w:t>、</w:t>
        <w:tab/>
        <w:t>承诺事项履行情况</w:t>
      </w:r>
      <w:bookmarkEnd w:id="198"/>
      <w:bookmarkEnd w:id="199"/>
      <w:bookmarkEnd w:id="201"/>
    </w:p>
    <w:p>
      <w:pPr>
        <w:pStyle w:val="Style36"/>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02"/>
      <w:bookmarkEnd w:id="203"/>
      <w:bookmarkEnd w:id="205"/>
    </w:p>
    <w:tbl>
      <w:tblPr>
        <w:tblOverlap w:val="never"/>
        <w:jc w:val="center"/>
        <w:tblLayout w:type="fixed"/>
      </w:tblPr>
      <w:tblGrid>
        <w:gridCol w:w="2136"/>
        <w:gridCol w:w="1560"/>
        <w:gridCol w:w="2059"/>
        <w:gridCol w:w="1277"/>
        <w:gridCol w:w="1277"/>
        <w:gridCol w:w="127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 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首次公开发行或再融资时 所作承诺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沈飒、陈绪华、蔡 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自公司首次公开发行股票 并上市之日起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不转让或者委托他人管理 其持有的股份，也不由公 司回购该部分股份；此外， 公司股东承诺所持公司股 份在担任公司董事、监事 或高级管理人员期间每年 转让的比例不超过其所持 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，在离职 后半年内不转让。在申报 离任六个月后的十二个月 内通过证券交易所挂牌交 易出售公司股票数量占其 所持有公司股票总数的比 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李彤彤、盖洪涛、 天津达晨创富股权 投资基金中心（有</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自公司首次公开发行股票 并上市之日起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不转让或者委托他人管理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报告期内，承诺 人严格履行了 承诺事项。</w:t>
            </w:r>
          </w:p>
        </w:tc>
      </w:tr>
    </w:tbl>
    <w:p>
      <w:pPr>
        <w:spacing w:lineRule="exact" w:line="1"/>
        <w:rPr>
          <w:sz w:val="2"/>
          <w:szCs w:val="2"/>
        </w:rPr>
      </w:pPr>
      <w:r>
        <w:br w:type="page"/>
      </w:r>
    </w:p>
    <w:tbl>
      <w:tblPr>
        <w:tblOverlap w:val="never"/>
        <w:jc w:val="center"/>
        <w:tblLayout w:type="fixed"/>
      </w:tblPr>
      <w:tblGrid>
        <w:gridCol w:w="2136"/>
        <w:gridCol w:w="1560"/>
        <w:gridCol w:w="2059"/>
        <w:gridCol w:w="1277"/>
        <w:gridCol w:w="1277"/>
        <w:gridCol w:w="1277"/>
      </w:tblGrid>
      <w:tr>
        <w:trPr>
          <w:trHeight w:val="410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限合伙）、天津常春 藤一期股权投资中 心（有限合伙）、上 海力鼎投资管理有 限公司、深圳市孚 威创业投资有限公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其持有的股份，也不由公 司回购该部分股份。此外， 公司股东承诺所持公司股 份在担任公司董事、监事 或高级管理人员期间每年 转让的比例不超过其所持 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，在离职 后半年内不转让。在申报 离任六个月后的十二个月 内通过证券交易所挂牌交 易出售公司股票数量占其 所持有公司股票总数的比 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朱烨东、沈飒、陈 绪华、蔡迦、李彤 彤、天津达晨创富 股权投资基金中心</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（有限合伙）、天津 常春藤一期股权投 资中心（有限合伙）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不存在直接或间接地从事 任何与中科金财所从事的 业务构成同业竞争的任何 业务活动，今后的任何时 间亦不会直接或间接地以 任何方式（包括但不限于 独资、合营、合作和联营） 参与或进行任何与中科金 财所从事的业务有实质性 竞争或可能有实质性竞争 的业务活动。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r>
        <w:trPr>
          <w:trHeight w:val="22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尽量避免不必要的关联交 易发生，对持续经营所发 生的必要的关联交易，应 以双方协议规定的方式进 行处理，遵循市场化的定 价原则，避免损害广大中 小股东权益的情况发生。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r>
        <w:trPr>
          <w:trHeight w:val="2582"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其他对公司中小股东所作</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沈飒、朱烨东、蔡 迦、陈绪华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若公司租赁房产在租赁有 效期内因出租人未办理房 产证或者未办理租赁备案 登记导致中科金财受到任 何罚款或者需要变更办公 场所，将承担公司及其子 公司中科商务由此产生的 所有经济损失。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r>
        <w:trPr>
          <w:trHeight w:val="131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朱烨东、沈飒</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将承担</w:t>
            </w:r>
            <w:r>
              <w:rPr>
                <w:rFonts w:ascii="Times New Roman" w:eastAsia="Times New Roman" w:hAnsi="Times New Roman" w:cs="Times New Roman"/>
                <w:color w:val="000000"/>
                <w:spacing w:val="0"/>
                <w:w w:val="100"/>
                <w:position w:val="0"/>
                <w:sz w:val="18"/>
                <w:szCs w:val="18"/>
              </w:rPr>
              <w:t>2008-2011</w:t>
            </w:r>
            <w:r>
              <w:rPr>
                <w:color w:val="000000"/>
                <w:spacing w:val="0"/>
                <w:w w:val="100"/>
                <w:position w:val="0"/>
              </w:rPr>
              <w:t>年公司 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原单位缴纳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新参保 或所需资料未准备齐全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而未能及时缴纳社会保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bl>
    <w:p>
      <w:pPr>
        <w:spacing w:lineRule="exact" w:line="1"/>
        <w:rPr>
          <w:sz w:val="2"/>
          <w:szCs w:val="2"/>
        </w:rPr>
      </w:pPr>
      <w:r>
        <w:br w:type="page"/>
      </w:r>
    </w:p>
    <w:tbl>
      <w:tblPr>
        <w:tblOverlap w:val="never"/>
        <w:jc w:val="center"/>
        <w:tblLayout w:type="fixed"/>
      </w:tblPr>
      <w:tblGrid>
        <w:gridCol w:w="2136"/>
        <w:gridCol w:w="1560"/>
        <w:gridCol w:w="2059"/>
        <w:gridCol w:w="1277"/>
        <w:gridCol w:w="1277"/>
        <w:gridCol w:w="1277"/>
      </w:tblGrid>
      <w:tr>
        <w:trPr>
          <w:trHeight w:val="98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险、住房公积金等问题可 能产生的全部费用和经济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部分超募资金用于 补充银行贷款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事项公司 承诺最近十二个月内未进 行证券投资等高风险投 资，公司在使用部分超募 资金偿还银行贷款后十二 个月内不进行证券投资等 高风险投资。本次公司使 用部分超募资金偿还银行 贷款与公司募集资金投资 项目实施不相抵触，不影 响公司募集资金投资项目 的正常进行，不存在变相 改变募集资金投向和损害 股东利益的情况。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r>
        <w:trPr>
          <w:trHeight w:val="50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部分超募资金暂时 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事项公司 承诺最近十二个月内，公 司未进行证券投资等高风 险投资，并承诺本次利用 部分超募资金暂时补充流 动资金后十二个月内不进 行证券投资等高风险投 资。本次公司使用部分超 募资金暂时补充流动资金 与公司募集资金投资项目 实施不相抵触，不影响公 司募集资金投资项目的正 常进行，不存在变相改变 募集资金投向和损害股东 利益的情况。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9"/>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r>
        <w:trPr>
          <w:trHeight w:val="28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部分超募资金用于 票据自助受理系统项目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事项公司承诺最近十二 个月内，公司未进行证券 投资等高风险投资，并承 诺本次利用部分超募资金 用于票据自助受理系统项 目后十二个月内不进行证 券投资等高风险投资。本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9"/>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bl>
    <w:p>
      <w:pPr>
        <w:spacing w:lineRule="exact" w:line="1"/>
        <w:rPr>
          <w:sz w:val="2"/>
          <w:szCs w:val="2"/>
        </w:rPr>
      </w:pPr>
      <w:r>
        <w:br w:type="page"/>
      </w:r>
    </w:p>
    <w:tbl>
      <w:tblPr>
        <w:tblOverlap w:val="never"/>
        <w:jc w:val="center"/>
        <w:tblLayout w:type="fixed"/>
      </w:tblPr>
      <w:tblGrid>
        <w:gridCol w:w="2136"/>
        <w:gridCol w:w="1560"/>
        <w:gridCol w:w="2059"/>
        <w:gridCol w:w="1277"/>
        <w:gridCol w:w="1277"/>
        <w:gridCol w:w="1277"/>
      </w:tblGrid>
      <w:tr>
        <w:trPr>
          <w:trHeight w:val="254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次公司使用部分超募资金 用于票据自助受理系统项 目与公司募集资金投资项 目实施不相抵触，不影响 公司募集资金投资项目的 正常进行，不存在变相改 变募集资金投向和损害股 东利益的情况。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部分超募资金永久 性补充流动资金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事项公 司承诺最近十二个月内， 未进行证券投资等高风险 投资，并承诺本次利用部 分超募资金永久补充流动 资金后十二个月内不进行 证券投资等高风险投资及 为他人提供财务资助并对 外披露，每十二个月用于 偿还银行借款或补充流动 资金的累计金额不超过超 募资金总额的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。本次 公司使用部分超募资金永 久性补充流动资金与公司 募集资金投资项目实施不 相抵触，不影响公司募集 资金投资项目的正常进 行，不存在变相改变募集 资金投向和损害股东利益 的情况。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p>
            <w:pPr>
              <w:pStyle w:val="Style9"/>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r>
        <w:trPr>
          <w:trHeight w:val="473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使用闲置募集资金 购买保本型理财产品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 项公司承诺最近十二个月 内，未进行证券投资等高 风险投资，并承诺本次利 用闲置募集资金购买保本 型理财产品后十二个月内 不进行证券投资等高风险 投资及为他人提供财务资 助并对外披露。本次公司 使用闲置募集资金购买保 本型理财产品与公司募集 资金投资项目实施不相抵 触，不影响公司募集资金 投资项目的正常进行，不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9</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人严格履行了 承诺事项。</w:t>
            </w:r>
          </w:p>
        </w:tc>
      </w:tr>
    </w:tbl>
    <w:p>
      <w:pPr>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Restart w:val="continuous"/>
          </w:footnotePr>
          <w:pgSz w:w="11909" w:h="17415"/>
          <w:pgMar w:top="1728" w:right="1144" w:bottom="1757" w:left="1079" w:header="0" w:footer="3" w:gutter="0"/>
          <w:cols w:space="720"/>
          <w:noEndnote/>
          <w:titlePg/>
          <w:rtlGutter w:val="0"/>
          <w:docGrid w:linePitch="360"/>
        </w:sectPr>
      </w:pPr>
    </w:p>
    <w:tbl>
      <w:tblPr>
        <w:tblOverlap w:val="never"/>
        <w:jc w:val="center"/>
        <w:tblLayout w:type="fixed"/>
      </w:tblPr>
      <w:tblGrid>
        <w:gridCol w:w="2136"/>
        <w:gridCol w:w="1560"/>
        <w:gridCol w:w="2059"/>
        <w:gridCol w:w="1277"/>
        <w:gridCol w:w="1277"/>
        <w:gridCol w:w="127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存在变相改变募集资金投 向和损害股东利益的情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四</w:t>
      </w:r>
      <w:bookmarkEnd w:id="208"/>
      <w:r>
        <w:rPr>
          <w:color w:val="000000"/>
          <w:spacing w:val="0"/>
          <w:w w:val="100"/>
          <w:position w:val="0"/>
        </w:rPr>
        <w:t>、聘任、解聘会计师事务所情况</w:t>
      </w:r>
      <w:bookmarkEnd w:id="206"/>
      <w:bookmarkEnd w:id="207"/>
      <w:bookmarkEnd w:id="20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王云成、汪沛</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五</w:t>
      </w:r>
      <w:bookmarkEnd w:id="212"/>
      <w:r>
        <w:rPr>
          <w:color w:val="000000"/>
          <w:spacing w:val="0"/>
          <w:w w:val="100"/>
          <w:position w:val="0"/>
        </w:rPr>
        <w:t>、处罚及整改情况</w:t>
      </w:r>
      <w:bookmarkEnd w:id="210"/>
      <w:bookmarkEnd w:id="211"/>
      <w:bookmarkEnd w:id="213"/>
    </w:p>
    <w:p>
      <w:pPr>
        <w:pStyle w:val="Style27"/>
        <w:keepNext w:val="0"/>
        <w:keepLines w:val="0"/>
        <w:widowControl w:val="0"/>
        <w:shd w:val="clear" w:color="auto" w:fill="auto"/>
        <w:bidi w:val="0"/>
        <w:spacing w:before="0" w:after="80" w:line="360"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上的股东名称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涉嫌违规所得收益收回的时间</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涉嫌违规所得收益收回的金额（元）</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章超英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654.50</w:t>
            </w:r>
          </w:p>
        </w:tc>
      </w:tr>
    </w:tbl>
    <w:p>
      <w:pPr>
        <w:widowControl w:val="0"/>
        <w:spacing w:after="339" w:line="1" w:lineRule="exact"/>
      </w:pPr>
    </w:p>
    <w:p>
      <w:pPr>
        <w:pStyle w:val="Style22"/>
        <w:keepNext/>
        <w:keepLines/>
        <w:widowControl w:val="0"/>
        <w:shd w:val="clear" w:color="auto" w:fill="auto"/>
        <w:tabs>
          <w:tab w:pos="522" w:val="left"/>
        </w:tabs>
        <w:bidi w:val="0"/>
        <w:spacing w:before="0" w:after="34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六</w:t>
      </w:r>
      <w:bookmarkEnd w:id="216"/>
      <w:r>
        <w:rPr>
          <w:color w:val="000000"/>
          <w:spacing w:val="0"/>
          <w:w w:val="100"/>
          <w:position w:val="0"/>
        </w:rPr>
        <w:t>、</w:t>
        <w:tab/>
        <w:t>其他重大事项的说明</w:t>
      </w:r>
      <w:bookmarkEnd w:id="214"/>
      <w:bookmarkEnd w:id="215"/>
      <w:bookmarkEnd w:id="217"/>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本报告期，无需要说明的其他重大事项。</w:t>
      </w:r>
    </w:p>
    <w:p>
      <w:pPr>
        <w:pStyle w:val="Style22"/>
        <w:keepNext/>
        <w:keepLines/>
        <w:widowControl w:val="0"/>
        <w:shd w:val="clear" w:color="auto" w:fill="auto"/>
        <w:tabs>
          <w:tab w:pos="522" w:val="left"/>
        </w:tabs>
        <w:bidi w:val="0"/>
        <w:spacing w:before="0" w:after="14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七</w:t>
      </w:r>
      <w:bookmarkEnd w:id="220"/>
      <w:r>
        <w:rPr>
          <w:color w:val="000000"/>
          <w:spacing w:val="0"/>
          <w:w w:val="100"/>
          <w:position w:val="0"/>
        </w:rPr>
        <w:t>、</w:t>
        <w:tab/>
        <w:t>公司发行公司债券的情况</w:t>
      </w:r>
      <w:bookmarkEnd w:id="218"/>
      <w:bookmarkEnd w:id="219"/>
      <w:bookmarkEnd w:id="221"/>
    </w:p>
    <w:p>
      <w:pPr>
        <w:pStyle w:val="Style33"/>
        <w:keepNext w:val="0"/>
        <w:keepLines w:val="0"/>
        <w:widowControl w:val="0"/>
        <w:shd w:val="clear" w:color="auto" w:fill="auto"/>
        <w:bidi w:val="0"/>
        <w:spacing w:before="0" w:after="0" w:line="475" w:lineRule="exact"/>
        <w:ind w:left="0" w:right="0" w:firstLine="520"/>
        <w:jc w:val="both"/>
      </w:pPr>
      <w:r>
        <w:rPr>
          <w:color w:val="000000"/>
          <w:spacing w:val="0"/>
          <w:w w:val="100"/>
          <w:position w:val="0"/>
        </w:rPr>
        <w:t>公司于</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日召开第二届董事会第十二次会议，审议通过了《关于公司符合发行公司债券条 件的议案》和《关于发行公司债券的议案》</w:t>
      </w:r>
      <w:r>
        <w:rPr>
          <w:color w:val="000000"/>
          <w:spacing w:val="0"/>
          <w:w w:val="100"/>
          <w:position w:val="0"/>
        </w:rPr>
        <w:t>，</w:t>
      </w:r>
      <w:r>
        <w:rPr>
          <w:color w:val="000000"/>
          <w:spacing w:val="0"/>
          <w:w w:val="100"/>
          <w:position w:val="0"/>
        </w:rPr>
        <w:t>并于</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日召开</w:t>
      </w:r>
      <w:r>
        <w:rPr>
          <w:color w:val="000000"/>
          <w:spacing w:val="0"/>
          <w:w w:val="100"/>
          <w:position w:val="0"/>
        </w:rPr>
        <w:t>2012</w:t>
      </w:r>
      <w:r>
        <w:rPr>
          <w:color w:val="000000"/>
          <w:spacing w:val="0"/>
          <w:w w:val="100"/>
          <w:position w:val="0"/>
        </w:rPr>
        <w:t>年第二次临时股东大会审议通 过了上述议案。</w:t>
      </w:r>
    </w:p>
    <w:p>
      <w:pPr>
        <w:pStyle w:val="Style33"/>
        <w:keepNext w:val="0"/>
        <w:keepLines w:val="0"/>
        <w:widowControl w:val="0"/>
        <w:shd w:val="clear" w:color="auto" w:fill="auto"/>
        <w:bidi w:val="0"/>
        <w:spacing w:before="0" w:after="280" w:line="475" w:lineRule="exact"/>
        <w:ind w:left="0" w:right="0" w:firstLine="520"/>
        <w:jc w:val="both"/>
        <w:sectPr>
          <w:headerReference w:type="default" r:id="rId89"/>
          <w:footerReference w:type="default" r:id="rId90"/>
          <w:headerReference w:type="even" r:id="rId91"/>
          <w:footerReference w:type="even" r:id="rId92"/>
          <w:footnotePr>
            <w:pos w:val="pageBottom"/>
            <w:numFmt w:val="decimal"/>
            <w:numRestart w:val="continuous"/>
          </w:footnotePr>
          <w:type w:val="continuous"/>
          <w:pgSz w:w="11909" w:h="17415"/>
          <w:pgMar w:top="1728" w:right="1144" w:bottom="1757" w:left="1079" w:header="0" w:footer="3" w:gutter="0"/>
          <w:cols w:space="720"/>
          <w:noEndnote/>
          <w:rtlGutter w:val="0"/>
          <w:docGrid w:linePitch="360"/>
        </w:sectPr>
      </w:pP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日，公司本次公开发行公司债券的申请获得了中国证券监督管理委员会发行审核委员会 的批准，并于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日收到了中国证券监督管理委员会《关于核准北京中科金财科技股份有限公司 公开发行公司债券的批复》证监许可</w:t>
      </w:r>
      <w:r>
        <w:rPr>
          <w:color w:val="000000"/>
          <w:spacing w:val="0"/>
          <w:w w:val="100"/>
          <w:position w:val="0"/>
        </w:rPr>
        <w:t>[2013]39</w:t>
      </w:r>
      <w:r>
        <w:rPr>
          <w:color w:val="000000"/>
          <w:spacing w:val="0"/>
          <w:w w:val="100"/>
          <w:position w:val="0"/>
        </w:rPr>
        <w:t>号，核准公司向社会公开发行面值不超过</w:t>
      </w:r>
      <w:r>
        <w:rPr>
          <w:color w:val="000000"/>
          <w:spacing w:val="0"/>
          <w:w w:val="100"/>
          <w:position w:val="0"/>
        </w:rPr>
        <w:t>2.4</w:t>
      </w:r>
      <w:r>
        <w:rPr>
          <w:color w:val="000000"/>
          <w:spacing w:val="0"/>
          <w:w w:val="100"/>
          <w:position w:val="0"/>
        </w:rPr>
        <w:t>亿元的公司债 券。</w:t>
      </w:r>
    </w:p>
    <w:p>
      <w:pPr>
        <w:pStyle w:val="Style33"/>
        <w:keepNext w:val="0"/>
        <w:keepLines w:val="0"/>
        <w:widowControl w:val="0"/>
        <w:shd w:val="clear" w:color="auto" w:fill="auto"/>
        <w:bidi w:val="0"/>
        <w:spacing w:before="0" w:after="12120" w:line="464" w:lineRule="exact"/>
        <w:ind w:left="0" w:right="0" w:firstLine="50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日，公司刊登了《</w:t>
      </w:r>
      <w:r>
        <w:rPr>
          <w:color w:val="000000"/>
          <w:spacing w:val="0"/>
          <w:w w:val="100"/>
          <w:position w:val="0"/>
        </w:rPr>
        <w:t>2012</w:t>
      </w:r>
      <w:r>
        <w:rPr>
          <w:color w:val="000000"/>
          <w:spacing w:val="0"/>
          <w:w w:val="100"/>
          <w:position w:val="0"/>
        </w:rPr>
        <w:t>年公司债券发行公告》、债券募集说明书及其摘要，详细说明了本 次公开发行公司债券的相关事宜。</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日刊登《公司债券票面利率公告》，确定本次发行公司债券票面利 率为</w:t>
      </w:r>
      <w:r>
        <w:rPr>
          <w:color w:val="000000"/>
          <w:spacing w:val="0"/>
          <w:w w:val="100"/>
          <w:position w:val="0"/>
        </w:rPr>
        <w:t>6.7%</w:t>
      </w:r>
      <w:r>
        <w:rPr>
          <w:color w:val="000000"/>
          <w:spacing w:val="0"/>
          <w:w w:val="100"/>
          <w:position w:val="0"/>
        </w:rPr>
        <w:t>。</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日刊登《</w:t>
      </w:r>
      <w:r>
        <w:rPr>
          <w:color w:val="000000"/>
          <w:spacing w:val="0"/>
          <w:w w:val="100"/>
          <w:position w:val="0"/>
        </w:rPr>
        <w:t>2012</w:t>
      </w:r>
      <w:r>
        <w:rPr>
          <w:color w:val="000000"/>
          <w:spacing w:val="0"/>
          <w:w w:val="100"/>
          <w:position w:val="0"/>
        </w:rPr>
        <w:t>年公司债券发行结果公告》，公司成功发行</w:t>
      </w:r>
      <w:r>
        <w:rPr>
          <w:color w:val="000000"/>
          <w:spacing w:val="0"/>
          <w:w w:val="100"/>
          <w:position w:val="0"/>
        </w:rPr>
        <w:t>2.4</w:t>
      </w:r>
      <w:r>
        <w:rPr>
          <w:color w:val="000000"/>
          <w:spacing w:val="0"/>
          <w:w w:val="100"/>
          <w:position w:val="0"/>
        </w:rPr>
        <w:t>亿元公司债券，其中网上发 行</w:t>
      </w:r>
      <w:r>
        <w:rPr>
          <w:color w:val="000000"/>
          <w:spacing w:val="0"/>
          <w:w w:val="100"/>
          <w:position w:val="0"/>
        </w:rPr>
        <w:t>0.24</w:t>
      </w:r>
      <w:r>
        <w:rPr>
          <w:color w:val="000000"/>
          <w:spacing w:val="0"/>
          <w:w w:val="100"/>
          <w:position w:val="0"/>
        </w:rPr>
        <w:t>亿元，网下发行</w:t>
      </w:r>
      <w:r>
        <w:rPr>
          <w:color w:val="000000"/>
          <w:spacing w:val="0"/>
          <w:w w:val="100"/>
          <w:position w:val="0"/>
        </w:rPr>
        <w:t>2.16</w:t>
      </w:r>
      <w:r>
        <w:rPr>
          <w:color w:val="000000"/>
          <w:spacing w:val="0"/>
          <w:w w:val="100"/>
          <w:position w:val="0"/>
        </w:rPr>
        <w:t>亿元。</w:t>
      </w:r>
    </w:p>
    <w:p>
      <w:pPr>
        <w:widowControl w:val="0"/>
        <w:jc w:val="center"/>
        <w:rPr>
          <w:sz w:val="2"/>
          <w:szCs w:val="2"/>
        </w:rPr>
        <w:sectPr>
          <w:headerReference w:type="default" r:id="rId93"/>
          <w:footerReference w:type="default" r:id="rId94"/>
          <w:headerReference w:type="even" r:id="rId95"/>
          <w:footerReference w:type="even" r:id="rId96"/>
          <w:footnotePr>
            <w:pos w:val="pageBottom"/>
            <w:numFmt w:val="decimal"/>
            <w:numRestart w:val="continuous"/>
          </w:footnotePr>
          <w:pgSz w:w="11909" w:h="17415"/>
          <w:pgMar w:top="1608" w:right="1114" w:bottom="288" w:left="1114" w:header="0" w:footer="3" w:gutter="0"/>
          <w:cols w:space="720"/>
          <w:noEndnote/>
          <w:rtlGutter w:val="0"/>
          <w:docGrid w:linePitch="360"/>
        </w:sectPr>
      </w:pPr>
      <w:r>
        <w:drawing>
          <wp:inline>
            <wp:extent cx="1718945" cy="981710"/>
            <wp:docPr id="240" name="Picutre 240"/>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97"/>
                    <a:stretch/>
                  </pic:blipFill>
                  <pic:spPr>
                    <a:xfrm>
                      <a:ext cx="1718945" cy="981710"/>
                    </a:xfrm>
                    <a:prstGeom prst="rect"/>
                  </pic:spPr>
                </pic:pic>
              </a:graphicData>
            </a:graphic>
          </wp:inline>
        </w:drawing>
      </w:r>
    </w:p>
    <w:p>
      <w:pPr>
        <w:pStyle w:val="Style6"/>
        <w:keepNext/>
        <w:keepLines/>
        <w:widowControl w:val="0"/>
        <w:shd w:val="clear" w:color="auto" w:fill="auto"/>
        <w:bidi w:val="0"/>
        <w:spacing w:before="720" w:after="540" w:line="240" w:lineRule="auto"/>
        <w:ind w:left="0" w:right="0" w:firstLine="0"/>
        <w:jc w:val="center"/>
      </w:pPr>
      <w:bookmarkStart w:id="222" w:name="bookmark222"/>
      <w:bookmarkStart w:id="223" w:name="bookmark223"/>
      <w:bookmarkStart w:id="224" w:name="bookmark224"/>
      <w:r>
        <w:rPr>
          <w:color w:val="000000"/>
          <w:spacing w:val="0"/>
          <w:w w:val="100"/>
          <w:position w:val="0"/>
        </w:rPr>
        <w:t>第六节股份变动及股东情况</w:t>
      </w:r>
      <w:bookmarkEnd w:id="222"/>
      <w:bookmarkEnd w:id="223"/>
      <w:bookmarkEnd w:id="224"/>
    </w:p>
    <w:p>
      <w:pPr>
        <w:pStyle w:val="Style22"/>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一</w:t>
      </w:r>
      <w:bookmarkEnd w:id="227"/>
      <w:r>
        <w:rPr>
          <w:color w:val="000000"/>
          <w:spacing w:val="0"/>
          <w:w w:val="100"/>
          <w:position w:val="0"/>
        </w:rPr>
        <w:t>、股份变动情况</w:t>
      </w:r>
      <w:bookmarkEnd w:id="225"/>
      <w:bookmarkEnd w:id="226"/>
      <w:bookmarkEnd w:id="22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52,347,53</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19,261,19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-13,825,13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57,783,59</w:t>
            </w:r>
          </w:p>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52,347,53</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19,261,19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-13,825,13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57,783,59</w:t>
            </w:r>
          </w:p>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9,649,836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-9,649,836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-9,649,836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42,697,69</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19,261,19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-4,175,299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15,085,90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57,783,59</w:t>
            </w:r>
          </w:p>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17,450,00</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15,637,56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13,825,13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29,462,70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46,912,70</w:t>
            </w:r>
          </w:p>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17,450,00</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15,637,56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13,825,13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29,462,70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46,912,70</w:t>
            </w:r>
          </w:p>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69,797,53</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34,898,76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34,898,76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104,696,3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69" w:lineRule="exact"/>
        <w:ind w:left="0" w:right="0" w:firstLine="520"/>
        <w:jc w:val="left"/>
      </w:pPr>
      <w:r>
        <w:rPr>
          <w:color w:val="000000"/>
          <w:spacing w:val="0"/>
          <w:w w:val="100"/>
          <w:position w:val="0"/>
        </w:rPr>
        <w:t>公司于</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日在深圳证券交易所上市，公司股东李彤彤、盖洪涛、天津达晨创富股权投资基 金中心（有限合伙）、天津常春藤一期股权投资中心（有限合伙）、上海力鼎投资管理有限公司、深圳市 孚威创业投资有限公司所持股份于</w:t>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日解除限售。</w:t>
      </w:r>
    </w:p>
    <w:p>
      <w:pPr>
        <w:pStyle w:val="Style33"/>
        <w:keepNext w:val="0"/>
        <w:keepLines w:val="0"/>
        <w:widowControl w:val="0"/>
        <w:shd w:val="clear" w:color="auto" w:fill="auto"/>
        <w:bidi w:val="0"/>
        <w:spacing w:before="0" w:after="220" w:line="469" w:lineRule="exact"/>
        <w:ind w:left="0" w:right="0" w:firstLine="520"/>
        <w:jc w:val="left"/>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日披露了《</w:t>
      </w:r>
      <w:r>
        <w:rPr>
          <w:color w:val="000000"/>
          <w:spacing w:val="0"/>
          <w:w w:val="100"/>
          <w:position w:val="0"/>
        </w:rPr>
        <w:t>2012</w:t>
      </w:r>
      <w:r>
        <w:rPr>
          <w:color w:val="000000"/>
          <w:spacing w:val="0"/>
          <w:w w:val="100"/>
          <w:position w:val="0"/>
        </w:rPr>
        <w:t>年度权益分派实施公告》，以公司截止</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69,797,534</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1</w:t>
      </w:r>
      <w:r>
        <w:rPr>
          <w:color w:val="000000"/>
          <w:spacing w:val="0"/>
          <w:w w:val="100"/>
          <w:position w:val="0"/>
        </w:rPr>
        <w:t>.5</w:t>
      </w:r>
      <w:r>
        <w:rPr>
          <w:color w:val="000000"/>
          <w:spacing w:val="0"/>
          <w:w w:val="100"/>
          <w:position w:val="0"/>
        </w:rPr>
        <w:t>元（含税）</w:t>
      </w:r>
      <w:r>
        <w:rPr>
          <w:color w:val="000000"/>
          <w:spacing w:val="0"/>
          <w:w w:val="100"/>
          <w:position w:val="0"/>
        </w:rPr>
        <w:t>；</w:t>
      </w:r>
      <w:r>
        <w:rPr>
          <w:color w:val="000000"/>
          <w:spacing w:val="0"/>
          <w:w w:val="100"/>
          <w:position w:val="0"/>
        </w:rPr>
        <w:t>同时进行资本公积金转增 股本，以公司总股本</w:t>
      </w:r>
      <w:r>
        <w:rPr>
          <w:color w:val="000000"/>
          <w:spacing w:val="0"/>
          <w:w w:val="100"/>
          <w:position w:val="0"/>
        </w:rPr>
        <w:t>69,797,534</w:t>
      </w:r>
      <w:r>
        <w:rPr>
          <w:color w:val="000000"/>
          <w:spacing w:val="0"/>
          <w:w w:val="100"/>
          <w:position w:val="0"/>
        </w:rPr>
        <w:t>股为基础，向全体股东每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股，上述现金股利及送转股份已于</w:t>
      </w:r>
      <w:r>
        <w:rPr>
          <w:color w:val="000000"/>
          <w:spacing w:val="0"/>
          <w:w w:val="100"/>
          <w:position w:val="0"/>
        </w:rPr>
        <w:t xml:space="preserve">2013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日记入股东账户。本次利润分配后，公司总股本增加至</w:t>
      </w:r>
      <w:r>
        <w:rPr>
          <w:color w:val="000000"/>
          <w:spacing w:val="0"/>
          <w:w w:val="100"/>
          <w:position w:val="0"/>
        </w:rPr>
        <w:t>104,696,301</w:t>
      </w:r>
      <w:r>
        <w:rPr>
          <w:color w:val="000000"/>
          <w:spacing w:val="0"/>
          <w:w w:val="100"/>
          <w:position w:val="0"/>
        </w:rPr>
        <w:t>股。</w:t>
      </w:r>
    </w:p>
    <w:p>
      <w:pPr>
        <w:pStyle w:val="Style2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股份变动的批准情况</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60" w:line="470" w:lineRule="exact"/>
        <w:ind w:left="0" w:right="0" w:firstLine="520"/>
        <w:jc w:val="left"/>
      </w:pPr>
      <w:r>
        <w:rPr>
          <w:color w:val="000000"/>
          <w:spacing w:val="0"/>
          <w:w w:val="100"/>
          <w:position w:val="0"/>
        </w:rPr>
        <w:t>公司</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日第二届董事会第十六次会议以及</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2012</w:t>
      </w:r>
      <w:r>
        <w:rPr>
          <w:color w:val="000000"/>
          <w:spacing w:val="0"/>
          <w:w w:val="100"/>
          <w:position w:val="0"/>
        </w:rPr>
        <w:t>年年度股东大会审议通过了 公司</w:t>
      </w:r>
      <w:r>
        <w:rPr>
          <w:color w:val="000000"/>
          <w:spacing w:val="0"/>
          <w:w w:val="100"/>
          <w:position w:val="0"/>
        </w:rPr>
        <w:t>2012</w:t>
      </w:r>
      <w:r>
        <w:rPr>
          <w:color w:val="000000"/>
          <w:spacing w:val="0"/>
          <w:w w:val="100"/>
          <w:position w:val="0"/>
        </w:rPr>
        <w:t>年度利润分配方案。</w:t>
      </w:r>
    </w:p>
    <w:p>
      <w:pPr>
        <w:pStyle w:val="Style27"/>
        <w:keepNext w:val="0"/>
        <w:keepLines w:val="0"/>
        <w:widowControl w:val="0"/>
        <w:shd w:val="clear" w:color="auto" w:fill="auto"/>
        <w:bidi w:val="0"/>
        <w:spacing w:before="0" w:line="240" w:lineRule="auto"/>
        <w:ind w:left="0" w:right="0" w:firstLine="0"/>
        <w:jc w:val="left"/>
      </w:pPr>
      <w:r>
        <w:rPr>
          <w:b/>
          <w:bCs/>
          <w:color w:val="000000"/>
          <w:spacing w:val="0"/>
          <w:w w:val="100"/>
          <w:position w:val="0"/>
        </w:rPr>
        <w:t>股份变动的过户情况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20" w:line="485" w:lineRule="exact"/>
        <w:ind w:left="0" w:right="0" w:firstLine="520"/>
        <w:jc w:val="both"/>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140</w:t>
      </w:r>
      <w:r>
        <w:rPr>
          <w:color w:val="000000"/>
          <w:spacing w:val="0"/>
          <w:w w:val="100"/>
          <w:position w:val="0"/>
        </w:rPr>
        <w:t>中国证券登记结算有限公司深圳分公司将资本公积金转增股本</w:t>
      </w:r>
      <w:r>
        <w:rPr>
          <w:color w:val="000000"/>
          <w:spacing w:val="0"/>
          <w:w w:val="100"/>
          <w:position w:val="0"/>
        </w:rPr>
        <w:t>34,898, 767</w:t>
      </w:r>
      <w:r>
        <w:rPr>
          <w:color w:val="000000"/>
          <w:spacing w:val="0"/>
          <w:w w:val="100"/>
          <w:position w:val="0"/>
        </w:rPr>
        <w:t>股记入各股 东账户。</w:t>
      </w:r>
    </w:p>
    <w:p>
      <w:pPr>
        <w:pStyle w:val="Style27"/>
        <w:keepNext w:val="0"/>
        <w:keepLines w:val="0"/>
        <w:widowControl w:val="0"/>
        <w:shd w:val="clear" w:color="auto" w:fill="auto"/>
        <w:bidi w:val="0"/>
        <w:spacing w:before="0" w:line="240" w:lineRule="auto"/>
        <w:ind w:left="0" w:right="0" w:firstLine="0"/>
        <w:jc w:val="left"/>
      </w:pPr>
      <w:r>
        <w:rPr>
          <w:b/>
          <w:bCs/>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20" w:line="466" w:lineRule="exact"/>
        <w:ind w:left="0" w:right="0" w:firstLine="520"/>
        <w:jc w:val="left"/>
      </w:pPr>
      <w:r>
        <w:rPr>
          <w:color w:val="000000"/>
          <w:spacing w:val="0"/>
          <w:w w:val="100"/>
          <w:position w:val="0"/>
        </w:rPr>
        <w:t>报告期末，每股收益</w:t>
      </w:r>
      <w:r>
        <w:rPr>
          <w:color w:val="000000"/>
          <w:spacing w:val="0"/>
          <w:w w:val="100"/>
          <w:position w:val="0"/>
        </w:rPr>
        <w:t>0.54</w:t>
      </w:r>
      <w:r>
        <w:rPr>
          <w:color w:val="000000"/>
          <w:spacing w:val="0"/>
          <w:w w:val="100"/>
          <w:position w:val="0"/>
        </w:rPr>
        <w:t>元，每股净资产</w:t>
      </w:r>
      <w:r>
        <w:rPr>
          <w:color w:val="000000"/>
          <w:spacing w:val="0"/>
          <w:w w:val="100"/>
          <w:position w:val="0"/>
        </w:rPr>
        <w:t>6.73</w:t>
      </w:r>
      <w:r>
        <w:rPr>
          <w:color w:val="000000"/>
          <w:spacing w:val="0"/>
          <w:w w:val="100"/>
          <w:position w:val="0"/>
        </w:rPr>
        <w:t>元。如公司报告期内不进行资本公积转增股本，则报告 期末每股收益</w:t>
      </w:r>
      <w:r>
        <w:rPr>
          <w:color w:val="000000"/>
          <w:spacing w:val="0"/>
          <w:w w:val="100"/>
          <w:position w:val="0"/>
        </w:rPr>
        <w:t>0.8</w:t>
      </w:r>
      <w:r>
        <w:rPr>
          <w:color w:val="000000"/>
          <w:spacing w:val="0"/>
          <w:w w:val="100"/>
          <w:position w:val="0"/>
        </w:rPr>
        <w:t>元，每股净资产</w:t>
      </w:r>
      <w:r>
        <w:rPr>
          <w:color w:val="000000"/>
          <w:spacing w:val="0"/>
          <w:w w:val="100"/>
          <w:position w:val="0"/>
        </w:rPr>
        <w:t>10.09</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b/>
          <w:bCs/>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14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二</w:t>
      </w:r>
      <w:bookmarkEnd w:id="231"/>
      <w:r>
        <w:rPr>
          <w:color w:val="000000"/>
          <w:spacing w:val="0"/>
          <w:w w:val="100"/>
          <w:position w:val="0"/>
        </w:rPr>
        <w:t>、证券发行与上市情况</w:t>
      </w:r>
      <w:bookmarkEnd w:id="229"/>
      <w:bookmarkEnd w:id="230"/>
      <w:bookmarkEnd w:id="232"/>
    </w:p>
    <w:p>
      <w:pPr>
        <w:pStyle w:val="Style36"/>
        <w:keepNext/>
        <w:keepLines/>
        <w:widowControl w:val="0"/>
        <w:shd w:val="clear" w:color="auto" w:fill="auto"/>
        <w:bidi w:val="0"/>
        <w:spacing w:before="0" w:after="300" w:line="475" w:lineRule="exact"/>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、报告期末近三年历次证券发行情况</w:t>
      </w:r>
      <w:bookmarkEnd w:id="233"/>
      <w:bookmarkEnd w:id="234"/>
      <w:bookmarkEnd w:id="23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前三年历次证券发行情况的说明</w:t>
      </w:r>
    </w:p>
    <w:p>
      <w:pPr>
        <w:pStyle w:val="Style33"/>
        <w:keepNext w:val="0"/>
        <w:keepLines w:val="0"/>
        <w:widowControl w:val="0"/>
        <w:shd w:val="clear" w:color="auto" w:fill="auto"/>
        <w:bidi w:val="0"/>
        <w:spacing w:before="0" w:after="0" w:line="467" w:lineRule="exact"/>
        <w:ind w:left="0" w:right="0" w:firstLine="520"/>
        <w:jc w:val="left"/>
      </w:pPr>
      <w:r>
        <w:rPr>
          <w:color w:val="000000"/>
          <w:spacing w:val="0"/>
          <w:w w:val="100"/>
          <w:position w:val="0"/>
        </w:rPr>
        <w:t>经中国证券监督管理委员会《关于核准北京中科金财科技股份有限公司首次公开发行股票的批复》 （证监许可</w:t>
      </w:r>
      <w:r>
        <w:rPr>
          <w:color w:val="000000"/>
          <w:spacing w:val="0"/>
          <w:w w:val="100"/>
          <w:position w:val="0"/>
        </w:rPr>
        <w:t>[2012]152</w:t>
      </w:r>
      <w:r>
        <w:rPr>
          <w:color w:val="000000"/>
          <w:spacing w:val="0"/>
          <w:w w:val="100"/>
          <w:position w:val="0"/>
        </w:rPr>
        <w:t>号）核准，北京中科金财科技股份有限公司首次公开发行人民币普通股</w:t>
      </w:r>
      <w:r>
        <w:rPr>
          <w:color w:val="000000"/>
          <w:spacing w:val="0"/>
          <w:w w:val="100"/>
          <w:position w:val="0"/>
        </w:rPr>
        <w:t>（A</w:t>
      </w:r>
      <w:r>
        <w:rPr>
          <w:color w:val="000000"/>
          <w:spacing w:val="0"/>
          <w:w w:val="100"/>
          <w:position w:val="0"/>
        </w:rPr>
        <w:t xml:space="preserve">股） </w:t>
      </w:r>
      <w:r>
        <w:rPr>
          <w:color w:val="000000"/>
          <w:spacing w:val="0"/>
          <w:w w:val="100"/>
          <w:position w:val="0"/>
        </w:rPr>
        <w:t>17,450,000.00</w:t>
      </w:r>
      <w:r>
        <w:rPr>
          <w:color w:val="000000"/>
          <w:spacing w:val="0"/>
          <w:w w:val="100"/>
          <w:position w:val="0"/>
        </w:rPr>
        <w:t>股，发行价格</w:t>
      </w:r>
      <w:r>
        <w:rPr>
          <w:color w:val="000000"/>
          <w:spacing w:val="0"/>
          <w:w w:val="100"/>
          <w:position w:val="0"/>
        </w:rPr>
        <w:t>22</w:t>
      </w:r>
      <w:r>
        <w:rPr>
          <w:color w:val="000000"/>
          <w:spacing w:val="0"/>
          <w:w w:val="100"/>
          <w:position w:val="0"/>
        </w:rPr>
        <w:t>元</w:t>
      </w:r>
      <w:r>
        <w:rPr>
          <w:color w:val="000000"/>
          <w:spacing w:val="0"/>
          <w:w w:val="100"/>
          <w:position w:val="0"/>
        </w:rPr>
        <w:t>/</w:t>
      </w:r>
      <w:r>
        <w:rPr>
          <w:color w:val="000000"/>
          <w:spacing w:val="0"/>
          <w:w w:val="100"/>
          <w:position w:val="0"/>
        </w:rPr>
        <w:t>股，公司首次公开发行前总股本为</w:t>
      </w:r>
      <w:r>
        <w:rPr>
          <w:color w:val="000000"/>
          <w:spacing w:val="0"/>
          <w:w w:val="100"/>
          <w:position w:val="0"/>
        </w:rPr>
        <w:t>52,347,534.0</w:t>
      </w:r>
      <w:r>
        <w:rPr>
          <w:color w:val="000000"/>
          <w:spacing w:val="0"/>
          <w:w w:val="100"/>
          <w:position w:val="0"/>
        </w:rPr>
        <w:t>0</w:t>
      </w:r>
      <w:r>
        <w:rPr>
          <w:color w:val="000000"/>
          <w:spacing w:val="0"/>
          <w:w w:val="100"/>
          <w:position w:val="0"/>
        </w:rPr>
        <w:t xml:space="preserve">股，发行后总股本为 </w:t>
      </w:r>
      <w:r>
        <w:rPr>
          <w:color w:val="000000"/>
          <w:spacing w:val="0"/>
          <w:w w:val="100"/>
          <w:position w:val="0"/>
        </w:rPr>
        <w:t>69,797,534.00</w:t>
      </w:r>
      <w:r>
        <w:rPr>
          <w:color w:val="000000"/>
          <w:spacing w:val="0"/>
          <w:w w:val="100"/>
          <w:position w:val="0"/>
        </w:rPr>
        <w:t>股。</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日首次公开发行人民币普通股股票在深圳证券交易所挂牌上市。</w:t>
      </w:r>
    </w:p>
    <w:p>
      <w:pPr>
        <w:pStyle w:val="Style33"/>
        <w:keepNext w:val="0"/>
        <w:keepLines w:val="0"/>
        <w:widowControl w:val="0"/>
        <w:shd w:val="clear" w:color="auto" w:fill="auto"/>
        <w:bidi w:val="0"/>
        <w:spacing w:before="0" w:after="180" w:line="467" w:lineRule="exact"/>
        <w:ind w:left="0" w:right="0" w:firstLine="520"/>
        <w:jc w:val="left"/>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9" w:h="17415"/>
          <w:pgMar w:top="1536" w:right="1055" w:bottom="1920" w:left="1061" w:header="0" w:footer="3" w:gutter="0"/>
          <w:cols w:space="720"/>
          <w:noEndnote/>
          <w:titlePg/>
          <w:rtlGutter w:val="0"/>
          <w:docGrid w:linePitch="360"/>
        </w:sectPr>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日收到了中国证券监督管理委员会《关于核准北京中科金财科技股份有限公司公 开发行公司债券的批复》证监许可</w:t>
      </w:r>
      <w:r>
        <w:rPr>
          <w:color w:val="000000"/>
          <w:spacing w:val="0"/>
          <w:w w:val="100"/>
          <w:position w:val="0"/>
        </w:rPr>
        <w:t>[2013]39</w:t>
      </w:r>
      <w:r>
        <w:rPr>
          <w:color w:val="000000"/>
          <w:spacing w:val="0"/>
          <w:w w:val="100"/>
          <w:position w:val="0"/>
        </w:rPr>
        <w:t>号，核准公司向社会公开发行面值不超过</w:t>
      </w:r>
      <w:r>
        <w:rPr>
          <w:color w:val="000000"/>
          <w:spacing w:val="0"/>
          <w:w w:val="100"/>
          <w:position w:val="0"/>
        </w:rPr>
        <w:t>2.4</w:t>
      </w:r>
      <w:r>
        <w:rPr>
          <w:color w:val="000000"/>
          <w:spacing w:val="0"/>
          <w:w w:val="100"/>
          <w:position w:val="0"/>
        </w:rPr>
        <w:t xml:space="preserve">亿元的公司债券。 </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日刊登了《</w:t>
      </w:r>
      <w:r>
        <w:rPr>
          <w:color w:val="000000"/>
          <w:spacing w:val="0"/>
          <w:w w:val="100"/>
          <w:position w:val="0"/>
        </w:rPr>
        <w:t>2012</w:t>
      </w:r>
      <w:r>
        <w:rPr>
          <w:color w:val="000000"/>
          <w:spacing w:val="0"/>
          <w:w w:val="100"/>
          <w:position w:val="0"/>
        </w:rPr>
        <w:t>年公司债券发行公告》、债券募集说明书及其摘要，详细说明了本次公开发行 公司债券的相关事宜。</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日刊登《公司债券票面利率公告》，确定本次发行公司债券票面利率为</w:t>
      </w:r>
      <w:r>
        <w:rPr>
          <w:color w:val="000000"/>
          <w:spacing w:val="0"/>
          <w:w w:val="100"/>
          <w:position w:val="0"/>
        </w:rPr>
        <w:t>6.7%</w:t>
      </w:r>
      <w:r>
        <w:rPr>
          <w:color w:val="000000"/>
          <w:spacing w:val="0"/>
          <w:w w:val="100"/>
          <w:position w:val="0"/>
        </w:rPr>
        <w:t xml:space="preserve">。 </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日刊登《</w:t>
      </w:r>
      <w:r>
        <w:rPr>
          <w:color w:val="000000"/>
          <w:spacing w:val="0"/>
          <w:w w:val="100"/>
          <w:position w:val="0"/>
        </w:rPr>
        <w:t>2012</w:t>
      </w:r>
      <w:r>
        <w:rPr>
          <w:color w:val="000000"/>
          <w:spacing w:val="0"/>
          <w:w w:val="100"/>
          <w:position w:val="0"/>
        </w:rPr>
        <w:t>年公司债券发行结果公告》</w:t>
      </w:r>
      <w:r>
        <w:rPr>
          <w:color w:val="000000"/>
          <w:spacing w:val="0"/>
          <w:w w:val="100"/>
          <w:position w:val="0"/>
        </w:rPr>
        <w:t>，</w:t>
      </w:r>
      <w:r>
        <w:rPr>
          <w:color w:val="000000"/>
          <w:spacing w:val="0"/>
          <w:w w:val="100"/>
          <w:position w:val="0"/>
        </w:rPr>
        <w:t>公司成功发行</w:t>
      </w:r>
      <w:r>
        <w:rPr>
          <w:color w:val="000000"/>
          <w:spacing w:val="0"/>
          <w:w w:val="100"/>
          <w:position w:val="0"/>
        </w:rPr>
        <w:t>2.4</w:t>
      </w:r>
      <w:r>
        <w:rPr>
          <w:color w:val="000000"/>
          <w:spacing w:val="0"/>
          <w:w w:val="100"/>
          <w:position w:val="0"/>
        </w:rPr>
        <w:t>亿元公司债券，其中网上发行</w:t>
      </w:r>
      <w:r>
        <w:rPr>
          <w:color w:val="000000"/>
          <w:spacing w:val="0"/>
          <w:w w:val="100"/>
          <w:position w:val="0"/>
        </w:rPr>
        <w:t>0.24</w:t>
      </w:r>
      <w:r>
        <w:rPr>
          <w:color w:val="000000"/>
          <w:spacing w:val="0"/>
          <w:w w:val="100"/>
          <w:position w:val="0"/>
        </w:rPr>
        <w:t>亿元, 网下发行</w:t>
      </w:r>
      <w:r>
        <w:rPr>
          <w:color w:val="000000"/>
          <w:spacing w:val="0"/>
          <w:w w:val="100"/>
          <w:position w:val="0"/>
        </w:rPr>
        <w:t>2.16</w:t>
      </w:r>
      <w:r>
        <w:rPr>
          <w:color w:val="000000"/>
          <w:spacing w:val="0"/>
          <w:w w:val="100"/>
          <w:position w:val="0"/>
        </w:rPr>
        <w:t>亿元。</w:t>
      </w:r>
    </w:p>
    <w:p>
      <w:pPr>
        <w:pStyle w:val="Style36"/>
        <w:keepNext/>
        <w:keepLines/>
        <w:widowControl w:val="0"/>
        <w:shd w:val="clear" w:color="auto" w:fill="auto"/>
        <w:bidi w:val="0"/>
        <w:spacing w:before="0" w:after="200" w:line="469" w:lineRule="exact"/>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、公司股份总数及股东结构的变动、公司资产和负债结构的变动情况说明</w:t>
      </w:r>
      <w:bookmarkEnd w:id="237"/>
      <w:bookmarkEnd w:id="238"/>
      <w:bookmarkEnd w:id="240"/>
    </w:p>
    <w:p>
      <w:pPr>
        <w:pStyle w:val="Style33"/>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日披露了《</w:t>
      </w:r>
      <w:r>
        <w:rPr>
          <w:color w:val="000000"/>
          <w:spacing w:val="0"/>
          <w:w w:val="100"/>
          <w:position w:val="0"/>
        </w:rPr>
        <w:t>2012</w:t>
      </w:r>
      <w:r>
        <w:rPr>
          <w:color w:val="000000"/>
          <w:spacing w:val="0"/>
          <w:w w:val="100"/>
          <w:position w:val="0"/>
        </w:rPr>
        <w:t>年度权益分派实施公告》，以公司截止</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69,797,534</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1</w:t>
      </w:r>
      <w:r>
        <w:rPr>
          <w:color w:val="000000"/>
          <w:spacing w:val="0"/>
          <w:w w:val="100"/>
          <w:position w:val="0"/>
        </w:rPr>
        <w:t>.5</w:t>
      </w:r>
      <w:r>
        <w:rPr>
          <w:color w:val="000000"/>
          <w:spacing w:val="0"/>
          <w:w w:val="100"/>
          <w:position w:val="0"/>
        </w:rPr>
        <w:t>元（含税）</w:t>
      </w:r>
      <w:r>
        <w:rPr>
          <w:color w:val="000000"/>
          <w:spacing w:val="0"/>
          <w:w w:val="100"/>
          <w:position w:val="0"/>
        </w:rPr>
        <w:t>；</w:t>
      </w:r>
      <w:r>
        <w:rPr>
          <w:color w:val="000000"/>
          <w:spacing w:val="0"/>
          <w:w w:val="100"/>
          <w:position w:val="0"/>
        </w:rPr>
        <w:t>同时进行资本公积金转增 股本，以公司总股本</w:t>
      </w:r>
      <w:r>
        <w:rPr>
          <w:color w:val="000000"/>
          <w:spacing w:val="0"/>
          <w:w w:val="100"/>
          <w:position w:val="0"/>
        </w:rPr>
        <w:t>69,797,534</w:t>
      </w:r>
      <w:r>
        <w:rPr>
          <w:color w:val="000000"/>
          <w:spacing w:val="0"/>
          <w:w w:val="100"/>
          <w:position w:val="0"/>
        </w:rPr>
        <w:t>股为基础，向全体股东每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股。本次利润分配后，公司总股本增 加至</w:t>
      </w:r>
      <w:r>
        <w:rPr>
          <w:color w:val="000000"/>
          <w:spacing w:val="0"/>
          <w:w w:val="100"/>
          <w:position w:val="0"/>
        </w:rPr>
        <w:t>104,696,301</w:t>
      </w:r>
      <w:r>
        <w:rPr>
          <w:color w:val="000000"/>
          <w:spacing w:val="0"/>
          <w:w w:val="100"/>
          <w:position w:val="0"/>
        </w:rPr>
        <w:t>股。公司股本增加</w:t>
      </w:r>
      <w:r>
        <w:rPr>
          <w:color w:val="000000"/>
          <w:spacing w:val="0"/>
          <w:w w:val="100"/>
          <w:position w:val="0"/>
        </w:rPr>
        <w:t>34,898,767</w:t>
      </w:r>
      <w:r>
        <w:rPr>
          <w:color w:val="000000"/>
          <w:spacing w:val="0"/>
          <w:w w:val="100"/>
          <w:position w:val="0"/>
        </w:rPr>
        <w:t>元，资本公积减少</w:t>
      </w:r>
      <w:r>
        <w:rPr>
          <w:color w:val="000000"/>
          <w:spacing w:val="0"/>
          <w:w w:val="100"/>
          <w:position w:val="0"/>
        </w:rPr>
        <w:t>34,898,767</w:t>
      </w:r>
      <w:r>
        <w:rPr>
          <w:color w:val="000000"/>
          <w:spacing w:val="0"/>
          <w:w w:val="100"/>
          <w:position w:val="0"/>
        </w:rPr>
        <w:t>元，截止</w:t>
      </w:r>
      <w:r>
        <w:rPr>
          <w:color w:val="000000"/>
          <w:spacing w:val="0"/>
          <w:w w:val="100"/>
          <w:position w:val="0"/>
        </w:rPr>
        <w:t>12</w:t>
      </w:r>
      <w:r>
        <w:rPr>
          <w:color w:val="000000"/>
          <w:spacing w:val="0"/>
          <w:w w:val="100"/>
          <w:position w:val="0"/>
        </w:rPr>
        <w:t>月底，公司资产 负债率为</w:t>
      </w:r>
      <w:r>
        <w:rPr>
          <w:color w:val="000000"/>
          <w:spacing w:val="0"/>
          <w:w w:val="100"/>
          <w:position w:val="0"/>
        </w:rPr>
        <w:t>48.12%</w:t>
      </w:r>
      <w:r>
        <w:rPr>
          <w:color w:val="000000"/>
          <w:spacing w:val="0"/>
          <w:w w:val="100"/>
          <w:position w:val="0"/>
        </w:rPr>
        <w:t>，较年初有所上升。</w:t>
      </w:r>
    </w:p>
    <w:p>
      <w:pPr>
        <w:pStyle w:val="Style22"/>
        <w:keepNext/>
        <w:keepLines/>
        <w:widowControl w:val="0"/>
        <w:shd w:val="clear" w:color="auto" w:fill="auto"/>
        <w:bidi w:val="0"/>
        <w:spacing w:before="0" w:after="12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三</w:t>
      </w:r>
      <w:bookmarkEnd w:id="243"/>
      <w:r>
        <w:rPr>
          <w:color w:val="000000"/>
          <w:spacing w:val="0"/>
          <w:w w:val="100"/>
          <w:position w:val="0"/>
        </w:rPr>
        <w:t>、股东和实际控制人情况</w:t>
      </w:r>
      <w:bookmarkEnd w:id="241"/>
      <w:bookmarkEnd w:id="242"/>
      <w:bookmarkEnd w:id="244"/>
    </w:p>
    <w:p>
      <w:pPr>
        <w:pStyle w:val="Style36"/>
        <w:keepNext/>
        <w:keepLines/>
        <w:widowControl w:val="0"/>
        <w:shd w:val="clear" w:color="auto" w:fill="auto"/>
        <w:bidi w:val="0"/>
        <w:spacing w:before="0" w:line="469" w:lineRule="exact"/>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、公司股东数量及持股情况</w:t>
      </w:r>
      <w:bookmarkEnd w:id="245"/>
      <w:bookmarkEnd w:id="246"/>
      <w:bookmarkEnd w:id="2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w:t>
            </w:r>
          </w:p>
        </w:tc>
        <w:tc>
          <w:tcPr>
            <w:gridSpan w:val="5"/>
            <w:tcBorders>
              <w:top w:val="single" w:sz="4"/>
              <w:left w:val="single" w:sz="4"/>
              <w:right w:val="single" w:sz="4"/>
            </w:tcBorders>
            <w:shd w:val="clear" w:color="auto" w:fill="D4D4D4"/>
            <w:vAlign w:val="center"/>
          </w:tcPr>
          <w:p>
            <w:pPr>
              <w:pStyle w:val="Style9"/>
              <w:keepNext w:val="0"/>
              <w:keepLines w:val="0"/>
              <w:widowControl w:val="0"/>
              <w:shd w:val="clear" w:color="auto" w:fill="auto"/>
              <w:tabs>
                <w:tab w:pos="4618" w:val="left"/>
              </w:tabs>
              <w:bidi w:val="0"/>
              <w:spacing w:before="0" w:after="0" w:line="240" w:lineRule="auto"/>
              <w:ind w:left="0" w:right="0" w:firstLine="0"/>
              <w:jc w:val="right"/>
              <w:rPr>
                <w:sz w:val="18"/>
                <w:szCs w:val="18"/>
              </w:rPr>
            </w:pPr>
            <w:r>
              <w:rPr>
                <w:color w:val="000000"/>
                <w:spacing w:val="0"/>
                <w:w w:val="100"/>
                <w:position w:val="0"/>
                <w:sz w:val="16"/>
                <w:szCs w:val="16"/>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个交易日末股东总数</w:t>
              <w:tab/>
            </w:r>
            <w:r>
              <w:rPr>
                <w:rFonts w:ascii="Times New Roman" w:eastAsia="Times New Roman" w:hAnsi="Times New Roman" w:cs="Times New Roman"/>
                <w:color w:val="000000"/>
                <w:spacing w:val="0"/>
                <w:w w:val="100"/>
                <w:position w:val="0"/>
                <w:sz w:val="18"/>
                <w:szCs w:val="18"/>
              </w:rPr>
              <w:t>10,394</w:t>
            </w:r>
          </w:p>
        </w:tc>
      </w:tr>
      <w:tr>
        <w:trPr>
          <w:trHeight w:val="403" w:hRule="exact"/>
        </w:trPr>
        <w:tc>
          <w:tcPr>
            <w:gridSpan w:val="9"/>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持股比例</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23,788,71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23,788,71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陈绪华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14,913,69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14,913,69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14,820,000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12,763,56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12,763,56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李彤彤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4,574,754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4,574,754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盖洪涛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1,715,532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陆莉莉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周碧君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gridSpan w:val="2"/>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上述股东中沈飒、陈绪华、蔡迦为公司一致行动人。除上述关系外，公司未知上述其他 股东是否存在其他关联关系或属于《上市公司股东持股变动信息披露管理办法》中规定 的一致行动人。</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403" w:hRule="exact"/>
        </w:trPr>
        <w:tc>
          <w:tcPr>
            <w:gridSpan w:val="4"/>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盖洪涛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1,564,004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334,018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陆莉莉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305,200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周碧君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295,700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268,200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237,788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233,000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202,800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舒晓晖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201,380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16" w:lineRule="exact"/>
              <w:ind w:left="0" w:right="0" w:firstLine="0"/>
              <w:jc w:val="left"/>
            </w:pPr>
            <w:r>
              <w:rPr>
                <w:color w:val="000000"/>
                <w:spacing w:val="0"/>
                <w:w w:val="100"/>
                <w:position w:val="0"/>
              </w:rPr>
              <w:t>中融国际信托有限公司</w:t>
            </w:r>
            <w:r>
              <w:rPr>
                <w:color w:val="000000"/>
                <w:spacing w:val="0"/>
                <w:w w:val="100"/>
                <w:position w:val="0"/>
                <w:sz w:val="18"/>
                <w:szCs w:val="18"/>
              </w:rPr>
              <w:t>一</w:t>
            </w:r>
            <w:r>
              <w:rPr>
                <w:color w:val="000000"/>
                <w:spacing w:val="0"/>
                <w:w w:val="100"/>
                <w:position w:val="0"/>
              </w:rPr>
              <w:t>融新</w:t>
            </w:r>
            <w:r>
              <w:rPr>
                <w:rFonts w:ascii="Times New Roman" w:eastAsia="Times New Roman" w:hAnsi="Times New Roman" w:cs="Times New Roman"/>
                <w:color w:val="000000"/>
                <w:spacing w:val="0"/>
                <w:w w:val="100"/>
                <w:position w:val="0"/>
                <w:sz w:val="18"/>
                <w:szCs w:val="18"/>
              </w:rPr>
              <w:t xml:space="preserve">350 </w:t>
            </w:r>
            <w:r>
              <w:rPr>
                <w:color w:val="000000"/>
                <w:spacing w:val="0"/>
                <w:w w:val="100"/>
                <w:position w:val="0"/>
              </w:rPr>
              <w:t>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w:t>
            </w:r>
          </w:p>
        </w:tc>
      </w:tr>
      <w:tr>
        <w:trPr>
          <w:trHeight w:val="1339"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公司未知上述股东是否存在关联关系或属于《上市公司股东持股变动信息披露管理办 法》中规定的一致行动人。</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8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、公司控股股东情况</w:t>
      </w:r>
      <w:bookmarkEnd w:id="249"/>
      <w:bookmarkEnd w:id="250"/>
      <w:bookmarkEnd w:id="252"/>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近五年任职于北京中科金财科技股份有限公司，担任运营总监一职。</w:t>
            </w: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3</w:t>
      </w:r>
      <w:bookmarkEnd w:id="255"/>
      <w:r>
        <w:rPr>
          <w:color w:val="000000"/>
          <w:spacing w:val="0"/>
          <w:w w:val="100"/>
          <w:position w:val="0"/>
        </w:rPr>
        <w:t>、公司实际控制人情况</w:t>
      </w:r>
      <w:bookmarkEnd w:id="253"/>
      <w:bookmarkEnd w:id="254"/>
      <w:bookmarkEnd w:id="256"/>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1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type w:val="continuous"/>
          <w:pgSz w:w="11909" w:h="17415"/>
          <w:pgMar w:top="1536" w:right="1055" w:bottom="1920" w:left="1061" w:header="0" w:footer="3" w:gutter="0"/>
          <w:cols w:space="720"/>
          <w:noEndnote/>
          <w:rtlGutter w:val="0"/>
          <w:docGrid w:linePitch="360"/>
        </w:sectPr>
      </w:pP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沈飒近五年任职于北京中科金财科技股份有限公司，担任运营总监一职。朱烨 东近五年任职于北京中科金财科技股份有限公司，担任董事长一职。</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121025" cy="1877695"/>
            <wp:docPr id="274" name="Picutre 274"/>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09"/>
                    <a:stretch/>
                  </pic:blipFill>
                  <pic:spPr>
                    <a:xfrm>
                      <a:ext cx="3121025" cy="1877695"/>
                    </a:xfrm>
                    <a:prstGeom prst="rect"/>
                  </pic:spPr>
                </pic:pic>
              </a:graphicData>
            </a:graphic>
          </wp:inline>
        </w:drawing>
      </w:r>
    </w:p>
    <w:p>
      <w:pPr>
        <w:widowControl w:val="0"/>
        <w:spacing w:after="33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67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111"/>
          <w:footerReference w:type="default" r:id="rId112"/>
          <w:headerReference w:type="even" r:id="rId113"/>
          <w:footerReference w:type="even" r:id="rId114"/>
          <w:footnotePr>
            <w:pos w:val="pageBottom"/>
            <w:numFmt w:val="decimal"/>
            <w:numRestart w:val="continuous"/>
          </w:footnotePr>
          <w:pgSz w:w="11909" w:h="17415"/>
          <w:pgMar w:top="1728" w:right="1200" w:bottom="288" w:left="1118" w:header="0" w:footer="3" w:gutter="0"/>
          <w:cols w:space="720"/>
          <w:noEndnote/>
          <w:rtlGutter w:val="0"/>
          <w:docGrid w:linePitch="360"/>
        </w:sectPr>
      </w:pPr>
      <w:r>
        <w:drawing>
          <wp:inline>
            <wp:extent cx="1718945" cy="981710"/>
            <wp:docPr id="285" name="Picutre 285"/>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15"/>
                    <a:stretch/>
                  </pic:blipFill>
                  <pic:spPr>
                    <a:xfrm>
                      <a:ext cx="1718945" cy="981710"/>
                    </a:xfrm>
                    <a:prstGeom prst="rect"/>
                  </pic:spPr>
                </pic:pic>
              </a:graphicData>
            </a:graphic>
          </wp:inline>
        </w:drawing>
      </w:r>
    </w:p>
    <w:p>
      <w:pPr>
        <w:pStyle w:val="Style6"/>
        <w:keepNext/>
        <w:keepLines/>
        <w:widowControl w:val="0"/>
        <w:shd w:val="clear" w:color="auto" w:fill="auto"/>
        <w:bidi w:val="0"/>
        <w:spacing w:before="880" w:after="540" w:line="240" w:lineRule="auto"/>
        <w:ind w:left="0" w:right="0" w:firstLine="0"/>
        <w:jc w:val="center"/>
      </w:pPr>
      <w:bookmarkStart w:id="257" w:name="bookmark257"/>
      <w:bookmarkStart w:id="258" w:name="bookmark258"/>
      <w:bookmarkStart w:id="259" w:name="bookmark259"/>
      <w:r>
        <w:rPr>
          <w:color w:val="000000"/>
          <w:spacing w:val="0"/>
          <w:w w:val="100"/>
          <w:position w:val="0"/>
        </w:rPr>
        <w:t>第七节 董事、监事、高级管理人员和员工情况</w:t>
      </w:r>
      <w:bookmarkEnd w:id="257"/>
      <w:bookmarkEnd w:id="258"/>
      <w:bookmarkEnd w:id="259"/>
    </w:p>
    <w:p>
      <w:pPr>
        <w:pStyle w:val="Style22"/>
        <w:keepNext/>
        <w:keepLines/>
        <w:widowControl w:val="0"/>
        <w:shd w:val="clear" w:color="auto" w:fill="auto"/>
        <w:bidi w:val="0"/>
        <w:spacing w:before="0" w:after="32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一</w:t>
      </w:r>
      <w:bookmarkEnd w:id="262"/>
      <w:r>
        <w:rPr>
          <w:color w:val="000000"/>
          <w:spacing w:val="0"/>
          <w:w w:val="100"/>
          <w:position w:val="0"/>
        </w:rPr>
        <w:t>、董事、监事和高级管理人员持股变动</w:t>
      </w:r>
      <w:bookmarkEnd w:id="260"/>
      <w:bookmarkEnd w:id="261"/>
      <w:bookmarkEnd w:id="263"/>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9"/>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 运营总监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15,859,144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23,788,716</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陈绪华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9,942,465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14,913,698</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8,509,041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12,763,561</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于志宏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彭雪峰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温京辉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王锁柱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任宏军</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范惠众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赵学荣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副总经理 兼财务总 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黄智舜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夏海涛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张京辉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章超英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35,625</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副总经理 兼董事会 秘书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34,310,650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51,501,600</w:t>
            </w:r>
          </w:p>
        </w:tc>
      </w:tr>
    </w:tbl>
    <w:p>
      <w:pPr>
        <w:widowControl w:val="0"/>
        <w:spacing w:after="319" w:line="1" w:lineRule="exact"/>
      </w:pPr>
    </w:p>
    <w:p>
      <w:pPr>
        <w:pStyle w:val="Style22"/>
        <w:keepNext/>
        <w:keepLines/>
        <w:widowControl w:val="0"/>
        <w:shd w:val="clear" w:color="auto" w:fill="auto"/>
        <w:bidi w:val="0"/>
        <w:spacing w:before="0" w:after="20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、任职情况</w:t>
      </w:r>
      <w:bookmarkEnd w:id="264"/>
      <w:bookmarkEnd w:id="265"/>
      <w:bookmarkEnd w:id="267"/>
    </w:p>
    <w:p>
      <w:pPr>
        <w:pStyle w:val="Style36"/>
        <w:keepNext/>
        <w:keepLines/>
        <w:widowControl w:val="0"/>
        <w:shd w:val="clear" w:color="auto" w:fill="auto"/>
        <w:bidi w:val="0"/>
        <w:spacing w:before="0" w:after="0" w:line="469" w:lineRule="exact"/>
        <w:ind w:left="0" w:right="0" w:firstLine="0"/>
        <w:jc w:val="left"/>
      </w:pPr>
      <w:bookmarkStart w:id="268" w:name="bookmark268"/>
      <w:bookmarkStart w:id="269" w:name="bookmark269"/>
      <w:bookmarkStart w:id="270" w:name="bookmark270"/>
      <w:r>
        <w:rPr>
          <w:color w:val="000000"/>
          <w:spacing w:val="0"/>
          <w:w w:val="100"/>
          <w:position w:val="0"/>
        </w:rPr>
        <w:t>公司现任董事、监事、高级管理人员最近5年的主要工作经历</w:t>
      </w:r>
      <w:bookmarkEnd w:id="268"/>
      <w:bookmarkEnd w:id="269"/>
      <w:bookmarkEnd w:id="270"/>
    </w:p>
    <w:p>
      <w:pPr>
        <w:pStyle w:val="Style36"/>
        <w:keepNext/>
        <w:keepLines/>
        <w:widowControl w:val="0"/>
        <w:shd w:val="clear" w:color="auto" w:fill="auto"/>
        <w:bidi w:val="0"/>
        <w:spacing w:before="0" w:after="0" w:line="469" w:lineRule="exact"/>
        <w:ind w:left="0" w:right="0" w:firstLine="0"/>
        <w:jc w:val="left"/>
      </w:pPr>
      <w:bookmarkStart w:id="268" w:name="bookmark268"/>
      <w:bookmarkStart w:id="269" w:name="bookmark269"/>
      <w:bookmarkStart w:id="271" w:name="bookmark271"/>
      <w:r>
        <w:rPr>
          <w:color w:val="000000"/>
          <w:spacing w:val="0"/>
          <w:w w:val="100"/>
          <w:position w:val="0"/>
        </w:rPr>
        <w:t>公司现任董事近5年工作经历：</w:t>
      </w:r>
      <w:bookmarkEnd w:id="268"/>
      <w:bookmarkEnd w:id="269"/>
      <w:bookmarkEnd w:id="271"/>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朱烨东，男，中国国籍，无境外永久居留权，</w:t>
      </w:r>
      <w:r>
        <w:rPr>
          <w:color w:val="000000"/>
          <w:spacing w:val="0"/>
          <w:w w:val="100"/>
          <w:position w:val="0"/>
        </w:rPr>
        <w:t>1968</w:t>
      </w:r>
      <w:r>
        <w:rPr>
          <w:color w:val="000000"/>
          <w:spacing w:val="0"/>
          <w:w w:val="100"/>
          <w:position w:val="0"/>
        </w:rPr>
        <w:t>年</w:t>
      </w:r>
      <w:r>
        <w:rPr>
          <w:color w:val="000000"/>
          <w:spacing w:val="0"/>
          <w:w w:val="100"/>
          <w:position w:val="0"/>
        </w:rPr>
        <w:t>6</w:t>
      </w:r>
      <w:r>
        <w:rPr>
          <w:color w:val="000000"/>
          <w:spacing w:val="0"/>
          <w:w w:val="100"/>
          <w:position w:val="0"/>
        </w:rPr>
        <w:t>月出生。南京理工大学计算机系软件专业学 士、北京大学经济学院金融学硕士、北京大学经济学院政治经济学博士、高级工程师。近</w:t>
      </w:r>
      <w:r>
        <w:rPr>
          <w:color w:val="000000"/>
          <w:spacing w:val="0"/>
          <w:w w:val="100"/>
          <w:position w:val="0"/>
        </w:rPr>
        <w:t>5</w:t>
      </w:r>
      <w:r>
        <w:rPr>
          <w:color w:val="000000"/>
          <w:spacing w:val="0"/>
          <w:w w:val="100"/>
          <w:position w:val="0"/>
        </w:rPr>
        <w:t>年任职于北京 中科金财科技股份有限公司，现任公司董事长。</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沈飒，女，中国国籍，无境外永久居留权，</w:t>
      </w:r>
      <w:r>
        <w:rPr>
          <w:color w:val="000000"/>
          <w:spacing w:val="0"/>
          <w:w w:val="100"/>
          <w:position w:val="0"/>
        </w:rPr>
        <w:t>1973</w:t>
      </w:r>
      <w:r>
        <w:rPr>
          <w:color w:val="000000"/>
          <w:spacing w:val="0"/>
          <w:w w:val="100"/>
          <w:position w:val="0"/>
        </w:rPr>
        <w:t>年</w:t>
      </w:r>
      <w:r>
        <w:rPr>
          <w:color w:val="000000"/>
          <w:spacing w:val="0"/>
          <w:w w:val="100"/>
          <w:position w:val="0"/>
        </w:rPr>
        <w:t>2</w:t>
      </w:r>
      <w:r>
        <w:rPr>
          <w:color w:val="000000"/>
          <w:spacing w:val="0"/>
          <w:w w:val="100"/>
          <w:position w:val="0"/>
        </w:rPr>
        <w:t>月出生，北京大学经济学院金融专业硕士，中 共党员。近</w:t>
      </w:r>
      <w:r>
        <w:rPr>
          <w:color w:val="000000"/>
          <w:spacing w:val="0"/>
          <w:w w:val="100"/>
          <w:position w:val="0"/>
        </w:rPr>
        <w:t>5</w:t>
      </w:r>
      <w:r>
        <w:rPr>
          <w:color w:val="000000"/>
          <w:spacing w:val="0"/>
          <w:w w:val="100"/>
          <w:position w:val="0"/>
        </w:rPr>
        <w:t>年任职于北京中科金财科技股份有限公司，现任公司副董事长兼运营总监。</w:t>
      </w:r>
    </w:p>
    <w:p>
      <w:pPr>
        <w:pStyle w:val="Style33"/>
        <w:keepNext w:val="0"/>
        <w:keepLines w:val="0"/>
        <w:widowControl w:val="0"/>
        <w:shd w:val="clear" w:color="auto" w:fill="auto"/>
        <w:bidi w:val="0"/>
        <w:spacing w:before="0" w:after="200" w:line="469" w:lineRule="exact"/>
        <w:ind w:left="0" w:right="0" w:firstLine="440"/>
        <w:jc w:val="both"/>
        <w:sectPr>
          <w:headerReference w:type="default" r:id="rId117"/>
          <w:footerReference w:type="default" r:id="rId118"/>
          <w:headerReference w:type="even" r:id="rId119"/>
          <w:footerReference w:type="even" r:id="rId120"/>
          <w:headerReference w:type="first" r:id="rId121"/>
          <w:footerReference w:type="first" r:id="rId122"/>
          <w:footnotePr>
            <w:pos w:val="pageBottom"/>
            <w:numFmt w:val="decimal"/>
            <w:numRestart w:val="continuous"/>
          </w:footnotePr>
          <w:pgSz w:w="11909" w:h="17415"/>
          <w:pgMar w:top="1382" w:right="1041" w:bottom="1451" w:left="1037" w:header="0" w:footer="3" w:gutter="0"/>
          <w:cols w:space="720"/>
          <w:noEndnote/>
          <w:titlePg/>
          <w:rtlGutter w:val="0"/>
          <w:docGrid w:linePitch="360"/>
        </w:sectPr>
      </w:pPr>
      <w:r>
        <w:rPr>
          <w:color w:val="000000"/>
          <w:spacing w:val="0"/>
          <w:w w:val="100"/>
          <w:position w:val="0"/>
        </w:rPr>
        <w:t>杨阳，男，中国国际，无境外永久居留权</w:t>
      </w:r>
      <w:r>
        <w:rPr>
          <w:color w:val="000000"/>
          <w:spacing w:val="0"/>
          <w:w w:val="100"/>
          <w:position w:val="0"/>
        </w:rPr>
        <w:t>，1967</w:t>
      </w:r>
      <w:r>
        <w:rPr>
          <w:color w:val="000000"/>
          <w:spacing w:val="0"/>
          <w:w w:val="100"/>
          <w:position w:val="0"/>
        </w:rPr>
        <w:t>年出生，武汉工业大学计算机及应用专业学士、北京 大学经济学院金融学硕士，工程师。曾任职于北京市政交通一卡通有限公司，现任北京中科金财科技股份 有限公司总经理。</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蔡迦，女，中国国籍，无境外永久居留权</w:t>
      </w:r>
      <w:r>
        <w:rPr>
          <w:color w:val="000000"/>
          <w:spacing w:val="0"/>
          <w:w w:val="100"/>
          <w:position w:val="0"/>
        </w:rPr>
        <w:t>，1946</w:t>
      </w:r>
      <w:r>
        <w:rPr>
          <w:color w:val="000000"/>
          <w:spacing w:val="0"/>
          <w:w w:val="100"/>
          <w:position w:val="0"/>
        </w:rPr>
        <w:t>年出生，大学本科学历。近</w:t>
      </w:r>
      <w:r>
        <w:rPr>
          <w:color w:val="000000"/>
          <w:spacing w:val="0"/>
          <w:w w:val="100"/>
          <w:position w:val="0"/>
        </w:rPr>
        <w:t>5</w:t>
      </w:r>
      <w:r>
        <w:rPr>
          <w:color w:val="000000"/>
          <w:spacing w:val="0"/>
          <w:w w:val="100"/>
          <w:position w:val="0"/>
        </w:rPr>
        <w:t>年任职于北京中科金财 科技股份有限公司，现任公司董事。</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李明珠，男，中国国籍，无境外永久居留权，</w:t>
      </w:r>
      <w:r>
        <w:rPr>
          <w:color w:val="000000"/>
          <w:spacing w:val="0"/>
          <w:w w:val="100"/>
          <w:position w:val="0"/>
        </w:rPr>
        <w:t>1969</w:t>
      </w:r>
      <w:r>
        <w:rPr>
          <w:color w:val="000000"/>
          <w:spacing w:val="0"/>
          <w:w w:val="100"/>
          <w:position w:val="0"/>
        </w:rPr>
        <w:t>年出生，毕业于南开大学金融系农村金融专业， 高级经济师。近</w:t>
      </w:r>
      <w:r>
        <w:rPr>
          <w:color w:val="000000"/>
          <w:spacing w:val="0"/>
          <w:w w:val="100"/>
          <w:position w:val="0"/>
        </w:rPr>
        <w:t>5</w:t>
      </w:r>
      <w:r>
        <w:rPr>
          <w:color w:val="000000"/>
          <w:spacing w:val="0"/>
          <w:w w:val="100"/>
          <w:position w:val="0"/>
        </w:rPr>
        <w:t>年任职于北京中科金财科技股份有限公司，现任公司董事、副总经理。</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于志宏，男，中国国籍，无境外永久居留权</w:t>
      </w:r>
      <w:r>
        <w:rPr>
          <w:color w:val="000000"/>
          <w:spacing w:val="0"/>
          <w:w w:val="100"/>
          <w:position w:val="0"/>
        </w:rPr>
        <w:t>，1971</w:t>
      </w:r>
      <w:r>
        <w:rPr>
          <w:color w:val="000000"/>
          <w:spacing w:val="0"/>
          <w:w w:val="100"/>
          <w:position w:val="0"/>
        </w:rPr>
        <w:t>年出生，清华大学工学学士、中国人民大学</w:t>
      </w:r>
      <w:r>
        <w:rPr>
          <w:color w:val="000000"/>
          <w:spacing w:val="0"/>
          <w:w w:val="100"/>
          <w:position w:val="0"/>
        </w:rPr>
        <w:t>MBA</w:t>
      </w:r>
      <w:r>
        <w:rPr>
          <w:color w:val="000000"/>
          <w:spacing w:val="0"/>
          <w:w w:val="100"/>
          <w:position w:val="0"/>
        </w:rPr>
        <w:t xml:space="preserve">。 </w:t>
      </w:r>
      <w:r>
        <w:rPr>
          <w:color w:val="000000"/>
          <w:spacing w:val="0"/>
          <w:w w:val="100"/>
          <w:position w:val="0"/>
        </w:rPr>
        <w:t>近</w:t>
      </w:r>
      <w:r>
        <w:rPr>
          <w:color w:val="000000"/>
          <w:spacing w:val="0"/>
          <w:w w:val="100"/>
          <w:position w:val="0"/>
        </w:rPr>
        <w:t>5</w:t>
      </w:r>
      <w:r>
        <w:rPr>
          <w:color w:val="000000"/>
          <w:spacing w:val="0"/>
          <w:w w:val="100"/>
          <w:position w:val="0"/>
        </w:rPr>
        <w:t>年任职于达晨创业投资有限公司，兼任公司董事。</w:t>
      </w:r>
    </w:p>
    <w:p>
      <w:pPr>
        <w:pStyle w:val="Style33"/>
        <w:keepNext w:val="0"/>
        <w:keepLines w:val="0"/>
        <w:widowControl w:val="0"/>
        <w:shd w:val="clear" w:color="auto" w:fill="auto"/>
        <w:bidi w:val="0"/>
        <w:spacing w:before="0" w:after="0" w:line="468" w:lineRule="exact"/>
        <w:ind w:left="0" w:right="0" w:firstLine="540"/>
        <w:jc w:val="left"/>
      </w:pPr>
      <w:r>
        <w:rPr>
          <w:color w:val="000000"/>
          <w:spacing w:val="0"/>
          <w:w w:val="100"/>
          <w:position w:val="0"/>
        </w:rPr>
        <w:t>白涛，女，中国国籍，无境外永久居留权</w:t>
      </w:r>
      <w:r>
        <w:rPr>
          <w:color w:val="000000"/>
          <w:spacing w:val="0"/>
          <w:w w:val="100"/>
          <w:position w:val="0"/>
        </w:rPr>
        <w:t>，1965</w:t>
      </w:r>
      <w:r>
        <w:rPr>
          <w:color w:val="000000"/>
          <w:spacing w:val="0"/>
          <w:w w:val="100"/>
          <w:position w:val="0"/>
        </w:rPr>
        <w:t>年出生，北京大学法学学士、美国康乃尔大学法学 博士。近</w:t>
      </w:r>
      <w:r>
        <w:rPr>
          <w:color w:val="000000"/>
          <w:spacing w:val="0"/>
          <w:w w:val="100"/>
          <w:position w:val="0"/>
        </w:rPr>
        <w:t>5</w:t>
      </w:r>
      <w:r>
        <w:rPr>
          <w:color w:val="000000"/>
          <w:spacing w:val="0"/>
          <w:w w:val="100"/>
          <w:position w:val="0"/>
        </w:rPr>
        <w:t>年任职于北京市君合律师事务所，兼任公司独立董事，东易日盛家居装饰集团股份有限公司独 立董事。</w:t>
      </w:r>
    </w:p>
    <w:p>
      <w:pPr>
        <w:pStyle w:val="Style33"/>
        <w:keepNext w:val="0"/>
        <w:keepLines w:val="0"/>
        <w:widowControl w:val="0"/>
        <w:shd w:val="clear" w:color="auto" w:fill="auto"/>
        <w:bidi w:val="0"/>
        <w:spacing w:before="0" w:after="0" w:line="468" w:lineRule="exact"/>
        <w:ind w:left="0" w:right="0" w:firstLine="540"/>
        <w:jc w:val="left"/>
      </w:pPr>
      <w:r>
        <w:rPr>
          <w:color w:val="000000"/>
          <w:spacing w:val="0"/>
          <w:w w:val="100"/>
          <w:position w:val="0"/>
        </w:rPr>
        <w:t>赵燕，女，中国国籍，无境外永久居留权，</w:t>
      </w:r>
      <w:r>
        <w:rPr>
          <w:color w:val="000000"/>
          <w:spacing w:val="0"/>
          <w:w w:val="100"/>
          <w:position w:val="0"/>
        </w:rPr>
        <w:t>1972</w:t>
      </w:r>
      <w:r>
        <w:rPr>
          <w:color w:val="000000"/>
          <w:spacing w:val="0"/>
          <w:w w:val="100"/>
          <w:position w:val="0"/>
        </w:rPr>
        <w:t>年出生，北方工业大学会计专业，本科学历，中国 注册会计师、注册评估师、高级会计师。曾任职于国富浩华会计师事务所有限公司、中国证监会发审委， 现任职于瑞华会计师事务所（特殊普通合伙），兼任公司独立董事。</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宁家骏，男，中国国籍，无境外永久居留权</w:t>
      </w:r>
      <w:r>
        <w:rPr>
          <w:color w:val="000000"/>
          <w:spacing w:val="0"/>
          <w:w w:val="100"/>
          <w:position w:val="0"/>
        </w:rPr>
        <w:t>，1945</w:t>
      </w:r>
      <w:r>
        <w:rPr>
          <w:color w:val="000000"/>
          <w:spacing w:val="0"/>
          <w:w w:val="100"/>
          <w:position w:val="0"/>
        </w:rPr>
        <w:t>年出生，南开大学数学系学士学位、北京航空航 天大学计算机应用与科学专业硕士学位，高级工程师，研究员。近</w:t>
      </w:r>
      <w:r>
        <w:rPr>
          <w:color w:val="000000"/>
          <w:spacing w:val="0"/>
          <w:w w:val="100"/>
          <w:position w:val="0"/>
        </w:rPr>
        <w:t>5</w:t>
      </w:r>
      <w:r>
        <w:rPr>
          <w:color w:val="000000"/>
          <w:spacing w:val="0"/>
          <w:w w:val="100"/>
          <w:position w:val="0"/>
        </w:rPr>
        <w:t>年任职于国家信息中心专家委员会， 兼任公司独立董事。</w:t>
      </w:r>
    </w:p>
    <w:p>
      <w:pPr>
        <w:pStyle w:val="Style36"/>
        <w:keepNext/>
        <w:keepLines/>
        <w:widowControl w:val="0"/>
        <w:shd w:val="clear" w:color="auto" w:fill="auto"/>
        <w:bidi w:val="0"/>
        <w:spacing w:before="0" w:after="0" w:line="468" w:lineRule="exact"/>
        <w:ind w:left="0" w:right="0" w:firstLine="0"/>
        <w:jc w:val="left"/>
      </w:pPr>
      <w:bookmarkStart w:id="272" w:name="bookmark272"/>
      <w:bookmarkStart w:id="273" w:name="bookmark273"/>
      <w:bookmarkStart w:id="274" w:name="bookmark274"/>
      <w:r>
        <w:rPr>
          <w:color w:val="000000"/>
          <w:spacing w:val="0"/>
          <w:w w:val="100"/>
          <w:position w:val="0"/>
        </w:rPr>
        <w:t>公司现任监事近5年工作经历：</w:t>
      </w:r>
      <w:bookmarkEnd w:id="272"/>
      <w:bookmarkEnd w:id="273"/>
      <w:bookmarkEnd w:id="274"/>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孟庆涛，男，中国国籍，无境外永久居留权</w:t>
      </w:r>
      <w:r>
        <w:rPr>
          <w:color w:val="000000"/>
          <w:spacing w:val="0"/>
          <w:w w:val="100"/>
          <w:position w:val="0"/>
        </w:rPr>
        <w:t>，1970</w:t>
      </w:r>
      <w:r>
        <w:rPr>
          <w:color w:val="000000"/>
          <w:spacing w:val="0"/>
          <w:w w:val="100"/>
          <w:position w:val="0"/>
        </w:rPr>
        <w:t>年出生，毕业于北京科技大学分院金属压力加工专 业，大学本科学历。近</w:t>
      </w:r>
      <w:r>
        <w:rPr>
          <w:color w:val="000000"/>
          <w:spacing w:val="0"/>
          <w:w w:val="100"/>
          <w:position w:val="0"/>
        </w:rPr>
        <w:t>5</w:t>
      </w:r>
      <w:r>
        <w:rPr>
          <w:color w:val="000000"/>
          <w:spacing w:val="0"/>
          <w:w w:val="100"/>
          <w:position w:val="0"/>
        </w:rPr>
        <w:t>年任职于北京中科金财科技股份有限公司，现任公司监事会主席。</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任宏军，男，中国国籍，无境外永久居留权，</w:t>
      </w:r>
      <w:r>
        <w:rPr>
          <w:color w:val="000000"/>
          <w:spacing w:val="0"/>
          <w:w w:val="100"/>
          <w:position w:val="0"/>
        </w:rPr>
        <w:t>1971</w:t>
      </w:r>
      <w:r>
        <w:rPr>
          <w:color w:val="000000"/>
          <w:spacing w:val="0"/>
          <w:w w:val="100"/>
          <w:position w:val="0"/>
        </w:rPr>
        <w:t>年出生，北京理工大学计算机应用专业毕业，大学 专科学历。近</w:t>
      </w:r>
      <w:r>
        <w:rPr>
          <w:color w:val="000000"/>
          <w:spacing w:val="0"/>
          <w:w w:val="100"/>
          <w:position w:val="0"/>
        </w:rPr>
        <w:t>5</w:t>
      </w:r>
      <w:r>
        <w:rPr>
          <w:color w:val="000000"/>
          <w:spacing w:val="0"/>
          <w:w w:val="100"/>
          <w:position w:val="0"/>
        </w:rPr>
        <w:t>年任职于北京中科金财科技股份有限公司，现任公司监事。</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汪亮，男，中国国籍，无境外永久居留权，</w:t>
      </w:r>
      <w:r>
        <w:rPr>
          <w:color w:val="000000"/>
          <w:spacing w:val="0"/>
          <w:w w:val="100"/>
          <w:position w:val="0"/>
        </w:rPr>
        <w:t>1982</w:t>
      </w:r>
      <w:r>
        <w:rPr>
          <w:color w:val="000000"/>
          <w:spacing w:val="0"/>
          <w:w w:val="100"/>
          <w:position w:val="0"/>
        </w:rPr>
        <w:t>年出生，北京城市学院生物计算机专业，大专学历。 近</w:t>
      </w:r>
      <w:r>
        <w:rPr>
          <w:color w:val="000000"/>
          <w:spacing w:val="0"/>
          <w:w w:val="100"/>
          <w:position w:val="0"/>
        </w:rPr>
        <w:t>5</w:t>
      </w:r>
      <w:r>
        <w:rPr>
          <w:color w:val="000000"/>
          <w:spacing w:val="0"/>
          <w:w w:val="100"/>
          <w:position w:val="0"/>
        </w:rPr>
        <w:t>年任职于北京中科金财科技股份有限公司，现任公司监事。</w:t>
      </w:r>
    </w:p>
    <w:p>
      <w:pPr>
        <w:pStyle w:val="Style36"/>
        <w:keepNext/>
        <w:keepLines/>
        <w:widowControl w:val="0"/>
        <w:shd w:val="clear" w:color="auto" w:fill="auto"/>
        <w:bidi w:val="0"/>
        <w:spacing w:before="0" w:after="0" w:line="468" w:lineRule="exact"/>
        <w:ind w:left="0" w:right="0" w:firstLine="0"/>
        <w:jc w:val="left"/>
      </w:pPr>
      <w:bookmarkStart w:id="275" w:name="bookmark275"/>
      <w:bookmarkStart w:id="276" w:name="bookmark276"/>
      <w:bookmarkStart w:id="277" w:name="bookmark277"/>
      <w:r>
        <w:rPr>
          <w:color w:val="000000"/>
          <w:spacing w:val="0"/>
          <w:w w:val="100"/>
          <w:position w:val="0"/>
        </w:rPr>
        <w:t>公司现任高级管理人员近5年工作经历：</w:t>
      </w:r>
      <w:bookmarkEnd w:id="275"/>
      <w:bookmarkEnd w:id="276"/>
      <w:bookmarkEnd w:id="277"/>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杨阳，现任公司总经理，简历同上。</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沈飒，现任公司运营总监，简历同上。</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李明珠，现任公司副总经理，简历同上。</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赵学荣，女，中国国籍，无境外永久居留权</w:t>
      </w:r>
      <w:r>
        <w:rPr>
          <w:color w:val="000000"/>
          <w:spacing w:val="0"/>
          <w:w w:val="100"/>
          <w:position w:val="0"/>
        </w:rPr>
        <w:t>，1973</w:t>
      </w:r>
      <w:r>
        <w:rPr>
          <w:color w:val="000000"/>
          <w:spacing w:val="0"/>
          <w:w w:val="100"/>
          <w:position w:val="0"/>
        </w:rPr>
        <w:t>年出生，中国人民大学财务会计专业本科毕业， 高级经济师，会计师职称。近</w:t>
      </w:r>
      <w:r>
        <w:rPr>
          <w:color w:val="000000"/>
          <w:spacing w:val="0"/>
          <w:w w:val="100"/>
          <w:position w:val="0"/>
        </w:rPr>
        <w:t>5</w:t>
      </w:r>
      <w:r>
        <w:rPr>
          <w:color w:val="000000"/>
          <w:spacing w:val="0"/>
          <w:w w:val="100"/>
          <w:position w:val="0"/>
        </w:rPr>
        <w:t>年任职于北京中科金财科技股份有限公司，现任公司副总经理兼财务总监。</w:t>
      </w:r>
    </w:p>
    <w:p>
      <w:pPr>
        <w:pStyle w:val="Style33"/>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贺岩，男，中国国籍，无境外永久居留权，</w:t>
      </w:r>
      <w:r>
        <w:rPr>
          <w:color w:val="000000"/>
          <w:spacing w:val="0"/>
          <w:w w:val="100"/>
          <w:position w:val="0"/>
        </w:rPr>
        <w:t>1978</w:t>
      </w:r>
      <w:r>
        <w:rPr>
          <w:color w:val="000000"/>
          <w:spacing w:val="0"/>
          <w:w w:val="100"/>
          <w:position w:val="0"/>
        </w:rPr>
        <w:t>年出生，南开大学</w:t>
      </w:r>
      <w:r>
        <w:rPr>
          <w:color w:val="000000"/>
          <w:spacing w:val="0"/>
          <w:w w:val="100"/>
          <w:position w:val="0"/>
        </w:rPr>
        <w:t>EMBA，</w:t>
      </w:r>
      <w:r>
        <w:rPr>
          <w:color w:val="000000"/>
          <w:spacing w:val="0"/>
          <w:w w:val="100"/>
          <w:position w:val="0"/>
        </w:rPr>
        <w:t>硕士学历。近</w:t>
      </w:r>
      <w:r>
        <w:rPr>
          <w:color w:val="000000"/>
          <w:spacing w:val="0"/>
          <w:w w:val="100"/>
          <w:position w:val="0"/>
        </w:rPr>
        <w:t>5</w:t>
      </w:r>
      <w:r>
        <w:rPr>
          <w:color w:val="000000"/>
          <w:spacing w:val="0"/>
          <w:w w:val="100"/>
          <w:position w:val="0"/>
        </w:rPr>
        <w:t>年任职于北 京中科金财科技股份有限公司，现任公司副总经理兼董事会秘书。</w:t>
      </w:r>
    </w:p>
    <w:p>
      <w:pPr>
        <w:pStyle w:val="Style58"/>
        <w:keepNext w:val="0"/>
        <w:keepLines w:val="0"/>
        <w:widowControl w:val="0"/>
        <w:shd w:val="clear" w:color="auto" w:fill="auto"/>
        <w:tabs>
          <w:tab w:pos="3706" w:val="left"/>
        </w:tabs>
        <w:bidi w:val="0"/>
        <w:spacing w:before="0" w:after="0" w:line="240" w:lineRule="auto"/>
        <w:ind w:left="0" w:right="0" w:firstLine="0"/>
        <w:jc w:val="right"/>
        <w:sectPr>
          <w:headerReference w:type="default" r:id="rId123"/>
          <w:footerReference w:type="default" r:id="rId124"/>
          <w:headerReference w:type="even" r:id="rId125"/>
          <w:footerReference w:type="even" r:id="rId126"/>
          <w:footnotePr>
            <w:pos w:val="pageBottom"/>
            <w:numFmt w:val="decimal"/>
            <w:numRestart w:val="continuous"/>
          </w:footnotePr>
          <w:pgSz w:w="11909" w:h="17415"/>
          <w:pgMar w:top="1382" w:right="1041" w:bottom="1451" w:left="1037" w:header="0" w:footer="1023" w:gutter="0"/>
          <w:pgNumType w:start="47"/>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46</w:t>
        <w:tab/>
      </w:r>
      <w:r>
        <w:rPr>
          <w:spacing w:val="0"/>
          <w:w w:val="100"/>
          <w:position w:val="0"/>
        </w:rPr>
        <w:t xml:space="preserve">cninf </w:t>
      </w:r>
      <w:r>
        <w:rPr>
          <w:spacing w:val="0"/>
          <w:w w:val="100"/>
          <w:position w:val="0"/>
        </w:rPr>
        <w:t>&lt;</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黄智舜，男，中国国籍，无境外永久居留权，</w:t>
      </w:r>
      <w:r>
        <w:rPr>
          <w:color w:val="000000"/>
          <w:spacing w:val="0"/>
          <w:w w:val="100"/>
          <w:position w:val="0"/>
        </w:rPr>
        <w:t>1969</w:t>
      </w:r>
      <w:r>
        <w:rPr>
          <w:color w:val="000000"/>
          <w:spacing w:val="0"/>
          <w:w w:val="100"/>
          <w:position w:val="0"/>
        </w:rPr>
        <w:t>年出生，毕业于北京大学力学系力学专业，本科 学历，高级工程师。近</w:t>
      </w:r>
      <w:r>
        <w:rPr>
          <w:color w:val="000000"/>
          <w:spacing w:val="0"/>
          <w:w w:val="100"/>
          <w:position w:val="0"/>
        </w:rPr>
        <w:t>5</w:t>
      </w:r>
      <w:r>
        <w:rPr>
          <w:color w:val="000000"/>
          <w:spacing w:val="0"/>
          <w:w w:val="100"/>
          <w:position w:val="0"/>
        </w:rPr>
        <w:t>年任职于北京中科金财科技股份有限公司，现任公司副总经理。</w:t>
      </w:r>
    </w:p>
    <w:p>
      <w:pPr>
        <w:pStyle w:val="Style33"/>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杜江，男，中国国籍，无境外永久居留权，</w:t>
      </w:r>
      <w:r>
        <w:rPr>
          <w:color w:val="000000"/>
          <w:spacing w:val="0"/>
          <w:w w:val="100"/>
          <w:position w:val="0"/>
        </w:rPr>
        <w:t>1963</w:t>
      </w:r>
      <w:r>
        <w:rPr>
          <w:color w:val="000000"/>
          <w:spacing w:val="0"/>
          <w:w w:val="100"/>
          <w:position w:val="0"/>
        </w:rPr>
        <w:t>年出生。华中理工大学博士学位，副教授。曾任北 京瑞科时代科技有限公司副总经理，</w:t>
      </w: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月至今任公司副总经理。</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李昕照，女，中国国籍，无境外永久居留权，</w:t>
      </w:r>
      <w:r>
        <w:rPr>
          <w:color w:val="000000"/>
          <w:spacing w:val="0"/>
          <w:w w:val="100"/>
          <w:position w:val="0"/>
        </w:rPr>
        <w:t>1970</w:t>
      </w:r>
      <w:r>
        <w:rPr>
          <w:color w:val="000000"/>
          <w:spacing w:val="0"/>
          <w:w w:val="100"/>
          <w:position w:val="0"/>
        </w:rPr>
        <w:t>年出生，大学本科学历，高级工程师。近</w:t>
      </w:r>
      <w:r>
        <w:rPr>
          <w:color w:val="000000"/>
          <w:spacing w:val="0"/>
          <w:w w:val="100"/>
          <w:position w:val="0"/>
        </w:rPr>
        <w:t>5</w:t>
      </w:r>
      <w:r>
        <w:rPr>
          <w:color w:val="000000"/>
          <w:spacing w:val="0"/>
          <w:w w:val="100"/>
          <w:position w:val="0"/>
        </w:rPr>
        <w:t>年任职 于北京中科金财科技股份有限公司，现任公司副总经理。</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张京辉，男，中国国籍，无境外永久居留权</w:t>
      </w:r>
      <w:r>
        <w:rPr>
          <w:color w:val="000000"/>
          <w:spacing w:val="0"/>
          <w:w w:val="100"/>
          <w:position w:val="0"/>
        </w:rPr>
        <w:t>，1971</w:t>
      </w:r>
      <w:r>
        <w:rPr>
          <w:color w:val="000000"/>
          <w:spacing w:val="0"/>
          <w:w w:val="100"/>
          <w:position w:val="0"/>
        </w:rPr>
        <w:t>年出生，北京信息工程学院计算机软件专业本科毕 业，学士学位。曾任职于亚美亚通讯设备（中国）有限公司，</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月至今任公司副总经理。</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夏海涛，男，中国国籍，无境外永久居留权</w:t>
      </w:r>
      <w:r>
        <w:rPr>
          <w:color w:val="000000"/>
          <w:spacing w:val="0"/>
          <w:w w:val="100"/>
          <w:position w:val="0"/>
        </w:rPr>
        <w:t>，1970</w:t>
      </w:r>
      <w:r>
        <w:rPr>
          <w:color w:val="000000"/>
          <w:spacing w:val="0"/>
          <w:w w:val="100"/>
          <w:position w:val="0"/>
        </w:rPr>
        <w:t>年出生，天津商学院商业企业管理系财会计学专业 本科毕业，高级经济师，会计师职称。曾任职于北京炎黄时代健康传媒广告有限公司，</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月至今就 职于北京中科金财科技股份有限公司，现任公司副总经理。</w:t>
      </w:r>
    </w:p>
    <w:p>
      <w:pPr>
        <w:pStyle w:val="Style33"/>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章超英，女，中国国籍，无境外永久居留权，</w:t>
      </w:r>
      <w:r>
        <w:rPr>
          <w:color w:val="000000"/>
          <w:spacing w:val="0"/>
          <w:w w:val="100"/>
          <w:position w:val="0"/>
        </w:rPr>
        <w:t>1958</w:t>
      </w:r>
      <w:r>
        <w:rPr>
          <w:color w:val="000000"/>
          <w:spacing w:val="0"/>
          <w:w w:val="100"/>
          <w:position w:val="0"/>
        </w:rPr>
        <w:t>年出生，大专学历，获得信息产业部计算机信息系 统集成项目经理证书。曾任职于太极计算机股份有限公司，现任公司副总经理。</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北京市君合律师事务所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国家信息中心专家委员会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2"/>
        <w:keepNext/>
        <w:keepLines/>
        <w:widowControl w:val="0"/>
        <w:shd w:val="clear" w:color="auto" w:fill="auto"/>
        <w:bidi w:val="0"/>
        <w:spacing w:before="0" w:after="20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rPr>
        <w:t>三</w:t>
      </w:r>
      <w:bookmarkEnd w:id="280"/>
      <w:r>
        <w:rPr>
          <w:color w:val="000000"/>
          <w:spacing w:val="0"/>
          <w:w w:val="100"/>
          <w:position w:val="0"/>
        </w:rPr>
        <w:t>、董事、监事、高级管理人员报酬情况</w:t>
      </w:r>
      <w:bookmarkEnd w:id="278"/>
      <w:bookmarkEnd w:id="279"/>
      <w:bookmarkEnd w:id="281"/>
    </w:p>
    <w:p>
      <w:pPr>
        <w:pStyle w:val="Style33"/>
        <w:keepNext w:val="0"/>
        <w:keepLines w:val="0"/>
        <w:widowControl w:val="0"/>
        <w:shd w:val="clear" w:color="auto" w:fill="auto"/>
        <w:bidi w:val="0"/>
        <w:spacing w:before="0" w:after="0" w:line="472" w:lineRule="exact"/>
        <w:ind w:left="0" w:right="0" w:firstLine="0"/>
        <w:jc w:val="both"/>
      </w:pPr>
      <w:r>
        <w:rPr>
          <w:color w:val="000000"/>
          <w:spacing w:val="0"/>
          <w:w w:val="100"/>
          <w:position w:val="0"/>
        </w:rPr>
        <w:t>董事、监事、高级管理人员报酬的决策程序、确定依据、实际支付情况 决策程序：</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高级管理人员报酬由董事会薪酬与考核委员会提出方案，经董事会审议通过后方可实施；董事的报酬 由董事会薪酬与考核委员会提出方案，经董事会审议通过后，报送股东大会审议通过方可实施；监事的报 酬由监事会提出方案，经股东大会通过后方可实施。</w:t>
      </w:r>
    </w:p>
    <w:p>
      <w:pPr>
        <w:pStyle w:val="Style33"/>
        <w:keepNext w:val="0"/>
        <w:keepLines w:val="0"/>
        <w:widowControl w:val="0"/>
        <w:shd w:val="clear" w:color="auto" w:fill="auto"/>
        <w:bidi w:val="0"/>
        <w:spacing w:before="0" w:after="0" w:line="472" w:lineRule="exact"/>
        <w:ind w:left="0" w:right="0" w:firstLine="0"/>
        <w:jc w:val="both"/>
      </w:pPr>
      <w:r>
        <w:rPr>
          <w:color w:val="000000"/>
          <w:spacing w:val="0"/>
          <w:w w:val="100"/>
          <w:position w:val="0"/>
        </w:rPr>
        <w:t>确定依据：</w:t>
      </w:r>
    </w:p>
    <w:p>
      <w:pPr>
        <w:pStyle w:val="Style33"/>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董事、监事及高级管理人员的报酬根据管理岗位的主要范围、职责、重要性以及其它相关企业相关岗</w:t>
        <w:br w:type="page"/>
      </w:r>
      <w:r>
        <w:rPr>
          <w:color w:val="000000"/>
          <w:spacing w:val="0"/>
          <w:w w:val="100"/>
          <w:position w:val="0"/>
        </w:rPr>
        <w:t>位的薪酬水平确定。</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实际支付情况：</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独立董事津贴每季度按标准支付，其他董事、监事、高级管理人员报酬每月按标准支付。</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从股东单位获</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得的报酬总额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副董事长、运 营总监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陈绪华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于志宏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彭雪峰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温京辉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王锁柱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任宏军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范惠众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赵学荣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副总经理兼财</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副总经理兼董</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黄智舜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22.67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夏海涛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32.29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20.93</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张京辉</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章超英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471.29</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四</w:t>
      </w:r>
      <w:bookmarkEnd w:id="284"/>
      <w:r>
        <w:rPr>
          <w:color w:val="000000"/>
          <w:spacing w:val="0"/>
          <w:w w:val="100"/>
          <w:position w:val="0"/>
        </w:rPr>
        <w:t>、公司董事、监事、高级管理人员变动情况</w:t>
      </w:r>
      <w:bookmarkEnd w:id="282"/>
      <w:bookmarkEnd w:id="283"/>
      <w:bookmarkEnd w:id="285"/>
    </w:p>
    <w:tbl>
      <w:tblPr>
        <w:tblOverlap w:val="never"/>
        <w:jc w:val="center"/>
        <w:tblLayout w:type="fixed"/>
      </w:tblPr>
      <w:tblGrid>
        <w:gridCol w:w="1003"/>
        <w:gridCol w:w="1416"/>
        <w:gridCol w:w="994"/>
        <w:gridCol w:w="1838"/>
        <w:gridCol w:w="433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因个人原因辞去公司总经理一职，仍担任公司董事长。</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经公司第二届董事会第十六次会议审议通过，聘任杨阳 担任公司总经理。经公司第二届董事会第十七次会议审 议通过，选举杨阳担任公司董事。</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陈绪华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经公司第三届董事会第一次会议审议通过，选举沈飒担 任公司副董事长。</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温京辉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彭雪峰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王锁柱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经公司第三届董事会第一次会议审议通过，选举白涛担 任公司独立董事。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经公司第三届董事会第一次会议审议通过，选举赵燕担 任公司独立董事。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经公司第三届董事会第一次会议审议通过，选举宁家骏 担任公司独立董事。</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范惠众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第二届监事会任期届满。</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经公司第二届监事会第九次会议审议通过，选举汪亮担 任公司监事。</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副总经理兼董事</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经公司第二届董事会第十六次会议审议通过，聘任贺岩 担任公司副总经理兼董事会秘书。</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章超英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经公司第二届董事会第十六次会议审议通过，聘任章超 英担任公司副总经理。</w:t>
            </w:r>
          </w:p>
        </w:tc>
      </w:tr>
    </w:tbl>
    <w:p>
      <w:pPr>
        <w:widowControl w:val="0"/>
        <w:spacing w:after="339" w:line="1" w:lineRule="exact"/>
      </w:pPr>
    </w:p>
    <w:p>
      <w:pPr>
        <w:pStyle w:val="Style22"/>
        <w:keepNext/>
        <w:keepLines/>
        <w:widowControl w:val="0"/>
        <w:shd w:val="clear" w:color="auto" w:fill="auto"/>
        <w:tabs>
          <w:tab w:pos="517" w:val="left"/>
        </w:tabs>
        <w:bidi w:val="0"/>
        <w:spacing w:before="0" w:after="3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五</w:t>
      </w:r>
      <w:bookmarkEnd w:id="288"/>
      <w:r>
        <w:rPr>
          <w:color w:val="000000"/>
          <w:spacing w:val="0"/>
          <w:w w:val="100"/>
          <w:position w:val="0"/>
        </w:rPr>
        <w:t>、</w:t>
        <w:tab/>
        <w:t>报告期核心技术团队或关键技术人员变动情况（非董事、监事、高级管理人员）</w:t>
      </w:r>
      <w:bookmarkEnd w:id="286"/>
      <w:bookmarkEnd w:id="287"/>
      <w:bookmarkEnd w:id="28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报告期内，公司核心技术人员未发生变化。</w:t>
      </w:r>
    </w:p>
    <w:p>
      <w:pPr>
        <w:pStyle w:val="Style22"/>
        <w:keepNext/>
        <w:keepLines/>
        <w:widowControl w:val="0"/>
        <w:shd w:val="clear" w:color="auto" w:fill="auto"/>
        <w:tabs>
          <w:tab w:pos="522" w:val="left"/>
        </w:tabs>
        <w:bidi w:val="0"/>
        <w:spacing w:before="0" w:after="3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六</w:t>
      </w:r>
      <w:bookmarkEnd w:id="292"/>
      <w:r>
        <w:rPr>
          <w:color w:val="000000"/>
          <w:spacing w:val="0"/>
          <w:w w:val="100"/>
          <w:position w:val="0"/>
        </w:rPr>
        <w:t>、</w:t>
        <w:tab/>
        <w:t>公司员工情况</w:t>
      </w:r>
      <w:bookmarkEnd w:id="290"/>
      <w:bookmarkEnd w:id="291"/>
      <w:bookmarkEnd w:id="293"/>
    </w:p>
    <w:tbl>
      <w:tblPr>
        <w:tblOverlap w:val="never"/>
        <w:jc w:val="center"/>
        <w:tblLayout w:type="fixed"/>
      </w:tblPr>
      <w:tblGrid>
        <w:gridCol w:w="4795"/>
        <w:gridCol w:w="3850"/>
      </w:tblGrid>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在职员工的人数</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821</w:t>
            </w:r>
          </w:p>
        </w:tc>
      </w:tr>
    </w:tbl>
    <w:p>
      <w:pPr>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9" w:h="17415"/>
          <w:pgMar w:top="1382" w:right="1041" w:bottom="1451" w:left="1037" w:header="0" w:footer="3" w:gutter="0"/>
          <w:pgNumType w:start="47"/>
          <w:cols w:space="720"/>
          <w:noEndnote/>
          <w:titlePg/>
          <w:rtlGutter w:val="0"/>
          <w:docGrid w:linePitch="360"/>
        </w:sectPr>
      </w:pPr>
    </w:p>
    <w:tbl>
      <w:tblPr>
        <w:tblOverlap w:val="never"/>
        <w:jc w:val="center"/>
        <w:tblLayout w:type="fixed"/>
      </w:tblPr>
      <w:tblGrid>
        <w:gridCol w:w="2813"/>
        <w:gridCol w:w="2832"/>
        <w:gridCol w:w="3000"/>
      </w:tblGrid>
      <w:tr>
        <w:trPr>
          <w:trHeight w:val="427" w:hRule="exact"/>
        </w:trPr>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tabs>
                <w:tab w:pos="6657" w:val="left"/>
              </w:tabs>
              <w:bidi w:val="0"/>
              <w:spacing w:before="0" w:after="0" w:line="240" w:lineRule="auto"/>
              <w:ind w:left="1060" w:right="0" w:firstLine="0"/>
              <w:jc w:val="left"/>
              <w:rPr>
                <w:sz w:val="15"/>
                <w:szCs w:val="15"/>
              </w:rPr>
            </w:pPr>
            <w:r>
              <w:rPr>
                <w:color w:val="000000"/>
                <w:spacing w:val="0"/>
                <w:w w:val="100"/>
                <w:position w:val="0"/>
                <w:sz w:val="16"/>
                <w:szCs w:val="16"/>
              </w:rPr>
              <w:t>公司需承担费用的离退休职工人数</w:t>
              <w:tab/>
            </w:r>
            <w:r>
              <w:rPr>
                <w:rFonts w:ascii="Arial" w:eastAsia="Arial" w:hAnsi="Arial" w:cs="Arial"/>
                <w:color w:val="000000"/>
                <w:spacing w:val="0"/>
                <w:w w:val="100"/>
                <w:position w:val="0"/>
                <w:sz w:val="15"/>
                <w:szCs w:val="15"/>
              </w:rPr>
              <w:t>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专业结构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72.72%</w:t>
            </w:r>
          </w:p>
        </w:tc>
      </w:tr>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14.13%</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其他职能人员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13.15%</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0.12%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0.49%</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7.55%</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71.74%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18.88%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1.22%</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18"/>
                <w:szCs w:val="18"/>
              </w:rPr>
              <w:t>41</w:t>
            </w:r>
            <w:r>
              <w:rPr>
                <w:color w:val="000000"/>
                <w:spacing w:val="0"/>
                <w:w w:val="100"/>
                <w:position w:val="0"/>
              </w:rPr>
              <w:t>岁以上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7.07%</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18"/>
                <w:szCs w:val="18"/>
              </w:rPr>
              <w:t xml:space="preserve">31-40 </w:t>
            </w:r>
            <w:r>
              <w:rPr>
                <w:color w:val="000000"/>
                <w:spacing w:val="0"/>
                <w:w w:val="100"/>
                <w:position w:val="0"/>
              </w:rPr>
              <w:t>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33.25%</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59.68%</w:t>
            </w:r>
          </w:p>
        </w:tc>
      </w:tr>
      <w:tr>
        <w:trPr>
          <w:trHeight w:val="394"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821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w:t>
            </w:r>
          </w:p>
        </w:tc>
      </w:tr>
    </w:tbl>
    <w:p>
      <w:pPr>
        <w:widowControl w:val="0"/>
        <w:spacing w:after="739" w:line="1" w:lineRule="exact"/>
      </w:pPr>
    </w:p>
    <w:p>
      <w:pPr>
        <w:framePr w:w="5640" w:h="3811" w:wrap="notBeside" w:vAnchor="text" w:hAnchor="text" w:x="1981" w:y="1"/>
        <w:widowControl w:val="0"/>
        <w:rPr>
          <w:sz w:val="2"/>
          <w:szCs w:val="2"/>
        </w:rPr>
      </w:pPr>
      <w:r>
        <w:drawing>
          <wp:inline>
            <wp:extent cx="3584575" cy="2419985"/>
            <wp:docPr id="334" name="Picutre 334"/>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33"/>
                    <a:stretch/>
                  </pic:blipFill>
                  <pic:spPr>
                    <a:xfrm>
                      <a:ext cx="3584575" cy="2419985"/>
                    </a:xfrm>
                    <a:prstGeom prst="rect"/>
                  </pic:spPr>
                </pic:pic>
              </a:graphicData>
            </a:graphic>
          </wp:inline>
        </w:drawing>
      </w:r>
    </w:p>
    <w:p>
      <w:pPr>
        <w:widowControl w:val="0"/>
        <w:spacing w:line="1" w:lineRule="exact"/>
      </w:pPr>
      <w:r>
        <mc:AlternateContent>
          <mc:Choice Requires="wps">
            <w:drawing>
              <wp:anchor distT="0" distB="0" distL="1257300" distR="4430395" simplePos="0" relativeHeight="125829378" behindDoc="0" locked="0" layoutInCell="1" allowOverlap="1">
                <wp:simplePos x="0" y="0"/>
                <wp:positionH relativeFrom="column">
                  <wp:posOffset>1303020</wp:posOffset>
                </wp:positionH>
                <wp:positionV relativeFrom="paragraph">
                  <wp:posOffset>875030</wp:posOffset>
                </wp:positionV>
                <wp:extent cx="408305" cy="155575"/>
                <wp:wrapTopAndBottom/>
                <wp:docPr id="335" name="Shape 335"/>
                <a:graphic xmlns:a="http://schemas.openxmlformats.org/drawingml/2006/main">
                  <a:graphicData uri="http://schemas.microsoft.com/office/word/2010/wordprocessingShape">
                    <wps:wsp>
                      <wps:cNvSpPr txBox="1"/>
                      <wps:spPr>
                        <a:xfrm>
                          <a:ext cx="408305" cy="1555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Cambria" w:eastAsia="Cambria" w:hAnsi="Cambria" w:cs="Cambria"/>
                                <w:b w:val="0"/>
                                <w:bCs w:val="0"/>
                                <w:color w:val="351D35"/>
                                <w:spacing w:val="0"/>
                                <w:w w:val="100"/>
                                <w:position w:val="0"/>
                                <w:sz w:val="19"/>
                                <w:szCs w:val="19"/>
                              </w:rPr>
                              <w:t>14.13%</w:t>
                            </w:r>
                          </w:p>
                        </w:txbxContent>
                      </wps:txbx>
                      <wps:bodyPr lIns="0" tIns="0" rIns="0" bIns="0">
                        <a:noAutoFit/>
                      </wps:bodyPr>
                    </wps:wsp>
                  </a:graphicData>
                </a:graphic>
              </wp:anchor>
            </w:drawing>
          </mc:Choice>
          <mc:Fallback>
            <w:pict>
              <v:shape id="_x0000_s1361" type="#_x0000_t202" style="position:absolute;margin-left:102.60000000000001pt;margin-top:68.900000000000006pt;width:32.149999999999999pt;height:12.25pt;z-index:-125829375;mso-wrap-distance-left:99.pt;mso-wrap-distance-right:348.85000000000002pt"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Cambria" w:eastAsia="Cambria" w:hAnsi="Cambria" w:cs="Cambria"/>
                          <w:b w:val="0"/>
                          <w:bCs w:val="0"/>
                          <w:color w:val="351D35"/>
                          <w:spacing w:val="0"/>
                          <w:w w:val="100"/>
                          <w:position w:val="0"/>
                          <w:sz w:val="19"/>
                          <w:szCs w:val="19"/>
                        </w:rPr>
                        <w:t>14.13%</w:t>
                      </w:r>
                    </w:p>
                  </w:txbxContent>
                </v:textbox>
                <w10:wrap type="topAndBottom"/>
              </v:shape>
            </w:pict>
          </mc:Fallback>
        </mc:AlternateContent>
      </w:r>
      <w:r>
        <mc:AlternateContent>
          <mc:Choice Requires="wps">
            <w:drawing>
              <wp:anchor distT="0" distB="0" distL="1257300" distR="3869690" simplePos="0" relativeHeight="125829380" behindDoc="0" locked="0" layoutInCell="1" allowOverlap="1">
                <wp:simplePos x="0" y="0"/>
                <wp:positionH relativeFrom="column">
                  <wp:posOffset>2552700</wp:posOffset>
                </wp:positionH>
                <wp:positionV relativeFrom="paragraph">
                  <wp:posOffset>125095</wp:posOffset>
                </wp:positionV>
                <wp:extent cx="969010" cy="274320"/>
                <wp:wrapTopAndBottom/>
                <wp:docPr id="337" name="Shape 337"/>
                <a:graphic xmlns:a="http://schemas.openxmlformats.org/drawingml/2006/main">
                  <a:graphicData uri="http://schemas.microsoft.com/office/word/2010/wordprocessingShape">
                    <wps:wsp>
                      <wps:cNvSpPr txBox="1"/>
                      <wps:spPr>
                        <a:xfrm>
                          <a:ext cx="969010" cy="274320"/>
                        </a:xfrm>
                        <a:prstGeom prst="rect"/>
                        <a:noFill/>
                      </wps:spPr>
                      <wps:txbx>
                        <w:txbxContent>
                          <w:p>
                            <w:pPr>
                              <w:pStyle w:val="Style65"/>
                              <w:keepNext w:val="0"/>
                              <w:keepLines w:val="0"/>
                              <w:widowControl w:val="0"/>
                              <w:shd w:val="clear" w:color="auto" w:fill="auto"/>
                              <w:bidi w:val="0"/>
                              <w:spacing w:before="0" w:after="0" w:line="240" w:lineRule="auto"/>
                              <w:ind w:left="-20" w:right="0" w:firstLine="0"/>
                              <w:jc w:val="center"/>
                              <w:rPr>
                                <w:sz w:val="36"/>
                                <w:szCs w:val="36"/>
                              </w:rPr>
                            </w:pPr>
                            <w:r>
                              <w:rPr>
                                <w:color w:val="000000"/>
                                <w:spacing w:val="0"/>
                                <w:w w:val="100"/>
                                <w:position w:val="0"/>
                                <w:sz w:val="36"/>
                                <w:szCs w:val="36"/>
                              </w:rPr>
                              <w:t>专业结构</w:t>
                            </w:r>
                          </w:p>
                        </w:txbxContent>
                      </wps:txbx>
                      <wps:bodyPr lIns="0" tIns="0" rIns="0" bIns="0">
                        <a:noAutoFit/>
                      </wps:bodyPr>
                    </wps:wsp>
                  </a:graphicData>
                </a:graphic>
              </wp:anchor>
            </w:drawing>
          </mc:Choice>
          <mc:Fallback>
            <w:pict>
              <v:shape id="_x0000_s1363" type="#_x0000_t202" style="position:absolute;margin-left:201.pt;margin-top:9.8499999999999996pt;width:76.299999999999997pt;height:21.600000000000001pt;z-index:-125829373;mso-wrap-distance-left:99.pt;mso-wrap-distance-right:304.69999999999999pt" filled="f" stroked="f">
                <v:textbox inset="0,0,0,0">
                  <w:txbxContent>
                    <w:p>
                      <w:pPr>
                        <w:pStyle w:val="Style65"/>
                        <w:keepNext w:val="0"/>
                        <w:keepLines w:val="0"/>
                        <w:widowControl w:val="0"/>
                        <w:shd w:val="clear" w:color="auto" w:fill="auto"/>
                        <w:bidi w:val="0"/>
                        <w:spacing w:before="0" w:after="0" w:line="240" w:lineRule="auto"/>
                        <w:ind w:left="-20" w:right="0" w:firstLine="0"/>
                        <w:jc w:val="center"/>
                        <w:rPr>
                          <w:sz w:val="36"/>
                          <w:szCs w:val="36"/>
                        </w:rPr>
                      </w:pPr>
                      <w:r>
                        <w:rPr>
                          <w:color w:val="000000"/>
                          <w:spacing w:val="0"/>
                          <w:w w:val="100"/>
                          <w:position w:val="0"/>
                          <w:sz w:val="36"/>
                          <w:szCs w:val="36"/>
                        </w:rPr>
                        <w:t>专业结构</w:t>
                      </w:r>
                    </w:p>
                  </w:txbxContent>
                </v:textbox>
                <w10:wrap type="topAndBottom"/>
              </v:shape>
            </w:pict>
          </mc:Fallback>
        </mc:AlternateContent>
      </w:r>
      <w:r>
        <mc:AlternateContent>
          <mc:Choice Requires="wps">
            <w:drawing>
              <wp:anchor distT="0" distB="0" distL="1257300" distR="4430395" simplePos="0" relativeHeight="125829382" behindDoc="0" locked="0" layoutInCell="1" allowOverlap="1">
                <wp:simplePos x="0" y="0"/>
                <wp:positionH relativeFrom="column">
                  <wp:posOffset>2019300</wp:posOffset>
                </wp:positionH>
                <wp:positionV relativeFrom="paragraph">
                  <wp:posOffset>685800</wp:posOffset>
                </wp:positionV>
                <wp:extent cx="408305" cy="155575"/>
                <wp:wrapTopAndBottom/>
                <wp:docPr id="339" name="Shape 339"/>
                <a:graphic xmlns:a="http://schemas.openxmlformats.org/drawingml/2006/main">
                  <a:graphicData uri="http://schemas.microsoft.com/office/word/2010/wordprocessingShape">
                    <wps:wsp>
                      <wps:cNvSpPr txBox="1"/>
                      <wps:spPr>
                        <a:xfrm>
                          <a:ext cx="408305" cy="1555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Cambria" w:eastAsia="Cambria" w:hAnsi="Cambria" w:cs="Cambria"/>
                                <w:b w:val="0"/>
                                <w:bCs w:val="0"/>
                                <w:color w:val="351D35"/>
                                <w:spacing w:val="0"/>
                                <w:w w:val="100"/>
                                <w:position w:val="0"/>
                                <w:sz w:val="19"/>
                                <w:szCs w:val="19"/>
                              </w:rPr>
                              <w:t>13.15%</w:t>
                            </w:r>
                          </w:p>
                        </w:txbxContent>
                      </wps:txbx>
                      <wps:bodyPr lIns="0" tIns="0" rIns="0" bIns="0">
                        <a:noAutoFit/>
                      </wps:bodyPr>
                    </wps:wsp>
                  </a:graphicData>
                </a:graphic>
              </wp:anchor>
            </w:drawing>
          </mc:Choice>
          <mc:Fallback>
            <w:pict>
              <v:shape id="_x0000_s1365" type="#_x0000_t202" style="position:absolute;margin-left:159.pt;margin-top:54.pt;width:32.149999999999999pt;height:12.25pt;z-index:-125829371;mso-wrap-distance-left:99.pt;mso-wrap-distance-right:348.85000000000002pt" filled="f" stroked="f">
                <v:textbox inset="0,0,0,0">
                  <w:txbxContent>
                    <w:p>
                      <w:pPr>
                        <w:pStyle w:val="Style65"/>
                        <w:keepNext w:val="0"/>
                        <w:keepLines w:val="0"/>
                        <w:widowControl w:val="0"/>
                        <w:shd w:val="clear" w:color="auto" w:fill="auto"/>
                        <w:bidi w:val="0"/>
                        <w:spacing w:before="0" w:after="0" w:line="240" w:lineRule="auto"/>
                        <w:ind w:left="0" w:right="0" w:firstLine="0"/>
                        <w:jc w:val="left"/>
                        <w:rPr>
                          <w:sz w:val="19"/>
                          <w:szCs w:val="19"/>
                        </w:rPr>
                      </w:pPr>
                      <w:r>
                        <w:rPr>
                          <w:rFonts w:ascii="Cambria" w:eastAsia="Cambria" w:hAnsi="Cambria" w:cs="Cambria"/>
                          <w:b w:val="0"/>
                          <w:bCs w:val="0"/>
                          <w:color w:val="351D35"/>
                          <w:spacing w:val="0"/>
                          <w:w w:val="100"/>
                          <w:position w:val="0"/>
                          <w:sz w:val="19"/>
                          <w:szCs w:val="19"/>
                        </w:rPr>
                        <w:t>13.15%</w:t>
                      </w:r>
                    </w:p>
                  </w:txbxContent>
                </v:textbox>
                <w10:wrap type="topAndBottom"/>
              </v:shape>
            </w:pict>
          </mc:Fallback>
        </mc:AlternateContent>
      </w:r>
      <w:r>
        <mc:AlternateContent>
          <mc:Choice Requires="wps">
            <w:drawing>
              <wp:anchor distT="0" distB="0" distL="1257300" distR="4290060" simplePos="0" relativeHeight="125829384" behindDoc="0" locked="0" layoutInCell="1" allowOverlap="1">
                <wp:simplePos x="0" y="0"/>
                <wp:positionH relativeFrom="column">
                  <wp:posOffset>3890645</wp:posOffset>
                </wp:positionH>
                <wp:positionV relativeFrom="paragraph">
                  <wp:posOffset>1097280</wp:posOffset>
                </wp:positionV>
                <wp:extent cx="548640" cy="158750"/>
                <wp:wrapTopAndBottom/>
                <wp:docPr id="341" name="Shape 341"/>
                <a:graphic xmlns:a="http://schemas.openxmlformats.org/drawingml/2006/main">
                  <a:graphicData uri="http://schemas.microsoft.com/office/word/2010/wordprocessingShape">
                    <wps:wsp>
                      <wps:cNvSpPr txBox="1"/>
                      <wps:spPr>
                        <a:xfrm>
                          <a:ext cx="548640" cy="1587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xbxContent>
                      </wps:txbx>
                      <wps:bodyPr lIns="0" tIns="0" rIns="0" bIns="0">
                        <a:noAutoFit/>
                      </wps:bodyPr>
                    </wps:wsp>
                  </a:graphicData>
                </a:graphic>
              </wp:anchor>
            </w:drawing>
          </mc:Choice>
          <mc:Fallback>
            <w:pict>
              <v:shape id="_x0000_s1367" type="#_x0000_t202" style="position:absolute;margin-left:306.35000000000002pt;margin-top:86.400000000000006pt;width:43.200000000000003pt;height:12.5pt;z-index:-125829369;mso-wrap-distance-left:99.pt;mso-wrap-distance-right:337.80000000000001pt"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xbxContent>
                </v:textbox>
                <w10:wrap type="topAndBottom"/>
              </v:shape>
            </w:pict>
          </mc:Fallback>
        </mc:AlternateContent>
      </w:r>
      <w:r>
        <mc:AlternateContent>
          <mc:Choice Requires="wps">
            <w:drawing>
              <wp:anchor distT="0" distB="0" distL="1257300" distR="4207510" simplePos="0" relativeHeight="125829386" behindDoc="0" locked="0" layoutInCell="1" allowOverlap="1">
                <wp:simplePos x="0" y="0"/>
                <wp:positionH relativeFrom="column">
                  <wp:posOffset>3808730</wp:posOffset>
                </wp:positionH>
                <wp:positionV relativeFrom="paragraph">
                  <wp:posOffset>1325880</wp:posOffset>
                </wp:positionV>
                <wp:extent cx="631190" cy="158750"/>
                <wp:wrapTopAndBottom/>
                <wp:docPr id="343" name="Shape 343"/>
                <a:graphic xmlns:a="http://schemas.openxmlformats.org/drawingml/2006/main">
                  <a:graphicData uri="http://schemas.microsoft.com/office/word/2010/wordprocessingShape">
                    <wps:wsp>
                      <wps:cNvSpPr txBox="1"/>
                      <wps:spPr>
                        <a:xfrm>
                          <a:ext cx="631190" cy="1587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xbxContent>
                      </wps:txbx>
                      <wps:bodyPr lIns="0" tIns="0" rIns="0" bIns="0">
                        <a:noAutoFit/>
                      </wps:bodyPr>
                    </wps:wsp>
                  </a:graphicData>
                </a:graphic>
              </wp:anchor>
            </w:drawing>
          </mc:Choice>
          <mc:Fallback>
            <w:pict>
              <v:shape id="_x0000_s1369" type="#_x0000_t202" style="position:absolute;margin-left:299.90000000000003pt;margin-top:104.40000000000001pt;width:49.700000000000003pt;height:12.5pt;z-index:-125829367;mso-wrap-distance-left:99.pt;mso-wrap-distance-right:331.30000000000001pt"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xbxContent>
                </v:textbox>
                <w10:wrap type="topAndBottom"/>
              </v:shape>
            </w:pict>
          </mc:Fallback>
        </mc:AlternateContent>
      </w:r>
      <w:r>
        <mc:AlternateContent>
          <mc:Choice Requires="wps">
            <w:drawing>
              <wp:anchor distT="0" distB="0" distL="1257300" distR="4043045" simplePos="0" relativeHeight="125829388" behindDoc="0" locked="0" layoutInCell="1" allowOverlap="1">
                <wp:simplePos x="0" y="0"/>
                <wp:positionH relativeFrom="column">
                  <wp:posOffset>3890645</wp:posOffset>
                </wp:positionH>
                <wp:positionV relativeFrom="paragraph">
                  <wp:posOffset>1554480</wp:posOffset>
                </wp:positionV>
                <wp:extent cx="795655" cy="158750"/>
                <wp:wrapTopAndBottom/>
                <wp:docPr id="345" name="Shape 345"/>
                <a:graphic xmlns:a="http://schemas.openxmlformats.org/drawingml/2006/main">
                  <a:graphicData uri="http://schemas.microsoft.com/office/word/2010/wordprocessingShape">
                    <wps:wsp>
                      <wps:cNvSpPr txBox="1"/>
                      <wps:spPr>
                        <a:xfrm>
                          <a:ext cx="795655" cy="1587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其他职能人员</w:t>
                            </w:r>
                          </w:p>
                        </w:txbxContent>
                      </wps:txbx>
                      <wps:bodyPr lIns="0" tIns="0" rIns="0" bIns="0">
                        <a:noAutoFit/>
                      </wps:bodyPr>
                    </wps:wsp>
                  </a:graphicData>
                </a:graphic>
              </wp:anchor>
            </w:drawing>
          </mc:Choice>
          <mc:Fallback>
            <w:pict>
              <v:shape id="_x0000_s1371" type="#_x0000_t202" style="position:absolute;margin-left:306.35000000000002pt;margin-top:122.40000000000001pt;width:62.649999999999999pt;height:12.5pt;z-index:-125829365;mso-wrap-distance-left:99.pt;mso-wrap-distance-right:318.35000000000002pt" filled="f" stroked="f">
                <v:textbox inset="0,0,0,0">
                  <w:txbxContent>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其他职能人员</w:t>
                      </w:r>
                    </w:p>
                  </w:txbxContent>
                </v:textbox>
                <w10:wrap type="topAndBottom"/>
              </v:shape>
            </w:pict>
          </mc:Fallback>
        </mc:AlternateContent>
      </w:r>
    </w:p>
    <w:p>
      <w:pPr>
        <w:widowControl w:val="0"/>
        <w:jc w:val="center"/>
        <w:rPr>
          <w:sz w:val="2"/>
          <w:szCs w:val="2"/>
        </w:rPr>
        <w:sectPr>
          <w:headerReference w:type="default" r:id="rId135"/>
          <w:footerReference w:type="default" r:id="rId136"/>
          <w:headerReference w:type="even" r:id="rId137"/>
          <w:footerReference w:type="even" r:id="rId138"/>
          <w:footnotePr>
            <w:pos w:val="pageBottom"/>
            <w:numFmt w:val="decimal"/>
            <w:numRestart w:val="continuous"/>
          </w:footnotePr>
          <w:pgSz w:w="11909" w:h="17415"/>
          <w:pgMar w:top="1728" w:right="1200" w:bottom="288" w:left="1109" w:header="0" w:footer="3" w:gutter="0"/>
          <w:cols w:space="720"/>
          <w:noEndnote/>
          <w:rtlGutter w:val="0"/>
          <w:docGrid w:linePitch="360"/>
        </w:sectPr>
      </w:pPr>
      <w:r>
        <w:drawing>
          <wp:inline>
            <wp:extent cx="1718945" cy="981710"/>
            <wp:docPr id="357" name="Picutre 357"/>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39"/>
                    <a:stretch/>
                  </pic:blipFill>
                  <pic:spPr>
                    <a:xfrm>
                      <a:ext cx="1718945" cy="981710"/>
                    </a:xfrm>
                    <a:prstGeom prst="rect"/>
                  </pic:spPr>
                </pic:pic>
              </a:graphicData>
            </a:graphic>
          </wp:inline>
        </w:drawing>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9" w:h="17415"/>
          <w:pgMar w:top="1439" w:right="0" w:bottom="1488" w:left="2088" w:header="0" w:footer="3" w:gutter="0"/>
          <w:cols w:space="720"/>
          <w:noEndnote/>
          <w:rtlGutter w:val="0"/>
          <w:docGrid w:linePitch="360"/>
        </w:sectPr>
      </w:pPr>
    </w:p>
    <w:p>
      <w:pPr>
        <w:pStyle w:val="Style65"/>
        <w:keepNext w:val="0"/>
        <w:keepLines w:val="0"/>
        <w:framePr w:w="643" w:h="206" w:wrap="none" w:vAnchor="text" w:hAnchor="page" w:x="3875" w:y="1562"/>
        <w:widowControl w:val="0"/>
        <w:shd w:val="clear" w:color="auto" w:fill="auto"/>
        <w:bidi w:val="0"/>
        <w:spacing w:before="0" w:after="0" w:line="240" w:lineRule="auto"/>
        <w:ind w:left="0" w:right="0" w:firstLine="0"/>
        <w:jc w:val="left"/>
        <w:rPr>
          <w:sz w:val="18"/>
          <w:szCs w:val="18"/>
        </w:rPr>
      </w:pPr>
      <w:r>
        <w:rPr>
          <w:rFonts w:ascii="Calibri" w:eastAsia="Calibri" w:hAnsi="Calibri" w:cs="Calibri"/>
          <w:b w:val="0"/>
          <w:bCs w:val="0"/>
          <w:color w:val="0E3649"/>
          <w:spacing w:val="0"/>
          <w:w w:val="100"/>
          <w:position w:val="0"/>
          <w:sz w:val="18"/>
          <w:szCs w:val="18"/>
        </w:rPr>
        <w:t>18.88%</w:t>
      </w:r>
    </w:p>
    <w:p>
      <w:pPr>
        <w:pStyle w:val="Style65"/>
        <w:keepNext w:val="0"/>
        <w:keepLines w:val="0"/>
        <w:framePr w:w="1258" w:h="264" w:wrap="none" w:vAnchor="text" w:hAnchor="page" w:x="5022" w:y="861"/>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val="0"/>
          <w:bCs w:val="0"/>
          <w:color w:val="4A4142"/>
          <w:spacing w:val="0"/>
          <w:w w:val="100"/>
          <w:position w:val="0"/>
          <w:sz w:val="18"/>
          <w:szCs w:val="18"/>
        </w:rPr>
        <w:t>0.12% 0.49%</w:t>
      </w:r>
    </w:p>
    <w:p>
      <w:pPr>
        <w:pStyle w:val="Style65"/>
        <w:keepNext w:val="0"/>
        <w:keepLines w:val="0"/>
        <w:framePr w:w="787" w:h="259" w:wrap="none" w:vAnchor="text" w:hAnchor="page" w:x="8660" w:y="1773"/>
        <w:widowControl w:val="0"/>
        <w:shd w:val="clear" w:color="auto" w:fill="auto"/>
        <w:bidi w:val="0"/>
        <w:spacing w:before="0" w:after="0" w:line="240" w:lineRule="auto"/>
        <w:ind w:left="0" w:right="0" w:firstLine="0"/>
        <w:jc w:val="center"/>
      </w:pPr>
      <w:r>
        <w:rPr>
          <w:color w:val="415660"/>
          <w:spacing w:val="0"/>
          <w:w w:val="100"/>
          <w:position w:val="0"/>
        </w:rPr>
        <w:t>■博</w:t>
      </w:r>
      <w:r>
        <w:rPr>
          <w:color w:val="212122"/>
          <w:spacing w:val="0"/>
          <w:w w:val="100"/>
          <w:position w:val="0"/>
        </w:rPr>
        <w:t>士后</w:t>
      </w:r>
    </w:p>
    <w:p>
      <w:pPr>
        <w:pStyle w:val="Style65"/>
        <w:keepNext w:val="0"/>
        <w:keepLines w:val="0"/>
        <w:framePr w:w="590" w:h="254" w:wrap="none" w:vAnchor="text" w:hAnchor="page" w:x="8660" w:y="2152"/>
        <w:widowControl w:val="0"/>
        <w:shd w:val="clear" w:color="auto" w:fill="auto"/>
        <w:bidi w:val="0"/>
        <w:spacing w:before="0" w:after="0" w:line="240" w:lineRule="auto"/>
        <w:ind w:left="0" w:right="0" w:firstLine="0"/>
        <w:jc w:val="center"/>
      </w:pPr>
      <w:r>
        <w:rPr>
          <w:color w:val="4A4142"/>
          <w:spacing w:val="0"/>
          <w:w w:val="100"/>
          <w:position w:val="0"/>
        </w:rPr>
        <w:t>■博士</w:t>
      </w:r>
    </w:p>
    <w:p>
      <w:pPr>
        <w:pStyle w:val="Style65"/>
        <w:keepNext w:val="0"/>
        <w:keepLines w:val="0"/>
        <w:framePr w:w="590" w:h="254" w:wrap="none" w:vAnchor="text" w:hAnchor="page" w:x="8660" w:y="3232"/>
        <w:widowControl w:val="0"/>
        <w:shd w:val="clear" w:color="auto" w:fill="auto"/>
        <w:bidi w:val="0"/>
        <w:spacing w:before="0" w:after="0" w:line="240" w:lineRule="auto"/>
        <w:ind w:left="0" w:right="0" w:firstLine="0"/>
        <w:jc w:val="center"/>
      </w:pPr>
      <w:r>
        <w:rPr>
          <w:color w:val="415660"/>
          <w:spacing w:val="0"/>
          <w:w w:val="100"/>
          <w:position w:val="0"/>
        </w:rPr>
        <w:t>■大专</w:t>
      </w:r>
    </w:p>
    <w:p>
      <w:pPr>
        <w:pStyle w:val="Style65"/>
        <w:keepNext w:val="0"/>
        <w:keepLines w:val="0"/>
        <w:framePr w:w="979" w:h="254" w:wrap="none" w:vAnchor="text" w:hAnchor="page" w:x="8660" w:y="3592"/>
        <w:widowControl w:val="0"/>
        <w:shd w:val="clear" w:color="auto" w:fill="auto"/>
        <w:bidi w:val="0"/>
        <w:spacing w:before="0" w:after="0" w:line="240" w:lineRule="auto"/>
        <w:ind w:left="0" w:right="0" w:firstLine="0"/>
        <w:jc w:val="center"/>
      </w:pPr>
      <w:r>
        <w:rPr>
          <w:color w:val="9B704C"/>
          <w:spacing w:val="0"/>
          <w:w w:val="100"/>
          <w:position w:val="0"/>
        </w:rPr>
        <w:t>■大</w:t>
      </w:r>
      <w:r>
        <w:rPr>
          <w:color w:val="212122"/>
          <w:spacing w:val="0"/>
          <w:w w:val="100"/>
          <w:position w:val="0"/>
        </w:rPr>
        <w:t>专以下</w:t>
      </w:r>
    </w:p>
    <w:p>
      <w:pPr>
        <w:pStyle w:val="Style65"/>
        <w:keepNext w:val="0"/>
        <w:keepLines w:val="0"/>
        <w:framePr w:w="1531" w:h="432" w:wrap="none" w:vAnchor="text" w:hAnchor="page" w:x="5204" w:y="155"/>
        <w:widowControl w:val="0"/>
        <w:shd w:val="clear" w:color="auto" w:fill="auto"/>
        <w:bidi w:val="0"/>
        <w:spacing w:before="0" w:after="0" w:line="240" w:lineRule="auto"/>
        <w:ind w:left="-20" w:right="0" w:firstLine="0"/>
        <w:jc w:val="center"/>
        <w:rPr>
          <w:sz w:val="36"/>
          <w:szCs w:val="36"/>
        </w:rPr>
      </w:pPr>
      <w:r>
        <w:rPr>
          <w:color w:val="212122"/>
          <w:spacing w:val="0"/>
          <w:w w:val="100"/>
          <w:position w:val="0"/>
          <w:sz w:val="36"/>
          <w:szCs w:val="36"/>
        </w:rPr>
        <w:t>教育背景</w:t>
      </w:r>
    </w:p>
    <w:p>
      <w:pPr>
        <w:pStyle w:val="Style65"/>
        <w:keepNext w:val="0"/>
        <w:keepLines w:val="0"/>
        <w:framePr w:w="648" w:h="240" w:wrap="none" w:vAnchor="text" w:hAnchor="page" w:x="6030" w:y="3218"/>
        <w:widowControl w:val="0"/>
        <w:shd w:val="clear" w:color="auto" w:fill="auto"/>
        <w:bidi w:val="0"/>
        <w:spacing w:before="0" w:after="0" w:line="240" w:lineRule="auto"/>
        <w:ind w:left="0" w:right="0" w:firstLine="0"/>
        <w:jc w:val="right"/>
        <w:rPr>
          <w:sz w:val="18"/>
          <w:szCs w:val="18"/>
        </w:rPr>
      </w:pPr>
      <w:r>
        <w:rPr>
          <w:rFonts w:ascii="Calibri" w:eastAsia="Calibri" w:hAnsi="Calibri" w:cs="Calibri"/>
          <w:b w:val="0"/>
          <w:bCs w:val="0"/>
          <w:color w:val="351D35"/>
          <w:spacing w:val="0"/>
          <w:w w:val="100"/>
          <w:position w:val="0"/>
          <w:sz w:val="18"/>
          <w:szCs w:val="18"/>
        </w:rPr>
        <w:t>71.74%</w:t>
      </w:r>
    </w:p>
    <w:p>
      <w:pPr>
        <w:pStyle w:val="Style58"/>
        <w:keepNext w:val="0"/>
        <w:keepLines w:val="0"/>
        <w:framePr w:w="2712" w:h="1301" w:wrap="none" w:vAnchor="text" w:hAnchor="page" w:x="9198" w:y="13911"/>
        <w:widowControl w:val="0"/>
        <w:shd w:val="clear" w:color="auto" w:fill="auto"/>
        <w:bidi w:val="0"/>
        <w:spacing w:before="0" w:after="0" w:line="240" w:lineRule="auto"/>
        <w:ind w:left="0" w:right="0" w:firstLine="0"/>
        <w:jc w:val="center"/>
      </w:pPr>
      <w:r>
        <w:rPr>
          <w:spacing w:val="0"/>
          <w:w w:val="100"/>
          <w:position w:val="0"/>
        </w:rPr>
        <w:t>cninf$</w:t>
      </w:r>
    </w:p>
    <w:p>
      <w:pPr>
        <w:pStyle w:val="Style77"/>
        <w:keepNext w:val="0"/>
        <w:keepLines w:val="0"/>
        <w:framePr w:w="2712" w:h="1301" w:wrap="none" w:vAnchor="text" w:hAnchor="page" w:x="9198" w:y="13911"/>
        <w:widowControl w:val="0"/>
        <w:shd w:val="clear" w:color="auto" w:fill="auto"/>
        <w:bidi w:val="0"/>
        <w:spacing w:before="0" w:after="0" w:line="240" w:lineRule="auto"/>
        <w:ind w:left="0" w:right="0" w:firstLine="0"/>
        <w:jc w:val="center"/>
      </w:pPr>
      <w:r>
        <w:rPr>
          <w:spacing w:val="0"/>
          <w:w w:val="100"/>
          <w:position w:val="0"/>
        </w:rPr>
        <w:t>巨潮黄讯</w:t>
      </w:r>
    </w:p>
    <w:p>
      <w:pPr>
        <w:pStyle w:val="Style79"/>
        <w:keepNext w:val="0"/>
        <w:keepLines w:val="0"/>
        <w:framePr w:w="2712" w:h="1301" w:wrap="none" w:vAnchor="text" w:hAnchor="page" w:x="9198" w:y="13911"/>
        <w:widowControl w:val="0"/>
        <w:shd w:val="clear" w:color="auto" w:fill="auto"/>
        <w:bidi w:val="0"/>
        <w:spacing w:before="0" w:after="0"/>
        <w:ind w:left="0" w:firstLine="0"/>
        <w:jc w:val="right"/>
      </w:pPr>
      <w:r>
        <w:rPr>
          <w:spacing w:val="0"/>
          <w:w w:val="100"/>
          <w:position w:val="0"/>
        </w:rPr>
        <w:t>wwwtcninfo.ccMTLcn</w:t>
      </w:r>
    </w:p>
    <w:p>
      <w:pPr>
        <w:pStyle w:val="Style36"/>
        <w:keepNext/>
        <w:keepLines/>
        <w:framePr w:w="2712" w:h="1301" w:wrap="none" w:vAnchor="text" w:hAnchor="page" w:x="9198" w:y="13911"/>
        <w:widowControl w:val="0"/>
        <w:shd w:val="clear" w:color="auto" w:fill="auto"/>
        <w:bidi w:val="0"/>
        <w:spacing w:before="0" w:after="0" w:line="283" w:lineRule="exact"/>
        <w:ind w:left="0" w:right="0" w:firstLine="0"/>
        <w:jc w:val="center"/>
        <w:rPr>
          <w:sz w:val="22"/>
          <w:szCs w:val="22"/>
        </w:rPr>
      </w:pPr>
      <w:bookmarkStart w:id="294" w:name="bookmark294"/>
      <w:bookmarkStart w:id="295" w:name="bookmark295"/>
      <w:bookmarkStart w:id="296" w:name="bookmark296"/>
      <w:r>
        <w:rPr>
          <w:rFonts w:ascii="SimHei" w:eastAsia="SimHei" w:hAnsi="SimHei" w:cs="SimHei"/>
          <w:color w:val="D1D1D1"/>
          <w:spacing w:val="0"/>
          <w:w w:val="100"/>
          <w:position w:val="0"/>
          <w:sz w:val="22"/>
          <w:szCs w:val="22"/>
        </w:rPr>
        <w:t>中国涯监会拗定侣鼬</w:t>
      </w:r>
      <w:r>
        <w:rPr>
          <w:rFonts w:ascii="SimHei" w:eastAsia="SimHei" w:hAnsi="SimHei" w:cs="SimHei"/>
          <w:color w:val="D1D1D1"/>
          <w:spacing w:val="0"/>
          <w:w w:val="100"/>
          <w:position w:val="0"/>
          <w:sz w:val="22"/>
          <w:szCs w:val="22"/>
        </w:rPr>
        <w:t>g</w:t>
      </w:r>
      <w:r>
        <w:rPr>
          <w:rFonts w:ascii="SimHei" w:eastAsia="SimHei" w:hAnsi="SimHei" w:cs="SimHei"/>
          <w:color w:val="D1D1D1"/>
          <w:spacing w:val="0"/>
          <w:w w:val="100"/>
          <w:position w:val="0"/>
          <w:sz w:val="22"/>
          <w:szCs w:val="22"/>
        </w:rPr>
        <w:t>店</w:t>
      </w:r>
      <w:bookmarkEnd w:id="294"/>
      <w:bookmarkEnd w:id="295"/>
      <w:bookmarkEnd w:id="296"/>
    </w:p>
    <w:p>
      <w:pPr>
        <w:widowControl w:val="0"/>
        <w:spacing w:line="360" w:lineRule="exact"/>
      </w:pPr>
      <w:r>
        <w:drawing>
          <wp:anchor distT="0" distB="0" distL="0" distR="0" simplePos="0" relativeHeight="62914966" behindDoc="1" locked="0" layoutInCell="1" allowOverlap="1">
            <wp:simplePos x="0" y="0"/>
            <wp:positionH relativeFrom="page">
              <wp:posOffset>1325880</wp:posOffset>
            </wp:positionH>
            <wp:positionV relativeFrom="paragraph">
              <wp:posOffset>12700</wp:posOffset>
            </wp:positionV>
            <wp:extent cx="4907280" cy="3145790"/>
            <wp:wrapNone/>
            <wp:docPr id="358" name="Shape 358"/>
            <a:graphic xmlns:a="http://schemas.openxmlformats.org/drawingml/2006/main">
              <a:graphicData uri="http://schemas.openxmlformats.org/drawingml/2006/picture">
                <pic:pic xmlns:pic="http://schemas.openxmlformats.org/drawingml/2006/picture">
                  <pic:nvPicPr>
                    <pic:cNvPr id="359" name="Picture box 359"/>
                    <pic:cNvPicPr/>
                  </pic:nvPicPr>
                  <pic:blipFill>
                    <a:blip r:embed="rId141"/>
                    <a:stretch/>
                  </pic:blipFill>
                  <pic:spPr>
                    <a:xfrm>
                      <a:ext cx="4907280" cy="3145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type w:val="continuous"/>
          <w:pgSz w:w="11909" w:h="17415"/>
          <w:pgMar w:top="1439" w:right="0" w:bottom="1488" w:left="2088" w:header="0" w:footer="3" w:gutter="0"/>
          <w:cols w:space="720"/>
          <w:noEndnote/>
          <w:rtlGutter w:val="0"/>
          <w:docGrid w:linePitch="360"/>
        </w:sectPr>
      </w:pPr>
    </w:p>
    <w:p>
      <w:pPr>
        <w:pStyle w:val="Style6"/>
        <w:keepNext/>
        <w:keepLines/>
        <w:widowControl w:val="0"/>
        <w:shd w:val="clear" w:color="auto" w:fill="auto"/>
        <w:bidi w:val="0"/>
        <w:spacing w:before="620" w:line="240" w:lineRule="auto"/>
        <w:ind w:left="0" w:right="0" w:firstLine="0"/>
        <w:jc w:val="center"/>
      </w:pPr>
      <w:bookmarkStart w:id="297" w:name="bookmark297"/>
      <w:bookmarkStart w:id="298" w:name="bookmark298"/>
      <w:bookmarkStart w:id="299" w:name="bookmark299"/>
      <w:r>
        <w:rPr>
          <w:color w:val="000000"/>
          <w:spacing w:val="0"/>
          <w:w w:val="100"/>
          <w:position w:val="0"/>
        </w:rPr>
        <w:t>第八节公司治理</w:t>
      </w:r>
      <w:bookmarkEnd w:id="297"/>
      <w:bookmarkEnd w:id="298"/>
      <w:bookmarkEnd w:id="299"/>
    </w:p>
    <w:p>
      <w:pPr>
        <w:pStyle w:val="Style22"/>
        <w:keepNext/>
        <w:keepLines/>
        <w:widowControl w:val="0"/>
        <w:shd w:val="clear" w:color="auto" w:fill="auto"/>
        <w:bidi w:val="0"/>
        <w:spacing w:before="0" w:after="20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rPr>
        <w:t>一</w:t>
      </w:r>
      <w:bookmarkEnd w:id="302"/>
      <w:r>
        <w:rPr>
          <w:color w:val="000000"/>
          <w:spacing w:val="0"/>
          <w:w w:val="100"/>
          <w:position w:val="0"/>
        </w:rPr>
        <w:t>、公司治理的基本状况</w:t>
      </w:r>
      <w:bookmarkEnd w:id="300"/>
      <w:bookmarkEnd w:id="301"/>
      <w:bookmarkEnd w:id="303"/>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公司严格按照《公司法》、《证券法》、《上市公司治理准则》、《深圳证券交易所股票上市规则》 等法律、法规的要求，不断完善公司治理结构，建立健全内部管理和控制制度，规范公司运作，提高公司 治理水平。报告期内，公司制定并修订了《子公司管理制度》、《募集资金管理制度》。截止报告期末， 公司已经形成了较为完善的法人治理结构，形成了完善的决策机制、监督机制和执行机制，公司治理的实 际情况与《公司法》和中国证监会相关规定的要求不存在差异。具体情况如下：</w:t>
      </w:r>
    </w:p>
    <w:p>
      <w:pPr>
        <w:pStyle w:val="Style33"/>
        <w:keepNext w:val="0"/>
        <w:keepLines w:val="0"/>
        <w:widowControl w:val="0"/>
        <w:shd w:val="clear" w:color="auto" w:fill="auto"/>
        <w:tabs>
          <w:tab w:pos="1062" w:val="left"/>
        </w:tabs>
        <w:bidi w:val="0"/>
        <w:spacing w:before="0" w:after="0" w:line="470" w:lineRule="exact"/>
        <w:ind w:left="0" w:right="0" w:firstLine="500"/>
        <w:jc w:val="both"/>
      </w:pPr>
      <w:bookmarkStart w:id="304" w:name="bookmark304"/>
      <w:r>
        <w:rPr>
          <w:color w:val="000000"/>
          <w:spacing w:val="0"/>
          <w:w w:val="100"/>
          <w:position w:val="0"/>
        </w:rPr>
        <w:t>（</w:t>
      </w:r>
      <w:bookmarkEnd w:id="304"/>
      <w:r>
        <w:rPr>
          <w:color w:val="000000"/>
          <w:spacing w:val="0"/>
          <w:w w:val="100"/>
          <w:position w:val="0"/>
        </w:rPr>
        <w:t>一）</w:t>
        <w:tab/>
        <w:t>关于股东与股东大会</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股东大会是公司的最高权力机构，公司依据《公司法》、《公司章程》、《上市公司治理准则》等文 件制定了《股东大会议事规则》，规范了股东大会召集、召开、表决程序，平等对待所有股东，积极采用 网络投票等形式，扩大中小股东参与度，保证股东对公司重大事项的知情权和参与权，确保全体股东尤其 是中小股东享有平等地位，充分行使自己的权利。</w:t>
      </w:r>
    </w:p>
    <w:p>
      <w:pPr>
        <w:pStyle w:val="Style33"/>
        <w:keepNext w:val="0"/>
        <w:keepLines w:val="0"/>
        <w:widowControl w:val="0"/>
        <w:shd w:val="clear" w:color="auto" w:fill="auto"/>
        <w:tabs>
          <w:tab w:pos="1062" w:val="left"/>
        </w:tabs>
        <w:bidi w:val="0"/>
        <w:spacing w:before="0" w:after="0" w:line="470" w:lineRule="exact"/>
        <w:ind w:left="0" w:right="0" w:firstLine="500"/>
        <w:jc w:val="both"/>
      </w:pPr>
      <w:bookmarkStart w:id="305" w:name="bookmark305"/>
      <w:r>
        <w:rPr>
          <w:color w:val="000000"/>
          <w:spacing w:val="0"/>
          <w:w w:val="100"/>
          <w:position w:val="0"/>
        </w:rPr>
        <w:t>（</w:t>
      </w:r>
      <w:bookmarkEnd w:id="305"/>
      <w:r>
        <w:rPr>
          <w:color w:val="000000"/>
          <w:spacing w:val="0"/>
          <w:w w:val="100"/>
          <w:position w:val="0"/>
        </w:rPr>
        <w:t>二）</w:t>
        <w:tab/>
        <w:t>关于公司与控股股东</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公司拥有独立的业务和自主经营能力，在业务、人员、资产、机构、财务上独立于控股股东，公司董 事会、监事会和内部机构独立运作。公司控股股东严格根据《上市公司治理准则》、《深圳证券交易所股 票上市规则》、《公司章程》规范股东行为，通过股东大会行使股东权利，未发生超越股东大会及董事会 而直接或间接干预公司经营与决策的行为。</w:t>
      </w:r>
    </w:p>
    <w:p>
      <w:pPr>
        <w:pStyle w:val="Style33"/>
        <w:keepNext w:val="0"/>
        <w:keepLines w:val="0"/>
        <w:widowControl w:val="0"/>
        <w:shd w:val="clear" w:color="auto" w:fill="auto"/>
        <w:tabs>
          <w:tab w:pos="1062" w:val="left"/>
        </w:tabs>
        <w:bidi w:val="0"/>
        <w:spacing w:before="0" w:after="0" w:line="470" w:lineRule="exact"/>
        <w:ind w:left="0" w:right="0" w:firstLine="500"/>
        <w:jc w:val="both"/>
      </w:pPr>
      <w:bookmarkStart w:id="306" w:name="bookmark306"/>
      <w:r>
        <w:rPr>
          <w:color w:val="000000"/>
          <w:spacing w:val="0"/>
          <w:w w:val="100"/>
          <w:position w:val="0"/>
        </w:rPr>
        <w:t>（</w:t>
      </w:r>
      <w:bookmarkEnd w:id="306"/>
      <w:r>
        <w:rPr>
          <w:color w:val="000000"/>
          <w:spacing w:val="0"/>
          <w:w w:val="100"/>
          <w:position w:val="0"/>
        </w:rPr>
        <w:t>三）</w:t>
        <w:tab/>
        <w:t>关于董事与董事会</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公司严格按照《公司法》、《公司章程》等相关法律法规选举产生董事人选，公司目前有独立董事三 名，占全体董事的三分之一，董事会人数及人员构成符合法律法规和《公司章程》的要求。公司董事会严 格按照《公司章程》、《独立董事工作制度》及《董事会议事规则》、《深圳证券交易所中小企业板上市 公司规范运作指引》等相关规定召集召开董事会，各董事按要求出席董事会，认真审议各项议案，勤勉尽 责。独立董事独立履行职责，维护公司整体利益，尤其关注中小股东的合法权益不受损害，对重要及重大 事项发表独立意见。</w:t>
      </w:r>
    </w:p>
    <w:p>
      <w:pPr>
        <w:pStyle w:val="Style33"/>
        <w:keepNext w:val="0"/>
        <w:keepLines w:val="0"/>
        <w:widowControl w:val="0"/>
        <w:shd w:val="clear" w:color="auto" w:fill="auto"/>
        <w:tabs>
          <w:tab w:pos="1062" w:val="left"/>
        </w:tabs>
        <w:bidi w:val="0"/>
        <w:spacing w:before="0" w:after="0" w:line="470" w:lineRule="exact"/>
        <w:ind w:left="0" w:right="0" w:firstLine="500"/>
        <w:jc w:val="both"/>
      </w:pPr>
      <w:bookmarkStart w:id="307" w:name="bookmark307"/>
      <w:r>
        <w:rPr>
          <w:color w:val="000000"/>
          <w:spacing w:val="0"/>
          <w:w w:val="100"/>
          <w:position w:val="0"/>
        </w:rPr>
        <w:t>（</w:t>
      </w:r>
      <w:bookmarkEnd w:id="307"/>
      <w:r>
        <w:rPr>
          <w:color w:val="000000"/>
          <w:spacing w:val="0"/>
          <w:w w:val="100"/>
          <w:position w:val="0"/>
        </w:rPr>
        <w:t>四）</w:t>
        <w:tab/>
        <w:t>关于监事与监事会</w:t>
      </w:r>
    </w:p>
    <w:p>
      <w:pPr>
        <w:pStyle w:val="Style3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公司严格按照《公司法》、《公司章程》等相关法律法规选举产生监事人选，公司监事会由</w:t>
      </w:r>
      <w:r>
        <w:rPr>
          <w:color w:val="000000"/>
          <w:spacing w:val="0"/>
          <w:w w:val="100"/>
          <w:position w:val="0"/>
        </w:rPr>
        <w:t>3</w:t>
      </w:r>
      <w:r>
        <w:rPr>
          <w:color w:val="000000"/>
          <w:spacing w:val="0"/>
          <w:w w:val="100"/>
          <w:position w:val="0"/>
        </w:rPr>
        <w:t xml:space="preserve">名监事 组成，监事会人数及人员构成符合法律法规的要求。公司监事会严格按照《公司章程》及《监事会议事规 </w:t>
      </w:r>
      <w:r>
        <w:rPr>
          <w:color w:val="000000"/>
          <w:spacing w:val="0"/>
          <w:w w:val="100"/>
          <w:position w:val="0"/>
        </w:rPr>
        <w:t>则》等相关规定召集召开监事会，各监事按要求出席监事会，认真履行职责，对公司重大事项、关联交易、 财务状况等进行监督并发表意见，维护了公司及股东的合法权益。</w:t>
      </w:r>
    </w:p>
    <w:p>
      <w:pPr>
        <w:pStyle w:val="Style33"/>
        <w:keepNext w:val="0"/>
        <w:keepLines w:val="0"/>
        <w:widowControl w:val="0"/>
        <w:shd w:val="clear" w:color="auto" w:fill="auto"/>
        <w:tabs>
          <w:tab w:pos="1084" w:val="left"/>
        </w:tabs>
        <w:bidi w:val="0"/>
        <w:spacing w:before="0" w:after="0" w:line="468" w:lineRule="exact"/>
        <w:ind w:left="0" w:right="0" w:firstLine="500"/>
        <w:jc w:val="both"/>
      </w:pPr>
      <w:bookmarkStart w:id="308" w:name="bookmark308"/>
      <w:r>
        <w:rPr>
          <w:color w:val="000000"/>
          <w:spacing w:val="0"/>
          <w:w w:val="100"/>
          <w:position w:val="0"/>
        </w:rPr>
        <w:t>（</w:t>
      </w:r>
      <w:bookmarkEnd w:id="308"/>
      <w:r>
        <w:rPr>
          <w:color w:val="000000"/>
          <w:spacing w:val="0"/>
          <w:w w:val="100"/>
          <w:position w:val="0"/>
        </w:rPr>
        <w:t>五）</w:t>
        <w:tab/>
        <w:t>关于信息披露与透明度</w:t>
      </w:r>
    </w:p>
    <w:p>
      <w:pPr>
        <w:pStyle w:val="Style33"/>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公司严格执行《信息披露管理制度》、《董事会秘书工作制度》、《内幕信息知情人管理制度》等, 由董事会秘书负责信息披露工作，建立投资者专线电话、电子邮箱，提高公司运作的透明度。</w:t>
      </w:r>
      <w:r>
        <w:rPr>
          <w:color w:val="000000"/>
          <w:spacing w:val="0"/>
          <w:w w:val="100"/>
          <w:position w:val="0"/>
        </w:rPr>
        <w:t>2013</w:t>
      </w:r>
      <w:r>
        <w:rPr>
          <w:color w:val="000000"/>
          <w:spacing w:val="0"/>
          <w:w w:val="100"/>
          <w:position w:val="0"/>
        </w:rPr>
        <w:t>年度公 司指定《证券时报》、《证券日报》、《中国证券报》、《上海证券报》及巨潮资讯网作为本公司信息披 露的法定媒体，严格按照有关规定真实、准确、完整、及时地披露有关信息，确保公司所有股东能够以平 等的机会获取信息。</w:t>
      </w:r>
    </w:p>
    <w:p>
      <w:pPr>
        <w:pStyle w:val="Style33"/>
        <w:keepNext w:val="0"/>
        <w:keepLines w:val="0"/>
        <w:widowControl w:val="0"/>
        <w:shd w:val="clear" w:color="auto" w:fill="auto"/>
        <w:tabs>
          <w:tab w:pos="1084" w:val="left"/>
        </w:tabs>
        <w:bidi w:val="0"/>
        <w:spacing w:before="0" w:after="0" w:line="468" w:lineRule="exact"/>
        <w:ind w:left="0" w:right="0" w:firstLine="500"/>
        <w:jc w:val="both"/>
      </w:pPr>
      <w:bookmarkStart w:id="309" w:name="bookmark309"/>
      <w:r>
        <w:rPr>
          <w:color w:val="000000"/>
          <w:spacing w:val="0"/>
          <w:w w:val="100"/>
          <w:position w:val="0"/>
        </w:rPr>
        <w:t>（</w:t>
      </w:r>
      <w:bookmarkEnd w:id="309"/>
      <w:r>
        <w:rPr>
          <w:color w:val="000000"/>
          <w:spacing w:val="0"/>
          <w:w w:val="100"/>
          <w:position w:val="0"/>
        </w:rPr>
        <w:t>六）</w:t>
        <w:tab/>
        <w:t>关于相关利益者</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公司充分尊重和维护相关利益者的合法权益，积极加强与相关利益者的沟通和交流，推动公司持续、 稳定、健康地发展。公司的治理情况符合中国证监会有关上市公司治理的规范性文件要求。</w:t>
      </w:r>
    </w:p>
    <w:p>
      <w:pPr>
        <w:pStyle w:val="Style33"/>
        <w:keepNext w:val="0"/>
        <w:keepLines w:val="0"/>
        <w:widowControl w:val="0"/>
        <w:shd w:val="clear" w:color="auto" w:fill="auto"/>
        <w:tabs>
          <w:tab w:pos="1084" w:val="left"/>
        </w:tabs>
        <w:bidi w:val="0"/>
        <w:spacing w:before="0" w:after="0" w:line="468" w:lineRule="exact"/>
        <w:ind w:left="0" w:right="0" w:firstLine="500"/>
        <w:jc w:val="both"/>
      </w:pPr>
      <w:bookmarkStart w:id="310" w:name="bookmark310"/>
      <w:r>
        <w:rPr>
          <w:color w:val="000000"/>
          <w:spacing w:val="0"/>
          <w:w w:val="100"/>
          <w:position w:val="0"/>
        </w:rPr>
        <w:t>（</w:t>
      </w:r>
      <w:bookmarkEnd w:id="310"/>
      <w:r>
        <w:rPr>
          <w:color w:val="000000"/>
          <w:spacing w:val="0"/>
          <w:w w:val="100"/>
          <w:position w:val="0"/>
        </w:rPr>
        <w:t>七）</w:t>
        <w:tab/>
        <w:t>关于公司与投资者</w:t>
      </w:r>
    </w:p>
    <w:p>
      <w:pPr>
        <w:pStyle w:val="Style3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公司严格执行《投资者关系管理制度》、《机构投资者接待管理办法》，公司董事会秘书为投资者关 系管理负责人，组织实施投资者关系的日常管理工作。报告期内，公司通过电话、接待投资者现场调研、 深交所投资者关系互动平台等方式，加强与投资者的沟通。</w:t>
      </w:r>
    </w:p>
    <w:p>
      <w:pPr>
        <w:pStyle w:val="Style33"/>
        <w:keepNext w:val="0"/>
        <w:keepLines w:val="0"/>
        <w:widowControl w:val="0"/>
        <w:shd w:val="clear" w:color="auto" w:fill="auto"/>
        <w:tabs>
          <w:tab w:pos="1084" w:val="left"/>
        </w:tabs>
        <w:bidi w:val="0"/>
        <w:spacing w:before="0" w:after="0" w:line="468" w:lineRule="exact"/>
        <w:ind w:left="0" w:right="0" w:firstLine="500"/>
        <w:jc w:val="both"/>
      </w:pPr>
      <w:bookmarkStart w:id="311" w:name="bookmark311"/>
      <w:r>
        <w:rPr>
          <w:color w:val="000000"/>
          <w:spacing w:val="0"/>
          <w:w w:val="100"/>
          <w:position w:val="0"/>
        </w:rPr>
        <w:t>（</w:t>
      </w:r>
      <w:bookmarkEnd w:id="311"/>
      <w:r>
        <w:rPr>
          <w:color w:val="000000"/>
          <w:spacing w:val="0"/>
          <w:w w:val="100"/>
          <w:position w:val="0"/>
        </w:rPr>
        <w:t>八）</w:t>
        <w:tab/>
        <w:t>关于绩效评价与激励约束机制</w:t>
      </w:r>
    </w:p>
    <w:p>
      <w:pPr>
        <w:pStyle w:val="Style33"/>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公司逐步完善和建立公正、透明的董事、监事及高级管理人员绩效评价体系和激励约束机制，高级管 理人员的聘任公开、透明，符合有关法律法规和公司内部规章制度的要求。本公司高级管理人员实行年薪 制，年薪与年度经营指标完成情况挂钩，同时根据《公司章程》中对高级管理人员履职行为、权限和职责 的规定进行综合考评。</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公司治理与《公司法》和中国证监会相关规定的要求是否存在差异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公司治理与《公司法》和中国证监会相关规定的要求不存在差异。</w:t>
      </w:r>
    </w:p>
    <w:p>
      <w:pPr>
        <w:pStyle w:val="Style36"/>
        <w:keepNext/>
        <w:keepLines/>
        <w:widowControl w:val="0"/>
        <w:shd w:val="clear" w:color="auto" w:fill="auto"/>
        <w:bidi w:val="0"/>
        <w:spacing w:before="0" w:after="0" w:line="473" w:lineRule="exact"/>
        <w:ind w:left="0" w:right="0" w:firstLine="0"/>
        <w:jc w:val="left"/>
      </w:pPr>
      <w:bookmarkStart w:id="312" w:name="bookmark312"/>
      <w:bookmarkStart w:id="313" w:name="bookmark313"/>
      <w:bookmarkStart w:id="314" w:name="bookmark314"/>
      <w:r>
        <w:rPr>
          <w:color w:val="000000"/>
          <w:spacing w:val="0"/>
          <w:w w:val="100"/>
          <w:position w:val="0"/>
        </w:rPr>
        <w:t>公司治理专项活动开展情况以及内幕信息知情人登记管理制度的制定、实施情况</w:t>
      </w:r>
      <w:bookmarkEnd w:id="312"/>
      <w:bookmarkEnd w:id="313"/>
      <w:bookmarkEnd w:id="314"/>
    </w:p>
    <w:p>
      <w:pPr>
        <w:pStyle w:val="Style33"/>
        <w:keepNext w:val="0"/>
        <w:keepLines w:val="0"/>
        <w:widowControl w:val="0"/>
        <w:shd w:val="clear" w:color="auto" w:fill="auto"/>
        <w:bidi w:val="0"/>
        <w:spacing w:before="0" w:after="0" w:line="473" w:lineRule="exact"/>
        <w:ind w:left="0" w:right="0" w:firstLine="500"/>
        <w:jc w:val="both"/>
      </w:pPr>
      <w:r>
        <w:rPr>
          <w:color w:val="000000"/>
          <w:spacing w:val="0"/>
          <w:w w:val="100"/>
          <w:position w:val="0"/>
        </w:rPr>
        <w:t>公司于</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日召开的第二届董事会第八次会议制定了《内幕信息知情人管理制度》，并于</w:t>
      </w:r>
      <w:r>
        <w:rPr>
          <w:color w:val="000000"/>
          <w:spacing w:val="0"/>
          <w:w w:val="100"/>
          <w:position w:val="0"/>
        </w:rPr>
        <w:t xml:space="preserve">2012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日召开的第二届董事会第十次会议上根据深交所《关于上市公司建立内幕信息知情人登记管理制 度的规定》、《中小企业板信息披露业务备忘录第</w:t>
      </w:r>
      <w:r>
        <w:rPr>
          <w:color w:val="000000"/>
          <w:spacing w:val="0"/>
          <w:w w:val="100"/>
          <w:position w:val="0"/>
        </w:rPr>
        <w:t>24</w:t>
      </w:r>
      <w:r>
        <w:rPr>
          <w:color w:val="000000"/>
          <w:spacing w:val="0"/>
          <w:w w:val="100"/>
          <w:position w:val="0"/>
        </w:rPr>
        <w:t>号：内幕信息知情人员登记管理相关事项》的相关规 定对《内幕信息知情人管理制度》进行了修订。</w:t>
      </w:r>
    </w:p>
    <w:p>
      <w:pPr>
        <w:pStyle w:val="Style33"/>
        <w:keepNext w:val="0"/>
        <w:keepLines w:val="0"/>
        <w:widowControl w:val="0"/>
        <w:shd w:val="clear" w:color="auto" w:fill="auto"/>
        <w:bidi w:val="0"/>
        <w:spacing w:before="0" w:after="440" w:line="473" w:lineRule="exact"/>
        <w:ind w:left="0" w:right="0" w:firstLine="500"/>
        <w:jc w:val="both"/>
      </w:pPr>
      <w:r>
        <w:rPr>
          <w:color w:val="000000"/>
          <w:spacing w:val="0"/>
          <w:w w:val="100"/>
          <w:position w:val="0"/>
        </w:rPr>
        <w:t>报告期内，公司按照《深圳证券交易所中小企业板上市公司规范运作指引》、《内幕信息知情人登记 制度》的要求，做好内幕信息保密和管理工作。在涉及定期报告，发行公司债券等敏感信息时，如实、完</w:t>
        <w:br w:type="page"/>
      </w:r>
      <w:r>
        <w:rPr>
          <w:color w:val="000000"/>
          <w:spacing w:val="0"/>
          <w:w w:val="100"/>
          <w:position w:val="0"/>
        </w:rPr>
        <w:t>整地记录内幕信息在公开前的报告、传递、编制、审核、披露等各环节所有内幕信息知情人名单，以及知 情人知悉内幕信息的时间等相关档案。报告期内，公司未发现相关人员利用内幕信息买卖公司股票的情况。</w:t>
      </w:r>
    </w:p>
    <w:p>
      <w:pPr>
        <w:pStyle w:val="Style22"/>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二</w:t>
      </w:r>
      <w:bookmarkEnd w:id="317"/>
      <w:r>
        <w:rPr>
          <w:color w:val="000000"/>
          <w:spacing w:val="0"/>
          <w:w w:val="100"/>
          <w:position w:val="0"/>
        </w:rPr>
        <w:t>、报告期内召开的年度股东大会和临时股东大会的有关情况</w:t>
      </w:r>
      <w:bookmarkEnd w:id="315"/>
      <w:bookmarkEnd w:id="316"/>
      <w:bookmarkEnd w:id="318"/>
    </w:p>
    <w:p>
      <w:pPr>
        <w:pStyle w:val="Style36"/>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、本报告期年度股东大会情况</w:t>
      </w:r>
      <w:bookmarkEnd w:id="319"/>
      <w:bookmarkEnd w:id="320"/>
      <w:bookmarkEnd w:id="322"/>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9456"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董事会工作报告的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关于审议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年监事会工作 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 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 告及其摘要的议案；</w:t>
            </w:r>
          </w:p>
          <w:p>
            <w:pPr>
              <w:pStyle w:val="Style9"/>
              <w:keepNext w:val="0"/>
              <w:keepLines w:val="0"/>
              <w:widowControl w:val="0"/>
              <w:numPr>
                <w:ilvl w:val="0"/>
                <w:numId w:val="7"/>
              </w:numPr>
              <w:shd w:val="clear" w:color="auto" w:fill="auto"/>
              <w:tabs>
                <w:tab w:pos="144" w:val="left"/>
              </w:tabs>
              <w:bidi w:val="0"/>
              <w:spacing w:before="0" w:after="0" w:line="314" w:lineRule="exact"/>
              <w:ind w:left="0" w:right="0" w:firstLine="0"/>
              <w:jc w:val="both"/>
            </w:pPr>
            <w:r>
              <w:rPr>
                <w:color w:val="000000"/>
                <w:spacing w:val="0"/>
                <w:w w:val="100"/>
                <w:position w:val="0"/>
              </w:rPr>
              <w:t>关于审议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度决算报告的议案；</w:t>
            </w:r>
          </w:p>
          <w:p>
            <w:pPr>
              <w:pStyle w:val="Style9"/>
              <w:keepNext w:val="0"/>
              <w:keepLines w:val="0"/>
              <w:widowControl w:val="0"/>
              <w:numPr>
                <w:ilvl w:val="0"/>
                <w:numId w:val="7"/>
              </w:numPr>
              <w:shd w:val="clear" w:color="auto" w:fill="auto"/>
              <w:tabs>
                <w:tab w:pos="139" w:val="left"/>
              </w:tabs>
              <w:bidi w:val="0"/>
              <w:spacing w:before="0" w:after="0" w:line="314" w:lineRule="exact"/>
              <w:ind w:left="0" w:right="0" w:firstLine="0"/>
              <w:jc w:val="both"/>
            </w:pPr>
            <w:r>
              <w:rPr>
                <w:color w:val="000000"/>
                <w:spacing w:val="0"/>
                <w:w w:val="100"/>
                <w:position w:val="0"/>
              </w:rPr>
              <w:t>关于审议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度利润分配方案的 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关于变更公 司经营范围并修改</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《公司章程》的议 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关于审议</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年度信贷计划的议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关于修订《募 集资金管理制度》的 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关于审议续 聘会计师事务所的 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关于审议 部分超募资金永久 性补充流动资金的 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关于审议 使用闲置募集资金 购买保本型理财产 品的议案；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关于 审议公司独立董事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年度津贴的议 案。</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2013-027</w:t>
            </w:r>
            <w:r>
              <w:rPr>
                <w:color w:val="000000"/>
                <w:spacing w:val="0"/>
                <w:w w:val="100"/>
                <w:position w:val="0"/>
              </w:rPr>
              <w:t>《北京中 科金财科技股份有 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 股东大会决议公告》 刊登于《证券时报》、</w:t>
            </w:r>
          </w:p>
          <w:p>
            <w:pPr>
              <w:pStyle w:val="Style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 xml:space="preserve">《证券日报》、《中国 证券报》、《上海证券 报》及巨潮资讯网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、本报告期临时股东大会情况</w:t>
      </w:r>
      <w:bookmarkEnd w:id="323"/>
      <w:bookmarkEnd w:id="324"/>
      <w:bookmarkEnd w:id="326"/>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52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关于公司董事会 换届选举的议案；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关于公司监事会换 届选举的议案。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2013-038</w:t>
            </w:r>
            <w:r>
              <w:rPr>
                <w:color w:val="000000"/>
                <w:spacing w:val="0"/>
                <w:w w:val="100"/>
                <w:position w:val="0"/>
              </w:rPr>
              <w:t>《北京中科 金财科技股份有限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年年第一 次临时股东大会决 议公告》刊登于《证 券时报》、《证券日 报》、《中国证券报》、</w:t>
            </w:r>
          </w:p>
          <w:p>
            <w:pPr>
              <w:pStyle w:val="Style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 xml:space="preserve">《上海证券报》及巨 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r>
        <w:trPr>
          <w:trHeight w:val="353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关于审议募集资 金投资项目变更的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关于审议超 募资金投资项目延 期的议案；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关于调 整部分闲置募集资 金购买保本型理财 产品额度及期限的 议案。</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2013-056</w:t>
            </w:r>
            <w:r>
              <w:rPr>
                <w:color w:val="000000"/>
                <w:spacing w:val="0"/>
                <w:w w:val="100"/>
                <w:position w:val="0"/>
              </w:rPr>
              <w:t>《北京中科 金财科技股份有限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年年第二 次临时股东大会决 议公告》刊登于《证 券时报》、《证券日 报》、《中国证券报》、</w:t>
            </w:r>
          </w:p>
          <w:p>
            <w:pPr>
              <w:pStyle w:val="Style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 xml:space="preserve">《上海证券报》及巨 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三</w:t>
      </w:r>
      <w:bookmarkEnd w:id="329"/>
      <w:r>
        <w:rPr>
          <w:color w:val="000000"/>
          <w:spacing w:val="0"/>
          <w:w w:val="100"/>
          <w:position w:val="0"/>
        </w:rPr>
        <w:t>、报告期内独立董事履行职责的情况</w:t>
      </w:r>
      <w:bookmarkEnd w:id="327"/>
      <w:bookmarkEnd w:id="328"/>
      <w:bookmarkEnd w:id="330"/>
    </w:p>
    <w:p>
      <w:pPr>
        <w:pStyle w:val="Style36"/>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、独立董事出席董事会及股东大会的情况</w:t>
      </w:r>
      <w:bookmarkEnd w:id="331"/>
      <w:bookmarkEnd w:id="332"/>
      <w:bookmarkEnd w:id="334"/>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彭雪峰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温京辉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王锁柱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白涛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宁家骏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36"/>
        <w:keepNext/>
        <w:keepLines/>
        <w:widowControl w:val="0"/>
        <w:shd w:val="clear" w:color="auto" w:fill="auto"/>
        <w:bidi w:val="0"/>
        <w:spacing w:before="0" w:after="100" w:line="240" w:lineRule="auto"/>
        <w:ind w:left="0" w:right="0" w:firstLine="0"/>
        <w:jc w:val="left"/>
      </w:pPr>
      <w:bookmarkStart w:id="335" w:name="bookmark335"/>
      <w:bookmarkStart w:id="336" w:name="bookmark336"/>
      <w:bookmarkStart w:id="337" w:name="bookmark337"/>
      <w:r>
        <w:rPr>
          <w:color w:val="000000"/>
          <w:spacing w:val="0"/>
          <w:w w:val="100"/>
          <w:position w:val="0"/>
        </w:rPr>
        <w:t>连续两次未亲自出席董事会的说明</w:t>
      </w:r>
      <w:bookmarkEnd w:id="335"/>
      <w:bookmarkEnd w:id="336"/>
      <w:bookmarkEnd w:id="337"/>
    </w:p>
    <w:p>
      <w:pPr>
        <w:pStyle w:val="Style33"/>
        <w:keepNext w:val="0"/>
        <w:keepLines w:val="0"/>
        <w:widowControl w:val="0"/>
        <w:shd w:val="clear" w:color="auto" w:fill="auto"/>
        <w:bidi w:val="0"/>
        <w:spacing w:before="0" w:after="320" w:line="240" w:lineRule="auto"/>
        <w:ind w:left="0" w:right="0" w:firstLine="0"/>
        <w:jc w:val="left"/>
        <w:sectPr>
          <w:headerReference w:type="default" r:id="rId143"/>
          <w:footerReference w:type="default" r:id="rId144"/>
          <w:headerReference w:type="even" r:id="rId145"/>
          <w:footerReference w:type="even" r:id="rId146"/>
          <w:footnotePr>
            <w:pos w:val="pageBottom"/>
            <w:numFmt w:val="decimal"/>
            <w:numRestart w:val="continuous"/>
          </w:footnotePr>
          <w:pgSz w:w="11909" w:h="17415"/>
          <w:pgMar w:top="1608" w:right="1033" w:bottom="2035" w:left="1089" w:header="0" w:footer="3" w:gutter="0"/>
          <w:cols w:space="720"/>
          <w:noEndnote/>
          <w:rtlGutter w:val="0"/>
          <w:docGrid w:linePitch="360"/>
        </w:sectPr>
      </w:pPr>
      <w:r>
        <w:rPr>
          <w:color w:val="000000"/>
          <w:spacing w:val="0"/>
          <w:w w:val="100"/>
          <w:position w:val="0"/>
        </w:rPr>
        <w:t>公司独立董事不存在连续两次未亲自出席董事会的情况。</w:t>
      </w:r>
    </w:p>
    <w:p>
      <w:pPr>
        <w:pStyle w:val="Style36"/>
        <w:keepNext/>
        <w:keepLines/>
        <w:widowControl w:val="0"/>
        <w:shd w:val="clear" w:color="auto" w:fill="auto"/>
        <w:tabs>
          <w:tab w:pos="378" w:val="left"/>
        </w:tabs>
        <w:bidi w:val="0"/>
        <w:spacing w:before="0" w:after="380" w:line="467" w:lineRule="exact"/>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w:t>
        <w:tab/>
        <w:t>独立董事对公司有关事项提出异议的情况</w:t>
      </w:r>
      <w:bookmarkEnd w:id="338"/>
      <w:bookmarkEnd w:id="339"/>
      <w:bookmarkEnd w:id="34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380" w:line="467" w:lineRule="exact"/>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3</w:t>
      </w:r>
      <w:bookmarkEnd w:id="344"/>
      <w:r>
        <w:rPr>
          <w:color w:val="000000"/>
          <w:spacing w:val="0"/>
          <w:w w:val="100"/>
          <w:position w:val="0"/>
        </w:rPr>
        <w:t>、</w:t>
        <w:tab/>
        <w:t>独立董事履行职责的其他说明</w:t>
      </w:r>
      <w:bookmarkEnd w:id="342"/>
      <w:bookmarkEnd w:id="343"/>
      <w:bookmarkEnd w:id="34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6"/>
        <w:keepNext/>
        <w:keepLines/>
        <w:widowControl w:val="0"/>
        <w:shd w:val="clear" w:color="auto" w:fill="auto"/>
        <w:bidi w:val="0"/>
        <w:spacing w:before="0" w:after="0" w:line="470" w:lineRule="exact"/>
        <w:ind w:left="0" w:right="0" w:firstLine="0"/>
        <w:jc w:val="left"/>
      </w:pPr>
      <w:bookmarkStart w:id="346" w:name="bookmark346"/>
      <w:bookmarkStart w:id="347" w:name="bookmark347"/>
      <w:bookmarkStart w:id="348" w:name="bookmark348"/>
      <w:r>
        <w:rPr>
          <w:color w:val="000000"/>
          <w:spacing w:val="0"/>
          <w:w w:val="100"/>
          <w:position w:val="0"/>
        </w:rPr>
        <w:t>独立董事对公司有关建议被采纳或未被采纳的说明</w:t>
      </w:r>
      <w:bookmarkEnd w:id="346"/>
      <w:bookmarkEnd w:id="347"/>
      <w:bookmarkEnd w:id="348"/>
    </w:p>
    <w:p>
      <w:pPr>
        <w:pStyle w:val="Style3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公司独立董事在</w:t>
      </w:r>
      <w:r>
        <w:rPr>
          <w:rFonts w:ascii="Times New Roman" w:eastAsia="Times New Roman" w:hAnsi="Times New Roman" w:cs="Times New Roman"/>
          <w:color w:val="000000"/>
          <w:spacing w:val="0"/>
          <w:w w:val="100"/>
          <w:position w:val="0"/>
        </w:rPr>
        <w:t>2013</w:t>
      </w:r>
      <w:r>
        <w:rPr>
          <w:color w:val="000000"/>
          <w:spacing w:val="0"/>
          <w:w w:val="100"/>
          <w:position w:val="0"/>
        </w:rPr>
        <w:t>年度勤勉尽责，积极了解公司的生产经营情况和财务状况；及时关注经济形势以 及市场变化对公司经营状况的影响；关注传媒、网络有关公司的相关报道；及时获悉公司重大事项的进展 情况，定期审阅公司提供的定期报告、临时公告；对报告期内公司发生的相关事项出具了独立、公正的独 立董事意见，有效地履行了独立董事的职责，维护了公司和中小股东的合法权益。</w:t>
      </w:r>
    </w:p>
    <w:p>
      <w:pPr>
        <w:pStyle w:val="Style22"/>
        <w:keepNext/>
        <w:keepLines/>
        <w:widowControl w:val="0"/>
        <w:shd w:val="clear" w:color="auto" w:fill="auto"/>
        <w:bidi w:val="0"/>
        <w:spacing w:before="0" w:after="20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四</w:t>
      </w:r>
      <w:bookmarkEnd w:id="351"/>
      <w:r>
        <w:rPr>
          <w:color w:val="000000"/>
          <w:spacing w:val="0"/>
          <w:w w:val="100"/>
          <w:position w:val="0"/>
        </w:rPr>
        <w:t>、董事会下设专门委员会在报告期内履行职责情况</w:t>
      </w:r>
      <w:bookmarkEnd w:id="349"/>
      <w:bookmarkEnd w:id="350"/>
      <w:bookmarkEnd w:id="352"/>
    </w:p>
    <w:p>
      <w:pPr>
        <w:pStyle w:val="Style33"/>
        <w:keepNext w:val="0"/>
        <w:keepLines w:val="0"/>
        <w:widowControl w:val="0"/>
        <w:shd w:val="clear" w:color="auto" w:fill="auto"/>
        <w:tabs>
          <w:tab w:pos="794" w:val="left"/>
        </w:tabs>
        <w:bidi w:val="0"/>
        <w:spacing w:before="0" w:after="0" w:line="467" w:lineRule="exact"/>
        <w:ind w:left="0" w:right="0" w:firstLine="440"/>
        <w:jc w:val="both"/>
      </w:pPr>
      <w:bookmarkStart w:id="353" w:name="bookmark353"/>
      <w:r>
        <w:rPr>
          <w:color w:val="000000"/>
          <w:spacing w:val="0"/>
          <w:w w:val="100"/>
          <w:position w:val="0"/>
        </w:rPr>
        <w:t>1</w:t>
      </w:r>
      <w:bookmarkEnd w:id="353"/>
      <w:r>
        <w:rPr>
          <w:color w:val="000000"/>
          <w:spacing w:val="0"/>
          <w:w w:val="100"/>
          <w:position w:val="0"/>
        </w:rPr>
        <w:t>、</w:t>
        <w:tab/>
        <w:t>战略委员会</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报告期内，战略委员会根据《董事会战略委员会工作制度》及其他有关规定积极开展工作，认真履行 职责。报告期内，战略委员会召开了</w:t>
      </w:r>
      <w:r>
        <w:rPr>
          <w:color w:val="000000"/>
          <w:spacing w:val="0"/>
          <w:w w:val="100"/>
          <w:position w:val="0"/>
        </w:rPr>
        <w:t>2</w:t>
      </w:r>
      <w:r>
        <w:rPr>
          <w:color w:val="000000"/>
          <w:spacing w:val="0"/>
          <w:w w:val="100"/>
          <w:position w:val="0"/>
        </w:rPr>
        <w:t>次战略委员会会议，向董事会提出的建议，明晰了公司的经营策略, 对公司持续稳定健康的发展起到了及其重要的促进作用，对公司重要投资事项进行深入的分析研究，为公 司发展战略的实施提出了合理的建议。</w:t>
      </w:r>
    </w:p>
    <w:p>
      <w:pPr>
        <w:pStyle w:val="Style33"/>
        <w:keepNext w:val="0"/>
        <w:keepLines w:val="0"/>
        <w:widowControl w:val="0"/>
        <w:shd w:val="clear" w:color="auto" w:fill="auto"/>
        <w:tabs>
          <w:tab w:pos="808" w:val="left"/>
        </w:tabs>
        <w:bidi w:val="0"/>
        <w:spacing w:before="0" w:after="0" w:line="467" w:lineRule="exact"/>
        <w:ind w:left="0" w:right="0" w:firstLine="440"/>
        <w:jc w:val="both"/>
      </w:pPr>
      <w:bookmarkStart w:id="354" w:name="bookmark354"/>
      <w:r>
        <w:rPr>
          <w:color w:val="000000"/>
          <w:spacing w:val="0"/>
          <w:w w:val="100"/>
          <w:position w:val="0"/>
        </w:rPr>
        <w:t>2</w:t>
      </w:r>
      <w:bookmarkEnd w:id="354"/>
      <w:r>
        <w:rPr>
          <w:color w:val="000000"/>
          <w:spacing w:val="0"/>
          <w:w w:val="100"/>
          <w:position w:val="0"/>
        </w:rPr>
        <w:t>、</w:t>
        <w:tab/>
        <w:t>审计委员会</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报告期内，审计委员会根据《公司董事会审计委员会工作制度》及其他有关规定积极开展工作，认真 履行职责。报告期内，审计委员会召开了</w:t>
      </w:r>
      <w:r>
        <w:rPr>
          <w:color w:val="000000"/>
          <w:spacing w:val="0"/>
          <w:w w:val="100"/>
          <w:position w:val="0"/>
        </w:rPr>
        <w:t>7</w:t>
      </w:r>
      <w:r>
        <w:rPr>
          <w:color w:val="000000"/>
          <w:spacing w:val="0"/>
          <w:w w:val="100"/>
          <w:position w:val="0"/>
        </w:rPr>
        <w:t>次会议，审议通过了审计部</w:t>
      </w:r>
      <w:r>
        <w:rPr>
          <w:color w:val="000000"/>
          <w:spacing w:val="0"/>
          <w:w w:val="100"/>
          <w:position w:val="0"/>
        </w:rPr>
        <w:t>2013</w:t>
      </w:r>
      <w:r>
        <w:rPr>
          <w:color w:val="000000"/>
          <w:spacing w:val="0"/>
          <w:w w:val="100"/>
          <w:position w:val="0"/>
        </w:rPr>
        <w:t>年各项审计工作汇报，对公司 内部控制建立健全情况和财务审计情况进行了监督检查。审核了公司所有重要的会计政策，定期了解公司 财务状况和经营情况，督促和指导公司审计部门对公司财务管理运行情况进行定期和不定期的检查和评 估，委员会认为公司内控制度体系符合法律、法规及《公司章程》的要求，适应当前公司生产经营实际情 况的需要。</w:t>
      </w:r>
    </w:p>
    <w:p>
      <w:pPr>
        <w:pStyle w:val="Style33"/>
        <w:keepNext w:val="0"/>
        <w:keepLines w:val="0"/>
        <w:widowControl w:val="0"/>
        <w:shd w:val="clear" w:color="auto" w:fill="auto"/>
        <w:tabs>
          <w:tab w:pos="808" w:val="left"/>
        </w:tabs>
        <w:bidi w:val="0"/>
        <w:spacing w:before="0" w:after="0" w:line="467" w:lineRule="exact"/>
        <w:ind w:left="0" w:right="0" w:firstLine="440"/>
        <w:jc w:val="both"/>
      </w:pPr>
      <w:bookmarkStart w:id="355" w:name="bookmark355"/>
      <w:r>
        <w:rPr>
          <w:color w:val="000000"/>
          <w:spacing w:val="0"/>
          <w:w w:val="100"/>
          <w:position w:val="0"/>
        </w:rPr>
        <w:t>3</w:t>
      </w:r>
      <w:bookmarkEnd w:id="355"/>
      <w:r>
        <w:rPr>
          <w:color w:val="000000"/>
          <w:spacing w:val="0"/>
          <w:w w:val="100"/>
          <w:position w:val="0"/>
        </w:rPr>
        <w:t>、</w:t>
        <w:tab/>
        <w:t>薪酬与考核委员会</w:t>
      </w:r>
    </w:p>
    <w:p>
      <w:pPr>
        <w:pStyle w:val="Style33"/>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 xml:space="preserve">报告期内，薪酬与考核委员会根据《董事会薪酬与考核委员会工作制度》及其他有关规定积极开展工 作，认真履行职责。报告期内，薪酬与考核委员会召开了 </w:t>
      </w:r>
      <w:r>
        <w:rPr>
          <w:color w:val="000000"/>
          <w:spacing w:val="0"/>
          <w:w w:val="100"/>
          <w:position w:val="0"/>
        </w:rPr>
        <w:t>1</w:t>
      </w:r>
      <w:r>
        <w:rPr>
          <w:color w:val="000000"/>
          <w:spacing w:val="0"/>
          <w:w w:val="100"/>
          <w:position w:val="0"/>
        </w:rPr>
        <w:t>次会议，根据《公司章程》及《公司董事会薪 酬与考核委员会工作制度》，结合公司经营规模等实际情况并参照行业薪酬水平，对公司董事、监事和高</w:t>
      </w:r>
    </w:p>
    <w:p>
      <w:pPr>
        <w:pStyle w:val="Style58"/>
        <w:keepNext w:val="0"/>
        <w:keepLines w:val="0"/>
        <w:widowControl w:val="0"/>
        <w:shd w:val="clear" w:color="auto" w:fill="auto"/>
        <w:tabs>
          <w:tab w:pos="3701" w:val="left"/>
        </w:tabs>
        <w:bidi w:val="0"/>
        <w:spacing w:before="0" w:after="160" w:line="240" w:lineRule="auto"/>
        <w:ind w:left="0" w:right="0" w:firstLine="0"/>
        <w:jc w:val="right"/>
        <w:sectPr>
          <w:headerReference w:type="default" r:id="rId147"/>
          <w:footerReference w:type="default" r:id="rId148"/>
          <w:headerReference w:type="even" r:id="rId149"/>
          <w:footerReference w:type="even" r:id="rId150"/>
          <w:footnotePr>
            <w:pos w:val="pageBottom"/>
            <w:numFmt w:val="decimal"/>
            <w:numRestart w:val="continuous"/>
          </w:footnotePr>
          <w:pgSz w:w="11909" w:h="17415"/>
          <w:pgMar w:top="1541" w:right="1013" w:bottom="1248" w:left="1109" w:header="0" w:footer="820" w:gutter="0"/>
          <w:pgNumType w:start="57"/>
          <w:cols w:space="720"/>
          <w:noEndnote/>
          <w:rtlGutter w:val="0"/>
          <w:docGrid w:linePitch="360"/>
        </w:sectPr>
      </w:pPr>
      <w:r>
        <w:rPr>
          <w:color w:val="000000"/>
          <w:spacing w:val="0"/>
          <w:w w:val="100"/>
          <w:position w:val="0"/>
          <w:vertAlign w:val="subscript"/>
        </w:rPr>
        <w:t>5</w:t>
      </w:r>
      <w:r>
        <w:rPr>
          <w:rFonts w:ascii="Times New Roman" w:eastAsia="Times New Roman" w:hAnsi="Times New Roman" w:cs="Times New Roman"/>
          <w:b w:val="0"/>
          <w:bCs w:val="0"/>
          <w:color w:val="000000"/>
          <w:spacing w:val="0"/>
          <w:w w:val="100"/>
          <w:position w:val="0"/>
          <w:sz w:val="18"/>
          <w:szCs w:val="18"/>
        </w:rPr>
        <w:t>6</w:t>
        <w:tab/>
      </w:r>
      <w:r>
        <w:rPr>
          <w:spacing w:val="0"/>
          <w:w w:val="100"/>
          <w:position w:val="0"/>
        </w:rPr>
        <w:t>cninf</w:t>
      </w:r>
    </w:p>
    <w:p>
      <w:pPr>
        <w:pStyle w:val="Style33"/>
        <w:keepNext w:val="0"/>
        <w:keepLines w:val="0"/>
        <w:widowControl w:val="0"/>
        <w:shd w:val="clear" w:color="auto" w:fill="auto"/>
        <w:bidi w:val="0"/>
        <w:spacing w:before="240" w:after="0" w:line="468" w:lineRule="exact"/>
        <w:ind w:left="0" w:right="0" w:firstLine="0"/>
        <w:jc w:val="left"/>
      </w:pPr>
      <w:r>
        <w:rPr>
          <w:color w:val="000000"/>
          <w:spacing w:val="0"/>
          <w:w w:val="100"/>
          <w:position w:val="0"/>
        </w:rPr>
        <w:t>级管理人员的薪酬情况进行了审核，并对公司薪酬体系的改善提出了合理化的建议。</w:t>
      </w:r>
    </w:p>
    <w:p>
      <w:pPr>
        <w:pStyle w:val="Style33"/>
        <w:keepNext w:val="0"/>
        <w:keepLines w:val="0"/>
        <w:widowControl w:val="0"/>
        <w:shd w:val="clear" w:color="auto" w:fill="auto"/>
        <w:bidi w:val="0"/>
        <w:spacing w:before="0" w:after="0" w:line="468" w:lineRule="exact"/>
        <w:ind w:left="0" w:right="0" w:firstLine="440"/>
        <w:jc w:val="left"/>
      </w:pPr>
      <w:bookmarkStart w:id="356" w:name="bookmark356"/>
      <w:r>
        <w:rPr>
          <w:color w:val="000000"/>
          <w:spacing w:val="0"/>
          <w:w w:val="100"/>
          <w:position w:val="0"/>
        </w:rPr>
        <w:t>4</w:t>
      </w:r>
      <w:bookmarkEnd w:id="356"/>
      <w:r>
        <w:rPr>
          <w:color w:val="000000"/>
          <w:spacing w:val="0"/>
          <w:w w:val="100"/>
          <w:position w:val="0"/>
        </w:rPr>
        <w:t>、提名委员会</w:t>
      </w:r>
    </w:p>
    <w:p>
      <w:pPr>
        <w:pStyle w:val="Style33"/>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报告期内，提名委员会根据《公司董事会提名委员会工作制度》及其他有关规定积极开展工作，认真 履行职责。报告期内，提名委员会召开了</w:t>
      </w:r>
      <w:r>
        <w:rPr>
          <w:color w:val="000000"/>
          <w:spacing w:val="0"/>
          <w:w w:val="100"/>
          <w:position w:val="0"/>
        </w:rPr>
        <w:t>2</w:t>
      </w:r>
      <w:r>
        <w:rPr>
          <w:color w:val="000000"/>
          <w:spacing w:val="0"/>
          <w:w w:val="100"/>
          <w:position w:val="0"/>
        </w:rPr>
        <w:t>次会议，对公司高级管理人员以及董事的任职资格等相关事宜 进行了认真的审核，认为公司新任董事及高管具有丰富的行业经验和管理经验，完全胜任各自的工作。</w:t>
      </w:r>
    </w:p>
    <w:p>
      <w:pPr>
        <w:pStyle w:val="Style22"/>
        <w:keepNext/>
        <w:keepLines/>
        <w:widowControl w:val="0"/>
        <w:shd w:val="clear" w:color="auto" w:fill="auto"/>
        <w:tabs>
          <w:tab w:pos="496" w:val="left"/>
        </w:tabs>
        <w:bidi w:val="0"/>
        <w:spacing w:before="0" w:after="36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五</w:t>
      </w:r>
      <w:bookmarkEnd w:id="359"/>
      <w:r>
        <w:rPr>
          <w:color w:val="000000"/>
          <w:spacing w:val="0"/>
          <w:w w:val="100"/>
          <w:position w:val="0"/>
        </w:rPr>
        <w:t>、</w:t>
        <w:tab/>
        <w:t>监事会工作情况</w:t>
      </w:r>
      <w:bookmarkEnd w:id="357"/>
      <w:bookmarkEnd w:id="358"/>
      <w:bookmarkEnd w:id="36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501" w:val="left"/>
        </w:tabs>
        <w:bidi w:val="0"/>
        <w:spacing w:before="0" w:after="20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六</w:t>
      </w:r>
      <w:bookmarkEnd w:id="363"/>
      <w:r>
        <w:rPr>
          <w:color w:val="000000"/>
          <w:spacing w:val="0"/>
          <w:w w:val="100"/>
          <w:position w:val="0"/>
        </w:rPr>
        <w:t>、</w:t>
        <w:tab/>
        <w:t>公司相对于控股股东在业务、人员、资产、机构、财务等方面的独立完整情况</w:t>
      </w:r>
      <w:bookmarkEnd w:id="361"/>
      <w:bookmarkEnd w:id="362"/>
      <w:bookmarkEnd w:id="364"/>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公司与控股股东在业务、人员、资产、机构、财务等方面完全分开，具有独立完整的业务及自主经营 能力。</w:t>
      </w:r>
    </w:p>
    <w:p>
      <w:pPr>
        <w:pStyle w:val="Style33"/>
        <w:keepNext w:val="0"/>
        <w:keepLines w:val="0"/>
        <w:widowControl w:val="0"/>
        <w:shd w:val="clear" w:color="auto" w:fill="auto"/>
        <w:tabs>
          <w:tab w:pos="1111" w:val="left"/>
        </w:tabs>
        <w:bidi w:val="0"/>
        <w:spacing w:before="0" w:after="0" w:line="470" w:lineRule="exact"/>
        <w:ind w:left="0" w:right="0" w:firstLine="440"/>
        <w:jc w:val="both"/>
      </w:pPr>
      <w:bookmarkStart w:id="365" w:name="bookmark365"/>
      <w:r>
        <w:rPr>
          <w:color w:val="000000"/>
          <w:spacing w:val="0"/>
          <w:w w:val="100"/>
          <w:position w:val="0"/>
        </w:rPr>
        <w:t>（</w:t>
      </w:r>
      <w:bookmarkEnd w:id="365"/>
      <w:r>
        <w:rPr>
          <w:color w:val="000000"/>
          <w:spacing w:val="0"/>
          <w:w w:val="100"/>
          <w:position w:val="0"/>
        </w:rPr>
        <w:t>一）</w:t>
        <w:tab/>
        <w:t>业务独立：公司拥有独立完整的业务体系及自主经营能力，能够面向市场独立经营、核算和决 策，独立承担责任与风险。公司的业务开展完全独立于控股股东，不存在受制于公司股东及其它关联方的 情况。</w:t>
      </w:r>
    </w:p>
    <w:p>
      <w:pPr>
        <w:pStyle w:val="Style33"/>
        <w:keepNext w:val="0"/>
        <w:keepLines w:val="0"/>
        <w:widowControl w:val="0"/>
        <w:shd w:val="clear" w:color="auto" w:fill="auto"/>
        <w:tabs>
          <w:tab w:pos="1116" w:val="left"/>
        </w:tabs>
        <w:bidi w:val="0"/>
        <w:spacing w:before="0" w:after="0" w:line="470" w:lineRule="exact"/>
        <w:ind w:left="0" w:right="0" w:firstLine="440"/>
        <w:jc w:val="both"/>
      </w:pPr>
      <w:bookmarkStart w:id="366" w:name="bookmark366"/>
      <w:r>
        <w:rPr>
          <w:color w:val="000000"/>
          <w:spacing w:val="0"/>
          <w:w w:val="100"/>
          <w:position w:val="0"/>
        </w:rPr>
        <w:t>（</w:t>
      </w:r>
      <w:bookmarkEnd w:id="366"/>
      <w:r>
        <w:rPr>
          <w:color w:val="000000"/>
          <w:spacing w:val="0"/>
          <w:w w:val="100"/>
          <w:position w:val="0"/>
        </w:rPr>
        <w:t>二）</w:t>
        <w:tab/>
        <w:t>人员独立：公司董事（含独立董事）、监事及高级管理人员严格按照《公司法》、《公司章程》的 有关规定产生，公司的总经理、副总经理、财务负责人、董事会秘书等高级管理人员均在公司专职工作并 领取薪酬，不存在在关联企业兼职领薪的情况；公司高级管理人员的任免均由公司董事会通过合法程序决 定，不存在控股股东干涉人事任免决定的现象；公司拥有独立的员工队伍，并已建立较为完善的劳动用工 和人事管理制度。公司已依据国家的法律法规与公司全体员工签定了劳动合同并缴纳社会保险费用，公司 拥有独立的劳动用工权利，不存在受控股股东控制的情形。</w:t>
      </w:r>
    </w:p>
    <w:p>
      <w:pPr>
        <w:pStyle w:val="Style33"/>
        <w:keepNext w:val="0"/>
        <w:keepLines w:val="0"/>
        <w:widowControl w:val="0"/>
        <w:shd w:val="clear" w:color="auto" w:fill="auto"/>
        <w:tabs>
          <w:tab w:pos="1111" w:val="left"/>
        </w:tabs>
        <w:bidi w:val="0"/>
        <w:spacing w:before="0" w:after="0" w:line="470" w:lineRule="exact"/>
        <w:ind w:left="0" w:right="0" w:firstLine="440"/>
        <w:jc w:val="both"/>
      </w:pPr>
      <w:bookmarkStart w:id="367" w:name="bookmark367"/>
      <w:r>
        <w:rPr>
          <w:color w:val="000000"/>
          <w:spacing w:val="0"/>
          <w:w w:val="100"/>
          <w:position w:val="0"/>
        </w:rPr>
        <w:t>（</w:t>
      </w:r>
      <w:bookmarkEnd w:id="367"/>
      <w:r>
        <w:rPr>
          <w:color w:val="000000"/>
          <w:spacing w:val="0"/>
          <w:w w:val="100"/>
          <w:position w:val="0"/>
        </w:rPr>
        <w:t>三）</w:t>
        <w:tab/>
        <w:t>资产独立：公司的资产完整，拥有与生产经营范围相适应的各项资质、设备、专利等资产。公 司的各项资产均不存在被抵押、质押的情况，并对其拥有完整的所有权。公司资产独立于公司控股股东， 对所有资产有完全的控制支配权，不存在资产、资金被控股股东占用而损害公司利益的情况，亦不存在为 股东和其他个人提供担保的情形。</w:t>
      </w:r>
    </w:p>
    <w:p>
      <w:pPr>
        <w:pStyle w:val="Style33"/>
        <w:keepNext w:val="0"/>
        <w:keepLines w:val="0"/>
        <w:widowControl w:val="0"/>
        <w:shd w:val="clear" w:color="auto" w:fill="auto"/>
        <w:tabs>
          <w:tab w:pos="1111" w:val="left"/>
        </w:tabs>
        <w:bidi w:val="0"/>
        <w:spacing w:before="0" w:after="160" w:line="470" w:lineRule="exact"/>
        <w:ind w:left="0" w:right="0" w:firstLine="440"/>
        <w:jc w:val="both"/>
        <w:sectPr>
          <w:headerReference w:type="default" r:id="rId151"/>
          <w:footerReference w:type="default" r:id="rId152"/>
          <w:headerReference w:type="even" r:id="rId153"/>
          <w:footerReference w:type="even" r:id="rId154"/>
          <w:footnotePr>
            <w:pos w:val="pageBottom"/>
            <w:numFmt w:val="decimal"/>
            <w:numRestart w:val="continuous"/>
          </w:footnotePr>
          <w:pgSz w:w="11909" w:h="17415"/>
          <w:pgMar w:top="1462" w:right="1005" w:bottom="1370" w:left="1108" w:header="0" w:footer="3" w:gutter="0"/>
          <w:pgNumType w:start="57"/>
          <w:cols w:space="720"/>
          <w:noEndnote/>
          <w:rtlGutter w:val="0"/>
          <w:docGrid w:linePitch="360"/>
        </w:sectPr>
      </w:pPr>
      <w:bookmarkStart w:id="368" w:name="bookmark368"/>
      <w:r>
        <w:rPr>
          <w:color w:val="000000"/>
          <w:spacing w:val="0"/>
          <w:w w:val="100"/>
          <w:position w:val="0"/>
        </w:rPr>
        <w:t>（</w:t>
      </w:r>
      <w:bookmarkEnd w:id="368"/>
      <w:r>
        <w:rPr>
          <w:color w:val="000000"/>
          <w:spacing w:val="0"/>
          <w:w w:val="100"/>
          <w:position w:val="0"/>
        </w:rPr>
        <w:t>四）</w:t>
        <w:tab/>
        <w:t>机构独立：本公司依照《公司法》和《公司章程》的规定，设置了股东大会、董事会、监事会, 制定了议事规则，公司独立行使经营管理职权，独立于公司的控股股东、实际控制人及其控制的其他企业, 不存在机构混同的情形。公司的办公场所独立于股东单位，不存在混合经营、合署办公的情形。</w:t>
      </w:r>
    </w:p>
    <w:p>
      <w:pPr>
        <w:pStyle w:val="Style33"/>
        <w:keepNext w:val="0"/>
        <w:keepLines w:val="0"/>
        <w:widowControl w:val="0"/>
        <w:shd w:val="clear" w:color="auto" w:fill="auto"/>
        <w:bidi w:val="0"/>
        <w:spacing w:before="0" w:after="440" w:line="470" w:lineRule="exact"/>
        <w:ind w:left="0" w:right="0" w:firstLine="440"/>
        <w:jc w:val="both"/>
      </w:pPr>
      <w:bookmarkStart w:id="369" w:name="bookmark369"/>
      <w:r>
        <w:rPr>
          <w:color w:val="000000"/>
          <w:spacing w:val="0"/>
          <w:w w:val="100"/>
          <w:position w:val="0"/>
        </w:rPr>
        <w:t>（</w:t>
      </w:r>
      <w:bookmarkEnd w:id="369"/>
      <w:r>
        <w:rPr>
          <w:color w:val="000000"/>
          <w:spacing w:val="0"/>
          <w:w w:val="100"/>
          <w:position w:val="0"/>
        </w:rPr>
        <w:t>五）财务独立：公司设立了独立的财务部门，配备了专职财务人员，建立了独立的会计核算体系和 财务管理制度。公司在银行独立开户，依法独立纳税，具有独立作出财务决策的能力。</w:t>
      </w:r>
    </w:p>
    <w:p>
      <w:pPr>
        <w:pStyle w:val="Style22"/>
        <w:keepNext/>
        <w:keepLines/>
        <w:widowControl w:val="0"/>
        <w:shd w:val="clear" w:color="auto" w:fill="auto"/>
        <w:bidi w:val="0"/>
        <w:spacing w:before="0" w:after="16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七</w:t>
      </w:r>
      <w:bookmarkEnd w:id="372"/>
      <w:r>
        <w:rPr>
          <w:color w:val="000000"/>
          <w:spacing w:val="0"/>
          <w:w w:val="100"/>
          <w:position w:val="0"/>
        </w:rPr>
        <w:t>、同业竞争情况</w:t>
      </w:r>
      <w:bookmarkEnd w:id="370"/>
      <w:bookmarkEnd w:id="371"/>
      <w:bookmarkEnd w:id="373"/>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公司与控股股东、实际控制人及持股</w:t>
      </w:r>
      <w:r>
        <w:rPr>
          <w:color w:val="000000"/>
          <w:spacing w:val="0"/>
          <w:w w:val="100"/>
          <w:position w:val="0"/>
        </w:rPr>
        <w:t>5%</w:t>
      </w:r>
      <w:r>
        <w:rPr>
          <w:color w:val="000000"/>
          <w:spacing w:val="0"/>
          <w:w w:val="100"/>
          <w:position w:val="0"/>
        </w:rPr>
        <w:t>以上股东之间不存在同业竞争情况。</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公司控股股东及持股</w:t>
      </w:r>
      <w:r>
        <w:rPr>
          <w:color w:val="000000"/>
          <w:spacing w:val="0"/>
          <w:w w:val="100"/>
          <w:position w:val="0"/>
        </w:rPr>
        <w:t>5%</w:t>
      </w:r>
      <w:r>
        <w:rPr>
          <w:color w:val="000000"/>
          <w:spacing w:val="0"/>
          <w:w w:val="100"/>
          <w:position w:val="0"/>
        </w:rPr>
        <w:t>以上的股东于</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日出具了避免同业竞争的承诺，内容如下：</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公司控股股东沈飒、朱烨东承诺：</w:t>
      </w:r>
    </w:p>
    <w:p>
      <w:pPr>
        <w:pStyle w:val="Style33"/>
        <w:keepNext w:val="0"/>
        <w:keepLines w:val="0"/>
        <w:widowControl w:val="0"/>
        <w:shd w:val="clear" w:color="auto" w:fill="auto"/>
        <w:tabs>
          <w:tab w:pos="1012" w:val="left"/>
        </w:tabs>
        <w:bidi w:val="0"/>
        <w:spacing w:before="0" w:after="0" w:line="472" w:lineRule="exact"/>
        <w:ind w:left="0" w:right="0" w:firstLine="440"/>
        <w:jc w:val="both"/>
      </w:pPr>
      <w:bookmarkStart w:id="374" w:name="bookmark374"/>
      <w:r>
        <w:rPr>
          <w:color w:val="000000"/>
          <w:spacing w:val="0"/>
          <w:w w:val="100"/>
          <w:position w:val="0"/>
        </w:rPr>
        <w:t>（</w:t>
      </w:r>
      <w:bookmarkEnd w:id="374"/>
      <w:r>
        <w:rPr>
          <w:color w:val="000000"/>
          <w:spacing w:val="0"/>
          <w:w w:val="100"/>
          <w:position w:val="0"/>
        </w:rPr>
        <w:t>1）</w:t>
        <w:tab/>
      </w:r>
      <w:r>
        <w:rPr>
          <w:color w:val="000000"/>
          <w:spacing w:val="0"/>
          <w:w w:val="100"/>
          <w:position w:val="0"/>
        </w:rPr>
        <w:t>本人目前并没有直接或间接地从事任何与中科金财所从事的业务构成同业竞争的任何业务活动， 今后的任何时间亦不会直接或间接地以任何方式（包括但不限于独资、合资、合作和联营）参与或进行任 何与中科金财所从事的业务有实质性竞争或可能有实质性竞争的业务活动。</w:t>
      </w:r>
    </w:p>
    <w:p>
      <w:pPr>
        <w:pStyle w:val="Style33"/>
        <w:keepNext w:val="0"/>
        <w:keepLines w:val="0"/>
        <w:widowControl w:val="0"/>
        <w:shd w:val="clear" w:color="auto" w:fill="auto"/>
        <w:tabs>
          <w:tab w:pos="1012" w:val="left"/>
        </w:tabs>
        <w:bidi w:val="0"/>
        <w:spacing w:before="0" w:after="0" w:line="472" w:lineRule="exact"/>
        <w:ind w:left="0" w:right="0" w:firstLine="440"/>
        <w:jc w:val="both"/>
      </w:pPr>
      <w:bookmarkStart w:id="375" w:name="bookmark375"/>
      <w:r>
        <w:rPr>
          <w:color w:val="000000"/>
          <w:spacing w:val="0"/>
          <w:w w:val="100"/>
          <w:position w:val="0"/>
        </w:rPr>
        <w:t>（</w:t>
      </w:r>
      <w:bookmarkEnd w:id="375"/>
      <w:r>
        <w:rPr>
          <w:color w:val="000000"/>
          <w:spacing w:val="0"/>
          <w:w w:val="100"/>
          <w:position w:val="0"/>
        </w:rPr>
        <w:t>2）</w:t>
        <w:tab/>
      </w:r>
      <w:r>
        <w:rPr>
          <w:color w:val="000000"/>
          <w:spacing w:val="0"/>
          <w:w w:val="100"/>
          <w:position w:val="0"/>
        </w:rPr>
        <w:t>对于本人将来可能出现的下属全资、控股、参股企业所生产的产品或所从事的业务与中科金财 有竞争或构成竞争的情况，承诺在中科金财提出要求时出让本人在该等企业中的全部出资或股份，并承诺 给予中科金财对该等出资或股份的优先购买权，并将尽最大努力促使有关交易的价格是经公平合理的及与 独立第三者进行正常商业交易的基础上确定的。</w:t>
      </w:r>
    </w:p>
    <w:p>
      <w:pPr>
        <w:pStyle w:val="Style33"/>
        <w:keepNext w:val="0"/>
        <w:keepLines w:val="0"/>
        <w:widowControl w:val="0"/>
        <w:shd w:val="clear" w:color="auto" w:fill="auto"/>
        <w:tabs>
          <w:tab w:pos="1012" w:val="left"/>
        </w:tabs>
        <w:bidi w:val="0"/>
        <w:spacing w:before="0" w:after="0" w:line="472" w:lineRule="exact"/>
        <w:ind w:left="0" w:right="0" w:firstLine="440"/>
        <w:jc w:val="both"/>
      </w:pPr>
      <w:bookmarkStart w:id="376" w:name="bookmark376"/>
      <w:r>
        <w:rPr>
          <w:color w:val="000000"/>
          <w:spacing w:val="0"/>
          <w:w w:val="100"/>
          <w:position w:val="0"/>
        </w:rPr>
        <w:t>（</w:t>
      </w:r>
      <w:bookmarkEnd w:id="376"/>
      <w:r>
        <w:rPr>
          <w:color w:val="000000"/>
          <w:spacing w:val="0"/>
          <w:w w:val="100"/>
          <w:position w:val="0"/>
        </w:rPr>
        <w:t>3）</w:t>
        <w:tab/>
      </w:r>
      <w:r>
        <w:rPr>
          <w:color w:val="000000"/>
          <w:spacing w:val="0"/>
          <w:w w:val="100"/>
          <w:position w:val="0"/>
        </w:rPr>
        <w:t>本人承诺不向业务与中科金财及中科金财的下属企业（含直接或间接控制的企业）所生产的产 品或所从事的业务构成竞争的其他公司、企业或其他机构、组织或个人提供专有技术或提供销售渠道、客 户信息等商业秘密。</w:t>
      </w:r>
    </w:p>
    <w:p>
      <w:pPr>
        <w:pStyle w:val="Style33"/>
        <w:keepNext w:val="0"/>
        <w:keepLines w:val="0"/>
        <w:widowControl w:val="0"/>
        <w:shd w:val="clear" w:color="auto" w:fill="auto"/>
        <w:tabs>
          <w:tab w:pos="1007" w:val="left"/>
        </w:tabs>
        <w:bidi w:val="0"/>
        <w:spacing w:before="0" w:after="0" w:line="472" w:lineRule="exact"/>
        <w:ind w:left="0" w:right="0" w:firstLine="440"/>
        <w:jc w:val="both"/>
      </w:pPr>
      <w:bookmarkStart w:id="377" w:name="bookmark377"/>
      <w:r>
        <w:rPr>
          <w:color w:val="000000"/>
          <w:spacing w:val="0"/>
          <w:w w:val="100"/>
          <w:position w:val="0"/>
        </w:rPr>
        <w:t>（</w:t>
      </w:r>
      <w:bookmarkEnd w:id="377"/>
      <w:r>
        <w:rPr>
          <w:color w:val="000000"/>
          <w:spacing w:val="0"/>
          <w:w w:val="100"/>
          <w:position w:val="0"/>
        </w:rPr>
        <w:t>4）</w:t>
        <w:tab/>
      </w:r>
      <w:r>
        <w:rPr>
          <w:color w:val="000000"/>
          <w:spacing w:val="0"/>
          <w:w w:val="100"/>
          <w:position w:val="0"/>
        </w:rPr>
        <w:t>除非中科金财明示同意，本人将不采用代销、特约经销、指定代理商等形式经营销售其他商家 生产的与中科金财产品有同业竞争关系的产品。</w:t>
      </w:r>
    </w:p>
    <w:p>
      <w:pPr>
        <w:pStyle w:val="Style33"/>
        <w:keepNext w:val="0"/>
        <w:keepLines w:val="0"/>
        <w:widowControl w:val="0"/>
        <w:shd w:val="clear" w:color="auto" w:fill="auto"/>
        <w:tabs>
          <w:tab w:pos="1012" w:val="left"/>
        </w:tabs>
        <w:bidi w:val="0"/>
        <w:spacing w:before="0" w:after="0" w:line="490" w:lineRule="exact"/>
        <w:ind w:left="0" w:right="0" w:firstLine="440"/>
        <w:jc w:val="both"/>
      </w:pPr>
      <w:bookmarkStart w:id="378" w:name="bookmark378"/>
      <w:r>
        <w:rPr>
          <w:color w:val="000000"/>
          <w:spacing w:val="0"/>
          <w:w w:val="100"/>
          <w:position w:val="0"/>
        </w:rPr>
        <w:t>（</w:t>
      </w:r>
      <w:bookmarkEnd w:id="378"/>
      <w:r>
        <w:rPr>
          <w:color w:val="000000"/>
          <w:spacing w:val="0"/>
          <w:w w:val="100"/>
          <w:position w:val="0"/>
        </w:rPr>
        <w:t>5）</w:t>
        <w:tab/>
      </w:r>
      <w:r>
        <w:rPr>
          <w:color w:val="000000"/>
          <w:spacing w:val="0"/>
          <w:w w:val="100"/>
          <w:position w:val="0"/>
        </w:rPr>
        <w:t>如出现因本人或本人控制的其他企业或组织违反上述承诺而导致中科金财的权益受到损害的情 况，本人将依法承担相应的赔偿责任。</w:t>
      </w:r>
    </w:p>
    <w:p>
      <w:pPr>
        <w:pStyle w:val="Style33"/>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公司持股</w:t>
      </w:r>
      <w:r>
        <w:rPr>
          <w:color w:val="000000"/>
          <w:spacing w:val="0"/>
          <w:w w:val="100"/>
          <w:position w:val="0"/>
        </w:rPr>
        <w:t>5%</w:t>
      </w:r>
      <w:r>
        <w:rPr>
          <w:color w:val="000000"/>
          <w:spacing w:val="0"/>
          <w:w w:val="100"/>
          <w:position w:val="0"/>
        </w:rPr>
        <w:t>以上的股东陈绪华、蔡迦承诺：截至本承诺书出具之日，本人未直接或间接投资于任何与 中科金财存在相同或类似业务的公司、企业或其他经营实体，未自己经营或为他人经营与中科金财相同或 类似的业务。</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自本承诺书出具之日起，将不以任何方式（包括但不限于单独经营、通过合资经营或拥有另一公司或 企业的股份及其他权益）在中国境内或境外任何地区直接或间接地从事与中科金财主营业务构成或可能构 成竞争的业务；不以任何方式从事或参与生产任何与中科金财产品、服务相同、相似或可以取代中科金财 产品、服务的业务或活动；如从第三方获得的任何商业机会与中科金财经营的业务有竞争或可能有竞争， 则立即通知中科金财，并尽力将该商业机会让予中科金财。</w:t>
      </w:r>
    </w:p>
    <w:p>
      <w:pPr>
        <w:pStyle w:val="Style33"/>
        <w:keepNext w:val="0"/>
        <w:keepLines w:val="0"/>
        <w:widowControl w:val="0"/>
        <w:shd w:val="clear" w:color="auto" w:fill="auto"/>
        <w:bidi w:val="0"/>
        <w:spacing w:before="0" w:after="160" w:line="473" w:lineRule="exact"/>
        <w:ind w:left="0" w:right="0" w:firstLine="440"/>
        <w:jc w:val="both"/>
      </w:pPr>
      <w:r>
        <w:rPr>
          <w:color w:val="000000"/>
          <w:spacing w:val="0"/>
          <w:w w:val="100"/>
          <w:position w:val="0"/>
        </w:rPr>
        <w:t>如违反本承诺书所述内容，本人将采取积极措施消除同业竞争，并愿意承担由此给中科金财或中科金</w:t>
      </w:r>
    </w:p>
    <w:p>
      <w:pPr>
        <w:pStyle w:val="Style58"/>
        <w:keepNext w:val="0"/>
        <w:keepLines w:val="0"/>
        <w:widowControl w:val="0"/>
        <w:shd w:val="clear" w:color="auto" w:fill="auto"/>
        <w:tabs>
          <w:tab w:pos="3830" w:val="left"/>
        </w:tabs>
        <w:bidi w:val="0"/>
        <w:spacing w:before="0" w:after="160" w:line="240" w:lineRule="auto"/>
        <w:ind w:left="0" w:right="0" w:firstLine="0"/>
        <w:jc w:val="right"/>
        <w:sectPr>
          <w:headerReference w:type="default" r:id="rId155"/>
          <w:footerReference w:type="default" r:id="rId156"/>
          <w:headerReference w:type="even" r:id="rId157"/>
          <w:footerReference w:type="even" r:id="rId158"/>
          <w:footnotePr>
            <w:pos w:val="pageBottom"/>
            <w:numFmt w:val="decimal"/>
            <w:numRestart w:val="continuous"/>
          </w:footnotePr>
          <w:pgSz w:w="11909" w:h="17415"/>
          <w:pgMar w:top="1462" w:right="1005" w:bottom="1370" w:left="1108" w:header="0" w:footer="942" w:gutter="0"/>
          <w:pgNumType w:start="59"/>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58</w:t>
        <w:tab/>
      </w:r>
      <w:r>
        <w:rPr>
          <w:spacing w:val="0"/>
          <w:w w:val="100"/>
          <w:position w:val="0"/>
        </w:rPr>
        <w:t>cninf</w:t>
      </w:r>
    </w:p>
    <w:p>
      <w:pPr>
        <w:pStyle w:val="Style33"/>
        <w:keepNext w:val="0"/>
        <w:keepLines w:val="0"/>
        <w:widowControl w:val="0"/>
        <w:shd w:val="clear" w:color="auto" w:fill="auto"/>
        <w:bidi w:val="0"/>
        <w:spacing w:before="0" w:after="0" w:line="469" w:lineRule="exact"/>
        <w:ind w:left="0" w:right="0" w:firstLine="0"/>
        <w:jc w:val="left"/>
      </w:pPr>
      <w:r>
        <w:rPr>
          <w:color w:val="000000"/>
          <w:spacing w:val="0"/>
          <w:w w:val="100"/>
          <w:position w:val="0"/>
        </w:rPr>
        <w:t>财中除本人以外的其他股东造成的直接或间接经济损失、索赔责任及额外的费用支出。</w:t>
      </w:r>
    </w:p>
    <w:p>
      <w:pPr>
        <w:pStyle w:val="Style33"/>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报告期内，公司股东均严格履行了承诺。</w:t>
      </w:r>
    </w:p>
    <w:p>
      <w:pPr>
        <w:pStyle w:val="Style22"/>
        <w:keepNext/>
        <w:keepLines/>
        <w:widowControl w:val="0"/>
        <w:shd w:val="clear" w:color="auto" w:fill="auto"/>
        <w:bidi w:val="0"/>
        <w:spacing w:before="0" w:after="20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八</w:t>
      </w:r>
      <w:bookmarkEnd w:id="381"/>
      <w:r>
        <w:rPr>
          <w:color w:val="000000"/>
          <w:spacing w:val="0"/>
          <w:w w:val="100"/>
          <w:position w:val="0"/>
        </w:rPr>
        <w:t>、高级管理人员的考评及激励情况</w:t>
      </w:r>
      <w:bookmarkEnd w:id="379"/>
      <w:bookmarkEnd w:id="380"/>
      <w:bookmarkEnd w:id="382"/>
    </w:p>
    <w:p>
      <w:pPr>
        <w:pStyle w:val="Style33"/>
        <w:keepNext w:val="0"/>
        <w:keepLines w:val="0"/>
        <w:widowControl w:val="0"/>
        <w:shd w:val="clear" w:color="auto" w:fill="auto"/>
        <w:bidi w:val="0"/>
        <w:spacing w:before="0" w:after="9760" w:line="469" w:lineRule="exact"/>
        <w:ind w:left="0" w:right="0" w:firstLine="440"/>
        <w:jc w:val="both"/>
      </w:pPr>
      <w:r>
        <w:rPr>
          <w:color w:val="000000"/>
          <w:spacing w:val="0"/>
          <w:w w:val="100"/>
          <w:position w:val="0"/>
        </w:rPr>
        <w:t>公司建立了较为合理的高级管理人员的绩效评价标准和激励约束机制，根据高级管理人员的年度履职 情况、绩效考核结果和公司经营业绩的情况决定其年度薪酬。</w:t>
      </w:r>
      <w:r>
        <w:rPr>
          <w:color w:val="000000"/>
          <w:spacing w:val="0"/>
          <w:w w:val="100"/>
          <w:position w:val="0"/>
        </w:rPr>
        <w:t>2013</w:t>
      </w:r>
      <w:r>
        <w:rPr>
          <w:color w:val="000000"/>
          <w:spacing w:val="0"/>
          <w:w w:val="100"/>
          <w:position w:val="0"/>
        </w:rPr>
        <w:t>年公司高级管理人员能够严格按照《公 司法》、《公司章程》及国家有关法律法规认真履行职责，积极落实公司股东大会和董事会相关决议，认真 履行了工作职责，较好的完成了既定目标。公司各项考评及激励机制执行情况良好，起到了应有的激励和 约束作用。</w:t>
      </w:r>
    </w:p>
    <w:p>
      <w:pPr>
        <w:widowControl w:val="0"/>
        <w:jc w:val="center"/>
        <w:rPr>
          <w:sz w:val="2"/>
          <w:szCs w:val="2"/>
        </w:rPr>
        <w:sectPr>
          <w:headerReference w:type="default" r:id="rId159"/>
          <w:footerReference w:type="default" r:id="rId160"/>
          <w:headerReference w:type="even" r:id="rId161"/>
          <w:footerReference w:type="even" r:id="rId162"/>
          <w:footnotePr>
            <w:pos w:val="pageBottom"/>
            <w:numFmt w:val="decimal"/>
            <w:numRestart w:val="continuous"/>
          </w:footnotePr>
          <w:pgSz w:w="11909" w:h="17415"/>
          <w:pgMar w:top="1613" w:right="1114" w:bottom="288" w:left="1114" w:header="0" w:footer="3" w:gutter="0"/>
          <w:pgNumType w:start="59"/>
          <w:cols w:space="720"/>
          <w:noEndnote/>
          <w:rtlGutter w:val="0"/>
          <w:docGrid w:linePitch="360"/>
        </w:sectPr>
      </w:pPr>
      <w:r>
        <w:drawing>
          <wp:inline>
            <wp:extent cx="1718945" cy="981710"/>
            <wp:docPr id="412" name="Picutre 412"/>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63"/>
                    <a:stretch/>
                  </pic:blipFill>
                  <pic:spPr>
                    <a:xfrm>
                      <a:ext cx="1718945" cy="981710"/>
                    </a:xfrm>
                    <a:prstGeom prst="rect"/>
                  </pic:spPr>
                </pic:pic>
              </a:graphicData>
            </a:graphic>
          </wp:inline>
        </w:drawing>
      </w:r>
    </w:p>
    <w:p>
      <w:pPr>
        <w:pStyle w:val="Style6"/>
        <w:keepNext/>
        <w:keepLines/>
        <w:widowControl w:val="0"/>
        <w:shd w:val="clear" w:color="auto" w:fill="auto"/>
        <w:bidi w:val="0"/>
        <w:spacing w:before="0" w:line="240" w:lineRule="auto"/>
        <w:ind w:left="0" w:right="0" w:firstLine="0"/>
        <w:jc w:val="center"/>
      </w:pPr>
      <w:bookmarkStart w:id="383" w:name="bookmark383"/>
      <w:bookmarkStart w:id="384" w:name="bookmark384"/>
      <w:bookmarkStart w:id="385" w:name="bookmark385"/>
      <w:r>
        <w:rPr>
          <w:color w:val="000000"/>
          <w:spacing w:val="0"/>
          <w:w w:val="100"/>
          <w:position w:val="0"/>
        </w:rPr>
        <w:t>第九节内部控制</w:t>
      </w:r>
      <w:bookmarkEnd w:id="383"/>
      <w:bookmarkEnd w:id="384"/>
      <w:bookmarkEnd w:id="385"/>
    </w:p>
    <w:p>
      <w:pPr>
        <w:pStyle w:val="Style22"/>
        <w:keepNext/>
        <w:keepLines/>
        <w:widowControl w:val="0"/>
        <w:shd w:val="clear" w:color="auto" w:fill="auto"/>
        <w:tabs>
          <w:tab w:pos="491" w:val="left"/>
        </w:tabs>
        <w:bidi w:val="0"/>
        <w:spacing w:before="0" w:after="18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一</w:t>
      </w:r>
      <w:bookmarkEnd w:id="388"/>
      <w:r>
        <w:rPr>
          <w:color w:val="000000"/>
          <w:spacing w:val="0"/>
          <w:w w:val="100"/>
          <w:position w:val="0"/>
        </w:rPr>
        <w:t>、</w:t>
        <w:tab/>
        <w:t>内部控制建设情况</w:t>
      </w:r>
      <w:bookmarkEnd w:id="386"/>
      <w:bookmarkEnd w:id="387"/>
      <w:bookmarkEnd w:id="389"/>
    </w:p>
    <w:p>
      <w:pPr>
        <w:pStyle w:val="Style33"/>
        <w:keepNext w:val="0"/>
        <w:keepLines w:val="0"/>
        <w:widowControl w:val="0"/>
        <w:shd w:val="clear" w:color="auto" w:fill="auto"/>
        <w:bidi w:val="0"/>
        <w:spacing w:before="0" w:after="440" w:line="469" w:lineRule="exact"/>
        <w:ind w:left="0" w:right="0" w:firstLine="460"/>
        <w:jc w:val="both"/>
      </w:pPr>
      <w:r>
        <w:rPr>
          <w:color w:val="000000"/>
          <w:spacing w:val="0"/>
          <w:w w:val="100"/>
          <w:position w:val="0"/>
        </w:rPr>
        <w:t>为规范经营管理，控制风险，保证经营业务活动的正常开展，公司根据《公司法》、《证券法》、《上市 公司内部控制指引》、《深圳证券交易所中小板上市公司规范运作指引》及其他法律法规的有关规定，结合 公司实际情况和经营特点，围绕公司治理、经营决策、会计及财务管理、信息披露等方面，形成了以《公 司章程》为基础，规范三会运作为重点，以信息披露、内控机制、投资决策、股权管理、投资者关系管理 等方面为主要内容的合规有效的制度体系。公司的内部控制体系，涵盖了公司财务管理、战略管理、投资 管理、人力资源管理、信息化管理、采购管理等方面，并建立相应授权、检查和问责制度，对其运行情况 进行持续检查和监督，及时进行修订完善。内部控制体系确保股东大会、董事会、监事会及其他各专门委 员会、经理层的规范运作，有效防范经营决策及管理风险。公司内部控制建设符合有关法规和监管理部门 的要求，符合当前公司经营管理需要。报告期内，公司不断完善公司法人治理结构，修订补充内部控制制 度，公司内部控制制度得到有效的执行，内部控制总体情况良好，未发现内部控制重大缺陷的情形。</w:t>
      </w:r>
    </w:p>
    <w:p>
      <w:pPr>
        <w:pStyle w:val="Style22"/>
        <w:keepNext/>
        <w:keepLines/>
        <w:widowControl w:val="0"/>
        <w:shd w:val="clear" w:color="auto" w:fill="auto"/>
        <w:tabs>
          <w:tab w:pos="491" w:val="left"/>
        </w:tabs>
        <w:bidi w:val="0"/>
        <w:spacing w:before="0" w:after="18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w:t>
        <w:tab/>
        <w:t>董事会关于内部控制责任的声明</w:t>
      </w:r>
      <w:bookmarkEnd w:id="390"/>
      <w:bookmarkEnd w:id="391"/>
      <w:bookmarkEnd w:id="393"/>
    </w:p>
    <w:p>
      <w:pPr>
        <w:pStyle w:val="Style33"/>
        <w:keepNext w:val="0"/>
        <w:keepLines w:val="0"/>
        <w:widowControl w:val="0"/>
        <w:shd w:val="clear" w:color="auto" w:fill="auto"/>
        <w:bidi w:val="0"/>
        <w:spacing w:before="0" w:after="440" w:line="468" w:lineRule="exact"/>
        <w:ind w:left="0" w:right="0" w:firstLine="46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企业内部控制的日常运行。公司董事会、监事会及董事、监事、高级管理人员保证本报告内容不存在任何 虚假记载、误导性陈述或重大遗漏，并对报告内容的真实性、准确性和完整性承担个别及连带法律责任。 公司内部控制的目标是合理保证经营管理合法合规、资产安全、财务报告及相关信息真实完整，提高经营 效率和效果，促进实现发展战略。由于内部控制存在的固有局限性，故仅能为实现上述目标提供合理保证。 此外，由于情况的变化可能导致内部控制变得不恰当，或对控制政策和程序遵循的程度降低，根据内部控 制评价结果推测未来内部控制的有效性具有一定的风险。</w:t>
      </w:r>
    </w:p>
    <w:p>
      <w:pPr>
        <w:pStyle w:val="Style22"/>
        <w:keepNext/>
        <w:keepLines/>
        <w:widowControl w:val="0"/>
        <w:shd w:val="clear" w:color="auto" w:fill="auto"/>
        <w:tabs>
          <w:tab w:pos="491" w:val="left"/>
        </w:tabs>
        <w:bidi w:val="0"/>
        <w:spacing w:before="0" w:after="18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三</w:t>
      </w:r>
      <w:bookmarkEnd w:id="396"/>
      <w:r>
        <w:rPr>
          <w:color w:val="000000"/>
          <w:spacing w:val="0"/>
          <w:w w:val="100"/>
          <w:position w:val="0"/>
        </w:rPr>
        <w:t>、</w:t>
        <w:tab/>
        <w:t>建立财务报告内部控制的依据</w:t>
      </w:r>
      <w:bookmarkEnd w:id="394"/>
      <w:bookmarkEnd w:id="395"/>
      <w:bookmarkEnd w:id="397"/>
    </w:p>
    <w:p>
      <w:pPr>
        <w:pStyle w:val="Style33"/>
        <w:keepNext w:val="0"/>
        <w:keepLines w:val="0"/>
        <w:widowControl w:val="0"/>
        <w:shd w:val="clear" w:color="auto" w:fill="auto"/>
        <w:bidi w:val="0"/>
        <w:spacing w:before="0" w:after="320" w:line="473" w:lineRule="exact"/>
        <w:ind w:left="0" w:right="0" w:firstLine="460"/>
        <w:jc w:val="left"/>
        <w:sectPr>
          <w:footnotePr>
            <w:pos w:val="pageBottom"/>
            <w:numFmt w:val="decimal"/>
            <w:numRestart w:val="continuous"/>
          </w:footnotePr>
          <w:pgSz w:w="11909" w:h="17415"/>
          <w:pgMar w:top="2218" w:right="1008" w:bottom="2132" w:left="1109" w:header="0" w:footer="3" w:gutter="0"/>
          <w:cols w:space="720"/>
          <w:noEndnote/>
          <w:rtlGutter w:val="0"/>
          <w:docGrid w:linePitch="360"/>
        </w:sectPr>
      </w:pPr>
      <w:r>
        <w:rPr>
          <w:color w:val="000000"/>
          <w:spacing w:val="0"/>
          <w:w w:val="100"/>
          <w:position w:val="0"/>
        </w:rPr>
        <w:t>公司依据《企业内部控制基本规范》（财会〔</w:t>
      </w:r>
      <w:r>
        <w:rPr>
          <w:color w:val="000000"/>
          <w:spacing w:val="0"/>
          <w:w w:val="100"/>
          <w:position w:val="0"/>
        </w:rPr>
        <w:t>2008） 7</w:t>
      </w:r>
      <w:r>
        <w:rPr>
          <w:color w:val="000000"/>
          <w:spacing w:val="0"/>
          <w:w w:val="100"/>
          <w:position w:val="0"/>
        </w:rPr>
        <w:t>号）、《企业内部控制配套指引》（财会 号）、《中小企业板上市公司规范运作指引》、《会计法》、《企业会计准则》、《企业财务通则》等相关法律、 法规以及公司章程的规定，结合公司实际情况制定了《北京中科金财科技股份有限公司财务管理制度》，</w:t>
      </w:r>
    </w:p>
    <w:p>
      <w:pPr>
        <w:pStyle w:val="Style33"/>
        <w:keepNext w:val="0"/>
        <w:keepLines w:val="0"/>
        <w:widowControl w:val="0"/>
        <w:shd w:val="clear" w:color="auto" w:fill="auto"/>
        <w:bidi w:val="0"/>
        <w:spacing w:before="0" w:after="440" w:line="473" w:lineRule="exact"/>
        <w:ind w:left="0" w:right="0" w:firstLine="0"/>
        <w:jc w:val="both"/>
      </w:pPr>
      <w:r>
        <w:rPr>
          <w:color w:val="000000"/>
          <w:spacing w:val="0"/>
          <w:w w:val="100"/>
          <w:position w:val="0"/>
        </w:rPr>
        <w:t>对公司财务机构设置、财务核算规范、资金资产管理、收入费用核算、财务报告披露等方面做出了严格的 规定，对公司加强财务管理和内部控制，规范公司财务行为，维护股东、债权人及公司的合法权益起了重 要作用。</w:t>
      </w:r>
    </w:p>
    <w:p>
      <w:pPr>
        <w:pStyle w:val="Style22"/>
        <w:keepNext/>
        <w:keepLines/>
        <w:widowControl w:val="0"/>
        <w:shd w:val="clear" w:color="auto" w:fill="auto"/>
        <w:bidi w:val="0"/>
        <w:spacing w:before="0" w:after="32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四</w:t>
      </w:r>
      <w:bookmarkEnd w:id="400"/>
      <w:r>
        <w:rPr>
          <w:color w:val="000000"/>
          <w:spacing w:val="0"/>
          <w:w w:val="100"/>
          <w:position w:val="0"/>
        </w:rPr>
        <w:t>、内部控制自我评价报告</w:t>
      </w:r>
      <w:bookmarkEnd w:id="398"/>
      <w:bookmarkEnd w:id="399"/>
      <w:bookmarkEnd w:id="401"/>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19" w:line="1" w:lineRule="exact"/>
      </w:pPr>
    </w:p>
    <w:p>
      <w:pPr>
        <w:pStyle w:val="Style22"/>
        <w:keepNext/>
        <w:keepLines/>
        <w:widowControl w:val="0"/>
        <w:shd w:val="clear" w:color="auto" w:fill="auto"/>
        <w:tabs>
          <w:tab w:pos="497" w:val="left"/>
        </w:tabs>
        <w:bidi w:val="0"/>
        <w:spacing w:before="0" w:after="38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rPr>
        <w:t>五</w:t>
      </w:r>
      <w:bookmarkEnd w:id="404"/>
      <w:r>
        <w:rPr>
          <w:color w:val="000000"/>
          <w:spacing w:val="0"/>
          <w:w w:val="100"/>
          <w:position w:val="0"/>
        </w:rPr>
        <w:t>、</w:t>
        <w:tab/>
        <w:t>内部控制审计报告</w:t>
      </w:r>
      <w:bookmarkEnd w:id="402"/>
      <w:bookmarkEnd w:id="403"/>
      <w:bookmarkEnd w:id="405"/>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97" w:val="left"/>
        </w:tabs>
        <w:bidi w:val="0"/>
        <w:spacing w:before="0" w:after="20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六</w:t>
      </w:r>
      <w:bookmarkEnd w:id="408"/>
      <w:r>
        <w:rPr>
          <w:color w:val="000000"/>
          <w:spacing w:val="0"/>
          <w:w w:val="100"/>
          <w:position w:val="0"/>
        </w:rPr>
        <w:t>、</w:t>
        <w:tab/>
        <w:t>年度报告重大差错责任追究制度的建立与执行情况</w:t>
      </w:r>
      <w:bookmarkEnd w:id="406"/>
      <w:bookmarkEnd w:id="407"/>
      <w:bookmarkEnd w:id="409"/>
    </w:p>
    <w:p>
      <w:pPr>
        <w:pStyle w:val="Style33"/>
        <w:keepNext w:val="0"/>
        <w:keepLines w:val="0"/>
        <w:widowControl w:val="0"/>
        <w:shd w:val="clear" w:color="auto" w:fill="auto"/>
        <w:bidi w:val="0"/>
        <w:spacing w:before="0" w:after="3060" w:line="468" w:lineRule="exact"/>
        <w:ind w:left="0" w:right="0" w:firstLine="440"/>
        <w:jc w:val="both"/>
      </w:pPr>
      <w:r>
        <w:rPr>
          <w:color w:val="000000"/>
          <w:spacing w:val="0"/>
          <w:w w:val="100"/>
          <w:position w:val="0"/>
        </w:rPr>
        <w:t>公司为进一步提高公司规范运作水平，加大年报信息披露责任人的问责力度，提高年报信息披露的质 量和透明度，增强年报信息披露的真实性、准确性、完整性和及时性，根据《中华人民共和国公司法》、《中 华人民共和国证券法》、《中华人民共和国会计法》、中国证券监督管理委员会发布的《上市公司信息披露 管理办法》、《深圳证券交易所股票上市规则》、《深圳证券交易所中小企业板上市公司规范运作指引》等有 关法律、法规、规章、规范性文件和《北京中科金财科技股份有限公司章程》、《北京中科金财科技股份有 限公司信息披露管理制度》的有关规定，并结合本公司的实际情况，制定并发布了《年报信息披露重大差 错责任追究制度》。制度中对财务报告重大会计差错的认定及处理程序、其他年报信息披露重大差错的认 定及处理程序、年报信息披露重大差错的责任追究等进行了规定。公司严格按照上述制度执行，制度及流 程运行状况良好，本年度未发生年报披露信息重大差错。</w:t>
      </w:r>
    </w:p>
    <w:p>
      <w:pPr>
        <w:widowControl w:val="0"/>
        <w:jc w:val="center"/>
        <w:rPr>
          <w:sz w:val="2"/>
          <w:szCs w:val="2"/>
        </w:rPr>
        <w:sectPr>
          <w:footnotePr>
            <w:pos w:val="pageBottom"/>
            <w:numFmt w:val="decimal"/>
            <w:numRestart w:val="continuous"/>
          </w:footnotePr>
          <w:pgSz w:w="11909" w:h="17415"/>
          <w:pgMar w:top="1603" w:right="1114" w:bottom="288" w:left="1109" w:header="0" w:footer="3" w:gutter="0"/>
          <w:cols w:space="720"/>
          <w:noEndnote/>
          <w:rtlGutter w:val="0"/>
          <w:docGrid w:linePitch="360"/>
        </w:sectPr>
      </w:pPr>
      <w:r>
        <w:drawing>
          <wp:inline>
            <wp:extent cx="1718945" cy="981710"/>
            <wp:docPr id="413" name="Picutre 413"/>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65"/>
                    <a:stretch/>
                  </pic:blipFill>
                  <pic:spPr>
                    <a:xfrm>
                      <a:ext cx="1718945" cy="981710"/>
                    </a:xfrm>
                    <a:prstGeom prst="rect"/>
                  </pic:spPr>
                </pic:pic>
              </a:graphicData>
            </a:graphic>
          </wp:inline>
        </w:drawing>
      </w:r>
    </w:p>
    <w:p>
      <w:pPr>
        <w:pStyle w:val="Style6"/>
        <w:keepNext/>
        <w:keepLines/>
        <w:widowControl w:val="0"/>
        <w:shd w:val="clear" w:color="auto" w:fill="auto"/>
        <w:bidi w:val="0"/>
        <w:spacing w:before="480" w:after="540" w:line="240" w:lineRule="auto"/>
        <w:ind w:left="0" w:right="0" w:firstLine="0"/>
        <w:jc w:val="center"/>
      </w:pPr>
      <w:bookmarkStart w:id="410" w:name="bookmark410"/>
      <w:bookmarkStart w:id="411" w:name="bookmark411"/>
      <w:bookmarkStart w:id="412" w:name="bookmark412"/>
      <w:r>
        <w:rPr>
          <w:color w:val="000000"/>
          <w:spacing w:val="0"/>
          <w:w w:val="100"/>
          <w:position w:val="0"/>
        </w:rPr>
        <w:t>第十节财务报告</w:t>
      </w:r>
      <w:bookmarkEnd w:id="410"/>
      <w:bookmarkEnd w:id="411"/>
      <w:bookmarkEnd w:id="412"/>
    </w:p>
    <w:p>
      <w:pPr>
        <w:pStyle w:val="Style22"/>
        <w:keepNext/>
        <w:keepLines/>
        <w:widowControl w:val="0"/>
        <w:shd w:val="clear" w:color="auto" w:fill="auto"/>
        <w:bidi w:val="0"/>
        <w:spacing w:before="0" w:after="300" w:line="240" w:lineRule="auto"/>
        <w:ind w:left="0" w:right="0" w:firstLine="240"/>
        <w:jc w:val="both"/>
      </w:pPr>
      <w:bookmarkStart w:id="413" w:name="bookmark413"/>
      <w:bookmarkStart w:id="414" w:name="bookmark414"/>
      <w:bookmarkStart w:id="415" w:name="bookmark415"/>
      <w:r>
        <w:rPr>
          <w:color w:val="000000"/>
          <w:spacing w:val="0"/>
          <w:w w:val="100"/>
          <w:position w:val="0"/>
        </w:rPr>
        <w:t>、审计报告</w:t>
      </w:r>
      <w:bookmarkEnd w:id="413"/>
      <w:bookmarkEnd w:id="414"/>
      <w:bookmarkEnd w:id="4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210290</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王云成、汪沛</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33"/>
        <w:keepNext w:val="0"/>
        <w:keepLines w:val="0"/>
        <w:widowControl w:val="0"/>
        <w:shd w:val="clear" w:color="auto" w:fill="auto"/>
        <w:bidi w:val="0"/>
        <w:spacing w:before="0" w:after="0" w:line="468" w:lineRule="exact"/>
        <w:ind w:left="0" w:right="0" w:firstLine="0"/>
        <w:jc w:val="both"/>
      </w:pPr>
      <w:r>
        <w:rPr>
          <w:color w:val="000000"/>
          <w:spacing w:val="0"/>
          <w:w w:val="100"/>
          <w:position w:val="0"/>
        </w:rPr>
        <w:t>北京中科金财科技股份有限公司全体股东：</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我们审计了后附的北京中科金财科技股份有限公司（以下简称“贵公司”</w:t>
      </w:r>
      <w:r>
        <w:rPr>
          <w:color w:val="000000"/>
          <w:spacing w:val="0"/>
          <w:w w:val="100"/>
          <w:position w:val="0"/>
        </w:rPr>
        <w:t>）</w:t>
      </w:r>
      <w:r>
        <w:rPr>
          <w:color w:val="000000"/>
          <w:spacing w:val="0"/>
          <w:w w:val="100"/>
          <w:position w:val="0"/>
        </w:rPr>
        <w:t>财务报表，包括</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日的资产负债表和合并资产负债表、</w:t>
      </w:r>
      <w:r>
        <w:rPr>
          <w:color w:val="000000"/>
          <w:spacing w:val="0"/>
          <w:w w:val="100"/>
          <w:position w:val="0"/>
        </w:rPr>
        <w:t>2013</w:t>
      </w:r>
      <w:r>
        <w:rPr>
          <w:color w:val="000000"/>
          <w:spacing w:val="0"/>
          <w:w w:val="100"/>
          <w:position w:val="0"/>
        </w:rPr>
        <w:t>年度的利润表和合并利润表、</w:t>
      </w:r>
      <w:r>
        <w:rPr>
          <w:color w:val="000000"/>
          <w:spacing w:val="0"/>
          <w:w w:val="100"/>
          <w:position w:val="0"/>
        </w:rPr>
        <w:t>2013</w:t>
      </w:r>
      <w:r>
        <w:rPr>
          <w:color w:val="000000"/>
          <w:spacing w:val="0"/>
          <w:w w:val="100"/>
          <w:position w:val="0"/>
        </w:rPr>
        <w:t>年度的现金流量表和合并 现金流量表、</w:t>
      </w:r>
      <w:r>
        <w:rPr>
          <w:color w:val="000000"/>
          <w:spacing w:val="0"/>
          <w:w w:val="100"/>
          <w:position w:val="0"/>
        </w:rPr>
        <w:t>2013</w:t>
      </w:r>
      <w:r>
        <w:rPr>
          <w:color w:val="000000"/>
          <w:spacing w:val="0"/>
          <w:w w:val="100"/>
          <w:position w:val="0"/>
        </w:rPr>
        <w:t>年度的所有者权益变动表和合并所有者权益变动表以及财务报表附注。</w:t>
      </w:r>
    </w:p>
    <w:p>
      <w:pPr>
        <w:pStyle w:val="Style33"/>
        <w:keepNext w:val="0"/>
        <w:keepLines w:val="0"/>
        <w:widowControl w:val="0"/>
        <w:shd w:val="clear" w:color="auto" w:fill="auto"/>
        <w:bidi w:val="0"/>
        <w:spacing w:before="0" w:after="0" w:line="468" w:lineRule="exact"/>
        <w:ind w:left="0" w:right="0" w:firstLine="440"/>
        <w:jc w:val="both"/>
      </w:pPr>
      <w:bookmarkStart w:id="416" w:name="bookmark416"/>
      <w:r>
        <w:rPr>
          <w:color w:val="000000"/>
          <w:spacing w:val="0"/>
          <w:w w:val="100"/>
          <w:position w:val="0"/>
        </w:rPr>
        <w:t>一</w:t>
      </w:r>
      <w:bookmarkEnd w:id="416"/>
      <w:r>
        <w:rPr>
          <w:color w:val="000000"/>
          <w:spacing w:val="0"/>
          <w:w w:val="100"/>
          <w:position w:val="0"/>
        </w:rPr>
        <w:t>、管理层对财务报表的责任</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按照企业会计准则的规定编 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3"/>
        <w:keepNext w:val="0"/>
        <w:keepLines w:val="0"/>
        <w:widowControl w:val="0"/>
        <w:shd w:val="clear" w:color="auto" w:fill="auto"/>
        <w:bidi w:val="0"/>
        <w:spacing w:before="0" w:after="0" w:line="468" w:lineRule="exact"/>
        <w:ind w:left="0" w:right="0" w:firstLine="540"/>
        <w:jc w:val="both"/>
      </w:pPr>
      <w:bookmarkStart w:id="417" w:name="bookmark417"/>
      <w:r>
        <w:rPr>
          <w:color w:val="000000"/>
          <w:spacing w:val="0"/>
          <w:w w:val="100"/>
          <w:position w:val="0"/>
        </w:rPr>
        <w:t>二</w:t>
      </w:r>
      <w:bookmarkEnd w:id="417"/>
      <w:r>
        <w:rPr>
          <w:color w:val="000000"/>
          <w:spacing w:val="0"/>
          <w:w w:val="100"/>
          <w:position w:val="0"/>
        </w:rPr>
        <w:t>、注册会计师的责任</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bidi w:val="0"/>
        <w:spacing w:before="0" w:after="0" w:line="468" w:lineRule="exact"/>
        <w:ind w:left="0" w:right="0" w:firstLine="440"/>
        <w:jc w:val="both"/>
      </w:pPr>
      <w:bookmarkStart w:id="418" w:name="bookmark418"/>
      <w:r>
        <w:rPr>
          <w:color w:val="000000"/>
          <w:spacing w:val="0"/>
          <w:w w:val="100"/>
          <w:position w:val="0"/>
        </w:rPr>
        <w:t>三</w:t>
      </w:r>
      <w:bookmarkEnd w:id="418"/>
      <w:r>
        <w:rPr>
          <w:color w:val="000000"/>
          <w:spacing w:val="0"/>
          <w:w w:val="100"/>
          <w:position w:val="0"/>
        </w:rPr>
        <w:t>、审计意见</w:t>
      </w:r>
    </w:p>
    <w:p>
      <w:pPr>
        <w:pStyle w:val="Style33"/>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rPr>
        <w:t>2013</w:t>
      </w:r>
      <w:r>
        <w:rPr>
          <w:color w:val="000000"/>
          <w:spacing w:val="0"/>
          <w:w w:val="100"/>
          <w:position w:val="0"/>
        </w:rPr>
        <w:t>年</w:t>
      </w:r>
      <w:r>
        <w:br w:type="page"/>
      </w:r>
    </w:p>
    <w:p>
      <w:pPr>
        <w:pStyle w:val="Style33"/>
        <w:keepNext w:val="0"/>
        <w:keepLines w:val="0"/>
        <w:widowControl w:val="0"/>
        <w:shd w:val="clear" w:color="auto" w:fill="auto"/>
        <w:bidi w:val="0"/>
        <w:spacing w:before="0" w:after="460" w:line="240" w:lineRule="auto"/>
        <w:ind w:left="0" w:right="0" w:firstLine="0"/>
        <w:jc w:val="left"/>
      </w:pP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2013</w:t>
      </w:r>
      <w:r>
        <w:rPr>
          <w:color w:val="000000"/>
          <w:spacing w:val="0"/>
          <w:w w:val="100"/>
          <w:position w:val="0"/>
        </w:rPr>
        <w:t>年度的经营成果和现金流量。</w:t>
      </w:r>
    </w:p>
    <w:p>
      <w:pPr>
        <w:pStyle w:val="Style22"/>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r>
        <w:rPr>
          <w:color w:val="000000"/>
          <w:spacing w:val="0"/>
          <w:w w:val="100"/>
          <w:position w:val="0"/>
        </w:rPr>
        <w:t>二、财务报表</w:t>
      </w:r>
      <w:bookmarkEnd w:id="419"/>
      <w:bookmarkEnd w:id="420"/>
      <w:bookmarkEnd w:id="42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、合并资产负债表</w:t>
      </w:r>
      <w:bookmarkEnd w:id="422"/>
      <w:bookmarkEnd w:id="423"/>
      <w:bookmarkEnd w:id="42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540,241,217.39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409,779,804.29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15,921,161.85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35,943,554.02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43,543,176.04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53,017,869.51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32,923,116.44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29,740,746.31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29,818,175.62</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370,897,977.16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304,557,960.67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1,140,362,526.24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820,722,233.06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11909" w:h="17415"/>
          <w:pgMar w:top="1728" w:right="1133" w:bottom="1911" w:left="1090"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81,557,425.24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98,250,666.97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77,335,362.55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50,735,061.39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59,128,183.32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38,357,921.28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2,033,354.29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3,912,140.92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7,949,404.33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6,595,612.69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228,003,729.73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197,851,403.25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1,368,366,255.97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1,018,573,636.31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118,739,665.00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8,723,200.00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108,136,451.16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97,372,669.13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198,871,173.10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132,527,544.46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7,307,832.83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8,384,293.49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-39,944,283.75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-21,760,903.64</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54,368,512.69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7,882,562.81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379,522,886.03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343,145,831.25</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40,932,033.33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16,550,200.00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278,892,033.33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16,550,200.00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658,414,919.36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359,696,031.25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104,696,301.00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69,797,534.00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324,857,209.72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359,755,976.72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29,910,824.83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22,582,871.20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244,709,200.13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206,485,176.26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704,174,127.30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658,621,558.18</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5,777,209.31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256,046.88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709,951,336.61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658,877,605.06</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1,368,366,255.97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1,018,573,636.31</w:t>
            </w:r>
          </w:p>
        </w:tc>
      </w:tr>
    </w:tbl>
    <w:p>
      <w:pPr>
        <w:widowControl w:val="0"/>
        <w:spacing w:line="1" w:lineRule="exact"/>
        <w:sectPr>
          <w:headerReference w:type="default" r:id="rId173"/>
          <w:footerReference w:type="default" r:id="rId174"/>
          <w:headerReference w:type="even" r:id="rId175"/>
          <w:footerReference w:type="even" r:id="rId176"/>
          <w:footnotePr>
            <w:pos w:val="pageBottom"/>
            <w:numFmt w:val="decimal"/>
            <w:numRestart w:val="continuous"/>
          </w:footnotePr>
          <w:pgSz w:w="11909" w:h="17415"/>
          <w:pgMar w:top="1728" w:right="1133" w:bottom="1911" w:left="1090" w:header="0" w:footer="3" w:gutter="0"/>
          <w:cols w:space="720"/>
          <w:noEndnote/>
          <w:rtlGutter w:val="0"/>
          <w:docGrid w:linePitch="360"/>
        </w:sectPr>
      </w:pPr>
      <w:r>
        <mc:AlternateContent>
          <mc:Choice Requires="wps">
            <w:drawing>
              <wp:anchor distT="152400" distB="0" distL="114300" distR="5149215" simplePos="0" relativeHeight="125829390" behindDoc="0" locked="0" layoutInCell="1" allowOverlap="1">
                <wp:simplePos x="0" y="0"/>
                <wp:positionH relativeFrom="page">
                  <wp:posOffset>694690</wp:posOffset>
                </wp:positionH>
                <wp:positionV relativeFrom="margin">
                  <wp:posOffset>7315200</wp:posOffset>
                </wp:positionV>
                <wp:extent cx="1054735" cy="149225"/>
                <wp:wrapTopAndBottom/>
                <wp:docPr id="447" name="Shape 4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wps:txbx>
                      <wps:bodyPr wrap="none" lIns="0" tIns="0" rIns="0" bIns="0">
                        <a:noAutoFit/>
                      </wps:bodyPr>
                    </wps:wsp>
                  </a:graphicData>
                </a:graphic>
              </wp:anchor>
            </w:drawing>
          </mc:Choice>
          <mc:Fallback>
            <w:pict>
              <v:shape id="_x0000_s1473" type="#_x0000_t202" style="position:absolute;margin-left:54.700000000000003pt;margin-top:576.pt;width:83.049999999999997pt;height:11.75pt;z-index:-125829363;mso-wrap-distance-left:9.pt;mso-wrap-distance-top:12.pt;mso-wrap-distance-right:405.4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v:textbox>
                <w10:wrap type="topAndBottom" anchorx="page" anchory="margin"/>
              </v:shape>
            </w:pict>
          </mc:Fallback>
        </mc:AlternateContent>
      </w:r>
      <w:r>
        <mc:AlternateContent>
          <mc:Choice Requires="wps">
            <w:drawing>
              <wp:anchor distT="152400" distB="0" distL="2293620" distR="2519045" simplePos="0" relativeHeight="125829392" behindDoc="0" locked="0" layoutInCell="1" allowOverlap="1">
                <wp:simplePos x="0" y="0"/>
                <wp:positionH relativeFrom="page">
                  <wp:posOffset>2874010</wp:posOffset>
                </wp:positionH>
                <wp:positionV relativeFrom="margin">
                  <wp:posOffset>7315200</wp:posOffset>
                </wp:positionV>
                <wp:extent cx="1505585" cy="149225"/>
                <wp:wrapTopAndBottom/>
                <wp:docPr id="449" name="Shape 44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475" type="#_x0000_t202" style="position:absolute;margin-left:226.30000000000001pt;margin-top:576.pt;width:118.55pt;height:11.75pt;z-index:-125829361;mso-wrap-distance-left:180.59999999999999pt;mso-wrap-distance-top:12.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52400" distB="0" distL="4918075" distR="113665" simplePos="0" relativeHeight="125829394" behindDoc="0" locked="0" layoutInCell="1" allowOverlap="1">
                <wp:simplePos x="0" y="0"/>
                <wp:positionH relativeFrom="page">
                  <wp:posOffset>5498465</wp:posOffset>
                </wp:positionH>
                <wp:positionV relativeFrom="margin">
                  <wp:posOffset>7315200</wp:posOffset>
                </wp:positionV>
                <wp:extent cx="1286510" cy="149225"/>
                <wp:wrapTopAndBottom/>
                <wp:docPr id="451" name="Shape 45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wps:txbx>
                      <wps:bodyPr wrap="none" lIns="0" tIns="0" rIns="0" bIns="0">
                        <a:noAutoFit/>
                      </wps:bodyPr>
                    </wps:wsp>
                  </a:graphicData>
                </a:graphic>
              </wp:anchor>
            </w:drawing>
          </mc:Choice>
          <mc:Fallback>
            <w:pict>
              <v:shape id="_x0000_s1477" type="#_x0000_t202" style="position:absolute;margin-left:432.94999999999999pt;margin-top:576.pt;width:101.3pt;height:11.75pt;z-index:-125829359;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v:textbox>
                <w10:wrap type="topAndBottom" anchorx="page" anchory="margin"/>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9" w:h="17415"/>
          <w:pgMar w:top="1728" w:right="0" w:bottom="2007" w:left="0" w:header="0" w:footer="3" w:gutter="0"/>
          <w:cols w:space="720"/>
          <w:noEndnote/>
          <w:rtlGutter w:val="0"/>
          <w:docGrid w:linePitch="360"/>
        </w:sectPr>
      </w:pPr>
    </w:p>
    <w:p>
      <w:pPr>
        <w:pStyle w:val="Style36"/>
        <w:keepNext/>
        <w:keepLines/>
        <w:widowControl w:val="0"/>
        <w:shd w:val="clear" w:color="auto" w:fill="auto"/>
        <w:bidi w:val="0"/>
        <w:spacing w:before="0" w:after="40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、母公司资产负债表</w:t>
      </w:r>
      <w:bookmarkEnd w:id="426"/>
      <w:bookmarkEnd w:id="427"/>
      <w:bookmarkEnd w:id="42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widowControl w:val="0"/>
        <w:spacing w:after="1961" w:line="1" w:lineRule="exact"/>
      </w:pPr>
      <w:r>
        <mc:AlternateContent>
          <mc:Choice Requires="wps">
            <w:drawing>
              <wp:anchor distT="0" distB="0" distL="0" distR="0" simplePos="0" relativeHeight="62915037" behindDoc="1" locked="0" layoutInCell="1" allowOverlap="1">
                <wp:simplePos x="0" y="0"/>
                <wp:positionH relativeFrom="page">
                  <wp:posOffset>1524000</wp:posOffset>
                </wp:positionH>
                <wp:positionV relativeFrom="paragraph">
                  <wp:posOffset>41275</wp:posOffset>
                </wp:positionV>
                <wp:extent cx="252730" cy="146050"/>
                <wp:wrapNone/>
                <wp:docPr id="453" name="Shape 45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479" type="#_x0000_t202" style="position:absolute;margin-left:120.pt;margin-top:3.25pt;width:19.900000000000002pt;height:11.5pt;z-index:-188743716;mso-wrap-distance-left:0;mso-wrap-distance-right:0;mso-position-horizontal-relative:page" wrapcoords="0 0"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anchorx="page"/>
              </v:shape>
            </w:pict>
          </mc:Fallback>
        </mc:AlternateContent>
      </w:r>
      <w:r>
        <mc:AlternateContent>
          <mc:Choice Requires="wps">
            <w:drawing>
              <wp:anchor distT="0" distB="0" distL="0" distR="0" simplePos="0" relativeHeight="62915039" behindDoc="1" locked="0" layoutInCell="1" allowOverlap="1">
                <wp:simplePos x="0" y="0"/>
                <wp:positionH relativeFrom="page">
                  <wp:posOffset>3398520</wp:posOffset>
                </wp:positionH>
                <wp:positionV relativeFrom="paragraph">
                  <wp:posOffset>38100</wp:posOffset>
                </wp:positionV>
                <wp:extent cx="484505" cy="149225"/>
                <wp:wrapNone/>
                <wp:docPr id="455" name="Shape 45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481" type="#_x0000_t202" style="position:absolute;margin-left:267.60000000000002pt;margin-top:3.pt;width:38.149999999999999pt;height:11.75pt;z-index:-188743714;mso-wrap-distance-left:0;mso-wrap-distance-right:0;mso-position-horizontal-relative:page" wrapcoords="0 0" filled="f" stroked="f">
                <v:textbox inset="0,0,0,0">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anchorx="page"/>
              </v:shape>
            </w:pict>
          </mc:Fallback>
        </mc:AlternateContent>
      </w:r>
      <w:r>
        <mc:AlternateContent>
          <mc:Choice Requires="wps">
            <w:drawing>
              <wp:anchor distT="0" distB="0" distL="0" distR="0" simplePos="0" relativeHeight="62915041" behindDoc="1" locked="0" layoutInCell="1" allowOverlap="1">
                <wp:simplePos x="0" y="0"/>
                <wp:positionH relativeFrom="page">
                  <wp:posOffset>5495290</wp:posOffset>
                </wp:positionH>
                <wp:positionV relativeFrom="paragraph">
                  <wp:posOffset>38100</wp:posOffset>
                </wp:positionV>
                <wp:extent cx="481330" cy="149225"/>
                <wp:wrapNone/>
                <wp:docPr id="457" name="Shape 45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483" type="#_x0000_t202" style="position:absolute;margin-left:432.69999999999999pt;margin-top:3.pt;width:37.899999999999999pt;height:11.75pt;z-index:-188743712;mso-wrap-distance-left:0;mso-wrap-distance-right:0;mso-position-horizontal-relative:page" wrapcoords="0 0"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anchorx="page"/>
              </v:shape>
            </w:pict>
          </mc:Fallback>
        </mc:AlternateContent>
      </w:r>
      <w:r>
        <w:drawing>
          <wp:anchor distT="0" distB="0" distL="0" distR="0" simplePos="0" relativeHeight="62915043" behindDoc="1" locked="0" layoutInCell="1" allowOverlap="1">
            <wp:simplePos x="0" y="0"/>
            <wp:positionH relativeFrom="page">
              <wp:posOffset>5815330</wp:posOffset>
            </wp:positionH>
            <wp:positionV relativeFrom="paragraph">
              <wp:posOffset>248285</wp:posOffset>
            </wp:positionV>
            <wp:extent cx="1737360" cy="999490"/>
            <wp:wrapNone/>
            <wp:docPr id="459" name="Shape 459"/>
            <a:graphic xmlns:a="http://schemas.openxmlformats.org/drawingml/2006/main">
              <a:graphicData uri="http://schemas.openxmlformats.org/drawingml/2006/picture">
                <pic:pic xmlns:pic="http://schemas.openxmlformats.org/drawingml/2006/picture">
                  <pic:nvPicPr>
                    <pic:cNvPr id="460" name="Picture box 460"/>
                    <pic:cNvPicPr/>
                  </pic:nvPicPr>
                  <pic:blipFill>
                    <a:blip r:embed="rId177"/>
                    <a:stretch/>
                  </pic:blipFill>
                  <pic:spPr>
                    <a:xfrm>
                      <a:ext cx="1737360" cy="999490"/>
                    </a:xfrm>
                    <a:prstGeom prst="rect"/>
                  </pic:spPr>
                </pic:pic>
              </a:graphicData>
            </a:graphic>
          </wp:anchor>
        </w:drawing>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468,590,670.65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330,440,092.13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15,921,161.85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34,562,757.73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41,864,457.64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20,901,913.88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28,849,349.77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29,321,046.90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29,546,272.53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360,940,936.22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304,556,540.67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1,024,838,487.23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735,356,712.74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123,554,410.57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107,474,410.57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73,756,767.00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96,128,533.17</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41,136,461.40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22,679,394.17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59,128,183.32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34,128,647.57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2,033,354.29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3,912,140.92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6,502,585.04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5,685,359.90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306,111,761.62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270,008,486.30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1,330,950,248.85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1,005,365,199.04</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9" w:h="17415"/>
          <w:pgMar w:top="1728" w:right="1138" w:bottom="2007" w:left="1085"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118,739,665.00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104,173,363.80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97,305,825.28</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193,961,283.90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132,437,544.46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6,807,475.27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7,464,718.41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-39,483,924.44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-22,431,822.17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24,715,651.48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7,707,808.81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340,957,050.01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341,223,739.79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40,532,033.33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15,450,200.00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278,492,033.33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15,450,200.00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619,449,083.34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356,673,939.79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104,696,301.00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69,797,534.00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324,825,883.52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359,724,650.52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29,910,824.83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22,582,871.20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252,068,156.16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196,586,203.53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711,501,165.51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648,691,259.25</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1,330,950,248.85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1,005,365,199.04</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1909" w:h="17415"/>
          <w:pgMar w:top="1728" w:right="1138" w:bottom="2007" w:left="1085" w:header="0" w:footer="3" w:gutter="0"/>
          <w:cols w:space="720"/>
          <w:noEndnote/>
          <w:rtlGutter w:val="0"/>
          <w:docGrid w:linePitch="360"/>
        </w:sectPr>
      </w:pPr>
    </w:p>
    <w:p>
      <w:pPr>
        <w:widowControl w:val="0"/>
        <w:spacing w:line="1" w:lineRule="exact"/>
      </w:pPr>
      <w:r>
        <mc:AlternateContent>
          <mc:Choice Requires="wps">
            <w:drawing>
              <wp:anchor distT="152400" distB="0" distL="114300" distR="5149215" simplePos="0" relativeHeight="125829396" behindDoc="0" locked="0" layoutInCell="1" allowOverlap="1">
                <wp:simplePos x="0" y="0"/>
                <wp:positionH relativeFrom="page">
                  <wp:posOffset>707390</wp:posOffset>
                </wp:positionH>
                <wp:positionV relativeFrom="margin">
                  <wp:posOffset>454025</wp:posOffset>
                </wp:positionV>
                <wp:extent cx="1054735" cy="149225"/>
                <wp:wrapTopAndBottom/>
                <wp:docPr id="475" name="Shape 47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wps:txbx>
                      <wps:bodyPr wrap="none" lIns="0" tIns="0" rIns="0" bIns="0">
                        <a:noAutoFit/>
                      </wps:bodyPr>
                    </wps:wsp>
                  </a:graphicData>
                </a:graphic>
              </wp:anchor>
            </w:drawing>
          </mc:Choice>
          <mc:Fallback>
            <w:pict>
              <v:shape id="_x0000_s1501" type="#_x0000_t202" style="position:absolute;margin-left:55.700000000000003pt;margin-top:35.75pt;width:83.049999999999997pt;height:11.75pt;z-index:-125829357;mso-wrap-distance-left:9.pt;mso-wrap-distance-top:12.pt;mso-wrap-distance-right:405.4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v:textbox>
                <w10:wrap type="topAndBottom" anchorx="page" anchory="margin"/>
              </v:shape>
            </w:pict>
          </mc:Fallback>
        </mc:AlternateContent>
      </w:r>
      <w:r>
        <mc:AlternateContent>
          <mc:Choice Requires="wps">
            <w:drawing>
              <wp:anchor distT="152400" distB="0" distL="2293620" distR="2519045" simplePos="0" relativeHeight="125829398" behindDoc="0" locked="0" layoutInCell="1" allowOverlap="1">
                <wp:simplePos x="0" y="0"/>
                <wp:positionH relativeFrom="page">
                  <wp:posOffset>2886710</wp:posOffset>
                </wp:positionH>
                <wp:positionV relativeFrom="margin">
                  <wp:posOffset>454025</wp:posOffset>
                </wp:positionV>
                <wp:extent cx="1505585" cy="149225"/>
                <wp:wrapTopAndBottom/>
                <wp:docPr id="477" name="Shape 47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503" type="#_x0000_t202" style="position:absolute;margin-left:227.30000000000001pt;margin-top:35.75pt;width:118.55pt;height:11.75pt;z-index:-125829355;mso-wrap-distance-left:180.59999999999999pt;mso-wrap-distance-top:12.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52400" distB="0" distL="4918075" distR="113665" simplePos="0" relativeHeight="125829400" behindDoc="0" locked="0" layoutInCell="1" allowOverlap="1">
                <wp:simplePos x="0" y="0"/>
                <wp:positionH relativeFrom="page">
                  <wp:posOffset>5511165</wp:posOffset>
                </wp:positionH>
                <wp:positionV relativeFrom="margin">
                  <wp:posOffset>454025</wp:posOffset>
                </wp:positionV>
                <wp:extent cx="1286510" cy="149225"/>
                <wp:wrapTopAndBottom/>
                <wp:docPr id="479" name="Shape 47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wps:txbx>
                      <wps:bodyPr wrap="none" lIns="0" tIns="0" rIns="0" bIns="0">
                        <a:noAutoFit/>
                      </wps:bodyPr>
                    </wps:wsp>
                  </a:graphicData>
                </a:graphic>
              </wp:anchor>
            </w:drawing>
          </mc:Choice>
          <mc:Fallback>
            <w:pict>
              <v:shape id="_x0000_s1505" type="#_x0000_t202" style="position:absolute;margin-left:433.94999999999999pt;margin-top:35.75pt;width:101.3pt;height:11.75pt;z-index:-125829353;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374"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3"/>
          <w:footerReference w:type="default" r:id="rId184"/>
          <w:headerReference w:type="even" r:id="rId185"/>
          <w:footerReference w:type="even" r:id="rId186"/>
          <w:footnotePr>
            <w:pos w:val="pageBottom"/>
            <w:numFmt w:val="decimal"/>
            <w:numRestart w:val="continuous"/>
          </w:footnotePr>
          <w:pgSz w:w="11909" w:h="17415"/>
          <w:pgMar w:top="1728" w:right="1114" w:bottom="1776" w:left="1109" w:header="0" w:footer="3" w:gutter="0"/>
          <w:cols w:space="720"/>
          <w:noEndnote/>
          <w:rtlGutter w:val="0"/>
          <w:docGrid w:linePitch="360"/>
        </w:sect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9" w:h="17415"/>
          <w:pgMar w:top="1362" w:right="0" w:bottom="1490" w:left="0"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3</w:t>
      </w:r>
      <w:bookmarkEnd w:id="432"/>
      <w:r>
        <w:rPr>
          <w:color w:val="000000"/>
          <w:spacing w:val="0"/>
          <w:w w:val="100"/>
          <w:position w:val="0"/>
        </w:rPr>
        <w:t>、合并利润表</w:t>
      </w:r>
      <w:bookmarkEnd w:id="430"/>
      <w:bookmarkEnd w:id="431"/>
      <w:bookmarkEnd w:id="43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1,022,822,674.03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521,676,656.99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1,022,822,674.03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521,676,656.99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995,295,354.11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469,592,110.36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755,401,977.94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288,296,990.59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3,116,003.19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4,102,369.29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40,383,429.56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39,538,464.65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180,114,157.44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137,328,900.26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16,410,063.72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-609,120.49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934,506.06</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28,501,691.83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52,084,546.63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35,814,571.23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17,044,401.75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223,947.90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94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162,619.40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64,092,315.16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69,128,948.38</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7,969,671.92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8,828,615.25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56,122,643.24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60,300,333.13</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56,021,607.58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63,372,945.76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101,035.66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-3,072,612.63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56,123,361.63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60,300,333.13</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56,022,199.20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63,372,945.76</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101,162.43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-3,072,612.63</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402" behindDoc="0" locked="0" layoutInCell="1" allowOverlap="1">
                <wp:simplePos x="0" y="0"/>
                <wp:positionH relativeFrom="page">
                  <wp:posOffset>703580</wp:posOffset>
                </wp:positionH>
                <wp:positionV relativeFrom="margin">
                  <wp:posOffset>5338445</wp:posOffset>
                </wp:positionV>
                <wp:extent cx="1051560" cy="149225"/>
                <wp:wrapTopAndBottom/>
                <wp:docPr id="495" name="Shape 49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wps:txbx>
                      <wps:bodyPr wrap="none" lIns="0" tIns="0" rIns="0" bIns="0">
                        <a:noAutoFit/>
                      </wps:bodyPr>
                    </wps:wsp>
                  </a:graphicData>
                </a:graphic>
              </wp:anchor>
            </w:drawing>
          </mc:Choice>
          <mc:Fallback>
            <w:pict>
              <v:shape id="_x0000_s1521" type="#_x0000_t202" style="position:absolute;margin-left:55.399999999999999pt;margin-top:420.35000000000002pt;width:82.799999999999997pt;height:11.75pt;z-index:-125829351;mso-wrap-distance-left:9.pt;mso-wrap-distance-top:11.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v:textbox>
                <w10:wrap type="topAndBottom" anchorx="page" anchory="margin"/>
              </v:shape>
            </w:pict>
          </mc:Fallback>
        </mc:AlternateContent>
      </w:r>
      <w:r>
        <mc:AlternateContent>
          <mc:Choice Requires="wps">
            <w:drawing>
              <wp:anchor distT="139700" distB="0" distL="2293620" distR="2519045" simplePos="0" relativeHeight="125829404" behindDoc="0" locked="0" layoutInCell="1" allowOverlap="1">
                <wp:simplePos x="0" y="0"/>
                <wp:positionH relativeFrom="page">
                  <wp:posOffset>2882900</wp:posOffset>
                </wp:positionH>
                <wp:positionV relativeFrom="margin">
                  <wp:posOffset>5338445</wp:posOffset>
                </wp:positionV>
                <wp:extent cx="1505585" cy="149225"/>
                <wp:wrapTopAndBottom/>
                <wp:docPr id="497" name="Shape 49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523" type="#_x0000_t202" style="position:absolute;margin-left:227.pt;margin-top:420.35000000000002pt;width:118.55pt;height:11.75pt;z-index:-125829349;mso-wrap-distance-left:180.59999999999999pt;mso-wrap-distance-top:11.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39700" distB="0" distL="4918075" distR="113665" simplePos="0" relativeHeight="125829406" behindDoc="0" locked="0" layoutInCell="1" allowOverlap="1">
                <wp:simplePos x="0" y="0"/>
                <wp:positionH relativeFrom="page">
                  <wp:posOffset>5507355</wp:posOffset>
                </wp:positionH>
                <wp:positionV relativeFrom="margin">
                  <wp:posOffset>5338445</wp:posOffset>
                </wp:positionV>
                <wp:extent cx="1286510" cy="149225"/>
                <wp:wrapTopAndBottom/>
                <wp:docPr id="499" name="Shape 49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wps:txbx>
                      <wps:bodyPr wrap="none" lIns="0" tIns="0" rIns="0" bIns="0">
                        <a:noAutoFit/>
                      </wps:bodyPr>
                    </wps:wsp>
                  </a:graphicData>
                </a:graphic>
              </wp:anchor>
            </w:drawing>
          </mc:Choice>
          <mc:Fallback>
            <w:pict>
              <v:shape id="_x0000_s1525" type="#_x0000_t202" style="position:absolute;margin-left:433.65000000000003pt;margin-top:420.35000000000002pt;width:101.3pt;height:11.75pt;z-index:-125829347;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v:textbox>
                <w10:wrap type="topAndBottom" anchorx="page" anchory="margin"/>
              </v:shape>
            </w:pict>
          </mc:Fallback>
        </mc:AlternateContent>
      </w: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4</w:t>
      </w:r>
      <w:bookmarkEnd w:id="436"/>
      <w:r>
        <w:rPr>
          <w:color w:val="000000"/>
          <w:spacing w:val="0"/>
          <w:w w:val="100"/>
          <w:position w:val="0"/>
        </w:rPr>
        <w:t>、母公司利润表</w:t>
      </w:r>
      <w:bookmarkEnd w:id="434"/>
      <w:bookmarkEnd w:id="435"/>
      <w:bookmarkEnd w:id="43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903,810,767.90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495,008,815.79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650,348,140.42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287,868,258.31</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2,814,533.27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3,783,135.59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36,983,301.42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37,119,324.83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149,071,301.66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112,809,465.66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16,997,788.20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-607,926.91</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-168,795.82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842,182.40</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857,134.51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48,621,633.26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53,194,375.91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32,550,930.47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15,597,727.55</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213,277.52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151,949.02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80,959,286.21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68,792,103.46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7,679,749.87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9,192,052.16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73,279,536.34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59,600,051.30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73,279,536.34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59,600,051.30</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408" behindDoc="0" locked="0" layoutInCell="1" allowOverlap="1">
                <wp:simplePos x="0" y="0"/>
                <wp:positionH relativeFrom="page">
                  <wp:posOffset>703580</wp:posOffset>
                </wp:positionH>
                <wp:positionV relativeFrom="margin">
                  <wp:posOffset>4631690</wp:posOffset>
                </wp:positionV>
                <wp:extent cx="1051560" cy="149225"/>
                <wp:wrapTopAndBottom/>
                <wp:docPr id="501" name="Shape 50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wps:txbx>
                      <wps:bodyPr wrap="none" lIns="0" tIns="0" rIns="0" bIns="0">
                        <a:noAutoFit/>
                      </wps:bodyPr>
                    </wps:wsp>
                  </a:graphicData>
                </a:graphic>
              </wp:anchor>
            </w:drawing>
          </mc:Choice>
          <mc:Fallback>
            <w:pict>
              <v:shape id="_x0000_s1527" type="#_x0000_t202" style="position:absolute;margin-left:55.399999999999999pt;margin-top:364.69999999999999pt;width:82.799999999999997pt;height:11.75pt;z-index:-125829345;mso-wrap-distance-left:9.pt;mso-wrap-distance-top:12.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v:textbox>
                <w10:wrap type="topAndBottom" anchorx="page" anchory="margin"/>
              </v:shape>
            </w:pict>
          </mc:Fallback>
        </mc:AlternateContent>
      </w:r>
      <w:r>
        <mc:AlternateContent>
          <mc:Choice Requires="wps">
            <w:drawing>
              <wp:anchor distT="152400" distB="0" distL="2293620" distR="2519045" simplePos="0" relativeHeight="125829410" behindDoc="0" locked="0" layoutInCell="1" allowOverlap="1">
                <wp:simplePos x="0" y="0"/>
                <wp:positionH relativeFrom="page">
                  <wp:posOffset>2882900</wp:posOffset>
                </wp:positionH>
                <wp:positionV relativeFrom="margin">
                  <wp:posOffset>4631690</wp:posOffset>
                </wp:positionV>
                <wp:extent cx="1505585" cy="149225"/>
                <wp:wrapTopAndBottom/>
                <wp:docPr id="503" name="Shape 50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529" type="#_x0000_t202" style="position:absolute;margin-left:227.pt;margin-top:364.69999999999999pt;width:118.55pt;height:11.75pt;z-index:-125829343;mso-wrap-distance-left:180.59999999999999pt;mso-wrap-distance-top:12.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52400" distB="0" distL="4918075" distR="113665" simplePos="0" relativeHeight="125829412" behindDoc="0" locked="0" layoutInCell="1" allowOverlap="1">
                <wp:simplePos x="0" y="0"/>
                <wp:positionH relativeFrom="page">
                  <wp:posOffset>5507355</wp:posOffset>
                </wp:positionH>
                <wp:positionV relativeFrom="margin">
                  <wp:posOffset>4631690</wp:posOffset>
                </wp:positionV>
                <wp:extent cx="1286510" cy="149225"/>
                <wp:wrapTopAndBottom/>
                <wp:docPr id="505" name="Shape 50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wps:txbx>
                      <wps:bodyPr wrap="none" lIns="0" tIns="0" rIns="0" bIns="0">
                        <a:noAutoFit/>
                      </wps:bodyPr>
                    </wps:wsp>
                  </a:graphicData>
                </a:graphic>
              </wp:anchor>
            </w:drawing>
          </mc:Choice>
          <mc:Fallback>
            <w:pict>
              <v:shape id="_x0000_s1531" type="#_x0000_t202" style="position:absolute;margin-left:433.65000000000003pt;margin-top:364.69999999999999pt;width:101.3pt;height:11.75pt;z-index:-125829341;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v:textbox>
                <w10:wrap type="topAndBottom" anchorx="page" anchory="margin"/>
              </v:shape>
            </w:pict>
          </mc:Fallback>
        </mc:AlternateContent>
      </w: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5</w:t>
      </w:r>
      <w:bookmarkEnd w:id="440"/>
      <w:r>
        <w:rPr>
          <w:color w:val="000000"/>
          <w:spacing w:val="0"/>
          <w:w w:val="100"/>
          <w:position w:val="0"/>
        </w:rPr>
        <w:t>、合并现金流量表</w:t>
      </w:r>
      <w:bookmarkEnd w:id="438"/>
      <w:bookmarkEnd w:id="439"/>
      <w:bookmarkEnd w:id="44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1,245,418,515.63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743,576,050.56</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9" w:h="17415"/>
          <w:pgMar w:top="1362" w:right="1045" w:bottom="1490" w:left="1029"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24,887,274.53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14,358,867.56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250,936,724.35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70,449,935.99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1,521,242,514.51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828,384,854.11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975,016,009.33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582,036,044.59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96,981,668.17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70,327,665.14</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48,691,006.22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43,574,750.70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250,587,021.56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142,321,058.52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1,371,275,705.28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838,259,518.95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149,966,809.23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-9,874,664.84</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380,538.45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229,354,910.36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75,347,886.13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132,695,853.81</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397,947,886.13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139,695,853.81</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-168,592,975.77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-139,695,853.81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12,420,000.00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344,188,000.00</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80,499,344.98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120,739,665.00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2,244,279.27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2,844,159.84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332,763,624.25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467,771,824.84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169,239,009.98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16,530,772.17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2,910,373.47</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3,712,240.00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5,924,482.76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189,482,022.15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72,834,856.23</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143,281,602.10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394,936,968.61</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124,656,077.38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245,366,449.96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401,686,050.99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156,319,601.03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526,342,128.37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401,686,050.99</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2390" simplePos="0" relativeHeight="125829414" behindDoc="0" locked="0" layoutInCell="1" allowOverlap="1">
                <wp:simplePos x="0" y="0"/>
                <wp:positionH relativeFrom="page">
                  <wp:posOffset>703580</wp:posOffset>
                </wp:positionH>
                <wp:positionV relativeFrom="margin">
                  <wp:posOffset>5594350</wp:posOffset>
                </wp:positionV>
                <wp:extent cx="1051560" cy="149225"/>
                <wp:wrapTopAndBottom/>
                <wp:docPr id="507" name="Shape 50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wps:txbx>
                      <wps:bodyPr wrap="none" lIns="0" tIns="0" rIns="0" bIns="0">
                        <a:noAutoFit/>
                      </wps:bodyPr>
                    </wps:wsp>
                  </a:graphicData>
                </a:graphic>
              </wp:anchor>
            </w:drawing>
          </mc:Choice>
          <mc:Fallback>
            <w:pict>
              <v:shape id="_x0000_s1533" type="#_x0000_t202" style="position:absolute;margin-left:55.399999999999999pt;margin-top:440.5pt;width:82.799999999999997pt;height:11.75pt;z-index:-125829339;mso-wrap-distance-left:9.pt;mso-wrap-distance-top:11.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v:textbox>
                <w10:wrap type="topAndBottom" anchorx="page" anchory="margin"/>
              </v:shape>
            </w:pict>
          </mc:Fallback>
        </mc:AlternateContent>
      </w:r>
      <w:r>
        <mc:AlternateContent>
          <mc:Choice Requires="wps">
            <w:drawing>
              <wp:anchor distT="139700" distB="0" distL="2293620" distR="2519045" simplePos="0" relativeHeight="125829416" behindDoc="0" locked="0" layoutInCell="1" allowOverlap="1">
                <wp:simplePos x="0" y="0"/>
                <wp:positionH relativeFrom="page">
                  <wp:posOffset>2882900</wp:posOffset>
                </wp:positionH>
                <wp:positionV relativeFrom="margin">
                  <wp:posOffset>5594350</wp:posOffset>
                </wp:positionV>
                <wp:extent cx="1505585" cy="149225"/>
                <wp:wrapTopAndBottom/>
                <wp:docPr id="509" name="Shape 50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535" type="#_x0000_t202" style="position:absolute;margin-left:227.pt;margin-top:440.5pt;width:118.55pt;height:11.75pt;z-index:-125829337;mso-wrap-distance-left:180.59999999999999pt;mso-wrap-distance-top:11.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39700" distB="0" distL="4918075" distR="113665" simplePos="0" relativeHeight="125829418" behindDoc="0" locked="0" layoutInCell="1" allowOverlap="1">
                <wp:simplePos x="0" y="0"/>
                <wp:positionH relativeFrom="page">
                  <wp:posOffset>5507355</wp:posOffset>
                </wp:positionH>
                <wp:positionV relativeFrom="margin">
                  <wp:posOffset>5594350</wp:posOffset>
                </wp:positionV>
                <wp:extent cx="1286510" cy="149225"/>
                <wp:wrapTopAndBottom/>
                <wp:docPr id="511" name="Shape 5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wps:txbx>
                      <wps:bodyPr wrap="none" lIns="0" tIns="0" rIns="0" bIns="0">
                        <a:noAutoFit/>
                      </wps:bodyPr>
                    </wps:wsp>
                  </a:graphicData>
                </a:graphic>
              </wp:anchor>
            </w:drawing>
          </mc:Choice>
          <mc:Fallback>
            <w:pict>
              <v:shape id="_x0000_s1537" type="#_x0000_t202" style="position:absolute;margin-left:433.65000000000003pt;margin-top:440.5pt;width:101.3pt;height:11.75pt;z-index:-125829335;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v:textbox>
                <w10:wrap type="topAndBottom" anchorx="page" anchory="margin"/>
              </v:shape>
            </w:pict>
          </mc:Fallback>
        </mc:AlternateContent>
      </w: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6</w:t>
      </w:r>
      <w:bookmarkEnd w:id="444"/>
      <w:r>
        <w:rPr>
          <w:color w:val="000000"/>
          <w:spacing w:val="0"/>
          <w:w w:val="100"/>
          <w:position w:val="0"/>
        </w:rPr>
        <w:t>、母公司现金流量表</w:t>
      </w:r>
      <w:bookmarkEnd w:id="442"/>
      <w:bookmarkEnd w:id="443"/>
      <w:bookmarkEnd w:id="44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1,101,642,487.76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715,822,392.23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22,778,633.77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12,987,868.36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292,076,678.15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64,839,475.91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1,416,497,799.68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793,649,736.50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815,572,703.21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580,309,316.79</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79,369,034.48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53,614,060.85</w:t>
            </w:r>
          </w:p>
        </w:tc>
      </w:tr>
    </w:tbl>
    <w:p>
      <w:pPr>
        <w:widowControl w:val="0"/>
        <w:spacing w:line="1" w:lineRule="exact"/>
        <w:sectPr>
          <w:headerReference w:type="default" r:id="rId187"/>
          <w:footerReference w:type="default" r:id="rId188"/>
          <w:headerReference w:type="even" r:id="rId189"/>
          <w:footerReference w:type="even" r:id="rId190"/>
          <w:footnotePr>
            <w:pos w:val="pageBottom"/>
            <w:numFmt w:val="decimal"/>
            <w:numRestart w:val="continuous"/>
          </w:footnotePr>
          <w:pgSz w:w="11909" w:h="17415"/>
          <w:pgMar w:top="1362" w:right="1045" w:bottom="1490" w:left="1029"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46,617,150.71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39,901,947.41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314,806,286.53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132,055,679.61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1,256,365,174.93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805,881,004.66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160,132,624.75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-12,231,268.16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857,134.51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373,485.57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179,230,620.08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56,199,604.13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101,040,312.96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281,680,000.00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107,800,000.00</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337,879,604.13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208,840,312.96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-158,648,984.05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-208,840,312.96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344,188,000.00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80,499,344.98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118,739,665.00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2,244,279.27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2,844,159.84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320,343,624.25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465,771,824.84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169,239,009.98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16,530,772.17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2,796,080.14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3,712,240.00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5,924,482.76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189,482,022.15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68,720,562.90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130,861,602.10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397,051,261.94</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132,345,242.80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175,979,680.82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322,346,338.83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146,366,658.01</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454,691,581.63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322,346,338.83</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420" behindDoc="0" locked="0" layoutInCell="1" allowOverlap="1">
                <wp:simplePos x="0" y="0"/>
                <wp:positionH relativeFrom="page">
                  <wp:posOffset>702310</wp:posOffset>
                </wp:positionH>
                <wp:positionV relativeFrom="margin">
                  <wp:posOffset>974090</wp:posOffset>
                </wp:positionV>
                <wp:extent cx="1051560" cy="149225"/>
                <wp:wrapTopAndBottom/>
                <wp:docPr id="527" name="Shape 52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wps:txbx>
                      <wps:bodyPr wrap="none" lIns="0" tIns="0" rIns="0" bIns="0">
                        <a:noAutoFit/>
                      </wps:bodyPr>
                    </wps:wsp>
                  </a:graphicData>
                </a:graphic>
              </wp:anchor>
            </w:drawing>
          </mc:Choice>
          <mc:Fallback>
            <w:pict>
              <v:shape id="_x0000_s1553" type="#_x0000_t202" style="position:absolute;margin-left:55.300000000000004pt;margin-top:76.700000000000003pt;width:82.799999999999997pt;height:11.75pt;z-index:-125829333;mso-wrap-distance-left:9.pt;mso-wrap-distance-top:12.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v:textbox>
                <w10:wrap type="topAndBottom" anchorx="page" anchory="margin"/>
              </v:shape>
            </w:pict>
          </mc:Fallback>
        </mc:AlternateContent>
      </w:r>
      <w:r>
        <mc:AlternateContent>
          <mc:Choice Requires="wps">
            <w:drawing>
              <wp:anchor distT="152400" distB="0" distL="2293620" distR="2519045" simplePos="0" relativeHeight="125829422" behindDoc="0" locked="0" layoutInCell="1" allowOverlap="1">
                <wp:simplePos x="0" y="0"/>
                <wp:positionH relativeFrom="page">
                  <wp:posOffset>2881630</wp:posOffset>
                </wp:positionH>
                <wp:positionV relativeFrom="margin">
                  <wp:posOffset>974090</wp:posOffset>
                </wp:positionV>
                <wp:extent cx="1505585" cy="149225"/>
                <wp:wrapTopAndBottom/>
                <wp:docPr id="529" name="Shape 52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555" type="#_x0000_t202" style="position:absolute;margin-left:226.90000000000001pt;margin-top:76.700000000000003pt;width:118.55pt;height:11.75pt;z-index:-125829331;mso-wrap-distance-left:180.59999999999999pt;mso-wrap-distance-top:12.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52400" distB="0" distL="4918075" distR="113665" simplePos="0" relativeHeight="125829424" behindDoc="0" locked="0" layoutInCell="1" allowOverlap="1">
                <wp:simplePos x="0" y="0"/>
                <wp:positionH relativeFrom="page">
                  <wp:posOffset>5506085</wp:posOffset>
                </wp:positionH>
                <wp:positionV relativeFrom="margin">
                  <wp:posOffset>974090</wp:posOffset>
                </wp:positionV>
                <wp:extent cx="1286510" cy="149225"/>
                <wp:wrapTopAndBottom/>
                <wp:docPr id="531" name="Shape 5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wps:txbx>
                      <wps:bodyPr wrap="none" lIns="0" tIns="0" rIns="0" bIns="0">
                        <a:noAutoFit/>
                      </wps:bodyPr>
                    </wps:wsp>
                  </a:graphicData>
                </a:graphic>
              </wp:anchor>
            </w:drawing>
          </mc:Choice>
          <mc:Fallback>
            <w:pict>
              <v:shape id="_x0000_s1557" type="#_x0000_t202" style="position:absolute;margin-left:433.55000000000001pt;margin-top:76.700000000000003pt;width:101.3pt;height:11.75pt;z-index:-125829329;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v:textbox>
                <w10:wrap type="topAndBottom" anchorx="page" anchory="margin"/>
              </v:shape>
            </w:pict>
          </mc:Fallback>
        </mc:AlternateContent>
      </w: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7</w:t>
      </w:r>
      <w:bookmarkEnd w:id="448"/>
      <w:r>
        <w:rPr>
          <w:color w:val="000000"/>
          <w:spacing w:val="0"/>
          <w:w w:val="100"/>
          <w:position w:val="0"/>
        </w:rPr>
        <w:t>、合并所有者权益变动表</w:t>
      </w:r>
      <w:bookmarkEnd w:id="446"/>
      <w:bookmarkEnd w:id="447"/>
      <w:bookmarkEnd w:id="44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69,797,</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359,755,</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206,485,</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256,046.8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658,877,60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69,797,</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359,755,</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206,485,</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256,046.8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658,877,60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38,224,0</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5,521,162</w:t>
            </w:r>
          </w:p>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51,073,731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56,021,6</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101,035.6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56,122,643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56,021,6</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101,162.4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56,123,361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5,420,000</w:t>
            </w:r>
          </w:p>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5,420,000</w:t>
            </w:r>
          </w:p>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-17,797,</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-7,327,9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-10,469,</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104,696</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324,857,</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29,910,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244,709,</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5,777,209</w:t>
            </w:r>
          </w:p>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709,951,33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52,347,</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43,472,4</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149,072,</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3,328,659</w:t>
            </w:r>
          </w:p>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264,843,75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52,347,</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43,472,4</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149,072,</w:t>
            </w:r>
          </w:p>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3,328,659</w:t>
            </w:r>
          </w:p>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264,843,75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27"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394,033,85</w:t>
            </w:r>
          </w:p>
        </w:tc>
      </w:tr>
    </w:tbl>
    <w:p>
      <w:pPr>
        <w:widowControl w:val="0"/>
        <w:spacing w:line="1" w:lineRule="exact"/>
      </w:pPr>
      <w:r>
        <w:br w:type="page"/>
      </w:r>
    </w:p>
    <w:p>
      <w:pPr>
        <w:widowControl w:val="0"/>
        <w:spacing w:line="1" w:lineRule="exact"/>
      </w:pPr>
      <w:r>
        <mc:AlternateContent>
          <mc:Choice Requires="wps">
            <w:drawing>
              <wp:anchor distT="139700" distB="0" distL="114300" distR="5152390" simplePos="0" relativeHeight="125829426" behindDoc="0" locked="0" layoutInCell="1" allowOverlap="1">
                <wp:simplePos x="0" y="0"/>
                <wp:positionH relativeFrom="page">
                  <wp:posOffset>728345</wp:posOffset>
                </wp:positionH>
                <wp:positionV relativeFrom="margin">
                  <wp:posOffset>8487410</wp:posOffset>
                </wp:positionV>
                <wp:extent cx="1051560" cy="149225"/>
                <wp:wrapTopAndBottom/>
                <wp:docPr id="533" name="Shape 53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wps:txbx>
                      <wps:bodyPr wrap="none" lIns="0" tIns="0" rIns="0" bIns="0">
                        <a:noAutoFit/>
                      </wps:bodyPr>
                    </wps:wsp>
                  </a:graphicData>
                </a:graphic>
              </wp:anchor>
            </w:drawing>
          </mc:Choice>
          <mc:Fallback>
            <w:pict>
              <v:shape id="_x0000_s1559" type="#_x0000_t202" style="position:absolute;margin-left:57.350000000000001pt;margin-top:668.30000000000007pt;width:82.799999999999997pt;height:11.75pt;z-index:-125829327;mso-wrap-distance-left:9.pt;mso-wrap-distance-top:11.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法定代表人：朱烨东</w:t>
                      </w:r>
                    </w:p>
                  </w:txbxContent>
                </v:textbox>
                <w10:wrap type="topAndBottom" anchorx="page" anchory="margin"/>
              </v:shape>
            </w:pict>
          </mc:Fallback>
        </mc:AlternateContent>
      </w:r>
      <w:r>
        <mc:AlternateContent>
          <mc:Choice Requires="wps">
            <w:drawing>
              <wp:anchor distT="139700" distB="0" distL="2293620" distR="2519045" simplePos="0" relativeHeight="125829428" behindDoc="0" locked="0" layoutInCell="1" allowOverlap="1">
                <wp:simplePos x="0" y="0"/>
                <wp:positionH relativeFrom="page">
                  <wp:posOffset>2907665</wp:posOffset>
                </wp:positionH>
                <wp:positionV relativeFrom="margin">
                  <wp:posOffset>8487410</wp:posOffset>
                </wp:positionV>
                <wp:extent cx="1505585" cy="149225"/>
                <wp:wrapTopAndBottom/>
                <wp:docPr id="535" name="Shape 53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561" type="#_x0000_t202" style="position:absolute;margin-left:228.95000000000002pt;margin-top:668.30000000000007pt;width:118.55pt;height:11.75pt;z-index:-125829325;mso-wrap-distance-left:180.59999999999999pt;mso-wrap-distance-top:11.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39700" distB="0" distL="4918075" distR="113665" simplePos="0" relativeHeight="125829430" behindDoc="0" locked="0" layoutInCell="1" allowOverlap="1">
                <wp:simplePos x="0" y="0"/>
                <wp:positionH relativeFrom="page">
                  <wp:posOffset>5532120</wp:posOffset>
                </wp:positionH>
                <wp:positionV relativeFrom="margin">
                  <wp:posOffset>8487410</wp:posOffset>
                </wp:positionV>
                <wp:extent cx="1286510" cy="149225"/>
                <wp:wrapTopAndBottom/>
                <wp:docPr id="537" name="Shape 53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wps:txbx>
                      <wps:bodyPr wrap="none" lIns="0" tIns="0" rIns="0" bIns="0">
                        <a:noAutoFit/>
                      </wps:bodyPr>
                    </wps:wsp>
                  </a:graphicData>
                </a:graphic>
              </wp:anchor>
            </w:drawing>
          </mc:Choice>
          <mc:Fallback>
            <w:pict>
              <v:shape id="_x0000_s1563" type="#_x0000_t202" style="position:absolute;margin-left:435.60000000000002pt;margin-top:668.30000000000007pt;width:101.3pt;height:11.75pt;z-index:-125829323;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会计机构负责人：尹亚楠</w:t>
                      </w:r>
                    </w:p>
                  </w:txbxContent>
                </v:textbox>
                <w10:wrap type="topAndBottom" anchorx="page" anchory="margin"/>
              </v:shape>
            </w:pict>
          </mc:Fallback>
        </mc:AlternateConten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63,372,9</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-3,072,61</w:t>
            </w:r>
          </w:p>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60,300,333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63,372,9</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-3,072,61</w:t>
            </w:r>
          </w:p>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60,300,333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17,450,</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316,283,</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333,733,51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17,450,</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316,283,</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333,733,51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69,797,</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534.00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359,755,</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256,046.8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658,877,60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8</w:t>
      </w:r>
      <w:bookmarkEnd w:id="452"/>
      <w:r>
        <w:rPr>
          <w:color w:val="000000"/>
          <w:spacing w:val="0"/>
          <w:w w:val="100"/>
          <w:position w:val="0"/>
        </w:rPr>
        <w:t>、母公司所有者权益变动表</w:t>
      </w:r>
      <w:bookmarkEnd w:id="450"/>
      <w:bookmarkEnd w:id="451"/>
      <w:bookmarkEnd w:id="45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编制单位：北京中科金财科技股份有限公司</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69,797,534</w:t>
            </w:r>
          </w:p>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359,724,65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22,582,871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196,586,20</w:t>
            </w:r>
          </w:p>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648,691,25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69,797,534</w:t>
            </w:r>
          </w:p>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359,724,65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22,582,871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196,586,20</w:t>
            </w:r>
          </w:p>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648,691,25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34,898,767</w:t>
            </w:r>
          </w:p>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-34,898,76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55,481,952</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62,809,906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73,279,536</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73,279,536</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-17,797,58</w:t>
            </w:r>
          </w:p>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-7,327,953.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-10,469,63</w:t>
            </w:r>
          </w:p>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34,898,767</w:t>
            </w:r>
          </w:p>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-34,898,76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34,898,767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1"/>
          <w:footerReference w:type="default" r:id="rId192"/>
          <w:headerReference w:type="even" r:id="rId193"/>
          <w:footerReference w:type="even" r:id="rId194"/>
          <w:footnotePr>
            <w:pos w:val="pageBottom"/>
            <w:numFmt w:val="decimal"/>
            <w:numRestart w:val="continuous"/>
          </w:footnotePr>
          <w:pgSz w:w="11909" w:h="17415"/>
          <w:pgMar w:top="1362" w:right="1045" w:bottom="1490" w:left="1029" w:header="0" w:footer="3" w:gutter="0"/>
          <w:cols w:space="720"/>
          <w:noEndnote/>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104,696,30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324,825,88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29,910,824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252,068,15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711,501,16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52,347,534</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43,441,133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16,622,866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142,946,15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255,357,69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52,347,534</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43,441,133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16,622,866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142,946,15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255,357,69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17,450,000</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316,283,51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5,960,005.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53,640,046</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393,333,56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59,600,051</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59,600,051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59,600,051</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59,600,051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17,450,000</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316,283,51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333,733,51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17,450,000</w:t>
            </w:r>
          </w:p>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316,283,51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333,733,51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5,960,005.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-5,960,005.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69,797,534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359,724,65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22,582,871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196,586,20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648,691,25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bl>
    <w:p>
      <w:pPr>
        <w:widowControl w:val="0"/>
        <w:spacing w:after="359" w:line="1" w:lineRule="exact"/>
      </w:pPr>
    </w:p>
    <w:p>
      <w:pPr>
        <w:pStyle w:val="Style27"/>
        <w:keepNext w:val="0"/>
        <w:keepLines w:val="0"/>
        <w:widowControl w:val="0"/>
        <w:shd w:val="clear" w:color="auto" w:fill="auto"/>
        <w:tabs>
          <w:tab w:pos="3322" w:val="left"/>
          <w:tab w:pos="7478" w:val="left"/>
        </w:tabs>
        <w:bidi w:val="0"/>
        <w:spacing w:before="0" w:after="360" w:line="240" w:lineRule="auto"/>
        <w:ind w:left="0" w:right="0" w:firstLine="0"/>
        <w:jc w:val="left"/>
      </w:pPr>
      <w:r>
        <w:rPr>
          <w:color w:val="000000"/>
          <w:spacing w:val="0"/>
          <w:w w:val="100"/>
          <w:position w:val="0"/>
        </w:rPr>
        <w:t>法定代表人：朱烨东</w:t>
        <w:tab/>
        <w:t>主管会计工作负责人：赵学荣</w:t>
        <w:tab/>
        <w:t>会计机构负责人：尹亚楠</w:t>
      </w:r>
    </w:p>
    <w:p>
      <w:pPr>
        <w:pStyle w:val="Style22"/>
        <w:keepNext/>
        <w:keepLines/>
        <w:widowControl w:val="0"/>
        <w:shd w:val="clear" w:color="auto" w:fill="auto"/>
        <w:bidi w:val="0"/>
        <w:spacing w:before="0" w:after="360" w:line="240" w:lineRule="auto"/>
        <w:ind w:left="0" w:right="0" w:firstLine="0"/>
        <w:jc w:val="left"/>
      </w:pPr>
      <w:bookmarkStart w:id="454" w:name="bookmark454"/>
      <w:bookmarkStart w:id="455" w:name="bookmark455"/>
      <w:bookmarkStart w:id="456" w:name="bookmark456"/>
      <w:r>
        <w:rPr>
          <w:color w:val="000000"/>
          <w:spacing w:val="0"/>
          <w:w w:val="100"/>
          <w:position w:val="0"/>
        </w:rPr>
        <w:t>三、公司基本情况</w:t>
      </w:r>
      <w:bookmarkEnd w:id="454"/>
      <w:bookmarkEnd w:id="455"/>
      <w:bookmarkEnd w:id="456"/>
    </w:p>
    <w:p>
      <w:pPr>
        <w:pStyle w:val="Style36"/>
        <w:keepNext/>
        <w:keepLines/>
        <w:widowControl w:val="0"/>
        <w:shd w:val="clear" w:color="auto" w:fill="auto"/>
        <w:tabs>
          <w:tab w:pos="976" w:val="left"/>
        </w:tabs>
        <w:bidi w:val="0"/>
        <w:spacing w:before="0" w:after="120" w:line="240" w:lineRule="auto"/>
        <w:ind w:left="0" w:right="0" w:firstLine="44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w:t>
      </w:r>
      <w:bookmarkEnd w:id="45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公司概况</w:t>
      </w:r>
      <w:bookmarkEnd w:id="457"/>
      <w:bookmarkEnd w:id="458"/>
      <w:bookmarkEnd w:id="460"/>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北京中科金财科技股份有限公司（以下简称“本公司”或“公司”）系</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日在深圳证券交</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易所挂牌上市的股份有限公司。公司企业法人营业执照注册号为：</w:t>
      </w:r>
      <w:r>
        <w:rPr>
          <w:color w:val="000000"/>
          <w:spacing w:val="0"/>
          <w:w w:val="100"/>
          <w:position w:val="0"/>
        </w:rPr>
        <w:t>110108006333023</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住所：北京市海淀区学院路</w:t>
      </w:r>
      <w:r>
        <w:rPr>
          <w:color w:val="000000"/>
          <w:spacing w:val="0"/>
          <w:w w:val="100"/>
          <w:position w:val="0"/>
        </w:rPr>
        <w:t>51</w:t>
      </w:r>
      <w:r>
        <w:rPr>
          <w:color w:val="000000"/>
          <w:spacing w:val="0"/>
          <w:w w:val="100"/>
          <w:position w:val="0"/>
        </w:rPr>
        <w:t>号楼首享科技大厦</w:t>
      </w:r>
      <w:r>
        <w:rPr>
          <w:color w:val="000000"/>
          <w:spacing w:val="0"/>
          <w:w w:val="100"/>
          <w:position w:val="0"/>
        </w:rPr>
        <w:t>6</w:t>
      </w:r>
      <w:r>
        <w:rPr>
          <w:color w:val="000000"/>
          <w:spacing w:val="0"/>
          <w:w w:val="100"/>
          <w:position w:val="0"/>
        </w:rPr>
        <w:t>层</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法定代表人：朱烨东</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注册资本：</w:t>
      </w:r>
      <w:r>
        <w:rPr>
          <w:color w:val="000000"/>
          <w:spacing w:val="0"/>
          <w:w w:val="100"/>
          <w:position w:val="0"/>
        </w:rPr>
        <w:t>10,469.6301</w:t>
      </w:r>
      <w:r>
        <w:rPr>
          <w:color w:val="000000"/>
          <w:spacing w:val="0"/>
          <w:w w:val="100"/>
          <w:position w:val="0"/>
        </w:rPr>
        <w:t>万元</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公司类型：股份有限公司（上市、自然人投资或控股）</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经营范围：</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许可经营项目：建筑智能化工程设计与施工（工程设计资质证书有效期至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一般经营项目：计算机软件技术开发；计算机系统集成及服务；销售计算机及外部设备、电子产品；</w:t>
      </w:r>
    </w:p>
    <w:p>
      <w:pPr>
        <w:pStyle w:val="Style33"/>
        <w:keepNext w:val="0"/>
        <w:keepLines w:val="0"/>
        <w:widowControl w:val="0"/>
        <w:shd w:val="clear" w:color="auto" w:fill="auto"/>
        <w:bidi w:val="0"/>
        <w:spacing w:before="0" w:after="480" w:line="240" w:lineRule="auto"/>
        <w:ind w:left="0" w:right="0" w:firstLine="0"/>
        <w:jc w:val="left"/>
      </w:pPr>
      <w:r>
        <w:rPr>
          <w:color w:val="000000"/>
          <w:spacing w:val="0"/>
          <w:w w:val="100"/>
          <w:position w:val="0"/>
        </w:rPr>
        <w:t>货物进出口、技术进出口、代理进出口；专业承包；计算机技术培训；技术咨询。</w:t>
      </w:r>
    </w:p>
    <w:p>
      <w:pPr>
        <w:pStyle w:val="Style36"/>
        <w:keepNext/>
        <w:keepLines/>
        <w:widowControl w:val="0"/>
        <w:shd w:val="clear" w:color="auto" w:fill="auto"/>
        <w:tabs>
          <w:tab w:pos="976" w:val="left"/>
        </w:tabs>
        <w:bidi w:val="0"/>
        <w:spacing w:before="0" w:after="220" w:line="240" w:lineRule="auto"/>
        <w:ind w:left="0" w:right="0" w:firstLine="440"/>
        <w:jc w:val="both"/>
        <w:sectPr>
          <w:headerReference w:type="default" r:id="rId195"/>
          <w:footerReference w:type="default" r:id="rId196"/>
          <w:headerReference w:type="even" r:id="rId197"/>
          <w:footerReference w:type="even" r:id="rId198"/>
          <w:headerReference w:type="first" r:id="rId199"/>
          <w:footerReference w:type="first" r:id="rId200"/>
          <w:footnotePr>
            <w:pos w:val="pageBottom"/>
            <w:numFmt w:val="decimal"/>
            <w:numRestart w:val="continuous"/>
          </w:footnotePr>
          <w:pgSz w:w="11909" w:h="17415"/>
          <w:pgMar w:top="1362" w:right="1045" w:bottom="1490" w:left="1029" w:header="0" w:footer="3" w:gutter="0"/>
          <w:cols w:space="720"/>
          <w:noEndnote/>
          <w:titlePg/>
          <w:rtlGutter w:val="0"/>
          <w:docGrid w:linePitch="360"/>
        </w:sectPr>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w:t>
      </w:r>
      <w:bookmarkEnd w:id="46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历史沿革</w:t>
      </w:r>
      <w:bookmarkEnd w:id="461"/>
      <w:bookmarkEnd w:id="462"/>
      <w:bookmarkEnd w:id="464"/>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北京中科金财科技有限公司系</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日由北京盛阳金财科技有限公司和自然人沈飒共同出资 组建的有限责任公司，成立时注册资本为</w:t>
      </w:r>
      <w:r>
        <w:rPr>
          <w:color w:val="000000"/>
          <w:spacing w:val="0"/>
          <w:w w:val="100"/>
          <w:position w:val="0"/>
        </w:rPr>
        <w:t>50</w:t>
      </w:r>
      <w:r>
        <w:rPr>
          <w:color w:val="000000"/>
          <w:spacing w:val="0"/>
          <w:w w:val="100"/>
          <w:position w:val="0"/>
        </w:rPr>
        <w:t>万元。其中：北京盛阳金财科技有限公司以货币出资</w:t>
      </w:r>
      <w:r>
        <w:rPr>
          <w:color w:val="000000"/>
          <w:spacing w:val="0"/>
          <w:w w:val="100"/>
          <w:position w:val="0"/>
        </w:rPr>
        <w:t>40</w:t>
      </w:r>
      <w:r>
        <w:rPr>
          <w:color w:val="000000"/>
          <w:spacing w:val="0"/>
          <w:w w:val="100"/>
          <w:position w:val="0"/>
        </w:rPr>
        <w:t>万元， 占</w:t>
      </w:r>
      <w:r>
        <w:rPr>
          <w:color w:val="000000"/>
          <w:spacing w:val="0"/>
          <w:w w:val="100"/>
          <w:position w:val="0"/>
        </w:rPr>
        <w:t>80%</w:t>
      </w:r>
      <w:r>
        <w:rPr>
          <w:color w:val="000000"/>
          <w:spacing w:val="0"/>
          <w:w w:val="100"/>
          <w:position w:val="0"/>
        </w:rPr>
        <w:t>的股权；自然人沈飒以货币出资</w:t>
      </w:r>
      <w:r>
        <w:rPr>
          <w:color w:val="000000"/>
          <w:spacing w:val="0"/>
          <w:w w:val="100"/>
          <w:position w:val="0"/>
        </w:rPr>
        <w:t>10</w:t>
      </w:r>
      <w:r>
        <w:rPr>
          <w:color w:val="000000"/>
          <w:spacing w:val="0"/>
          <w:w w:val="100"/>
          <w:position w:val="0"/>
        </w:rPr>
        <w:t>万元，占</w:t>
      </w:r>
      <w:r>
        <w:rPr>
          <w:color w:val="000000"/>
          <w:spacing w:val="0"/>
          <w:w w:val="100"/>
          <w:position w:val="0"/>
        </w:rPr>
        <w:t>20%</w:t>
      </w:r>
      <w:r>
        <w:rPr>
          <w:color w:val="000000"/>
          <w:spacing w:val="0"/>
          <w:w w:val="100"/>
          <w:position w:val="0"/>
        </w:rPr>
        <w:t>的股权。该注册资本业经北京中仁信会计师事务所出 具的“中仁信验字</w:t>
      </w:r>
      <w:r>
        <w:rPr>
          <w:color w:val="000000"/>
          <w:spacing w:val="0"/>
          <w:w w:val="100"/>
          <w:position w:val="0"/>
        </w:rPr>
        <w:t>（2003</w:t>
      </w:r>
      <w:r>
        <w:rPr>
          <w:color w:val="000000"/>
          <w:spacing w:val="0"/>
          <w:w w:val="100"/>
          <w:position w:val="0"/>
        </w:rPr>
        <w:t>）第</w:t>
      </w:r>
      <w:r>
        <w:rPr>
          <w:color w:val="000000"/>
          <w:spacing w:val="0"/>
          <w:w w:val="100"/>
          <w:position w:val="0"/>
        </w:rPr>
        <w:t>1116</w:t>
      </w:r>
      <w:r>
        <w:rPr>
          <w:color w:val="000000"/>
          <w:spacing w:val="0"/>
          <w:w w:val="100"/>
          <w:position w:val="0"/>
        </w:rPr>
        <w:t>号”验资报告验证。</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日，北京中科金财科技有限公司增加注册资本</w:t>
      </w:r>
      <w:r>
        <w:rPr>
          <w:color w:val="000000"/>
          <w:spacing w:val="0"/>
          <w:w w:val="100"/>
          <w:position w:val="0"/>
        </w:rPr>
        <w:t>150</w:t>
      </w:r>
      <w:r>
        <w:rPr>
          <w:color w:val="000000"/>
          <w:spacing w:val="0"/>
          <w:w w:val="100"/>
          <w:position w:val="0"/>
        </w:rPr>
        <w:t>万元。经</w:t>
      </w:r>
      <w:r>
        <w:rPr>
          <w:color w:val="000000"/>
          <w:spacing w:val="0"/>
          <w:w w:val="100"/>
          <w:position w:val="0"/>
        </w:rPr>
        <w:t>2004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日北京中科金财 科技有限公司股东会决议通过，公司注册资本变更为</w:t>
      </w:r>
      <w:r>
        <w:rPr>
          <w:color w:val="000000"/>
          <w:spacing w:val="0"/>
          <w:w w:val="100"/>
          <w:position w:val="0"/>
        </w:rPr>
        <w:t>200</w:t>
      </w:r>
      <w:r>
        <w:rPr>
          <w:color w:val="000000"/>
          <w:spacing w:val="0"/>
          <w:w w:val="100"/>
          <w:position w:val="0"/>
        </w:rPr>
        <w:t>万元。北京盛阳金财科技有限公司将其持有的</w:t>
      </w:r>
      <w:r>
        <w:rPr>
          <w:color w:val="000000"/>
          <w:spacing w:val="0"/>
          <w:w w:val="100"/>
          <w:position w:val="0"/>
        </w:rPr>
        <w:t xml:space="preserve">80% </w:t>
      </w:r>
      <w:r>
        <w:rPr>
          <w:color w:val="000000"/>
          <w:spacing w:val="0"/>
          <w:w w:val="100"/>
          <w:position w:val="0"/>
        </w:rPr>
        <w:t>股权全部转让予自然人沈飒，同时沈飒追加出资</w:t>
      </w:r>
      <w:r>
        <w:rPr>
          <w:color w:val="000000"/>
          <w:spacing w:val="0"/>
          <w:w w:val="100"/>
          <w:position w:val="0"/>
        </w:rPr>
        <w:t>30</w:t>
      </w:r>
      <w:r>
        <w:rPr>
          <w:color w:val="000000"/>
          <w:spacing w:val="0"/>
          <w:w w:val="100"/>
          <w:position w:val="0"/>
        </w:rPr>
        <w:t>万元；新增自然人股东蔡迦以货币出资</w:t>
      </w:r>
      <w:r>
        <w:rPr>
          <w:color w:val="000000"/>
          <w:spacing w:val="0"/>
          <w:w w:val="100"/>
          <w:position w:val="0"/>
        </w:rPr>
        <w:t>46</w:t>
      </w:r>
      <w:r>
        <w:rPr>
          <w:color w:val="000000"/>
          <w:spacing w:val="0"/>
          <w:w w:val="100"/>
          <w:position w:val="0"/>
        </w:rPr>
        <w:t>万元；新增自 然人股东陈绪华以货币出资</w:t>
      </w:r>
      <w:r>
        <w:rPr>
          <w:color w:val="000000"/>
          <w:spacing w:val="0"/>
          <w:w w:val="100"/>
          <w:position w:val="0"/>
        </w:rPr>
        <w:t>74</w:t>
      </w:r>
      <w:r>
        <w:rPr>
          <w:color w:val="000000"/>
          <w:spacing w:val="0"/>
          <w:w w:val="100"/>
          <w:position w:val="0"/>
        </w:rPr>
        <w:t>万元，变更后公司股权结构为：沈飒持股</w:t>
      </w:r>
      <w:r>
        <w:rPr>
          <w:color w:val="000000"/>
          <w:spacing w:val="0"/>
          <w:w w:val="100"/>
          <w:position w:val="0"/>
        </w:rPr>
        <w:t>40%</w:t>
      </w:r>
      <w:r>
        <w:rPr>
          <w:color w:val="000000"/>
          <w:spacing w:val="0"/>
          <w:w w:val="100"/>
          <w:position w:val="0"/>
        </w:rPr>
        <w:t>、蔡迦持股</w:t>
      </w:r>
      <w:r>
        <w:rPr>
          <w:color w:val="000000"/>
          <w:spacing w:val="0"/>
          <w:w w:val="100"/>
          <w:position w:val="0"/>
        </w:rPr>
        <w:t>23%</w:t>
      </w:r>
      <w:r>
        <w:rPr>
          <w:color w:val="000000"/>
          <w:spacing w:val="0"/>
          <w:w w:val="100"/>
          <w:position w:val="0"/>
        </w:rPr>
        <w:t>、陈绪华持股</w:t>
      </w:r>
      <w:r>
        <w:rPr>
          <w:color w:val="000000"/>
          <w:spacing w:val="0"/>
          <w:w w:val="100"/>
          <w:position w:val="0"/>
        </w:rPr>
        <w:t>37%</w:t>
      </w:r>
      <w:r>
        <w:rPr>
          <w:color w:val="000000"/>
          <w:spacing w:val="0"/>
          <w:w w:val="100"/>
          <w:position w:val="0"/>
        </w:rPr>
        <w:t>。</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日，北京中科金财科技有限公司增加注册资本</w:t>
      </w:r>
      <w:r>
        <w:rPr>
          <w:color w:val="000000"/>
          <w:spacing w:val="0"/>
          <w:w w:val="100"/>
          <w:position w:val="0"/>
        </w:rPr>
        <w:t>800</w:t>
      </w:r>
      <w:r>
        <w:rPr>
          <w:color w:val="000000"/>
          <w:spacing w:val="0"/>
          <w:w w:val="100"/>
          <w:position w:val="0"/>
        </w:rPr>
        <w:t>万元。经</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日北京中科金财科 技有限公司股东会决议通过，公司注册资本变更为</w:t>
      </w:r>
      <w:r>
        <w:rPr>
          <w:color w:val="000000"/>
          <w:spacing w:val="0"/>
          <w:w w:val="100"/>
          <w:position w:val="0"/>
        </w:rPr>
        <w:t>1,000</w:t>
      </w:r>
      <w:r>
        <w:rPr>
          <w:color w:val="000000"/>
          <w:spacing w:val="0"/>
          <w:w w:val="100"/>
          <w:position w:val="0"/>
        </w:rPr>
        <w:t>万元。北京中科金宏科技有限公司以货币出资</w:t>
      </w:r>
      <w:r>
        <w:rPr>
          <w:color w:val="000000"/>
          <w:spacing w:val="0"/>
          <w:w w:val="100"/>
          <w:position w:val="0"/>
        </w:rPr>
        <w:t xml:space="preserve">800 </w:t>
      </w:r>
      <w:r>
        <w:rPr>
          <w:color w:val="000000"/>
          <w:spacing w:val="0"/>
          <w:w w:val="100"/>
          <w:position w:val="0"/>
        </w:rPr>
        <w:t>万元（实际控制人为沈飒），持有公司</w:t>
      </w:r>
      <w:r>
        <w:rPr>
          <w:color w:val="000000"/>
          <w:spacing w:val="0"/>
          <w:w w:val="100"/>
          <w:position w:val="0"/>
        </w:rPr>
        <w:t>80%</w:t>
      </w:r>
      <w:r>
        <w:rPr>
          <w:color w:val="000000"/>
          <w:spacing w:val="0"/>
          <w:w w:val="100"/>
          <w:position w:val="0"/>
        </w:rPr>
        <w:t>的股权；其他股东的出资额不变。此次增资业经北京天平会计 师事务所有限责任公司</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日出具的“天平验资</w:t>
      </w:r>
      <w:r>
        <w:rPr>
          <w:color w:val="000000"/>
          <w:spacing w:val="0"/>
          <w:w w:val="100"/>
          <w:position w:val="0"/>
        </w:rPr>
        <w:t>（2006）</w:t>
      </w:r>
      <w:r>
        <w:rPr>
          <w:color w:val="000000"/>
          <w:spacing w:val="0"/>
          <w:w w:val="100"/>
          <w:position w:val="0"/>
        </w:rPr>
        <w:t>第</w:t>
      </w:r>
      <w:r>
        <w:rPr>
          <w:color w:val="000000"/>
          <w:spacing w:val="0"/>
          <w:w w:val="100"/>
          <w:position w:val="0"/>
        </w:rPr>
        <w:t>2003</w:t>
      </w:r>
      <w:r>
        <w:rPr>
          <w:color w:val="000000"/>
          <w:spacing w:val="0"/>
          <w:w w:val="100"/>
          <w:position w:val="0"/>
        </w:rPr>
        <w:t>号”验资报告验证。</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日，北京中科金宏科技有限公司与自然人沈飒、蔡迦、陈绪华和李彤彤等</w:t>
      </w:r>
      <w:r>
        <w:rPr>
          <w:color w:val="000000"/>
          <w:spacing w:val="0"/>
          <w:w w:val="100"/>
          <w:position w:val="0"/>
        </w:rPr>
        <w:t>4</w:t>
      </w:r>
      <w:r>
        <w:rPr>
          <w:color w:val="000000"/>
          <w:spacing w:val="0"/>
          <w:w w:val="100"/>
          <w:position w:val="0"/>
        </w:rPr>
        <w:t>人签署股权 转让协议，协议约定：北京中科金宏科技有限公司将其持有的</w:t>
      </w:r>
      <w:r>
        <w:rPr>
          <w:color w:val="000000"/>
          <w:spacing w:val="0"/>
          <w:w w:val="100"/>
          <w:position w:val="0"/>
        </w:rPr>
        <w:t>25.6%</w:t>
      </w:r>
      <w:r>
        <w:rPr>
          <w:color w:val="000000"/>
          <w:spacing w:val="0"/>
          <w:w w:val="100"/>
          <w:position w:val="0"/>
        </w:rPr>
        <w:t>股权转让予沈飒、将其持有的</w:t>
      </w:r>
      <w:r>
        <w:rPr>
          <w:color w:val="000000"/>
          <w:spacing w:val="0"/>
          <w:w w:val="100"/>
          <w:position w:val="0"/>
        </w:rPr>
        <w:t xml:space="preserve">14.72% </w:t>
      </w:r>
      <w:r>
        <w:rPr>
          <w:color w:val="000000"/>
          <w:spacing w:val="0"/>
          <w:w w:val="100"/>
          <w:position w:val="0"/>
        </w:rPr>
        <w:t>股权转让予蔡迦、将其持有的</w:t>
      </w:r>
      <w:r>
        <w:rPr>
          <w:color w:val="000000"/>
          <w:spacing w:val="0"/>
          <w:w w:val="100"/>
          <w:position w:val="0"/>
        </w:rPr>
        <w:t>23.68%</w:t>
      </w:r>
      <w:r>
        <w:rPr>
          <w:color w:val="000000"/>
          <w:spacing w:val="0"/>
          <w:w w:val="100"/>
          <w:position w:val="0"/>
        </w:rPr>
        <w:t>股权转让予陈绪华、将其持有的</w:t>
      </w:r>
      <w:r>
        <w:rPr>
          <w:color w:val="000000"/>
          <w:spacing w:val="0"/>
          <w:w w:val="100"/>
          <w:position w:val="0"/>
        </w:rPr>
        <w:t>16%</w:t>
      </w:r>
      <w:r>
        <w:rPr>
          <w:color w:val="000000"/>
          <w:spacing w:val="0"/>
          <w:w w:val="100"/>
          <w:position w:val="0"/>
        </w:rPr>
        <w:t>股权转让予李彤彤；变更后的股 权结构为：沈飒持股</w:t>
      </w:r>
      <w:r>
        <w:rPr>
          <w:color w:val="000000"/>
          <w:spacing w:val="0"/>
          <w:w w:val="100"/>
          <w:position w:val="0"/>
        </w:rPr>
        <w:t>33.60%；</w:t>
      </w:r>
      <w:r>
        <w:rPr>
          <w:color w:val="000000"/>
          <w:spacing w:val="0"/>
          <w:w w:val="100"/>
          <w:position w:val="0"/>
        </w:rPr>
        <w:t>陈绪华持股</w:t>
      </w:r>
      <w:r>
        <w:rPr>
          <w:color w:val="000000"/>
          <w:spacing w:val="0"/>
          <w:w w:val="100"/>
          <w:position w:val="0"/>
        </w:rPr>
        <w:t>31.08%；</w:t>
      </w:r>
      <w:r>
        <w:rPr>
          <w:color w:val="000000"/>
          <w:spacing w:val="0"/>
          <w:w w:val="100"/>
          <w:position w:val="0"/>
        </w:rPr>
        <w:t>蔡迦持股</w:t>
      </w:r>
      <w:r>
        <w:rPr>
          <w:color w:val="000000"/>
          <w:spacing w:val="0"/>
          <w:w w:val="100"/>
          <w:position w:val="0"/>
        </w:rPr>
        <w:t>19.32%；</w:t>
      </w:r>
      <w:r>
        <w:rPr>
          <w:color w:val="000000"/>
          <w:spacing w:val="0"/>
          <w:w w:val="100"/>
          <w:position w:val="0"/>
        </w:rPr>
        <w:t>李彤彤持股</w:t>
      </w:r>
      <w:r>
        <w:rPr>
          <w:color w:val="000000"/>
          <w:spacing w:val="0"/>
          <w:w w:val="100"/>
          <w:position w:val="0"/>
        </w:rPr>
        <w:t>16%</w:t>
      </w:r>
      <w:r>
        <w:rPr>
          <w:color w:val="000000"/>
          <w:spacing w:val="0"/>
          <w:w w:val="100"/>
          <w:position w:val="0"/>
        </w:rPr>
        <w:t>。</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日，股东陈绪华将其持有的公司</w:t>
      </w:r>
      <w:r>
        <w:rPr>
          <w:color w:val="000000"/>
          <w:spacing w:val="0"/>
          <w:w w:val="100"/>
          <w:position w:val="0"/>
        </w:rPr>
        <w:t>5%</w:t>
      </w:r>
      <w:r>
        <w:rPr>
          <w:color w:val="000000"/>
          <w:spacing w:val="0"/>
          <w:w w:val="100"/>
          <w:position w:val="0"/>
        </w:rPr>
        <w:t>的股权转让给沈飒。</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日，北京中科金财科技有限公司增加注册资本</w:t>
      </w:r>
      <w:r>
        <w:rPr>
          <w:color w:val="000000"/>
          <w:spacing w:val="0"/>
          <w:w w:val="100"/>
          <w:position w:val="0"/>
        </w:rPr>
        <w:t>200</w:t>
      </w:r>
      <w:r>
        <w:rPr>
          <w:color w:val="000000"/>
          <w:spacing w:val="0"/>
          <w:w w:val="100"/>
          <w:position w:val="0"/>
        </w:rPr>
        <w:t>万元，其中：自然人股东侯艾聪以货币 出资</w:t>
      </w:r>
      <w:r>
        <w:rPr>
          <w:color w:val="000000"/>
          <w:spacing w:val="0"/>
          <w:w w:val="100"/>
          <w:position w:val="0"/>
        </w:rPr>
        <w:t>80</w:t>
      </w:r>
      <w:r>
        <w:rPr>
          <w:color w:val="000000"/>
          <w:spacing w:val="0"/>
          <w:w w:val="100"/>
          <w:position w:val="0"/>
        </w:rPr>
        <w:t>万元；盖洪涛以货币出资</w:t>
      </w:r>
      <w:r>
        <w:rPr>
          <w:color w:val="000000"/>
          <w:spacing w:val="0"/>
          <w:w w:val="100"/>
          <w:position w:val="0"/>
        </w:rPr>
        <w:t>60</w:t>
      </w:r>
      <w:r>
        <w:rPr>
          <w:color w:val="000000"/>
          <w:spacing w:val="0"/>
          <w:w w:val="100"/>
          <w:position w:val="0"/>
        </w:rPr>
        <w:t>万元；沈飒以货币出资</w:t>
      </w:r>
      <w:r>
        <w:rPr>
          <w:color w:val="000000"/>
          <w:spacing w:val="0"/>
          <w:w w:val="100"/>
          <w:position w:val="0"/>
        </w:rPr>
        <w:t>30</w:t>
      </w:r>
      <w:r>
        <w:rPr>
          <w:color w:val="000000"/>
          <w:spacing w:val="0"/>
          <w:w w:val="100"/>
          <w:position w:val="0"/>
        </w:rPr>
        <w:t>万元；蔡迦以货币出资</w:t>
      </w:r>
      <w:r>
        <w:rPr>
          <w:color w:val="000000"/>
          <w:spacing w:val="0"/>
          <w:w w:val="100"/>
          <w:position w:val="0"/>
        </w:rPr>
        <w:t>30</w:t>
      </w:r>
      <w:r>
        <w:rPr>
          <w:color w:val="000000"/>
          <w:spacing w:val="0"/>
          <w:w w:val="100"/>
          <w:position w:val="0"/>
        </w:rPr>
        <w:t>万元。变更后的累计 注册资本为</w:t>
      </w:r>
      <w:r>
        <w:rPr>
          <w:color w:val="000000"/>
          <w:spacing w:val="0"/>
          <w:w w:val="100"/>
          <w:position w:val="0"/>
        </w:rPr>
        <w:t>1,200</w:t>
      </w:r>
      <w:r>
        <w:rPr>
          <w:color w:val="000000"/>
          <w:spacing w:val="0"/>
          <w:w w:val="100"/>
          <w:position w:val="0"/>
        </w:rPr>
        <w:t>万，其中：沈飒出资</w:t>
      </w:r>
      <w:r>
        <w:rPr>
          <w:color w:val="000000"/>
          <w:spacing w:val="0"/>
          <w:w w:val="100"/>
          <w:position w:val="0"/>
        </w:rPr>
        <w:t>416</w:t>
      </w:r>
      <w:r>
        <w:rPr>
          <w:color w:val="000000"/>
          <w:spacing w:val="0"/>
          <w:w w:val="100"/>
          <w:position w:val="0"/>
        </w:rPr>
        <w:t>万，占注册资本的</w:t>
      </w:r>
      <w:r>
        <w:rPr>
          <w:color w:val="000000"/>
          <w:spacing w:val="0"/>
          <w:w w:val="100"/>
          <w:position w:val="0"/>
        </w:rPr>
        <w:t>34.67%；</w:t>
      </w:r>
      <w:r>
        <w:rPr>
          <w:color w:val="000000"/>
          <w:spacing w:val="0"/>
          <w:w w:val="100"/>
          <w:position w:val="0"/>
        </w:rPr>
        <w:t>陈绪华出资</w:t>
      </w:r>
      <w:r>
        <w:rPr>
          <w:color w:val="000000"/>
          <w:spacing w:val="0"/>
          <w:w w:val="100"/>
          <w:position w:val="0"/>
        </w:rPr>
        <w:t xml:space="preserve">260. </w:t>
      </w:r>
      <w:r>
        <w:rPr>
          <w:color w:val="000000"/>
          <w:spacing w:val="0"/>
          <w:w w:val="100"/>
          <w:position w:val="0"/>
        </w:rPr>
        <w:t>80</w:t>
      </w:r>
      <w:r>
        <w:rPr>
          <w:color w:val="000000"/>
          <w:spacing w:val="0"/>
          <w:w w:val="100"/>
          <w:position w:val="0"/>
        </w:rPr>
        <w:t xml:space="preserve">万，占注册资本的 </w:t>
      </w:r>
      <w:r>
        <w:rPr>
          <w:color w:val="000000"/>
          <w:spacing w:val="0"/>
          <w:w w:val="100"/>
          <w:position w:val="0"/>
        </w:rPr>
        <w:t>21.73%</w:t>
      </w:r>
      <w:r>
        <w:rPr>
          <w:color w:val="000000"/>
          <w:spacing w:val="0"/>
          <w:w w:val="100"/>
          <w:position w:val="0"/>
        </w:rPr>
        <w:t>；蔡迦出资</w:t>
      </w:r>
      <w:r>
        <w:rPr>
          <w:color w:val="000000"/>
          <w:spacing w:val="0"/>
          <w:w w:val="100"/>
          <w:position w:val="0"/>
        </w:rPr>
        <w:t>223.20</w:t>
      </w:r>
      <w:r>
        <w:rPr>
          <w:color w:val="000000"/>
          <w:spacing w:val="0"/>
          <w:w w:val="100"/>
          <w:position w:val="0"/>
        </w:rPr>
        <w:t>万，占注册资本的</w:t>
      </w:r>
      <w:r>
        <w:rPr>
          <w:color w:val="000000"/>
          <w:spacing w:val="0"/>
          <w:w w:val="100"/>
          <w:position w:val="0"/>
        </w:rPr>
        <w:t>18.60%；</w:t>
      </w:r>
      <w:r>
        <w:rPr>
          <w:color w:val="000000"/>
          <w:spacing w:val="0"/>
          <w:w w:val="100"/>
          <w:position w:val="0"/>
        </w:rPr>
        <w:t>李彤彤出资</w:t>
      </w:r>
      <w:r>
        <w:rPr>
          <w:color w:val="000000"/>
          <w:spacing w:val="0"/>
          <w:w w:val="100"/>
          <w:position w:val="0"/>
        </w:rPr>
        <w:t>160</w:t>
      </w:r>
      <w:r>
        <w:rPr>
          <w:color w:val="000000"/>
          <w:spacing w:val="0"/>
          <w:w w:val="100"/>
          <w:position w:val="0"/>
        </w:rPr>
        <w:t>万，占注册资本的</w:t>
      </w:r>
      <w:r>
        <w:rPr>
          <w:color w:val="000000"/>
          <w:spacing w:val="0"/>
          <w:w w:val="100"/>
          <w:position w:val="0"/>
        </w:rPr>
        <w:t>13.33%</w:t>
      </w:r>
      <w:r>
        <w:rPr>
          <w:color w:val="000000"/>
          <w:spacing w:val="0"/>
          <w:w w:val="100"/>
          <w:position w:val="0"/>
        </w:rPr>
        <w:t>；侯艾聪出 资</w:t>
      </w:r>
      <w:r>
        <w:rPr>
          <w:color w:val="000000"/>
          <w:spacing w:val="0"/>
          <w:w w:val="100"/>
          <w:position w:val="0"/>
        </w:rPr>
        <w:t>80</w:t>
      </w:r>
      <w:r>
        <w:rPr>
          <w:color w:val="000000"/>
          <w:spacing w:val="0"/>
          <w:w w:val="100"/>
          <w:position w:val="0"/>
        </w:rPr>
        <w:t>万，占注册资本的</w:t>
      </w:r>
      <w:r>
        <w:rPr>
          <w:color w:val="000000"/>
          <w:spacing w:val="0"/>
          <w:w w:val="100"/>
          <w:position w:val="0"/>
        </w:rPr>
        <w:t>6.67%；</w:t>
      </w:r>
      <w:r>
        <w:rPr>
          <w:color w:val="000000"/>
          <w:spacing w:val="0"/>
          <w:w w:val="100"/>
          <w:position w:val="0"/>
        </w:rPr>
        <w:t>盖洪涛出资</w:t>
      </w:r>
      <w:r>
        <w:rPr>
          <w:color w:val="000000"/>
          <w:spacing w:val="0"/>
          <w:w w:val="100"/>
          <w:position w:val="0"/>
        </w:rPr>
        <w:t>60</w:t>
      </w:r>
      <w:r>
        <w:rPr>
          <w:color w:val="000000"/>
          <w:spacing w:val="0"/>
          <w:w w:val="100"/>
          <w:position w:val="0"/>
        </w:rPr>
        <w:t>万，占注册资本的</w:t>
      </w:r>
      <w:r>
        <w:rPr>
          <w:color w:val="000000"/>
          <w:spacing w:val="0"/>
          <w:w w:val="100"/>
          <w:position w:val="0"/>
        </w:rPr>
        <w:t>5.00%</w:t>
      </w:r>
      <w:r>
        <w:rPr>
          <w:color w:val="000000"/>
          <w:spacing w:val="0"/>
          <w:w w:val="100"/>
          <w:position w:val="0"/>
        </w:rPr>
        <w:t>。此次增资业经北京润鹏冀能会计师 事务所有限责任公司</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日出具的“润鹏审字</w:t>
      </w:r>
      <w:r>
        <w:rPr>
          <w:color w:val="000000"/>
          <w:spacing w:val="0"/>
          <w:w w:val="100"/>
          <w:position w:val="0"/>
        </w:rPr>
        <w:t>[2007]H232</w:t>
      </w:r>
      <w:r>
        <w:rPr>
          <w:color w:val="000000"/>
          <w:spacing w:val="0"/>
          <w:w w:val="100"/>
          <w:position w:val="0"/>
        </w:rPr>
        <w:t>1</w:t>
      </w:r>
      <w:r>
        <w:rPr>
          <w:color w:val="000000"/>
          <w:spacing w:val="0"/>
          <w:w w:val="100"/>
          <w:position w:val="0"/>
        </w:rPr>
        <w:t>号”验资报告验证。</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 北京市工商行政管理局海淀分局为公司换发了企业法人营业执照。</w:t>
      </w:r>
    </w:p>
    <w:p>
      <w:pPr>
        <w:pStyle w:val="Style33"/>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日，根据公司</w:t>
      </w:r>
      <w:r>
        <w:rPr>
          <w:color w:val="000000"/>
          <w:spacing w:val="0"/>
          <w:w w:val="100"/>
          <w:position w:val="0"/>
        </w:rPr>
        <w:t>2007</w:t>
      </w:r>
      <w:r>
        <w:rPr>
          <w:color w:val="000000"/>
          <w:spacing w:val="0"/>
          <w:w w:val="100"/>
          <w:position w:val="0"/>
        </w:rPr>
        <w:t>年第一次股东会决议、发起人协议，公司股东沈飒、陈绪华、蔡迦、李 彤彤、侯艾聪、盖洪涛等</w:t>
      </w:r>
      <w:r>
        <w:rPr>
          <w:color w:val="000000"/>
          <w:spacing w:val="0"/>
          <w:w w:val="100"/>
          <w:position w:val="0"/>
        </w:rPr>
        <w:t>6</w:t>
      </w:r>
      <w:r>
        <w:rPr>
          <w:color w:val="000000"/>
          <w:spacing w:val="0"/>
          <w:w w:val="100"/>
          <w:position w:val="0"/>
        </w:rPr>
        <w:t>名自然人作为发起人，依法将北京中科金财科技有限公司变更为股份有限公司。 根据发起人协议和公司章程的规定，注册资本为人民币</w:t>
      </w:r>
      <w:r>
        <w:rPr>
          <w:color w:val="000000"/>
          <w:spacing w:val="0"/>
          <w:w w:val="100"/>
          <w:position w:val="0"/>
        </w:rPr>
        <w:t>41,588,667.0</w:t>
      </w:r>
      <w:r>
        <w:rPr>
          <w:color w:val="000000"/>
          <w:spacing w:val="0"/>
          <w:w w:val="100"/>
          <w:position w:val="0"/>
        </w:rPr>
        <w:t>0</w:t>
      </w:r>
      <w:r>
        <w:rPr>
          <w:color w:val="000000"/>
          <w:spacing w:val="0"/>
          <w:w w:val="100"/>
          <w:position w:val="0"/>
        </w:rPr>
        <w:t>元，以公司截至</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日止的 净资产额</w:t>
      </w:r>
      <w:r>
        <w:rPr>
          <w:color w:val="000000"/>
          <w:spacing w:val="0"/>
          <w:w w:val="100"/>
          <w:position w:val="0"/>
        </w:rPr>
        <w:t xml:space="preserve">41,588, </w:t>
      </w:r>
      <w:r>
        <w:rPr>
          <w:color w:val="000000"/>
          <w:spacing w:val="0"/>
          <w:w w:val="100"/>
          <w:position w:val="0"/>
        </w:rPr>
        <w:t xml:space="preserve">667. </w:t>
      </w:r>
      <w:r>
        <w:rPr>
          <w:color w:val="000000"/>
          <w:spacing w:val="0"/>
          <w:w w:val="100"/>
          <w:position w:val="0"/>
        </w:rPr>
        <w:t>28</w:t>
      </w:r>
      <w:r>
        <w:rPr>
          <w:color w:val="000000"/>
          <w:spacing w:val="0"/>
          <w:w w:val="100"/>
          <w:position w:val="0"/>
        </w:rPr>
        <w:t>元作为折股依据，折合为股份有限公司股份</w:t>
      </w:r>
      <w:r>
        <w:rPr>
          <w:color w:val="000000"/>
          <w:spacing w:val="0"/>
          <w:w w:val="100"/>
          <w:position w:val="0"/>
        </w:rPr>
        <w:t>41,588,667</w:t>
      </w:r>
      <w:r>
        <w:rPr>
          <w:color w:val="000000"/>
          <w:spacing w:val="0"/>
          <w:w w:val="100"/>
          <w:position w:val="0"/>
        </w:rPr>
        <w:t xml:space="preserve">股。其中：沈飒持有 </w:t>
      </w:r>
      <w:r>
        <w:rPr>
          <w:color w:val="000000"/>
          <w:spacing w:val="0"/>
          <w:w w:val="100"/>
          <w:position w:val="0"/>
        </w:rPr>
        <w:t>14,417,404</w:t>
      </w:r>
      <w:r>
        <w:rPr>
          <w:color w:val="000000"/>
          <w:spacing w:val="0"/>
          <w:w w:val="100"/>
          <w:position w:val="0"/>
        </w:rPr>
        <w:t>股，占股本总额的</w:t>
      </w:r>
      <w:r>
        <w:rPr>
          <w:color w:val="000000"/>
          <w:spacing w:val="0"/>
          <w:w w:val="100"/>
          <w:position w:val="0"/>
        </w:rPr>
        <w:t>34.67%；</w:t>
      </w:r>
      <w:r>
        <w:rPr>
          <w:color w:val="000000"/>
          <w:spacing w:val="0"/>
          <w:w w:val="100"/>
          <w:position w:val="0"/>
        </w:rPr>
        <w:t>陈绪华持有</w:t>
      </w:r>
      <w:r>
        <w:rPr>
          <w:color w:val="000000"/>
          <w:spacing w:val="0"/>
          <w:w w:val="100"/>
          <w:position w:val="0"/>
        </w:rPr>
        <w:t>9,038,604</w:t>
      </w:r>
      <w:r>
        <w:rPr>
          <w:color w:val="000000"/>
          <w:spacing w:val="0"/>
          <w:w w:val="100"/>
          <w:position w:val="0"/>
        </w:rPr>
        <w:t>股，占股本总额的</w:t>
      </w:r>
      <w:r>
        <w:rPr>
          <w:color w:val="000000"/>
          <w:spacing w:val="0"/>
          <w:w w:val="100"/>
          <w:position w:val="0"/>
        </w:rPr>
        <w:t>21.73%；</w:t>
      </w:r>
      <w:r>
        <w:rPr>
          <w:color w:val="000000"/>
          <w:spacing w:val="0"/>
          <w:w w:val="100"/>
          <w:position w:val="0"/>
        </w:rPr>
        <w:t>蔡迦持有</w:t>
      </w:r>
      <w:r>
        <w:rPr>
          <w:color w:val="000000"/>
          <w:spacing w:val="0"/>
          <w:w w:val="100"/>
          <w:position w:val="0"/>
        </w:rPr>
        <w:t xml:space="preserve">7,735,492 </w:t>
      </w:r>
      <w:r>
        <w:rPr>
          <w:color w:val="000000"/>
          <w:spacing w:val="0"/>
          <w:w w:val="100"/>
          <w:position w:val="0"/>
        </w:rPr>
        <w:t>股，占股本总额的</w:t>
      </w:r>
      <w:r>
        <w:rPr>
          <w:color w:val="000000"/>
          <w:spacing w:val="0"/>
          <w:w w:val="100"/>
          <w:position w:val="0"/>
        </w:rPr>
        <w:t>18.60%；</w:t>
      </w:r>
      <w:r>
        <w:rPr>
          <w:color w:val="000000"/>
          <w:spacing w:val="0"/>
          <w:w w:val="100"/>
          <w:position w:val="0"/>
        </w:rPr>
        <w:t>李彤彤持有</w:t>
      </w:r>
      <w:r>
        <w:rPr>
          <w:color w:val="000000"/>
          <w:spacing w:val="0"/>
          <w:w w:val="100"/>
          <w:position w:val="0"/>
        </w:rPr>
        <w:t>5, 545, 156</w:t>
      </w:r>
      <w:r>
        <w:rPr>
          <w:color w:val="000000"/>
          <w:spacing w:val="0"/>
          <w:w w:val="100"/>
          <w:position w:val="0"/>
        </w:rPr>
        <w:t>股，占股本总额的</w:t>
      </w:r>
      <w:r>
        <w:rPr>
          <w:color w:val="000000"/>
          <w:spacing w:val="0"/>
          <w:w w:val="100"/>
          <w:position w:val="0"/>
        </w:rPr>
        <w:t>13.33%；</w:t>
      </w:r>
      <w:r>
        <w:rPr>
          <w:color w:val="000000"/>
          <w:spacing w:val="0"/>
          <w:w w:val="100"/>
          <w:position w:val="0"/>
        </w:rPr>
        <w:t>侯艾聪持有</w:t>
      </w:r>
      <w:r>
        <w:rPr>
          <w:color w:val="000000"/>
          <w:spacing w:val="0"/>
          <w:w w:val="100"/>
          <w:position w:val="0"/>
        </w:rPr>
        <w:t xml:space="preserve">2 772 </w:t>
      </w:r>
      <w:r>
        <w:rPr>
          <w:color w:val="000000"/>
          <w:spacing w:val="0"/>
          <w:w w:val="100"/>
          <w:position w:val="0"/>
        </w:rPr>
        <w:t>57R</w:t>
      </w:r>
      <w:r>
        <w:rPr>
          <w:color w:val="000000"/>
          <w:spacing w:val="0"/>
          <w:w w:val="100"/>
          <w:position w:val="0"/>
        </w:rPr>
        <w:t>盼.占</w:t>
      </w:r>
    </w:p>
    <w:p>
      <w:pPr>
        <w:pStyle w:val="Style58"/>
        <w:keepNext w:val="0"/>
        <w:keepLines w:val="0"/>
        <w:widowControl w:val="0"/>
        <w:shd w:val="clear" w:color="auto" w:fill="auto"/>
        <w:tabs>
          <w:tab w:pos="3830" w:val="left"/>
        </w:tabs>
        <w:bidi w:val="0"/>
        <w:spacing w:before="0" w:after="0" w:line="240" w:lineRule="auto"/>
        <w:ind w:left="0" w:right="0" w:firstLine="0"/>
        <w:jc w:val="right"/>
        <w:sectPr>
          <w:headerReference w:type="default" r:id="rId201"/>
          <w:footerReference w:type="default" r:id="rId202"/>
          <w:headerReference w:type="even" r:id="rId203"/>
          <w:footerReference w:type="even" r:id="rId204"/>
          <w:footnotePr>
            <w:pos w:val="pageBottom"/>
            <w:numFmt w:val="decimal"/>
            <w:numRestart w:val="continuous"/>
          </w:footnotePr>
          <w:pgSz w:w="11909" w:h="17415"/>
          <w:pgMar w:top="1362" w:right="1045" w:bottom="1490" w:left="1029" w:header="0" w:footer="1062" w:gutter="0"/>
          <w:pgNumType w:start="81"/>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80</w:t>
        <w:tab/>
      </w:r>
      <w:r>
        <w:rPr>
          <w:spacing w:val="0"/>
          <w:w w:val="100"/>
          <w:position w:val="0"/>
        </w:rPr>
        <w:t>cninf</w:t>
      </w:r>
    </w:p>
    <w:p>
      <w:pPr>
        <w:pStyle w:val="Style33"/>
        <w:keepNext w:val="0"/>
        <w:keepLines w:val="0"/>
        <w:widowControl w:val="0"/>
        <w:shd w:val="clear" w:color="auto" w:fill="auto"/>
        <w:bidi w:val="0"/>
        <w:spacing w:before="340" w:after="0" w:line="468" w:lineRule="exact"/>
        <w:ind w:left="0" w:right="0" w:firstLine="0"/>
        <w:jc w:val="both"/>
      </w:pPr>
      <w:r>
        <w:rPr>
          <w:color w:val="000000"/>
          <w:spacing w:val="0"/>
          <w:w w:val="100"/>
          <w:position w:val="0"/>
        </w:rPr>
        <w:t>股本总额的</w:t>
      </w:r>
      <w:r>
        <w:rPr>
          <w:color w:val="000000"/>
          <w:spacing w:val="0"/>
          <w:w w:val="100"/>
          <w:position w:val="0"/>
        </w:rPr>
        <w:t>6.67%；</w:t>
      </w:r>
      <w:r>
        <w:rPr>
          <w:color w:val="000000"/>
          <w:spacing w:val="0"/>
          <w:w w:val="100"/>
          <w:position w:val="0"/>
        </w:rPr>
        <w:t>盖洪涛持有</w:t>
      </w:r>
      <w:r>
        <w:rPr>
          <w:color w:val="000000"/>
          <w:spacing w:val="0"/>
          <w:w w:val="100"/>
          <w:position w:val="0"/>
        </w:rPr>
        <w:t>2,079,433</w:t>
      </w:r>
      <w:r>
        <w:rPr>
          <w:color w:val="000000"/>
          <w:spacing w:val="0"/>
          <w:w w:val="100"/>
          <w:position w:val="0"/>
        </w:rPr>
        <w:t>股，占股本总额的</w:t>
      </w:r>
      <w:r>
        <w:rPr>
          <w:color w:val="000000"/>
          <w:spacing w:val="0"/>
          <w:w w:val="100"/>
          <w:position w:val="0"/>
        </w:rPr>
        <w:t>5.00%</w:t>
      </w:r>
      <w:r>
        <w:rPr>
          <w:color w:val="000000"/>
          <w:spacing w:val="0"/>
          <w:w w:val="100"/>
          <w:position w:val="0"/>
        </w:rPr>
        <w:t>。余额</w:t>
      </w:r>
      <w:r>
        <w:rPr>
          <w:color w:val="000000"/>
          <w:spacing w:val="0"/>
          <w:w w:val="100"/>
          <w:position w:val="0"/>
        </w:rPr>
        <w:t>0.28</w:t>
      </w:r>
      <w:r>
        <w:rPr>
          <w:color w:val="000000"/>
          <w:spacing w:val="0"/>
          <w:w w:val="100"/>
          <w:position w:val="0"/>
        </w:rPr>
        <w:t>元计入公司资本公积。此次 净资产折股业经天华中兴会计师事务所有限公司</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日“天华中兴验字</w:t>
      </w:r>
      <w:r>
        <w:rPr>
          <w:color w:val="000000"/>
          <w:spacing w:val="0"/>
          <w:w w:val="100"/>
          <w:position w:val="0"/>
        </w:rPr>
        <w:t>［2007］</w:t>
      </w:r>
      <w:r>
        <w:rPr>
          <w:color w:val="000000"/>
          <w:spacing w:val="0"/>
          <w:w w:val="100"/>
          <w:position w:val="0"/>
        </w:rPr>
        <w:t>第</w:t>
      </w:r>
      <w:r>
        <w:rPr>
          <w:color w:val="000000"/>
          <w:spacing w:val="0"/>
          <w:w w:val="100"/>
          <w:position w:val="0"/>
        </w:rPr>
        <w:t>1205 —</w:t>
      </w:r>
      <w:r>
        <w:rPr>
          <w:color w:val="000000"/>
          <w:spacing w:val="0"/>
          <w:w w:val="100"/>
          <w:position w:val="0"/>
        </w:rPr>
        <w:t>01</w:t>
      </w:r>
      <w:r>
        <w:rPr>
          <w:color w:val="000000"/>
          <w:spacing w:val="0"/>
          <w:w w:val="100"/>
          <w:position w:val="0"/>
        </w:rPr>
        <w:t>号”验 资报告验证。北京市工商行政管理局于</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 xml:space="preserve">日向公司核发了变更后的企业法人营业执照（注册号： </w:t>
      </w:r>
      <w:r>
        <w:rPr>
          <w:color w:val="000000"/>
          <w:spacing w:val="0"/>
          <w:w w:val="100"/>
          <w:position w:val="0"/>
        </w:rPr>
        <w:t>110108006333023）</w:t>
      </w:r>
      <w:r>
        <w:rPr>
          <w:color w:val="000000"/>
          <w:spacing w:val="0"/>
          <w:w w:val="100"/>
          <w:position w:val="0"/>
        </w:rPr>
        <w:t>。</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日，根据公司第一届董事会第十五次会议及</w:t>
      </w:r>
      <w:r>
        <w:rPr>
          <w:color w:val="000000"/>
          <w:spacing w:val="0"/>
          <w:w w:val="100"/>
          <w:position w:val="0"/>
        </w:rPr>
        <w:t>2010</w:t>
      </w:r>
      <w:r>
        <w:rPr>
          <w:color w:val="000000"/>
          <w:spacing w:val="0"/>
          <w:w w:val="100"/>
          <w:position w:val="0"/>
        </w:rPr>
        <w:t>年度第一次临时股东大会分别审议通过， 公司增加股本</w:t>
      </w: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r>
        <w:rPr>
          <w:color w:val="000000"/>
          <w:spacing w:val="0"/>
          <w:w w:val="100"/>
          <w:position w:val="0"/>
        </w:rPr>
        <w:t>元，全部由天津达晨创富股权投资基金中心（有限合伙）（以下简称“达晨”） 以货币资金缴足。变更后的注册资本为</w:t>
      </w:r>
      <w:r>
        <w:rPr>
          <w:color w:val="000000"/>
          <w:spacing w:val="0"/>
          <w:w w:val="100"/>
          <w:position w:val="0"/>
        </w:rPr>
        <w:t>45,588,667.0</w:t>
      </w:r>
      <w:r>
        <w:rPr>
          <w:color w:val="000000"/>
          <w:spacing w:val="0"/>
          <w:w w:val="100"/>
          <w:position w:val="0"/>
        </w:rPr>
        <w:t>0</w:t>
      </w:r>
      <w:r>
        <w:rPr>
          <w:color w:val="000000"/>
          <w:spacing w:val="0"/>
          <w:w w:val="100"/>
          <w:position w:val="0"/>
        </w:rPr>
        <w:t>元，变更后的股权结构为：沈飒持有</w:t>
      </w:r>
      <w:r>
        <w:rPr>
          <w:color w:val="000000"/>
          <w:spacing w:val="0"/>
          <w:w w:val="100"/>
          <w:position w:val="0"/>
        </w:rPr>
        <w:t xml:space="preserve">14,417,404.00 </w:t>
      </w:r>
      <w:r>
        <w:rPr>
          <w:color w:val="000000"/>
          <w:spacing w:val="0"/>
          <w:w w:val="100"/>
          <w:position w:val="0"/>
        </w:rPr>
        <w:t>股，占股本总额的</w:t>
      </w:r>
      <w:r>
        <w:rPr>
          <w:color w:val="000000"/>
          <w:spacing w:val="0"/>
          <w:w w:val="100"/>
          <w:position w:val="0"/>
        </w:rPr>
        <w:t>31.63%；</w:t>
      </w:r>
      <w:r>
        <w:rPr>
          <w:color w:val="000000"/>
          <w:spacing w:val="0"/>
          <w:w w:val="100"/>
          <w:position w:val="0"/>
        </w:rPr>
        <w:t>陈绪华持有</w:t>
      </w:r>
      <w:r>
        <w:rPr>
          <w:color w:val="000000"/>
          <w:spacing w:val="0"/>
          <w:w w:val="100"/>
          <w:position w:val="0"/>
        </w:rPr>
        <w:t>9,038,604.00</w:t>
      </w:r>
      <w:r>
        <w:rPr>
          <w:color w:val="000000"/>
          <w:spacing w:val="0"/>
          <w:w w:val="100"/>
          <w:position w:val="0"/>
        </w:rPr>
        <w:t>股，占股本总额的</w:t>
      </w:r>
      <w:r>
        <w:rPr>
          <w:color w:val="000000"/>
          <w:spacing w:val="0"/>
          <w:w w:val="100"/>
          <w:position w:val="0"/>
        </w:rPr>
        <w:t>19.83%；</w:t>
      </w:r>
      <w:r>
        <w:rPr>
          <w:color w:val="000000"/>
          <w:spacing w:val="0"/>
          <w:w w:val="100"/>
          <w:position w:val="0"/>
        </w:rPr>
        <w:t>蔡迦持有</w:t>
      </w:r>
      <w:r>
        <w:rPr>
          <w:color w:val="000000"/>
          <w:spacing w:val="0"/>
          <w:w w:val="100"/>
          <w:position w:val="0"/>
        </w:rPr>
        <w:t xml:space="preserve">7, 735, </w:t>
      </w:r>
      <w:r>
        <w:rPr>
          <w:color w:val="000000"/>
          <w:spacing w:val="0"/>
          <w:w w:val="100"/>
          <w:position w:val="0"/>
        </w:rPr>
        <w:t xml:space="preserve">492. </w:t>
      </w:r>
      <w:r>
        <w:rPr>
          <w:color w:val="000000"/>
          <w:spacing w:val="0"/>
          <w:w w:val="100"/>
          <w:position w:val="0"/>
        </w:rPr>
        <w:t>00</w:t>
      </w:r>
      <w:r>
        <w:rPr>
          <w:color w:val="000000"/>
          <w:spacing w:val="0"/>
          <w:w w:val="100"/>
          <w:position w:val="0"/>
        </w:rPr>
        <w:t>股， 占股本总额的</w:t>
      </w:r>
      <w:r>
        <w:rPr>
          <w:color w:val="000000"/>
          <w:spacing w:val="0"/>
          <w:w w:val="100"/>
          <w:position w:val="0"/>
        </w:rPr>
        <w:t>16.97%；</w:t>
      </w:r>
      <w:r>
        <w:rPr>
          <w:color w:val="000000"/>
          <w:spacing w:val="0"/>
          <w:w w:val="100"/>
          <w:position w:val="0"/>
        </w:rPr>
        <w:t>李彤彤持有</w:t>
      </w:r>
      <w:r>
        <w:rPr>
          <w:color w:val="000000"/>
          <w:spacing w:val="0"/>
          <w:w w:val="100"/>
          <w:position w:val="0"/>
        </w:rPr>
        <w:t xml:space="preserve">5, 545, </w:t>
      </w:r>
      <w:r>
        <w:rPr>
          <w:color w:val="000000"/>
          <w:spacing w:val="0"/>
          <w:w w:val="100"/>
          <w:position w:val="0"/>
        </w:rPr>
        <w:t xml:space="preserve">156. </w:t>
      </w:r>
      <w:r>
        <w:rPr>
          <w:color w:val="000000"/>
          <w:spacing w:val="0"/>
          <w:w w:val="100"/>
          <w:position w:val="0"/>
        </w:rPr>
        <w:t>00</w:t>
      </w:r>
      <w:r>
        <w:rPr>
          <w:color w:val="000000"/>
          <w:spacing w:val="0"/>
          <w:w w:val="100"/>
          <w:position w:val="0"/>
        </w:rPr>
        <w:t>股，占股本总额的</w:t>
      </w:r>
      <w:r>
        <w:rPr>
          <w:color w:val="000000"/>
          <w:spacing w:val="0"/>
          <w:w w:val="100"/>
          <w:position w:val="0"/>
        </w:rPr>
        <w:t>12.16%；</w:t>
      </w:r>
      <w:r>
        <w:rPr>
          <w:color w:val="000000"/>
          <w:spacing w:val="0"/>
          <w:w w:val="100"/>
          <w:position w:val="0"/>
        </w:rPr>
        <w:t>侯艾聪持有</w:t>
      </w:r>
      <w:r>
        <w:rPr>
          <w:color w:val="000000"/>
          <w:spacing w:val="0"/>
          <w:w w:val="100"/>
          <w:position w:val="0"/>
        </w:rPr>
        <w:t xml:space="preserve">2, 772, </w:t>
      </w:r>
      <w:r>
        <w:rPr>
          <w:color w:val="000000"/>
          <w:spacing w:val="0"/>
          <w:w w:val="100"/>
          <w:position w:val="0"/>
        </w:rPr>
        <w:t xml:space="preserve">578. </w:t>
      </w:r>
      <w:r>
        <w:rPr>
          <w:color w:val="000000"/>
          <w:spacing w:val="0"/>
          <w:w w:val="100"/>
          <w:position w:val="0"/>
        </w:rPr>
        <w:t>00</w:t>
      </w:r>
      <w:r>
        <w:rPr>
          <w:color w:val="000000"/>
          <w:spacing w:val="0"/>
          <w:w w:val="100"/>
          <w:position w:val="0"/>
        </w:rPr>
        <w:t>股， 占股本总额的</w:t>
      </w:r>
      <w:r>
        <w:rPr>
          <w:color w:val="000000"/>
          <w:spacing w:val="0"/>
          <w:w w:val="100"/>
          <w:position w:val="0"/>
        </w:rPr>
        <w:t xml:space="preserve">6. </w:t>
      </w:r>
      <w:r>
        <w:rPr>
          <w:color w:val="000000"/>
          <w:spacing w:val="0"/>
          <w:w w:val="100"/>
          <w:position w:val="0"/>
        </w:rPr>
        <w:t>08%；</w:t>
      </w:r>
      <w:r>
        <w:rPr>
          <w:color w:val="000000"/>
          <w:spacing w:val="0"/>
          <w:w w:val="100"/>
          <w:position w:val="0"/>
        </w:rPr>
        <w:t>盖洪涛持有</w:t>
      </w:r>
      <w:r>
        <w:rPr>
          <w:color w:val="000000"/>
          <w:spacing w:val="0"/>
          <w:w w:val="100"/>
          <w:position w:val="0"/>
        </w:rPr>
        <w:t>2,079,433.00</w:t>
      </w:r>
      <w:r>
        <w:rPr>
          <w:color w:val="000000"/>
          <w:spacing w:val="0"/>
          <w:w w:val="100"/>
          <w:position w:val="0"/>
        </w:rPr>
        <w:t>股，占股本总额的</w:t>
      </w:r>
      <w:r>
        <w:rPr>
          <w:color w:val="000000"/>
          <w:spacing w:val="0"/>
          <w:w w:val="100"/>
          <w:position w:val="0"/>
        </w:rPr>
        <w:t xml:space="preserve">4. </w:t>
      </w:r>
      <w:r>
        <w:rPr>
          <w:color w:val="000000"/>
          <w:spacing w:val="0"/>
          <w:w w:val="100"/>
          <w:position w:val="0"/>
        </w:rPr>
        <w:t>56%；</w:t>
      </w:r>
      <w:r>
        <w:rPr>
          <w:color w:val="000000"/>
          <w:spacing w:val="0"/>
          <w:w w:val="100"/>
          <w:position w:val="0"/>
        </w:rPr>
        <w:t>达晨持有</w:t>
      </w: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r>
        <w:rPr>
          <w:color w:val="000000"/>
          <w:spacing w:val="0"/>
          <w:w w:val="100"/>
          <w:position w:val="0"/>
        </w:rPr>
        <w:t>股，占 股本总额的</w:t>
      </w:r>
      <w:r>
        <w:rPr>
          <w:color w:val="000000"/>
          <w:spacing w:val="0"/>
          <w:w w:val="100"/>
          <w:position w:val="0"/>
        </w:rPr>
        <w:t>8.77%</w:t>
      </w:r>
      <w:r>
        <w:rPr>
          <w:color w:val="000000"/>
          <w:spacing w:val="0"/>
          <w:w w:val="100"/>
          <w:position w:val="0"/>
        </w:rPr>
        <w:t>。此次增资产生资本溢价</w:t>
      </w:r>
      <w:r>
        <w:rPr>
          <w:color w:val="000000"/>
          <w:spacing w:val="0"/>
          <w:w w:val="100"/>
          <w:position w:val="0"/>
        </w:rPr>
        <w:t>32,000,000.0</w:t>
      </w:r>
      <w:r>
        <w:rPr>
          <w:color w:val="000000"/>
          <w:spacing w:val="0"/>
          <w:w w:val="100"/>
          <w:position w:val="0"/>
        </w:rPr>
        <w:t>0</w:t>
      </w:r>
      <w:r>
        <w:rPr>
          <w:color w:val="000000"/>
          <w:spacing w:val="0"/>
          <w:w w:val="100"/>
          <w:position w:val="0"/>
        </w:rPr>
        <w:t>元，全部计公司资本公积金。此次增资业经立信 会计师事务所有限公司</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日出具的“信会师报字</w:t>
      </w:r>
      <w:r>
        <w:rPr>
          <w:color w:val="000000"/>
          <w:spacing w:val="0"/>
          <w:w w:val="100"/>
          <w:position w:val="0"/>
        </w:rPr>
        <w:t>（2010）</w:t>
      </w:r>
      <w:r>
        <w:rPr>
          <w:color w:val="000000"/>
          <w:spacing w:val="0"/>
          <w:w w:val="100"/>
          <w:position w:val="0"/>
        </w:rPr>
        <w:t>第</w:t>
      </w:r>
      <w:r>
        <w:rPr>
          <w:color w:val="000000"/>
          <w:spacing w:val="0"/>
          <w:w w:val="100"/>
          <w:position w:val="0"/>
        </w:rPr>
        <w:t>80462</w:t>
      </w:r>
      <w:r>
        <w:rPr>
          <w:color w:val="000000"/>
          <w:spacing w:val="0"/>
          <w:w w:val="100"/>
          <w:position w:val="0"/>
        </w:rPr>
        <w:t>号”验资报告验证。</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日，根据公司第一届董事会第十六次会议及</w:t>
      </w:r>
      <w:r>
        <w:rPr>
          <w:color w:val="000000"/>
          <w:spacing w:val="0"/>
          <w:w w:val="100"/>
          <w:position w:val="0"/>
        </w:rPr>
        <w:t>2009</w:t>
      </w:r>
      <w:r>
        <w:rPr>
          <w:color w:val="000000"/>
          <w:spacing w:val="0"/>
          <w:w w:val="100"/>
          <w:position w:val="0"/>
        </w:rPr>
        <w:t>年度股东大会分别审议通过，公司增加股 本</w:t>
      </w:r>
      <w:r>
        <w:rPr>
          <w:color w:val="000000"/>
          <w:spacing w:val="0"/>
          <w:w w:val="100"/>
          <w:position w:val="0"/>
        </w:rPr>
        <w:t>2,000,000.00</w:t>
      </w:r>
      <w:r>
        <w:rPr>
          <w:color w:val="000000"/>
          <w:spacing w:val="0"/>
          <w:w w:val="100"/>
          <w:position w:val="0"/>
        </w:rPr>
        <w:t>元，全部由天津常春藤一期股权投资中心（有限合伙）（以下简称“常春藤”）以货币资 金缴足。变更后的注册资本为</w:t>
      </w:r>
      <w:r>
        <w:rPr>
          <w:color w:val="000000"/>
          <w:spacing w:val="0"/>
          <w:w w:val="100"/>
          <w:position w:val="0"/>
        </w:rPr>
        <w:t>47,588,667.00</w:t>
      </w:r>
      <w:r>
        <w:rPr>
          <w:color w:val="000000"/>
          <w:spacing w:val="0"/>
          <w:w w:val="100"/>
          <w:position w:val="0"/>
        </w:rPr>
        <w:t>元，变更后的股权结构为：沈飒持有</w:t>
      </w:r>
      <w:r>
        <w:rPr>
          <w:color w:val="000000"/>
          <w:spacing w:val="0"/>
          <w:w w:val="100"/>
          <w:position w:val="0"/>
        </w:rPr>
        <w:t>14,417,404.00</w:t>
      </w:r>
      <w:r>
        <w:rPr>
          <w:color w:val="000000"/>
          <w:spacing w:val="0"/>
          <w:w w:val="100"/>
          <w:position w:val="0"/>
        </w:rPr>
        <w:t>股，占股 本总额的</w:t>
      </w:r>
      <w:r>
        <w:rPr>
          <w:color w:val="000000"/>
          <w:spacing w:val="0"/>
          <w:w w:val="100"/>
          <w:position w:val="0"/>
        </w:rPr>
        <w:t>30.296%；</w:t>
      </w:r>
      <w:r>
        <w:rPr>
          <w:color w:val="000000"/>
          <w:spacing w:val="0"/>
          <w:w w:val="100"/>
          <w:position w:val="0"/>
        </w:rPr>
        <w:t>陈绪华持有</w:t>
      </w:r>
      <w:r>
        <w:rPr>
          <w:color w:val="000000"/>
          <w:spacing w:val="0"/>
          <w:w w:val="100"/>
          <w:position w:val="0"/>
        </w:rPr>
        <w:t>9,038,604.00</w:t>
      </w:r>
      <w:r>
        <w:rPr>
          <w:color w:val="000000"/>
          <w:spacing w:val="0"/>
          <w:w w:val="100"/>
          <w:position w:val="0"/>
        </w:rPr>
        <w:t>股，占股本总额的</w:t>
      </w:r>
      <w:r>
        <w:rPr>
          <w:color w:val="000000"/>
          <w:spacing w:val="0"/>
          <w:w w:val="100"/>
          <w:position w:val="0"/>
        </w:rPr>
        <w:t>18.993%；</w:t>
      </w:r>
      <w:r>
        <w:rPr>
          <w:color w:val="000000"/>
          <w:spacing w:val="0"/>
          <w:w w:val="100"/>
          <w:position w:val="0"/>
        </w:rPr>
        <w:t>蔡迦持有</w:t>
      </w:r>
      <w:r>
        <w:rPr>
          <w:color w:val="000000"/>
          <w:spacing w:val="0"/>
          <w:w w:val="100"/>
          <w:position w:val="0"/>
        </w:rPr>
        <w:t>7,735,492.00</w:t>
      </w:r>
      <w:r>
        <w:rPr>
          <w:color w:val="000000"/>
          <w:spacing w:val="0"/>
          <w:w w:val="100"/>
          <w:position w:val="0"/>
        </w:rPr>
        <w:t>股，占 股本总额的</w:t>
      </w:r>
      <w:r>
        <w:rPr>
          <w:color w:val="000000"/>
          <w:spacing w:val="0"/>
          <w:w w:val="100"/>
          <w:position w:val="0"/>
        </w:rPr>
        <w:t>16.255%；</w:t>
      </w:r>
      <w:r>
        <w:rPr>
          <w:color w:val="000000"/>
          <w:spacing w:val="0"/>
          <w:w w:val="100"/>
          <w:position w:val="0"/>
        </w:rPr>
        <w:t>李彤彤持有</w:t>
      </w:r>
      <w:r>
        <w:rPr>
          <w:color w:val="000000"/>
          <w:spacing w:val="0"/>
          <w:w w:val="100"/>
          <w:position w:val="0"/>
        </w:rPr>
        <w:t>5,545,156.00</w:t>
      </w:r>
      <w:r>
        <w:rPr>
          <w:color w:val="000000"/>
          <w:spacing w:val="0"/>
          <w:w w:val="100"/>
          <w:position w:val="0"/>
        </w:rPr>
        <w:t>股，占股本总额的</w:t>
      </w:r>
      <w:r>
        <w:rPr>
          <w:color w:val="000000"/>
          <w:spacing w:val="0"/>
          <w:w w:val="100"/>
          <w:position w:val="0"/>
        </w:rPr>
        <w:t>11.652%；</w:t>
      </w:r>
      <w:r>
        <w:rPr>
          <w:color w:val="000000"/>
          <w:spacing w:val="0"/>
          <w:w w:val="100"/>
          <w:position w:val="0"/>
        </w:rPr>
        <w:t>侯艾聪持有</w:t>
      </w:r>
      <w:r>
        <w:rPr>
          <w:color w:val="000000"/>
          <w:spacing w:val="0"/>
          <w:w w:val="100"/>
          <w:position w:val="0"/>
        </w:rPr>
        <w:t xml:space="preserve">2, 772, </w:t>
      </w:r>
      <w:r>
        <w:rPr>
          <w:color w:val="000000"/>
          <w:spacing w:val="0"/>
          <w:w w:val="100"/>
          <w:position w:val="0"/>
        </w:rPr>
        <w:t xml:space="preserve">578. </w:t>
      </w:r>
      <w:r>
        <w:rPr>
          <w:color w:val="000000"/>
          <w:spacing w:val="0"/>
          <w:w w:val="100"/>
          <w:position w:val="0"/>
        </w:rPr>
        <w:t>00</w:t>
      </w:r>
      <w:r>
        <w:rPr>
          <w:color w:val="000000"/>
          <w:spacing w:val="0"/>
          <w:w w:val="100"/>
          <w:position w:val="0"/>
        </w:rPr>
        <w:t>股， 占股本总额的</w:t>
      </w:r>
      <w:r>
        <w:rPr>
          <w:color w:val="000000"/>
          <w:spacing w:val="0"/>
          <w:w w:val="100"/>
          <w:position w:val="0"/>
        </w:rPr>
        <w:t xml:space="preserve">5. </w:t>
      </w:r>
      <w:r>
        <w:rPr>
          <w:color w:val="000000"/>
          <w:spacing w:val="0"/>
          <w:w w:val="100"/>
          <w:position w:val="0"/>
        </w:rPr>
        <w:t>826%；</w:t>
      </w:r>
      <w:r>
        <w:rPr>
          <w:color w:val="000000"/>
          <w:spacing w:val="0"/>
          <w:w w:val="100"/>
          <w:position w:val="0"/>
        </w:rPr>
        <w:t>盖洪涛持有</w:t>
      </w:r>
      <w:r>
        <w:rPr>
          <w:color w:val="000000"/>
          <w:spacing w:val="0"/>
          <w:w w:val="100"/>
          <w:position w:val="0"/>
        </w:rPr>
        <w:t xml:space="preserve">2, 079, </w:t>
      </w:r>
      <w:r>
        <w:rPr>
          <w:color w:val="000000"/>
          <w:spacing w:val="0"/>
          <w:w w:val="100"/>
          <w:position w:val="0"/>
        </w:rPr>
        <w:t xml:space="preserve">433. </w:t>
      </w:r>
      <w:r>
        <w:rPr>
          <w:color w:val="000000"/>
          <w:spacing w:val="0"/>
          <w:w w:val="100"/>
          <w:position w:val="0"/>
        </w:rPr>
        <w:t>00</w:t>
      </w:r>
      <w:r>
        <w:rPr>
          <w:color w:val="000000"/>
          <w:spacing w:val="0"/>
          <w:w w:val="100"/>
          <w:position w:val="0"/>
        </w:rPr>
        <w:t>股，占股本总额的</w:t>
      </w:r>
      <w:r>
        <w:rPr>
          <w:color w:val="000000"/>
          <w:spacing w:val="0"/>
          <w:w w:val="100"/>
          <w:position w:val="0"/>
        </w:rPr>
        <w:t>4.370%；</w:t>
      </w:r>
      <w:r>
        <w:rPr>
          <w:color w:val="000000"/>
          <w:spacing w:val="0"/>
          <w:w w:val="100"/>
          <w:position w:val="0"/>
        </w:rPr>
        <w:t>达晨持有</w:t>
      </w: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r>
        <w:rPr>
          <w:color w:val="000000"/>
          <w:spacing w:val="0"/>
          <w:w w:val="100"/>
          <w:position w:val="0"/>
        </w:rPr>
        <w:t>股， 占股本总额的</w:t>
      </w:r>
      <w:r>
        <w:rPr>
          <w:color w:val="000000"/>
          <w:spacing w:val="0"/>
          <w:w w:val="100"/>
          <w:position w:val="0"/>
        </w:rPr>
        <w:t xml:space="preserve">8. </w:t>
      </w:r>
      <w:r>
        <w:rPr>
          <w:color w:val="000000"/>
          <w:spacing w:val="0"/>
          <w:w w:val="100"/>
          <w:position w:val="0"/>
        </w:rPr>
        <w:t>405%；</w:t>
      </w:r>
      <w:r>
        <w:rPr>
          <w:color w:val="000000"/>
          <w:spacing w:val="0"/>
          <w:w w:val="100"/>
          <w:position w:val="0"/>
        </w:rPr>
        <w:t>常春藤持有</w:t>
      </w:r>
      <w:r>
        <w:rPr>
          <w:color w:val="000000"/>
          <w:spacing w:val="0"/>
          <w:w w:val="100"/>
          <w:position w:val="0"/>
        </w:rPr>
        <w:t>2,000,000.00</w:t>
      </w:r>
      <w:r>
        <w:rPr>
          <w:color w:val="000000"/>
          <w:spacing w:val="0"/>
          <w:w w:val="100"/>
          <w:position w:val="0"/>
        </w:rPr>
        <w:t>股，占股本总额的</w:t>
      </w:r>
      <w:r>
        <w:rPr>
          <w:color w:val="000000"/>
          <w:spacing w:val="0"/>
          <w:w w:val="100"/>
          <w:position w:val="0"/>
        </w:rPr>
        <w:t>4.203%</w:t>
      </w:r>
      <w:r>
        <w:rPr>
          <w:color w:val="000000"/>
          <w:spacing w:val="0"/>
          <w:w w:val="100"/>
          <w:position w:val="0"/>
        </w:rPr>
        <w:t xml:space="preserve">。此次增资产生资本溢价 </w:t>
      </w:r>
      <w:r>
        <w:rPr>
          <w:color w:val="000000"/>
          <w:spacing w:val="0"/>
          <w:w w:val="100"/>
          <w:position w:val="0"/>
        </w:rPr>
        <w:t>16,200,000.00</w:t>
      </w:r>
      <w:r>
        <w:rPr>
          <w:color w:val="000000"/>
          <w:spacing w:val="0"/>
          <w:w w:val="100"/>
          <w:position w:val="0"/>
        </w:rPr>
        <w:t>元，全部计入公司资本公积金。此次增资业经立信会计师事务所有限公司</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日出 具的“信会师报字</w:t>
      </w:r>
      <w:r>
        <w:rPr>
          <w:color w:val="000000"/>
          <w:spacing w:val="0"/>
          <w:w w:val="100"/>
          <w:position w:val="0"/>
        </w:rPr>
        <w:t>（2010）</w:t>
      </w:r>
      <w:r>
        <w:rPr>
          <w:color w:val="000000"/>
          <w:spacing w:val="0"/>
          <w:w w:val="100"/>
          <w:position w:val="0"/>
        </w:rPr>
        <w:t>第</w:t>
      </w:r>
      <w:r>
        <w:rPr>
          <w:color w:val="000000"/>
          <w:spacing w:val="0"/>
          <w:w w:val="100"/>
          <w:position w:val="0"/>
        </w:rPr>
        <w:t>80779</w:t>
      </w:r>
      <w:r>
        <w:rPr>
          <w:color w:val="000000"/>
          <w:spacing w:val="0"/>
          <w:w w:val="100"/>
          <w:position w:val="0"/>
        </w:rPr>
        <w:t>号”验资报告验证。</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日，根据公司第一届董事会第十六次会议及</w:t>
      </w:r>
      <w:r>
        <w:rPr>
          <w:color w:val="000000"/>
          <w:spacing w:val="0"/>
          <w:w w:val="100"/>
          <w:position w:val="0"/>
        </w:rPr>
        <w:t>2009</w:t>
      </w:r>
      <w:r>
        <w:rPr>
          <w:color w:val="000000"/>
          <w:spacing w:val="0"/>
          <w:w w:val="100"/>
          <w:position w:val="0"/>
        </w:rPr>
        <w:t>年度股东大会会议决议、股东侯艾聪与 常春藤、上海力鼎投资管理有限公司（以下简称“力鼎投资”）、深圳市孚威创业投资有限公司（以下简 称“孚威创投”）签署的《股份转让合同》，侯艾聪将其持有的本公司</w:t>
      </w:r>
      <w:r>
        <w:rPr>
          <w:color w:val="000000"/>
          <w:spacing w:val="0"/>
          <w:w w:val="100"/>
          <w:position w:val="0"/>
        </w:rPr>
        <w:t>5.826%</w:t>
      </w:r>
      <w:r>
        <w:rPr>
          <w:color w:val="000000"/>
          <w:spacing w:val="0"/>
          <w:w w:val="100"/>
          <w:position w:val="0"/>
        </w:rPr>
        <w:t>股份</w:t>
      </w:r>
      <w:r>
        <w:rPr>
          <w:color w:val="000000"/>
          <w:spacing w:val="0"/>
          <w:w w:val="100"/>
          <w:position w:val="0"/>
        </w:rPr>
        <w:t>（277.2578</w:t>
      </w:r>
      <w:r>
        <w:rPr>
          <w:color w:val="000000"/>
          <w:spacing w:val="0"/>
          <w:w w:val="100"/>
          <w:position w:val="0"/>
        </w:rPr>
        <w:t>万股）予以 转让，转让后的股权结构为：沈飒持有</w:t>
      </w:r>
      <w:r>
        <w:rPr>
          <w:color w:val="000000"/>
          <w:spacing w:val="0"/>
          <w:w w:val="100"/>
          <w:position w:val="0"/>
        </w:rPr>
        <w:t>14,417,404.0</w:t>
      </w:r>
      <w:r>
        <w:rPr>
          <w:color w:val="000000"/>
          <w:spacing w:val="0"/>
          <w:w w:val="100"/>
          <w:position w:val="0"/>
        </w:rPr>
        <w:t>0</w:t>
      </w:r>
      <w:r>
        <w:rPr>
          <w:color w:val="000000"/>
          <w:spacing w:val="0"/>
          <w:w w:val="100"/>
          <w:position w:val="0"/>
        </w:rPr>
        <w:t>股，占股本总额的</w:t>
      </w:r>
      <w:r>
        <w:rPr>
          <w:color w:val="000000"/>
          <w:spacing w:val="0"/>
          <w:w w:val="100"/>
          <w:position w:val="0"/>
        </w:rPr>
        <w:t xml:space="preserve">30. </w:t>
      </w:r>
      <w:r>
        <w:rPr>
          <w:color w:val="000000"/>
          <w:spacing w:val="0"/>
          <w:w w:val="100"/>
          <w:position w:val="0"/>
        </w:rPr>
        <w:t>296%；</w:t>
      </w:r>
      <w:r>
        <w:rPr>
          <w:color w:val="000000"/>
          <w:spacing w:val="0"/>
          <w:w w:val="100"/>
          <w:position w:val="0"/>
        </w:rPr>
        <w:t>陈绪华持有</w:t>
      </w:r>
      <w:r>
        <w:rPr>
          <w:color w:val="000000"/>
          <w:spacing w:val="0"/>
          <w:w w:val="100"/>
          <w:position w:val="0"/>
        </w:rPr>
        <w:t xml:space="preserve">9,038,604.00 </w:t>
      </w:r>
      <w:r>
        <w:rPr>
          <w:color w:val="000000"/>
          <w:spacing w:val="0"/>
          <w:w w:val="100"/>
          <w:position w:val="0"/>
        </w:rPr>
        <w:t>股，占股本总额的</w:t>
      </w:r>
      <w:r>
        <w:rPr>
          <w:color w:val="000000"/>
          <w:spacing w:val="0"/>
          <w:w w:val="100"/>
          <w:position w:val="0"/>
        </w:rPr>
        <w:t>18.993%；</w:t>
      </w:r>
      <w:r>
        <w:rPr>
          <w:color w:val="000000"/>
          <w:spacing w:val="0"/>
          <w:w w:val="100"/>
          <w:position w:val="0"/>
        </w:rPr>
        <w:t>蔡迦持有</w:t>
      </w:r>
      <w:r>
        <w:rPr>
          <w:color w:val="000000"/>
          <w:spacing w:val="0"/>
          <w:w w:val="100"/>
          <w:position w:val="0"/>
        </w:rPr>
        <w:t>7,735,492.00</w:t>
      </w:r>
      <w:r>
        <w:rPr>
          <w:color w:val="000000"/>
          <w:spacing w:val="0"/>
          <w:w w:val="100"/>
          <w:position w:val="0"/>
        </w:rPr>
        <w:t>股，占股本总额的</w:t>
      </w:r>
      <w:r>
        <w:rPr>
          <w:color w:val="000000"/>
          <w:spacing w:val="0"/>
          <w:w w:val="100"/>
          <w:position w:val="0"/>
        </w:rPr>
        <w:t>16.255%；</w:t>
      </w:r>
      <w:r>
        <w:rPr>
          <w:color w:val="000000"/>
          <w:spacing w:val="0"/>
          <w:w w:val="100"/>
          <w:position w:val="0"/>
        </w:rPr>
        <w:t>李彤彤持有</w:t>
      </w:r>
      <w:r>
        <w:rPr>
          <w:color w:val="000000"/>
          <w:spacing w:val="0"/>
          <w:w w:val="100"/>
          <w:position w:val="0"/>
        </w:rPr>
        <w:t xml:space="preserve">5,545,156.00 </w:t>
      </w:r>
      <w:r>
        <w:rPr>
          <w:color w:val="000000"/>
          <w:spacing w:val="0"/>
          <w:w w:val="100"/>
          <w:position w:val="0"/>
        </w:rPr>
        <w:t>股，占股本总额的</w:t>
      </w:r>
      <w:r>
        <w:rPr>
          <w:color w:val="000000"/>
          <w:spacing w:val="0"/>
          <w:w w:val="100"/>
          <w:position w:val="0"/>
        </w:rPr>
        <w:t>11.652%；</w:t>
      </w:r>
      <w:r>
        <w:rPr>
          <w:color w:val="000000"/>
          <w:spacing w:val="0"/>
          <w:w w:val="100"/>
          <w:position w:val="0"/>
        </w:rPr>
        <w:t>盖洪涛持有</w:t>
      </w:r>
      <w:r>
        <w:rPr>
          <w:color w:val="000000"/>
          <w:spacing w:val="0"/>
          <w:w w:val="100"/>
          <w:position w:val="0"/>
        </w:rPr>
        <w:t>2,079,433.00</w:t>
      </w:r>
      <w:r>
        <w:rPr>
          <w:color w:val="000000"/>
          <w:spacing w:val="0"/>
          <w:w w:val="100"/>
          <w:position w:val="0"/>
        </w:rPr>
        <w:t>股，占股本总额的</w:t>
      </w:r>
      <w:r>
        <w:rPr>
          <w:color w:val="000000"/>
          <w:spacing w:val="0"/>
          <w:w w:val="100"/>
          <w:position w:val="0"/>
        </w:rPr>
        <w:t>4.370%；</w:t>
      </w:r>
      <w:r>
        <w:rPr>
          <w:color w:val="000000"/>
          <w:spacing w:val="0"/>
          <w:w w:val="100"/>
          <w:position w:val="0"/>
        </w:rPr>
        <w:t>达晨持有</w:t>
      </w: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股，占股本总额的</w:t>
      </w:r>
      <w:r>
        <w:rPr>
          <w:color w:val="000000"/>
          <w:spacing w:val="0"/>
          <w:w w:val="100"/>
          <w:position w:val="0"/>
        </w:rPr>
        <w:t>8.405%；</w:t>
      </w:r>
      <w:r>
        <w:rPr>
          <w:color w:val="000000"/>
          <w:spacing w:val="0"/>
          <w:w w:val="100"/>
          <w:position w:val="0"/>
        </w:rPr>
        <w:t>常春藤持有</w:t>
      </w:r>
      <w:r>
        <w:rPr>
          <w:color w:val="000000"/>
          <w:spacing w:val="0"/>
          <w:w w:val="100"/>
          <w:position w:val="0"/>
        </w:rPr>
        <w:t>3,500,000.00</w:t>
      </w:r>
      <w:r>
        <w:rPr>
          <w:color w:val="000000"/>
          <w:spacing w:val="0"/>
          <w:w w:val="100"/>
          <w:position w:val="0"/>
        </w:rPr>
        <w:t>股，占股本总额的</w:t>
      </w:r>
      <w:r>
        <w:rPr>
          <w:color w:val="000000"/>
          <w:spacing w:val="0"/>
          <w:w w:val="100"/>
          <w:position w:val="0"/>
        </w:rPr>
        <w:t>7.355%；</w:t>
      </w:r>
      <w:r>
        <w:rPr>
          <w:color w:val="000000"/>
          <w:spacing w:val="0"/>
          <w:w w:val="100"/>
          <w:position w:val="0"/>
        </w:rPr>
        <w:t>力鼎投资持有</w:t>
      </w:r>
      <w:r>
        <w:rPr>
          <w:color w:val="000000"/>
          <w:spacing w:val="0"/>
          <w:w w:val="100"/>
          <w:position w:val="0"/>
        </w:rPr>
        <w:t xml:space="preserve">972,578.00 </w:t>
      </w:r>
      <w:r>
        <w:rPr>
          <w:color w:val="000000"/>
          <w:spacing w:val="0"/>
          <w:w w:val="100"/>
          <w:position w:val="0"/>
        </w:rPr>
        <w:t>股，占股本总额的</w:t>
      </w:r>
      <w:r>
        <w:rPr>
          <w:color w:val="000000"/>
          <w:spacing w:val="0"/>
          <w:w w:val="100"/>
          <w:position w:val="0"/>
        </w:rPr>
        <w:t>2.044%；</w:t>
      </w:r>
      <w:r>
        <w:rPr>
          <w:color w:val="000000"/>
          <w:spacing w:val="0"/>
          <w:w w:val="100"/>
          <w:position w:val="0"/>
        </w:rPr>
        <w:t>孚威创投持有</w:t>
      </w:r>
      <w:r>
        <w:rPr>
          <w:color w:val="000000"/>
          <w:spacing w:val="0"/>
          <w:w w:val="100"/>
          <w:position w:val="0"/>
        </w:rPr>
        <w:t>300,000.00</w:t>
      </w:r>
      <w:r>
        <w:rPr>
          <w:color w:val="000000"/>
          <w:spacing w:val="0"/>
          <w:w w:val="100"/>
          <w:position w:val="0"/>
        </w:rPr>
        <w:t>股，占股本总额的</w:t>
      </w:r>
      <w:r>
        <w:rPr>
          <w:color w:val="000000"/>
          <w:spacing w:val="0"/>
          <w:w w:val="100"/>
          <w:position w:val="0"/>
        </w:rPr>
        <w:t>0.630%</w:t>
      </w:r>
      <w:r>
        <w:rPr>
          <w:color w:val="000000"/>
          <w:spacing w:val="0"/>
          <w:w w:val="100"/>
          <w:position w:val="0"/>
        </w:rPr>
        <w:t>。相关的股权转让手续已 于</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日经北京市工商行政管理局核准变更完毕。</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日，根据公司第二届董事会第二次会议及</w:t>
      </w:r>
      <w:r>
        <w:rPr>
          <w:color w:val="000000"/>
          <w:spacing w:val="0"/>
          <w:w w:val="100"/>
          <w:position w:val="0"/>
        </w:rPr>
        <w:t>2010</w:t>
      </w:r>
      <w:r>
        <w:rPr>
          <w:color w:val="000000"/>
          <w:spacing w:val="0"/>
          <w:w w:val="100"/>
          <w:position w:val="0"/>
        </w:rPr>
        <w:t>年度第二次临时股东大会会议决议，公司 增加注册资本人民币</w:t>
      </w:r>
      <w:r>
        <w:rPr>
          <w:color w:val="000000"/>
          <w:spacing w:val="0"/>
          <w:w w:val="100"/>
          <w:position w:val="0"/>
        </w:rPr>
        <w:t>4,758,867.00</w:t>
      </w:r>
      <w:r>
        <w:rPr>
          <w:color w:val="000000"/>
          <w:spacing w:val="0"/>
          <w:w w:val="100"/>
          <w:position w:val="0"/>
        </w:rPr>
        <w:t>元，按每</w:t>
      </w:r>
      <w:r>
        <w:rPr>
          <w:color w:val="000000"/>
          <w:spacing w:val="0"/>
          <w:w w:val="100"/>
          <w:position w:val="0"/>
        </w:rPr>
        <w:t>10</w:t>
      </w:r>
      <w:r>
        <w:rPr>
          <w:color w:val="000000"/>
          <w:spacing w:val="0"/>
          <w:w w:val="100"/>
          <w:position w:val="0"/>
        </w:rPr>
        <w:t>股转增</w:t>
      </w:r>
      <w:r>
        <w:rPr>
          <w:color w:val="000000"/>
          <w:spacing w:val="0"/>
          <w:w w:val="100"/>
          <w:position w:val="0"/>
        </w:rPr>
        <w:t>1</w:t>
      </w:r>
      <w:r>
        <w:rPr>
          <w:color w:val="000000"/>
          <w:spacing w:val="0"/>
          <w:w w:val="100"/>
          <w:position w:val="0"/>
        </w:rPr>
        <w:t>股的比例，以资本公积向全体股东按各股东持股比 例同比转增，转增股份总额</w:t>
      </w:r>
      <w:r>
        <w:rPr>
          <w:color w:val="000000"/>
          <w:spacing w:val="0"/>
          <w:w w:val="100"/>
          <w:position w:val="0"/>
        </w:rPr>
        <w:t>4,758,867.00</w:t>
      </w:r>
      <w:r>
        <w:rPr>
          <w:color w:val="000000"/>
          <w:spacing w:val="0"/>
          <w:w w:val="100"/>
          <w:position w:val="0"/>
        </w:rPr>
        <w:t>股，每股面值</w:t>
      </w:r>
      <w:r>
        <w:rPr>
          <w:color w:val="000000"/>
          <w:spacing w:val="0"/>
          <w:w w:val="100"/>
          <w:position w:val="0"/>
        </w:rPr>
        <w:t>1</w:t>
      </w:r>
      <w:r>
        <w:rPr>
          <w:color w:val="000000"/>
          <w:spacing w:val="0"/>
          <w:w w:val="100"/>
          <w:position w:val="0"/>
        </w:rPr>
        <w:t>.00</w:t>
      </w:r>
      <w:r>
        <w:rPr>
          <w:color w:val="000000"/>
          <w:spacing w:val="0"/>
          <w:w w:val="100"/>
          <w:position w:val="0"/>
        </w:rPr>
        <w:t>元，即增加股本</w:t>
      </w:r>
      <w:r>
        <w:rPr>
          <w:color w:val="000000"/>
          <w:spacing w:val="0"/>
          <w:w w:val="100"/>
          <w:position w:val="0"/>
        </w:rPr>
        <w:t>4,758,867.00</w:t>
      </w:r>
      <w:r>
        <w:rPr>
          <w:color w:val="000000"/>
          <w:spacing w:val="0"/>
          <w:w w:val="100"/>
          <w:position w:val="0"/>
        </w:rPr>
        <w:t>元。增资后的股 权结构为：沈飒持有</w:t>
      </w:r>
      <w:r>
        <w:rPr>
          <w:color w:val="000000"/>
          <w:spacing w:val="0"/>
          <w:w w:val="100"/>
          <w:position w:val="0"/>
        </w:rPr>
        <w:t>15,859,144.0</w:t>
      </w:r>
      <w:r>
        <w:rPr>
          <w:color w:val="000000"/>
          <w:spacing w:val="0"/>
          <w:w w:val="100"/>
          <w:position w:val="0"/>
        </w:rPr>
        <w:t>0</w:t>
      </w:r>
      <w:r>
        <w:rPr>
          <w:color w:val="000000"/>
          <w:spacing w:val="0"/>
          <w:w w:val="100"/>
          <w:position w:val="0"/>
        </w:rPr>
        <w:t>股，占股本总额的</w:t>
      </w:r>
      <w:r>
        <w:rPr>
          <w:color w:val="000000"/>
          <w:spacing w:val="0"/>
          <w:w w:val="100"/>
          <w:position w:val="0"/>
        </w:rPr>
        <w:t>30.296%；</w:t>
      </w:r>
      <w:r>
        <w:rPr>
          <w:color w:val="000000"/>
          <w:spacing w:val="0"/>
          <w:w w:val="100"/>
          <w:position w:val="0"/>
        </w:rPr>
        <w:t>陈绪华持有</w:t>
      </w:r>
      <w:r>
        <w:rPr>
          <w:color w:val="000000"/>
          <w:spacing w:val="0"/>
          <w:w w:val="100"/>
          <w:position w:val="0"/>
        </w:rPr>
        <w:t xml:space="preserve">9, </w:t>
      </w:r>
      <w:r>
        <w:rPr>
          <w:color w:val="000000"/>
          <w:spacing w:val="0"/>
          <w:w w:val="100"/>
          <w:position w:val="0"/>
        </w:rPr>
        <w:t>942,465.00</w:t>
      </w:r>
      <w:r>
        <w:rPr>
          <w:color w:val="000000"/>
          <w:spacing w:val="0"/>
          <w:w w:val="100"/>
          <w:position w:val="0"/>
        </w:rPr>
        <w:t>股，占股本总额 的</w:t>
      </w:r>
      <w:r>
        <w:rPr>
          <w:color w:val="000000"/>
          <w:spacing w:val="0"/>
          <w:w w:val="100"/>
          <w:position w:val="0"/>
        </w:rPr>
        <w:t>18.993%；</w:t>
      </w:r>
      <w:r>
        <w:rPr>
          <w:color w:val="000000"/>
          <w:spacing w:val="0"/>
          <w:w w:val="100"/>
          <w:position w:val="0"/>
        </w:rPr>
        <w:t>蔡迦持有</w:t>
      </w:r>
      <w:r>
        <w:rPr>
          <w:color w:val="000000"/>
          <w:spacing w:val="0"/>
          <w:w w:val="100"/>
          <w:position w:val="0"/>
        </w:rPr>
        <w:t xml:space="preserve">8, </w:t>
      </w:r>
      <w:r>
        <w:rPr>
          <w:color w:val="000000"/>
          <w:spacing w:val="0"/>
          <w:w w:val="100"/>
          <w:position w:val="0"/>
        </w:rPr>
        <w:t xml:space="preserve">509,041. </w:t>
      </w:r>
      <w:r>
        <w:rPr>
          <w:color w:val="000000"/>
          <w:spacing w:val="0"/>
          <w:w w:val="100"/>
          <w:position w:val="0"/>
        </w:rPr>
        <w:t>00</w:t>
      </w:r>
      <w:r>
        <w:rPr>
          <w:color w:val="000000"/>
          <w:spacing w:val="0"/>
          <w:w w:val="100"/>
          <w:position w:val="0"/>
        </w:rPr>
        <w:t>股，占股本总额的</w:t>
      </w:r>
      <w:r>
        <w:rPr>
          <w:color w:val="000000"/>
          <w:spacing w:val="0"/>
          <w:w w:val="100"/>
          <w:position w:val="0"/>
        </w:rPr>
        <w:t>16.255%；</w:t>
      </w:r>
      <w:r>
        <w:rPr>
          <w:color w:val="000000"/>
          <w:spacing w:val="0"/>
          <w:w w:val="100"/>
          <w:position w:val="0"/>
        </w:rPr>
        <w:t>李彤彤持有</w:t>
      </w:r>
      <w:r>
        <w:rPr>
          <w:color w:val="000000"/>
          <w:spacing w:val="0"/>
          <w:w w:val="100"/>
          <w:position w:val="0"/>
        </w:rPr>
        <w:t xml:space="preserve">6, </w:t>
      </w:r>
      <w:r>
        <w:rPr>
          <w:color w:val="000000"/>
          <w:spacing w:val="0"/>
          <w:w w:val="100"/>
          <w:position w:val="0"/>
        </w:rPr>
        <w:t>099,672.00</w:t>
      </w:r>
      <w:r>
        <w:rPr>
          <w:color w:val="000000"/>
          <w:spacing w:val="0"/>
          <w:w w:val="100"/>
          <w:position w:val="0"/>
        </w:rPr>
        <w:t>股，占股本总额 的</w:t>
      </w:r>
      <w:r>
        <w:rPr>
          <w:color w:val="000000"/>
          <w:spacing w:val="0"/>
          <w:w w:val="100"/>
          <w:position w:val="0"/>
        </w:rPr>
        <w:t>11.652% ；</w:t>
      </w:r>
      <w:r>
        <w:rPr>
          <w:color w:val="000000"/>
          <w:spacing w:val="0"/>
          <w:w w:val="100"/>
          <w:position w:val="0"/>
        </w:rPr>
        <w:t>盖洪涛持有</w:t>
      </w:r>
      <w:r>
        <w:rPr>
          <w:color w:val="000000"/>
          <w:spacing w:val="0"/>
          <w:w w:val="100"/>
          <w:position w:val="0"/>
        </w:rPr>
        <w:t>2,287,376.00</w:t>
      </w:r>
      <w:r>
        <w:rPr>
          <w:color w:val="000000"/>
          <w:spacing w:val="0"/>
          <w:w w:val="100"/>
          <w:position w:val="0"/>
        </w:rPr>
        <w:t>股，占股本总额的</w:t>
      </w:r>
      <w:r>
        <w:rPr>
          <w:color w:val="000000"/>
          <w:spacing w:val="0"/>
          <w:w w:val="100"/>
          <w:position w:val="0"/>
        </w:rPr>
        <w:t xml:space="preserve">4.370% </w:t>
      </w:r>
      <w:r>
        <w:rPr>
          <w:color w:val="000000"/>
          <w:spacing w:val="0"/>
          <w:w w:val="100"/>
          <w:position w:val="0"/>
        </w:rPr>
        <w:t>；达晨持有</w:t>
      </w:r>
      <w:r>
        <w:rPr>
          <w:color w:val="000000"/>
          <w:spacing w:val="0"/>
          <w:w w:val="100"/>
          <w:position w:val="0"/>
        </w:rPr>
        <w:t>4,400,000.00</w:t>
      </w:r>
      <w:r>
        <w:rPr>
          <w:color w:val="000000"/>
          <w:spacing w:val="0"/>
          <w:w w:val="100"/>
          <w:position w:val="0"/>
        </w:rPr>
        <w:t>股，占股本总额 的</w:t>
      </w:r>
      <w:r>
        <w:rPr>
          <w:color w:val="000000"/>
          <w:spacing w:val="0"/>
          <w:w w:val="100"/>
          <w:position w:val="0"/>
        </w:rPr>
        <w:t>8.405%；</w:t>
      </w:r>
      <w:r>
        <w:rPr>
          <w:color w:val="000000"/>
          <w:spacing w:val="0"/>
          <w:w w:val="100"/>
          <w:position w:val="0"/>
        </w:rPr>
        <w:t>常春藤持有</w:t>
      </w:r>
      <w:r>
        <w:rPr>
          <w:color w:val="000000"/>
          <w:spacing w:val="0"/>
          <w:w w:val="100"/>
          <w:position w:val="0"/>
        </w:rPr>
        <w:t>3,850,000.00</w:t>
      </w:r>
      <w:r>
        <w:rPr>
          <w:color w:val="000000"/>
          <w:spacing w:val="0"/>
          <w:w w:val="100"/>
          <w:position w:val="0"/>
        </w:rPr>
        <w:t>股，占股本总额的</w:t>
      </w:r>
      <w:r>
        <w:rPr>
          <w:color w:val="000000"/>
          <w:spacing w:val="0"/>
          <w:w w:val="100"/>
          <w:position w:val="0"/>
        </w:rPr>
        <w:t>7.355%；</w:t>
      </w:r>
      <w:r>
        <w:rPr>
          <w:color w:val="000000"/>
          <w:spacing w:val="0"/>
          <w:w w:val="100"/>
          <w:position w:val="0"/>
        </w:rPr>
        <w:t>力鼎投资持有</w:t>
      </w:r>
      <w:r>
        <w:rPr>
          <w:color w:val="000000"/>
          <w:spacing w:val="0"/>
          <w:w w:val="100"/>
          <w:position w:val="0"/>
        </w:rPr>
        <w:t>1,069,836.00</w:t>
      </w:r>
      <w:r>
        <w:rPr>
          <w:color w:val="000000"/>
          <w:spacing w:val="0"/>
          <w:w w:val="100"/>
          <w:position w:val="0"/>
        </w:rPr>
        <w:t>股，占股本总 额的</w:t>
      </w:r>
      <w:r>
        <w:rPr>
          <w:color w:val="000000"/>
          <w:spacing w:val="0"/>
          <w:w w:val="100"/>
          <w:position w:val="0"/>
        </w:rPr>
        <w:t>2.044%；</w:t>
      </w:r>
      <w:r>
        <w:rPr>
          <w:color w:val="000000"/>
          <w:spacing w:val="0"/>
          <w:w w:val="100"/>
          <w:position w:val="0"/>
        </w:rPr>
        <w:t>孚威创投持有</w:t>
      </w:r>
      <w:r>
        <w:rPr>
          <w:color w:val="000000"/>
          <w:spacing w:val="0"/>
          <w:w w:val="100"/>
          <w:position w:val="0"/>
        </w:rPr>
        <w:t xml:space="preserve">330, </w:t>
      </w:r>
      <w:r>
        <w:rPr>
          <w:color w:val="000000"/>
          <w:spacing w:val="0"/>
          <w:w w:val="100"/>
          <w:position w:val="0"/>
        </w:rPr>
        <w:t xml:space="preserve">000. </w:t>
      </w:r>
      <w:r>
        <w:rPr>
          <w:color w:val="000000"/>
          <w:spacing w:val="0"/>
          <w:w w:val="100"/>
          <w:position w:val="0"/>
        </w:rPr>
        <w:t>00</w:t>
      </w:r>
      <w:r>
        <w:rPr>
          <w:color w:val="000000"/>
          <w:spacing w:val="0"/>
          <w:w w:val="100"/>
          <w:position w:val="0"/>
        </w:rPr>
        <w:t>股，占股本总额的</w:t>
      </w:r>
      <w:r>
        <w:rPr>
          <w:color w:val="000000"/>
          <w:spacing w:val="0"/>
          <w:w w:val="100"/>
          <w:position w:val="0"/>
        </w:rPr>
        <w:t>0.630%</w:t>
      </w:r>
      <w:r>
        <w:rPr>
          <w:color w:val="000000"/>
          <w:spacing w:val="0"/>
          <w:w w:val="100"/>
          <w:position w:val="0"/>
        </w:rPr>
        <w:t>。此次增资业经立信会计师事务所有限公 司</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日出具的“信会师报字</w:t>
      </w:r>
      <w:r>
        <w:rPr>
          <w:color w:val="000000"/>
          <w:spacing w:val="0"/>
          <w:w w:val="100"/>
          <w:position w:val="0"/>
        </w:rPr>
        <w:t>（2010）</w:t>
      </w:r>
      <w:r>
        <w:rPr>
          <w:color w:val="000000"/>
          <w:spacing w:val="0"/>
          <w:w w:val="100"/>
          <w:position w:val="0"/>
        </w:rPr>
        <w:t>第</w:t>
      </w:r>
      <w:r>
        <w:rPr>
          <w:color w:val="000000"/>
          <w:spacing w:val="0"/>
          <w:w w:val="100"/>
          <w:position w:val="0"/>
        </w:rPr>
        <w:t>80847</w:t>
      </w:r>
      <w:r>
        <w:rPr>
          <w:color w:val="000000"/>
          <w:spacing w:val="0"/>
          <w:w w:val="100"/>
          <w:position w:val="0"/>
        </w:rPr>
        <w:t>号”验资报告验证。</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月，根据公司</w:t>
      </w:r>
      <w:r>
        <w:rPr>
          <w:color w:val="000000"/>
          <w:spacing w:val="0"/>
          <w:w w:val="100"/>
          <w:position w:val="0"/>
        </w:rPr>
        <w:t>2011</w:t>
      </w:r>
      <w:r>
        <w:rPr>
          <w:color w:val="000000"/>
          <w:spacing w:val="0"/>
          <w:w w:val="100"/>
          <w:position w:val="0"/>
        </w:rPr>
        <w:t>年度第一次临时股东大会决议及修改后的公司章程，经中国证券监督管理 委员会证监许可</w:t>
      </w:r>
      <w:r>
        <w:rPr>
          <w:color w:val="000000"/>
          <w:spacing w:val="0"/>
          <w:w w:val="100"/>
          <w:position w:val="0"/>
        </w:rPr>
        <w:t>（2012） 152</w:t>
      </w:r>
      <w:r>
        <w:rPr>
          <w:color w:val="000000"/>
          <w:spacing w:val="0"/>
          <w:w w:val="100"/>
          <w:position w:val="0"/>
        </w:rPr>
        <w:t>号文《关于核准北京中科金财科技股份有限公司首次公开发行股票的批复》 核准，公司向社会公开发行人民币普通股股票</w:t>
      </w:r>
      <w:r>
        <w:rPr>
          <w:color w:val="000000"/>
          <w:spacing w:val="0"/>
          <w:w w:val="100"/>
          <w:position w:val="0"/>
        </w:rPr>
        <w:t>1,745.00</w:t>
      </w:r>
      <w:r>
        <w:rPr>
          <w:color w:val="000000"/>
          <w:spacing w:val="0"/>
          <w:w w:val="100"/>
          <w:position w:val="0"/>
        </w:rPr>
        <w:t>万股，发行方式为采用网下向询价对象询价配售与 网上资金申购发行相结合的方式，每股发行价格为人民币</w:t>
      </w:r>
      <w:r>
        <w:rPr>
          <w:color w:val="000000"/>
          <w:spacing w:val="0"/>
          <w:w w:val="100"/>
          <w:position w:val="0"/>
        </w:rPr>
        <w:t>22.00</w:t>
      </w:r>
      <w:r>
        <w:rPr>
          <w:color w:val="000000"/>
          <w:spacing w:val="0"/>
          <w:w w:val="100"/>
          <w:position w:val="0"/>
        </w:rPr>
        <w:t xml:space="preserve">元，变更后的注册资本为人民币 </w:t>
      </w:r>
      <w:r>
        <w:rPr>
          <w:color w:val="000000"/>
          <w:spacing w:val="0"/>
          <w:w w:val="100"/>
          <w:position w:val="0"/>
        </w:rPr>
        <w:t>69,797,534.00</w:t>
      </w:r>
      <w:r>
        <w:rPr>
          <w:color w:val="000000"/>
          <w:spacing w:val="0"/>
          <w:w w:val="100"/>
          <w:position w:val="0"/>
        </w:rPr>
        <w:t>元。实际募集股款为人民币</w:t>
      </w:r>
      <w:r>
        <w:rPr>
          <w:color w:val="000000"/>
          <w:spacing w:val="0"/>
          <w:w w:val="100"/>
          <w:position w:val="0"/>
        </w:rPr>
        <w:t xml:space="preserve">333, 733, </w:t>
      </w:r>
      <w:r>
        <w:rPr>
          <w:color w:val="000000"/>
          <w:spacing w:val="0"/>
          <w:w w:val="100"/>
          <w:position w:val="0"/>
        </w:rPr>
        <w:t>517.24</w:t>
      </w:r>
      <w:r>
        <w:rPr>
          <w:color w:val="000000"/>
          <w:spacing w:val="0"/>
          <w:w w:val="100"/>
          <w:position w:val="0"/>
        </w:rPr>
        <w:t>元高于新增注册资本的</w:t>
      </w:r>
      <w:r>
        <w:rPr>
          <w:color w:val="000000"/>
          <w:spacing w:val="0"/>
          <w:w w:val="100"/>
          <w:position w:val="0"/>
        </w:rPr>
        <w:t>316,283,517.24</w:t>
      </w:r>
      <w:r>
        <w:rPr>
          <w:color w:val="000000"/>
          <w:spacing w:val="0"/>
          <w:w w:val="100"/>
          <w:position w:val="0"/>
        </w:rPr>
        <w:t>元计入 资本公积。增资后的股权结构为：沈飒持有</w:t>
      </w:r>
      <w:r>
        <w:rPr>
          <w:color w:val="000000"/>
          <w:spacing w:val="0"/>
          <w:w w:val="100"/>
          <w:position w:val="0"/>
        </w:rPr>
        <w:t xml:space="preserve">15, </w:t>
      </w:r>
      <w:r>
        <w:rPr>
          <w:color w:val="000000"/>
          <w:spacing w:val="0"/>
          <w:w w:val="100"/>
          <w:position w:val="0"/>
        </w:rPr>
        <w:t>859,144.00</w:t>
      </w:r>
      <w:r>
        <w:rPr>
          <w:color w:val="000000"/>
          <w:spacing w:val="0"/>
          <w:w w:val="100"/>
          <w:position w:val="0"/>
        </w:rPr>
        <w:t>股，占股本总额的</w:t>
      </w:r>
      <w:r>
        <w:rPr>
          <w:color w:val="000000"/>
          <w:spacing w:val="0"/>
          <w:w w:val="100"/>
          <w:position w:val="0"/>
        </w:rPr>
        <w:t>22.72%；</w:t>
      </w:r>
      <w:r>
        <w:rPr>
          <w:color w:val="000000"/>
          <w:spacing w:val="0"/>
          <w:w w:val="100"/>
          <w:position w:val="0"/>
        </w:rPr>
        <w:t xml:space="preserve">陈绪华持有 </w:t>
      </w:r>
      <w:r>
        <w:rPr>
          <w:color w:val="000000"/>
          <w:spacing w:val="0"/>
          <w:w w:val="100"/>
          <w:position w:val="0"/>
        </w:rPr>
        <w:t xml:space="preserve">9,942, </w:t>
      </w:r>
      <w:r>
        <w:rPr>
          <w:color w:val="000000"/>
          <w:spacing w:val="0"/>
          <w:w w:val="100"/>
          <w:position w:val="0"/>
        </w:rPr>
        <w:t xml:space="preserve">465. </w:t>
      </w:r>
      <w:r>
        <w:rPr>
          <w:color w:val="000000"/>
          <w:spacing w:val="0"/>
          <w:w w:val="100"/>
          <w:position w:val="0"/>
        </w:rPr>
        <w:t>00</w:t>
      </w:r>
      <w:r>
        <w:rPr>
          <w:color w:val="000000"/>
          <w:spacing w:val="0"/>
          <w:w w:val="100"/>
          <w:position w:val="0"/>
        </w:rPr>
        <w:t>股，占股本总额的</w:t>
      </w:r>
      <w:r>
        <w:rPr>
          <w:color w:val="000000"/>
          <w:spacing w:val="0"/>
          <w:w w:val="100"/>
          <w:position w:val="0"/>
        </w:rPr>
        <w:t xml:space="preserve">14. </w:t>
      </w:r>
      <w:r>
        <w:rPr>
          <w:color w:val="000000"/>
          <w:spacing w:val="0"/>
          <w:w w:val="100"/>
          <w:position w:val="0"/>
        </w:rPr>
        <w:t>25%</w:t>
      </w:r>
      <w:r>
        <w:rPr>
          <w:color w:val="000000"/>
          <w:spacing w:val="0"/>
          <w:w w:val="100"/>
          <w:position w:val="0"/>
        </w:rPr>
        <w:t>；蔡迦持有</w:t>
      </w:r>
      <w:r>
        <w:rPr>
          <w:color w:val="000000"/>
          <w:spacing w:val="0"/>
          <w:w w:val="100"/>
          <w:position w:val="0"/>
        </w:rPr>
        <w:t xml:space="preserve">8,509, </w:t>
      </w:r>
      <w:r>
        <w:rPr>
          <w:color w:val="000000"/>
          <w:spacing w:val="0"/>
          <w:w w:val="100"/>
          <w:position w:val="0"/>
        </w:rPr>
        <w:t xml:space="preserve">041. </w:t>
      </w:r>
      <w:r>
        <w:rPr>
          <w:color w:val="000000"/>
          <w:spacing w:val="0"/>
          <w:w w:val="100"/>
          <w:position w:val="0"/>
        </w:rPr>
        <w:t>00</w:t>
      </w:r>
      <w:r>
        <w:rPr>
          <w:color w:val="000000"/>
          <w:spacing w:val="0"/>
          <w:w w:val="100"/>
          <w:position w:val="0"/>
        </w:rPr>
        <w:t>股，占股本总额的</w:t>
      </w:r>
      <w:r>
        <w:rPr>
          <w:color w:val="000000"/>
          <w:spacing w:val="0"/>
          <w:w w:val="100"/>
          <w:position w:val="0"/>
        </w:rPr>
        <w:t xml:space="preserve">12. </w:t>
      </w:r>
      <w:r>
        <w:rPr>
          <w:color w:val="000000"/>
          <w:spacing w:val="0"/>
          <w:w w:val="100"/>
          <w:position w:val="0"/>
        </w:rPr>
        <w:t>19%；</w:t>
      </w:r>
      <w:r>
        <w:rPr>
          <w:color w:val="000000"/>
          <w:spacing w:val="0"/>
          <w:w w:val="100"/>
          <w:position w:val="0"/>
        </w:rPr>
        <w:t xml:space="preserve">李彤彤持有 </w:t>
      </w:r>
      <w:r>
        <w:rPr>
          <w:color w:val="000000"/>
          <w:spacing w:val="0"/>
          <w:w w:val="100"/>
          <w:position w:val="0"/>
        </w:rPr>
        <w:t xml:space="preserve">6,099, </w:t>
      </w:r>
      <w:r>
        <w:rPr>
          <w:color w:val="000000"/>
          <w:spacing w:val="0"/>
          <w:w w:val="100"/>
          <w:position w:val="0"/>
        </w:rPr>
        <w:t xml:space="preserve">672. </w:t>
      </w:r>
      <w:r>
        <w:rPr>
          <w:color w:val="000000"/>
          <w:spacing w:val="0"/>
          <w:w w:val="100"/>
          <w:position w:val="0"/>
        </w:rPr>
        <w:t>00</w:t>
      </w:r>
      <w:r>
        <w:rPr>
          <w:color w:val="000000"/>
          <w:spacing w:val="0"/>
          <w:w w:val="100"/>
          <w:position w:val="0"/>
        </w:rPr>
        <w:t>股，占股本总额的</w:t>
      </w:r>
      <w:r>
        <w:rPr>
          <w:color w:val="000000"/>
          <w:spacing w:val="0"/>
          <w:w w:val="100"/>
          <w:position w:val="0"/>
        </w:rPr>
        <w:t xml:space="preserve">8. </w:t>
      </w:r>
      <w:r>
        <w:rPr>
          <w:color w:val="000000"/>
          <w:spacing w:val="0"/>
          <w:w w:val="100"/>
          <w:position w:val="0"/>
        </w:rPr>
        <w:t>74%；</w:t>
      </w:r>
      <w:r>
        <w:rPr>
          <w:color w:val="000000"/>
          <w:spacing w:val="0"/>
          <w:w w:val="100"/>
          <w:position w:val="0"/>
        </w:rPr>
        <w:t>盖洪涛持有</w:t>
      </w:r>
      <w:r>
        <w:rPr>
          <w:color w:val="000000"/>
          <w:spacing w:val="0"/>
          <w:w w:val="100"/>
          <w:position w:val="0"/>
        </w:rPr>
        <w:t xml:space="preserve">2, 287, </w:t>
      </w:r>
      <w:r>
        <w:rPr>
          <w:color w:val="000000"/>
          <w:spacing w:val="0"/>
          <w:w w:val="100"/>
          <w:position w:val="0"/>
        </w:rPr>
        <w:t xml:space="preserve">376. </w:t>
      </w:r>
      <w:r>
        <w:rPr>
          <w:color w:val="000000"/>
          <w:spacing w:val="0"/>
          <w:w w:val="100"/>
          <w:position w:val="0"/>
        </w:rPr>
        <w:t>00</w:t>
      </w:r>
      <w:r>
        <w:rPr>
          <w:color w:val="000000"/>
          <w:spacing w:val="0"/>
          <w:w w:val="100"/>
          <w:position w:val="0"/>
        </w:rPr>
        <w:t>股，占股本总额的</w:t>
      </w:r>
      <w:r>
        <w:rPr>
          <w:color w:val="000000"/>
          <w:spacing w:val="0"/>
          <w:w w:val="100"/>
          <w:position w:val="0"/>
        </w:rPr>
        <w:t xml:space="preserve">3. </w:t>
      </w:r>
      <w:r>
        <w:rPr>
          <w:color w:val="000000"/>
          <w:spacing w:val="0"/>
          <w:w w:val="100"/>
          <w:position w:val="0"/>
        </w:rPr>
        <w:t>28%</w:t>
      </w:r>
      <w:r>
        <w:rPr>
          <w:color w:val="000000"/>
          <w:spacing w:val="0"/>
          <w:w w:val="100"/>
          <w:position w:val="0"/>
        </w:rPr>
        <w:t xml:space="preserve">；达晨持有 </w:t>
      </w:r>
      <w:r>
        <w:rPr>
          <w:color w:val="000000"/>
          <w:spacing w:val="0"/>
          <w:w w:val="100"/>
          <w:position w:val="0"/>
        </w:rPr>
        <w:t xml:space="preserve">4,400, </w:t>
      </w:r>
      <w:r>
        <w:rPr>
          <w:color w:val="000000"/>
          <w:spacing w:val="0"/>
          <w:w w:val="100"/>
          <w:position w:val="0"/>
        </w:rPr>
        <w:t xml:space="preserve">000. </w:t>
      </w:r>
      <w:r>
        <w:rPr>
          <w:color w:val="000000"/>
          <w:spacing w:val="0"/>
          <w:w w:val="100"/>
          <w:position w:val="0"/>
        </w:rPr>
        <w:t>00</w:t>
      </w:r>
      <w:r>
        <w:rPr>
          <w:color w:val="000000"/>
          <w:spacing w:val="0"/>
          <w:w w:val="100"/>
          <w:position w:val="0"/>
        </w:rPr>
        <w:t>股，占股本总额的</w:t>
      </w:r>
      <w:r>
        <w:rPr>
          <w:color w:val="000000"/>
          <w:spacing w:val="0"/>
          <w:w w:val="100"/>
          <w:position w:val="0"/>
        </w:rPr>
        <w:t>6.30%；</w:t>
      </w:r>
      <w:r>
        <w:rPr>
          <w:color w:val="000000"/>
          <w:spacing w:val="0"/>
          <w:w w:val="100"/>
          <w:position w:val="0"/>
        </w:rPr>
        <w:t>常春藤持有</w:t>
      </w:r>
      <w:r>
        <w:rPr>
          <w:color w:val="000000"/>
          <w:spacing w:val="0"/>
          <w:w w:val="100"/>
          <w:position w:val="0"/>
        </w:rPr>
        <w:t xml:space="preserve">3,850, </w:t>
      </w:r>
      <w:r>
        <w:rPr>
          <w:color w:val="000000"/>
          <w:spacing w:val="0"/>
          <w:w w:val="100"/>
          <w:position w:val="0"/>
        </w:rPr>
        <w:t xml:space="preserve">000. </w:t>
      </w:r>
      <w:r>
        <w:rPr>
          <w:color w:val="000000"/>
          <w:spacing w:val="0"/>
          <w:w w:val="100"/>
          <w:position w:val="0"/>
        </w:rPr>
        <w:t>00</w:t>
      </w:r>
      <w:r>
        <w:rPr>
          <w:color w:val="000000"/>
          <w:spacing w:val="0"/>
          <w:w w:val="100"/>
          <w:position w:val="0"/>
        </w:rPr>
        <w:t>股，占股本总额的</w:t>
      </w:r>
      <w:r>
        <w:rPr>
          <w:color w:val="000000"/>
          <w:spacing w:val="0"/>
          <w:w w:val="100"/>
          <w:position w:val="0"/>
        </w:rPr>
        <w:t>5.52%；</w:t>
      </w:r>
      <w:r>
        <w:rPr>
          <w:color w:val="000000"/>
          <w:spacing w:val="0"/>
          <w:w w:val="100"/>
          <w:position w:val="0"/>
        </w:rPr>
        <w:t xml:space="preserve">力鼎投资持有 </w:t>
      </w:r>
      <w:r>
        <w:rPr>
          <w:color w:val="000000"/>
          <w:spacing w:val="0"/>
          <w:w w:val="100"/>
          <w:position w:val="0"/>
        </w:rPr>
        <w:t xml:space="preserve">1,069, </w:t>
      </w:r>
      <w:r>
        <w:rPr>
          <w:color w:val="000000"/>
          <w:spacing w:val="0"/>
          <w:w w:val="100"/>
          <w:position w:val="0"/>
        </w:rPr>
        <w:t xml:space="preserve">836. </w:t>
      </w:r>
      <w:r>
        <w:rPr>
          <w:color w:val="000000"/>
          <w:spacing w:val="0"/>
          <w:w w:val="100"/>
          <w:position w:val="0"/>
        </w:rPr>
        <w:t>00</w:t>
      </w:r>
      <w:r>
        <w:rPr>
          <w:color w:val="000000"/>
          <w:spacing w:val="0"/>
          <w:w w:val="100"/>
          <w:position w:val="0"/>
        </w:rPr>
        <w:t>股，占股本总额的</w:t>
      </w:r>
      <w:r>
        <w:rPr>
          <w:color w:val="000000"/>
          <w:spacing w:val="0"/>
          <w:w w:val="100"/>
          <w:position w:val="0"/>
        </w:rPr>
        <w:t>1.53%；</w:t>
      </w:r>
      <w:r>
        <w:rPr>
          <w:color w:val="000000"/>
          <w:spacing w:val="0"/>
          <w:w w:val="100"/>
          <w:position w:val="0"/>
        </w:rPr>
        <w:t>孚威创投持有</w:t>
      </w:r>
      <w:r>
        <w:rPr>
          <w:color w:val="000000"/>
          <w:spacing w:val="0"/>
          <w:w w:val="100"/>
          <w:position w:val="0"/>
        </w:rPr>
        <w:t xml:space="preserve">330, </w:t>
      </w:r>
      <w:r>
        <w:rPr>
          <w:color w:val="000000"/>
          <w:spacing w:val="0"/>
          <w:w w:val="100"/>
          <w:position w:val="0"/>
        </w:rPr>
        <w:t xml:space="preserve">000. </w:t>
      </w:r>
      <w:r>
        <w:rPr>
          <w:color w:val="000000"/>
          <w:spacing w:val="0"/>
          <w:w w:val="100"/>
          <w:position w:val="0"/>
        </w:rPr>
        <w:t>00</w:t>
      </w:r>
      <w:r>
        <w:rPr>
          <w:color w:val="000000"/>
          <w:spacing w:val="0"/>
          <w:w w:val="100"/>
          <w:position w:val="0"/>
        </w:rPr>
        <w:t>股，占股本总额的</w:t>
      </w:r>
      <w:r>
        <w:rPr>
          <w:color w:val="000000"/>
          <w:spacing w:val="0"/>
          <w:w w:val="100"/>
          <w:position w:val="0"/>
        </w:rPr>
        <w:t>0.47%；</w:t>
      </w:r>
      <w:r>
        <w:rPr>
          <w:color w:val="000000"/>
          <w:spacing w:val="0"/>
          <w:w w:val="100"/>
          <w:position w:val="0"/>
        </w:rPr>
        <w:t>社会公众股股 东持有</w:t>
      </w:r>
      <w:r>
        <w:rPr>
          <w:color w:val="000000"/>
          <w:spacing w:val="0"/>
          <w:w w:val="100"/>
          <w:position w:val="0"/>
        </w:rPr>
        <w:t>17,450,000.0</w:t>
      </w:r>
      <w:r>
        <w:rPr>
          <w:color w:val="000000"/>
          <w:spacing w:val="0"/>
          <w:w w:val="100"/>
          <w:position w:val="0"/>
        </w:rPr>
        <w:t>0</w:t>
      </w:r>
      <w:r>
        <w:rPr>
          <w:color w:val="000000"/>
          <w:spacing w:val="0"/>
          <w:w w:val="100"/>
          <w:position w:val="0"/>
        </w:rPr>
        <w:t>股，占股本总额的</w:t>
      </w:r>
      <w:r>
        <w:rPr>
          <w:color w:val="000000"/>
          <w:spacing w:val="0"/>
          <w:w w:val="100"/>
          <w:position w:val="0"/>
        </w:rPr>
        <w:t>25.00%</w:t>
      </w:r>
      <w:r>
        <w:rPr>
          <w:color w:val="000000"/>
          <w:spacing w:val="0"/>
          <w:w w:val="100"/>
          <w:position w:val="0"/>
        </w:rPr>
        <w:t>。此次增资业经立信会计师事务所（特殊普通合伙）</w:t>
      </w:r>
      <w:r>
        <w:rPr>
          <w:color w:val="000000"/>
          <w:spacing w:val="0"/>
          <w:w w:val="100"/>
          <w:position w:val="0"/>
        </w:rPr>
        <w:t xml:space="preserve">2012 </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23</w:t>
      </w:r>
      <w:r>
        <w:rPr>
          <w:color w:val="000000"/>
          <w:spacing w:val="0"/>
          <w:w w:val="100"/>
          <w:position w:val="0"/>
        </w:rPr>
        <w:t>日出具的“信会师报字</w:t>
      </w:r>
      <w:r>
        <w:rPr>
          <w:color w:val="000000"/>
          <w:spacing w:val="0"/>
          <w:w w:val="100"/>
          <w:position w:val="0"/>
        </w:rPr>
        <w:t>（2012）</w:t>
      </w:r>
      <w:r>
        <w:rPr>
          <w:color w:val="000000"/>
          <w:spacing w:val="0"/>
          <w:w w:val="100"/>
          <w:position w:val="0"/>
        </w:rPr>
        <w:t>第</w:t>
      </w:r>
      <w:r>
        <w:rPr>
          <w:color w:val="000000"/>
          <w:spacing w:val="0"/>
          <w:w w:val="100"/>
          <w:position w:val="0"/>
        </w:rPr>
        <w:t>210034</w:t>
      </w:r>
      <w:r>
        <w:rPr>
          <w:color w:val="000000"/>
          <w:spacing w:val="0"/>
          <w:w w:val="100"/>
          <w:position w:val="0"/>
        </w:rPr>
        <w:t>号”验资报告验证。</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月在深圳证券交易所上市。 股票交易代码</w:t>
      </w:r>
      <w:r>
        <w:rPr>
          <w:color w:val="000000"/>
          <w:spacing w:val="0"/>
          <w:w w:val="100"/>
          <w:position w:val="0"/>
        </w:rPr>
        <w:t>002657</w:t>
      </w:r>
      <w:r>
        <w:rPr>
          <w:color w:val="000000"/>
          <w:spacing w:val="0"/>
          <w:w w:val="100"/>
          <w:position w:val="0"/>
        </w:rPr>
        <w:t>，股票简称“中科金财”。</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月，根据本公司</w:t>
      </w:r>
      <w:r>
        <w:rPr>
          <w:color w:val="000000"/>
          <w:spacing w:val="0"/>
          <w:w w:val="100"/>
          <w:position w:val="0"/>
        </w:rPr>
        <w:t>2012</w:t>
      </w:r>
      <w:r>
        <w:rPr>
          <w:color w:val="000000"/>
          <w:spacing w:val="0"/>
          <w:w w:val="100"/>
          <w:position w:val="0"/>
        </w:rPr>
        <w:t>年年度股东大会决议，本公司以</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日的公司总股本 </w:t>
      </w:r>
      <w:r>
        <w:rPr>
          <w:color w:val="000000"/>
          <w:spacing w:val="0"/>
          <w:w w:val="100"/>
          <w:position w:val="0"/>
        </w:rPr>
        <w:t>69,797,534</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.5</w:t>
      </w:r>
      <w:r>
        <w:rPr>
          <w:color w:val="000000"/>
          <w:spacing w:val="0"/>
          <w:w w:val="100"/>
          <w:position w:val="0"/>
        </w:rPr>
        <w:t>元（含税）</w:t>
      </w:r>
      <w:r>
        <w:rPr>
          <w:color w:val="000000"/>
          <w:spacing w:val="0"/>
          <w:w w:val="100"/>
          <w:position w:val="0"/>
        </w:rPr>
        <w:t>；</w:t>
      </w:r>
      <w:r>
        <w:rPr>
          <w:color w:val="000000"/>
          <w:spacing w:val="0"/>
          <w:w w:val="100"/>
          <w:position w:val="0"/>
        </w:rPr>
        <w:t>以资本公积金向全体股东每</w:t>
      </w:r>
      <w:r>
        <w:rPr>
          <w:color w:val="000000"/>
          <w:spacing w:val="0"/>
          <w:w w:val="100"/>
          <w:position w:val="0"/>
        </w:rPr>
        <w:t xml:space="preserve">10 </w:t>
      </w:r>
      <w:r>
        <w:rPr>
          <w:color w:val="000000"/>
          <w:spacing w:val="0"/>
          <w:w w:val="100"/>
          <w:position w:val="0"/>
        </w:rPr>
        <w:t>股转增</w:t>
      </w:r>
      <w:r>
        <w:rPr>
          <w:color w:val="000000"/>
          <w:spacing w:val="0"/>
          <w:w w:val="100"/>
          <w:position w:val="0"/>
        </w:rPr>
        <w:t>5</w:t>
      </w:r>
      <w:r>
        <w:rPr>
          <w:color w:val="000000"/>
          <w:spacing w:val="0"/>
          <w:w w:val="100"/>
          <w:position w:val="0"/>
        </w:rPr>
        <w:t>股，共计转增</w:t>
      </w:r>
      <w:r>
        <w:rPr>
          <w:color w:val="000000"/>
          <w:spacing w:val="0"/>
          <w:w w:val="100"/>
          <w:position w:val="0"/>
        </w:rPr>
        <w:t>34,898,767</w:t>
      </w:r>
      <w:r>
        <w:rPr>
          <w:color w:val="000000"/>
          <w:spacing w:val="0"/>
          <w:w w:val="100"/>
          <w:position w:val="0"/>
        </w:rPr>
        <w:t>股，并于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日实施。转增后，注册资本增至人民币</w:t>
      </w:r>
      <w:r>
        <w:rPr>
          <w:color w:val="000000"/>
          <w:spacing w:val="0"/>
          <w:w w:val="100"/>
          <w:position w:val="0"/>
        </w:rPr>
        <w:t xml:space="preserve">104,696,301 </w:t>
      </w:r>
      <w:r>
        <w:rPr>
          <w:color w:val="000000"/>
          <w:spacing w:val="0"/>
          <w:w w:val="100"/>
          <w:position w:val="0"/>
        </w:rPr>
        <w:t>/元。</w:t>
      </w:r>
    </w:p>
    <w:p>
      <w:pPr>
        <w:pStyle w:val="Style33"/>
        <w:keepNext w:val="0"/>
        <w:keepLines w:val="0"/>
        <w:widowControl w:val="0"/>
        <w:shd w:val="clear" w:color="auto" w:fill="auto"/>
        <w:bidi w:val="0"/>
        <w:spacing w:before="0" w:after="0" w:line="469" w:lineRule="exact"/>
        <w:ind w:left="0" w:right="0" w:firstLine="440"/>
        <w:jc w:val="both"/>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1909" w:h="17415"/>
          <w:pgMar w:top="1333" w:right="916" w:bottom="1452" w:left="1033" w:header="0" w:footer="3" w:gutter="0"/>
          <w:pgNumType w:start="81"/>
          <w:cols w:space="720"/>
          <w:noEndnote/>
          <w:titlePg/>
          <w:rtlGutter w:val="0"/>
          <w:docGrid w:linePitch="360"/>
        </w:sectPr>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日，本公司累计发行股本总数</w:t>
      </w:r>
      <w:r>
        <w:rPr>
          <w:color w:val="000000"/>
          <w:spacing w:val="0"/>
          <w:w w:val="100"/>
          <w:position w:val="0"/>
        </w:rPr>
        <w:t>104,696,301</w:t>
      </w:r>
      <w:r>
        <w:rPr>
          <w:color w:val="000000"/>
          <w:spacing w:val="0"/>
          <w:w w:val="100"/>
          <w:position w:val="0"/>
        </w:rPr>
        <w:t>股，公司注册资本为</w:t>
      </w:r>
      <w:r>
        <w:rPr>
          <w:color w:val="000000"/>
          <w:spacing w:val="0"/>
          <w:w w:val="100"/>
          <w:position w:val="0"/>
        </w:rPr>
        <w:t>104,696,301</w:t>
      </w:r>
      <w:r>
        <w:rPr>
          <w:color w:val="000000"/>
          <w:spacing w:val="0"/>
          <w:w w:val="100"/>
          <w:position w:val="0"/>
        </w:rPr>
        <w:t>元。</w:t>
      </w:r>
    </w:p>
    <w:p>
      <w:pPr>
        <w:pStyle w:val="Style22"/>
        <w:keepNext/>
        <w:keepLines/>
        <w:widowControl w:val="0"/>
        <w:shd w:val="clear" w:color="auto" w:fill="auto"/>
        <w:bidi w:val="0"/>
        <w:spacing w:before="0" w:after="380" w:line="240" w:lineRule="auto"/>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四</w:t>
      </w:r>
      <w:bookmarkEnd w:id="467"/>
      <w:r>
        <w:rPr>
          <w:color w:val="000000"/>
          <w:spacing w:val="0"/>
          <w:w w:val="100"/>
          <w:position w:val="0"/>
        </w:rPr>
        <w:t>、公司主要会计政策、会计估计和前期差错</w:t>
      </w:r>
      <w:bookmarkEnd w:id="465"/>
      <w:bookmarkEnd w:id="466"/>
      <w:bookmarkEnd w:id="468"/>
    </w:p>
    <w:p>
      <w:pPr>
        <w:pStyle w:val="Style36"/>
        <w:keepNext/>
        <w:keepLines/>
        <w:widowControl w:val="0"/>
        <w:shd w:val="clear" w:color="auto" w:fill="auto"/>
        <w:tabs>
          <w:tab w:pos="347" w:val="left"/>
        </w:tabs>
        <w:bidi w:val="0"/>
        <w:spacing w:before="0" w:after="0" w:line="48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w:t>
        <w:tab/>
        <w:t>财务报表的编制基础</w:t>
      </w:r>
      <w:bookmarkEnd w:id="469"/>
      <w:bookmarkEnd w:id="470"/>
      <w:bookmarkEnd w:id="472"/>
    </w:p>
    <w:p>
      <w:pPr>
        <w:pStyle w:val="Style33"/>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公司以持续经营为基础，根据实际发生的交易和事项，按照财政部于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日颁布的《企业会计 准则一基本准则》和</w:t>
      </w:r>
      <w:r>
        <w:rPr>
          <w:color w:val="000000"/>
          <w:spacing w:val="0"/>
          <w:w w:val="100"/>
          <w:position w:val="0"/>
        </w:rPr>
        <w:t>38</w:t>
      </w:r>
      <w:r>
        <w:rPr>
          <w:color w:val="000000"/>
          <w:spacing w:val="0"/>
          <w:w w:val="100"/>
          <w:position w:val="0"/>
        </w:rPr>
        <w:t>项具体会计准则、其后颁布的企业会计准则应用指南、企业会计准则解释及其他 相关规定（以下合称“企业会计准则”）、以及中国证券监督管理委员会《公开发行证券的公司信息披露编 报规则第</w:t>
      </w:r>
      <w:r>
        <w:rPr>
          <w:color w:val="000000"/>
          <w:spacing w:val="0"/>
          <w:w w:val="100"/>
          <w:position w:val="0"/>
        </w:rPr>
        <w:t>15</w:t>
      </w:r>
      <w:r>
        <w:rPr>
          <w:color w:val="000000"/>
          <w:spacing w:val="0"/>
          <w:w w:val="100"/>
          <w:position w:val="0"/>
        </w:rPr>
        <w:t>号一财务报告的一般规定》</w:t>
      </w:r>
      <w:r>
        <w:rPr>
          <w:color w:val="000000"/>
          <w:spacing w:val="0"/>
          <w:w w:val="100"/>
          <w:position w:val="0"/>
        </w:rPr>
        <w:t>（2010</w:t>
      </w:r>
      <w:r>
        <w:rPr>
          <w:color w:val="000000"/>
          <w:spacing w:val="0"/>
          <w:w w:val="100"/>
          <w:position w:val="0"/>
        </w:rPr>
        <w:t>年修订）的披露规定编制财务报表。</w:t>
      </w:r>
    </w:p>
    <w:p>
      <w:pPr>
        <w:pStyle w:val="Style36"/>
        <w:keepNext/>
        <w:keepLines/>
        <w:widowControl w:val="0"/>
        <w:shd w:val="clear" w:color="auto" w:fill="auto"/>
        <w:tabs>
          <w:tab w:pos="357" w:val="left"/>
        </w:tabs>
        <w:bidi w:val="0"/>
        <w:spacing w:before="0" w:after="0" w:line="48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遵循企业会计准则的声明</w:t>
      </w:r>
      <w:bookmarkEnd w:id="473"/>
      <w:bookmarkEnd w:id="474"/>
      <w:bookmarkEnd w:id="476"/>
    </w:p>
    <w:p>
      <w:pPr>
        <w:pStyle w:val="Style33"/>
        <w:keepNext w:val="0"/>
        <w:keepLines w:val="0"/>
        <w:widowControl w:val="0"/>
        <w:shd w:val="clear" w:color="auto" w:fill="auto"/>
        <w:bidi w:val="0"/>
        <w:spacing w:before="0" w:after="460" w:line="461" w:lineRule="exact"/>
        <w:ind w:left="0" w:right="0" w:firstLine="36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6"/>
        <w:keepNext/>
        <w:keepLines/>
        <w:widowControl w:val="0"/>
        <w:shd w:val="clear" w:color="auto" w:fill="auto"/>
        <w:tabs>
          <w:tab w:pos="357" w:val="left"/>
        </w:tabs>
        <w:bidi w:val="0"/>
        <w:spacing w:before="0" w:after="0" w:line="48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会计期间</w:t>
      </w:r>
      <w:bookmarkEnd w:id="477"/>
      <w:bookmarkEnd w:id="478"/>
      <w:bookmarkEnd w:id="480"/>
    </w:p>
    <w:p>
      <w:pPr>
        <w:pStyle w:val="Style33"/>
        <w:keepNext w:val="0"/>
        <w:keepLines w:val="0"/>
        <w:widowControl w:val="0"/>
        <w:shd w:val="clear" w:color="auto" w:fill="auto"/>
        <w:bidi w:val="0"/>
        <w:spacing w:before="0" w:after="380" w:line="469" w:lineRule="exact"/>
        <w:ind w:left="0" w:right="0" w:firstLine="36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6"/>
        <w:keepNext/>
        <w:keepLines/>
        <w:widowControl w:val="0"/>
        <w:shd w:val="clear" w:color="auto" w:fill="auto"/>
        <w:tabs>
          <w:tab w:pos="357" w:val="left"/>
        </w:tabs>
        <w:bidi w:val="0"/>
        <w:spacing w:before="0" w:after="0" w:line="48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4</w:t>
      </w:r>
      <w:bookmarkEnd w:id="483"/>
      <w:r>
        <w:rPr>
          <w:color w:val="000000"/>
          <w:spacing w:val="0"/>
          <w:w w:val="100"/>
          <w:position w:val="0"/>
        </w:rPr>
        <w:t>、</w:t>
        <w:tab/>
        <w:t>记账本位币</w:t>
      </w:r>
      <w:bookmarkEnd w:id="481"/>
      <w:bookmarkEnd w:id="482"/>
      <w:bookmarkEnd w:id="484"/>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采用人民币为记账本位币。</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境外经营对其所从事的活动是否拥有很强的自主性。如果境外经营所从事的活动是视同企业经营活动 的延伸，构成企业经营活动的组成部分，该境外经营应当选择与企业记账本位币相同的货币作为记账本位 币，如果境外经营所从事的活动拥有极大的自主性，境外经营不能选择与企业记账本位币相同的货币作为 记账本位币。</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境外经营活动中与企业的交易是否在境外经营活动中占有较大比重。如果境外经营与企业的交易在境 外经营活动中所占的比例较高，境外经营应当选择与企业记账本位币相同的货币作为记账本位币，反之， 应选择其他货币。</w:t>
      </w:r>
    </w:p>
    <w:p>
      <w:pPr>
        <w:pStyle w:val="Style33"/>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境外经营活动产生的现金流量是否直接影响企业的现金流量、是否可以随时汇回。如果境外经营活动 产生的现金流量直接影响企业的现金流量，并可随时汇回，境外经营应当选择与企业记账本位币相同的货 币作为记账本位币，反之，应选择其他货币。境外经营活动产生的现金流量是否足以偿还其现有债务和可 预期的债务。在企业不提供资金的情况下，如果境外经营活动产生的现金流量难以偿还其现有债务和正常 情况下可预期的债务，境外经营应当选择与企业记账本位币相同的货币作为记账本位币，反之，应选择其 他货币。</w:t>
      </w:r>
    </w:p>
    <w:p>
      <w:pPr>
        <w:pStyle w:val="Style36"/>
        <w:keepNext/>
        <w:keepLines/>
        <w:widowControl w:val="0"/>
        <w:shd w:val="clear" w:color="auto" w:fill="auto"/>
        <w:bidi w:val="0"/>
        <w:spacing w:before="0" w:after="140" w:line="471" w:lineRule="exact"/>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5</w:t>
      </w:r>
      <w:bookmarkEnd w:id="487"/>
      <w:r>
        <w:rPr>
          <w:color w:val="000000"/>
          <w:spacing w:val="0"/>
          <w:w w:val="100"/>
          <w:position w:val="0"/>
        </w:rPr>
        <w:t>、同一控制下和非同一控制下企业合并的会计处理方法</w:t>
      </w:r>
      <w:bookmarkEnd w:id="485"/>
      <w:bookmarkEnd w:id="486"/>
      <w:bookmarkEnd w:id="488"/>
    </w:p>
    <w:p>
      <w:pPr>
        <w:pStyle w:val="Style36"/>
        <w:keepNext/>
        <w:keepLines/>
        <w:widowControl w:val="0"/>
        <w:numPr>
          <w:ilvl w:val="0"/>
          <w:numId w:val="9"/>
        </w:numPr>
        <w:shd w:val="clear" w:color="auto" w:fill="auto"/>
        <w:tabs>
          <w:tab w:pos="458" w:val="left"/>
        </w:tabs>
        <w:bidi w:val="0"/>
        <w:spacing w:before="0" w:after="200" w:line="471" w:lineRule="exact"/>
        <w:ind w:left="0" w:right="0" w:firstLine="0"/>
        <w:jc w:val="left"/>
      </w:pPr>
      <w:bookmarkStart w:id="485" w:name="bookmark485"/>
      <w:bookmarkStart w:id="486" w:name="bookmark486"/>
      <w:bookmarkStart w:id="489" w:name="bookmark489"/>
      <w:bookmarkStart w:id="490" w:name="bookmark490"/>
      <w:bookmarkEnd w:id="489"/>
      <w:r>
        <w:rPr>
          <w:color w:val="000000"/>
          <w:spacing w:val="0"/>
          <w:w w:val="100"/>
          <w:position w:val="0"/>
        </w:rPr>
        <w:t>同一控制下企业合并</w:t>
      </w:r>
      <w:bookmarkEnd w:id="485"/>
      <w:bookmarkEnd w:id="486"/>
      <w:bookmarkEnd w:id="490"/>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本公司在企业合并中取得的资产和负债，按照合并日在被合并方的账面价值计量。被合并各方采用的 会计政策与本公司不一致的，本公司在合并日按照本公司会计政策进行调整，在此基础上按照调整后的账 面价值确认。</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本公司为进行企业合并而发生的各项直接相关费用，包括为进行企业合并而支付的审计费用、评估费 用、法律服务费等，于发生时计入当期损益。</w:t>
      </w:r>
    </w:p>
    <w:p>
      <w:pPr>
        <w:pStyle w:val="Style3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企业合并中发行权益性证券发生的手续费、佣金等，抵减权益性证券溢价收入，溢价收入不足冲减的， 冲减留存收益。</w:t>
      </w:r>
    </w:p>
    <w:p>
      <w:pPr>
        <w:pStyle w:val="Style36"/>
        <w:keepNext/>
        <w:keepLines/>
        <w:widowControl w:val="0"/>
        <w:numPr>
          <w:ilvl w:val="0"/>
          <w:numId w:val="9"/>
        </w:numPr>
        <w:shd w:val="clear" w:color="auto" w:fill="auto"/>
        <w:tabs>
          <w:tab w:pos="458" w:val="left"/>
        </w:tabs>
        <w:bidi w:val="0"/>
        <w:spacing w:before="0" w:after="200" w:line="471" w:lineRule="exact"/>
        <w:ind w:left="0" w:right="0" w:firstLine="0"/>
        <w:jc w:val="left"/>
      </w:pPr>
      <w:bookmarkStart w:id="491" w:name="bookmark491"/>
      <w:bookmarkStart w:id="492" w:name="bookmark492"/>
      <w:bookmarkStart w:id="493" w:name="bookmark493"/>
      <w:bookmarkStart w:id="494" w:name="bookmark494"/>
      <w:bookmarkEnd w:id="493"/>
      <w:r>
        <w:rPr>
          <w:color w:val="000000"/>
          <w:spacing w:val="0"/>
          <w:w w:val="100"/>
          <w:position w:val="0"/>
        </w:rPr>
        <w:t>非同一控制下的企业合并</w:t>
      </w:r>
      <w:bookmarkEnd w:id="491"/>
      <w:bookmarkEnd w:id="492"/>
      <w:bookmarkEnd w:id="494"/>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本公司在购买日对合并成本进行分配，确认所取得的被购买方各项可辨认资产、负债及或有负债的公 允价值。</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本公司在企业合并中取得的被购买方的可抵扣暂时性差异，在购买日不符合递延所得税资产确认条件 的，不予以确认。购买日后</w:t>
      </w:r>
      <w:r>
        <w:rPr>
          <w:color w:val="000000"/>
          <w:spacing w:val="0"/>
          <w:w w:val="100"/>
          <w:position w:val="0"/>
        </w:rPr>
        <w:t>12</w:t>
      </w:r>
      <w:r>
        <w:rPr>
          <w:color w:val="000000"/>
          <w:spacing w:val="0"/>
          <w:w w:val="100"/>
          <w:position w:val="0"/>
        </w:rPr>
        <w:t xml:space="preserve">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w:t>
      </w:r>
      <w:r>
        <w:rPr>
          <w:color w:val="000000"/>
          <w:spacing w:val="0"/>
          <w:w w:val="100"/>
          <w:position w:val="0"/>
        </w:rPr>
        <w:t>资产，计入当期损益。</w:t>
      </w:r>
    </w:p>
    <w:p>
      <w:pPr>
        <w:pStyle w:val="Style33"/>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非同一控制下企业合并，购买方为企业合并发生的审计、法律服务、评估咨询等中介费用以及其他相 关管理费用，应当于发生时计入当期损益；购买方作为合并对价发行的权益性证券或债务性证券的交易费 用，应当计入权益性证券或债务性证券的初始确认金额。</w:t>
      </w:r>
    </w:p>
    <w:p>
      <w:pPr>
        <w:pStyle w:val="Style33"/>
        <w:keepNext w:val="0"/>
        <w:keepLines w:val="0"/>
        <w:widowControl w:val="0"/>
        <w:shd w:val="clear" w:color="auto" w:fill="auto"/>
        <w:bidi w:val="0"/>
        <w:spacing w:before="0" w:after="0"/>
        <w:ind w:left="0" w:right="0" w:firstLine="0"/>
        <w:jc w:val="both"/>
      </w:pPr>
      <w:bookmarkStart w:id="495" w:name="bookmark495"/>
      <w:r>
        <w:rPr>
          <w:rFonts w:ascii="Times New Roman" w:eastAsia="Times New Roman" w:hAnsi="Times New Roman" w:cs="Times New Roman"/>
          <w:b/>
          <w:bCs/>
          <w:color w:val="000000"/>
          <w:spacing w:val="0"/>
          <w:w w:val="100"/>
          <w:position w:val="0"/>
        </w:rPr>
        <w:t>6</w:t>
      </w:r>
      <w:bookmarkEnd w:id="495"/>
      <w:r>
        <w:rPr>
          <w:b/>
          <w:bCs/>
          <w:color w:val="000000"/>
          <w:spacing w:val="0"/>
          <w:w w:val="100"/>
          <w:position w:val="0"/>
        </w:rPr>
        <w:t>、合并财务报表的编制方法</w:t>
      </w:r>
    </w:p>
    <w:p>
      <w:pPr>
        <w:pStyle w:val="Style33"/>
        <w:keepNext w:val="0"/>
        <w:keepLines w:val="0"/>
        <w:widowControl w:val="0"/>
        <w:shd w:val="clear" w:color="auto" w:fill="auto"/>
        <w:bidi w:val="0"/>
        <w:spacing w:before="0" w:after="380" w:line="470" w:lineRule="exact"/>
        <w:ind w:left="0" w:right="0" w:firstLine="0"/>
        <w:jc w:val="both"/>
      </w:pPr>
      <w:bookmarkStart w:id="496" w:name="bookmark496"/>
      <w:r>
        <w:rPr>
          <w:b/>
          <w:bCs/>
          <w:color w:val="000000"/>
          <w:spacing w:val="0"/>
          <w:w w:val="100"/>
          <w:position w:val="0"/>
        </w:rPr>
        <w:t>（</w:t>
      </w:r>
      <w:bookmarkEnd w:id="496"/>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33"/>
        <w:keepNext w:val="0"/>
        <w:keepLines w:val="0"/>
        <w:widowControl w:val="0"/>
        <w:shd w:val="clear" w:color="auto" w:fill="auto"/>
        <w:tabs>
          <w:tab w:pos="342" w:val="left"/>
        </w:tabs>
        <w:bidi w:val="0"/>
        <w:spacing w:before="0" w:after="0" w:line="240" w:lineRule="auto"/>
        <w:ind w:left="0" w:right="0" w:firstLine="0"/>
        <w:jc w:val="both"/>
      </w:pPr>
      <w:bookmarkStart w:id="497" w:name="bookmark497"/>
      <w:r>
        <w:rPr>
          <w:rFonts w:ascii="Times New Roman" w:eastAsia="Times New Roman" w:hAnsi="Times New Roman" w:cs="Times New Roman"/>
          <w:b/>
          <w:bCs/>
          <w:color w:val="000000"/>
          <w:spacing w:val="0"/>
          <w:w w:val="100"/>
          <w:position w:val="0"/>
        </w:rPr>
        <w:t>1</w:t>
      </w:r>
      <w:bookmarkEnd w:id="497"/>
      <w:r>
        <w:rPr>
          <w:b/>
          <w:bCs/>
          <w:color w:val="000000"/>
          <w:spacing w:val="0"/>
          <w:w w:val="100"/>
          <w:position w:val="0"/>
        </w:rPr>
        <w:t>、</w:t>
        <w:tab/>
        <w:t>合并范围</w:t>
      </w:r>
    </w:p>
    <w:p>
      <w:pPr>
        <w:pStyle w:val="Style33"/>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本公司合并财务报表的合并范围以控制为基础确定，所有由公司实际控制的子公司均纳入合并财务报 表。</w:t>
      </w:r>
    </w:p>
    <w:p>
      <w:pPr>
        <w:pStyle w:val="Style36"/>
        <w:keepNext/>
        <w:keepLines/>
        <w:widowControl w:val="0"/>
        <w:shd w:val="clear" w:color="auto" w:fill="auto"/>
        <w:tabs>
          <w:tab w:pos="352" w:val="left"/>
        </w:tabs>
        <w:bidi w:val="0"/>
        <w:spacing w:before="0" w:after="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合并程序</w:t>
      </w:r>
      <w:bookmarkEnd w:id="498"/>
      <w:bookmarkEnd w:id="499"/>
      <w:bookmarkEnd w:id="501"/>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对子公司的长期股权投资后，由本公司编制。</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33"/>
        <w:keepNext w:val="0"/>
        <w:keepLines w:val="0"/>
        <w:widowControl w:val="0"/>
        <w:shd w:val="clear" w:color="auto" w:fill="auto"/>
        <w:bidi w:val="0"/>
        <w:spacing w:before="0" w:after="0" w:line="470" w:lineRule="exact"/>
        <w:ind w:left="0" w:right="0" w:firstLine="440"/>
        <w:jc w:val="both"/>
      </w:pPr>
      <w:bookmarkStart w:id="502" w:name="bookmark502"/>
      <w:r>
        <w:rPr>
          <w:color w:val="000000"/>
          <w:spacing w:val="0"/>
          <w:w w:val="100"/>
          <w:position w:val="0"/>
        </w:rPr>
        <w:t>（</w:t>
      </w:r>
      <w:bookmarkEnd w:id="502"/>
      <w:r>
        <w:rPr>
          <w:color w:val="000000"/>
          <w:spacing w:val="0"/>
          <w:w w:val="100"/>
          <w:position w:val="0"/>
        </w:rPr>
        <w:t>1）</w:t>
      </w:r>
      <w:r>
        <w:rPr>
          <w:color w:val="000000"/>
          <w:spacing w:val="0"/>
          <w:w w:val="100"/>
          <w:position w:val="0"/>
        </w:rPr>
        <w:t>增加子公司</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量纳入合并现金流量表，同时对比较报表的相关项目进行调整，视同合并后的报告主体在以前期间一直存 在。</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在报告期内，若因非同一控制下企业合并增加子公司的，则不调整合并资产负债表期初数；将子公司 自购买日至报告期末的收入、费用、利润纳入合并利润表；该子公司自购买日至报告期末的现金流量纳入 合并现金流量表。通过多次交易分步实现非同一控制下企业合并时，对于购买日之前持有的被购买方的股 权，本公司按照该股权在购买日的公允价值进行重新计量，公允价值与其账面价值的差额计入当期投资收 </w:t>
      </w:r>
      <w:r>
        <w:rPr>
          <w:color w:val="000000"/>
          <w:spacing w:val="0"/>
          <w:w w:val="100"/>
          <w:position w:val="0"/>
        </w:rPr>
        <w:t>益。购买日之前持有的被购买方的股权涉及其他综合收益的，与其相关的其他综合收益转为购买日所属当 期投资收益。</w:t>
      </w:r>
    </w:p>
    <w:p>
      <w:pPr>
        <w:pStyle w:val="Style33"/>
        <w:keepNext w:val="0"/>
        <w:keepLines w:val="0"/>
        <w:widowControl w:val="0"/>
        <w:shd w:val="clear" w:color="auto" w:fill="auto"/>
        <w:tabs>
          <w:tab w:pos="912" w:val="left"/>
        </w:tabs>
        <w:bidi w:val="0"/>
        <w:spacing w:before="0" w:after="0" w:line="468" w:lineRule="exact"/>
        <w:ind w:left="0" w:right="0" w:firstLine="440"/>
        <w:jc w:val="both"/>
      </w:pPr>
      <w:bookmarkStart w:id="503" w:name="bookmark503"/>
      <w:r>
        <w:rPr>
          <w:color w:val="000000"/>
          <w:spacing w:val="0"/>
          <w:w w:val="100"/>
          <w:position w:val="0"/>
        </w:rPr>
        <w:t>（</w:t>
      </w:r>
      <w:bookmarkEnd w:id="503"/>
      <w:r>
        <w:rPr>
          <w:color w:val="000000"/>
          <w:spacing w:val="0"/>
          <w:w w:val="100"/>
          <w:position w:val="0"/>
        </w:rPr>
        <w:t>2）</w:t>
        <w:tab/>
      </w:r>
      <w:r>
        <w:rPr>
          <w:color w:val="000000"/>
          <w:spacing w:val="0"/>
          <w:w w:val="100"/>
          <w:position w:val="0"/>
        </w:rPr>
        <w:t>处置子公司</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33"/>
        <w:keepNext w:val="0"/>
        <w:keepLines w:val="0"/>
        <w:widowControl w:val="0"/>
        <w:shd w:val="clear" w:color="auto" w:fill="auto"/>
        <w:tabs>
          <w:tab w:pos="912" w:val="left"/>
        </w:tabs>
        <w:bidi w:val="0"/>
        <w:spacing w:before="0" w:after="0" w:line="468" w:lineRule="exact"/>
        <w:ind w:left="0" w:right="0" w:firstLine="440"/>
        <w:jc w:val="both"/>
      </w:pPr>
      <w:bookmarkStart w:id="504" w:name="bookmark504"/>
      <w:r>
        <w:rPr>
          <w:color w:val="000000"/>
          <w:spacing w:val="0"/>
          <w:w w:val="100"/>
          <w:position w:val="0"/>
        </w:rPr>
        <w:t>（</w:t>
      </w:r>
      <w:bookmarkEnd w:id="504"/>
      <w:r>
        <w:rPr>
          <w:color w:val="000000"/>
          <w:spacing w:val="0"/>
          <w:w w:val="100"/>
          <w:position w:val="0"/>
        </w:rPr>
        <w:t>3）</w:t>
        <w:tab/>
      </w:r>
      <w:r>
        <w:rPr>
          <w:color w:val="000000"/>
          <w:spacing w:val="0"/>
          <w:w w:val="100"/>
          <w:position w:val="0"/>
        </w:rPr>
        <w:t>购买子公司少数股权</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并日）开始持续计算的可辨认净资产份额之间的差额，调整合并资产负债表中的资本公积中的股本溢价， 资本公积中的股本溢价不足冲减的，调整留存收益。</w:t>
      </w:r>
    </w:p>
    <w:p>
      <w:pPr>
        <w:pStyle w:val="Style33"/>
        <w:keepNext w:val="0"/>
        <w:keepLines w:val="0"/>
        <w:widowControl w:val="0"/>
        <w:shd w:val="clear" w:color="auto" w:fill="auto"/>
        <w:tabs>
          <w:tab w:pos="912" w:val="left"/>
        </w:tabs>
        <w:bidi w:val="0"/>
        <w:spacing w:before="0" w:after="0" w:line="468" w:lineRule="exact"/>
        <w:ind w:left="0" w:right="0" w:firstLine="440"/>
        <w:jc w:val="both"/>
      </w:pPr>
      <w:bookmarkStart w:id="505" w:name="bookmark505"/>
      <w:r>
        <w:rPr>
          <w:color w:val="000000"/>
          <w:spacing w:val="0"/>
          <w:w w:val="100"/>
          <w:position w:val="0"/>
        </w:rPr>
        <w:t>（</w:t>
      </w:r>
      <w:bookmarkEnd w:id="505"/>
      <w:r>
        <w:rPr>
          <w:color w:val="000000"/>
          <w:spacing w:val="0"/>
          <w:w w:val="100"/>
          <w:position w:val="0"/>
        </w:rPr>
        <w:t>4）</w:t>
        <w:tab/>
      </w:r>
      <w:r>
        <w:rPr>
          <w:color w:val="000000"/>
          <w:spacing w:val="0"/>
          <w:w w:val="100"/>
          <w:position w:val="0"/>
        </w:rPr>
        <w:t>不丧失控制权的情况下部分处置对子公司的股权投资</w:t>
      </w:r>
    </w:p>
    <w:p>
      <w:pPr>
        <w:pStyle w:val="Style3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在不丧失控制权的情况下因部分处置对子公司的股权投资而取得的处置价款与处置长期股权投资相 对应享有子公司净资产份额的差额，调整合并资产负债表中的资本公积中的股本溢价，资本公积中的股本 溢价不足冲减的，调整留存收益。</w:t>
      </w:r>
    </w:p>
    <w:p>
      <w:pPr>
        <w:pStyle w:val="Style36"/>
        <w:keepNext/>
        <w:keepLines/>
        <w:widowControl w:val="0"/>
        <w:shd w:val="clear" w:color="auto" w:fill="auto"/>
        <w:tabs>
          <w:tab w:pos="357" w:val="left"/>
        </w:tabs>
        <w:bidi w:val="0"/>
        <w:spacing w:before="0" w:after="0" w:line="48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7</w:t>
      </w:r>
      <w:bookmarkEnd w:id="508"/>
      <w:r>
        <w:rPr>
          <w:color w:val="000000"/>
          <w:spacing w:val="0"/>
          <w:w w:val="100"/>
          <w:position w:val="0"/>
        </w:rPr>
        <w:t>、</w:t>
        <w:tab/>
        <w:t>现金及现金等价物的确定标准</w:t>
      </w:r>
      <w:bookmarkEnd w:id="506"/>
      <w:bookmarkEnd w:id="507"/>
      <w:bookmarkEnd w:id="509"/>
    </w:p>
    <w:p>
      <w:pPr>
        <w:pStyle w:val="Style3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6"/>
        <w:keepNext/>
        <w:keepLines/>
        <w:widowControl w:val="0"/>
        <w:shd w:val="clear" w:color="auto" w:fill="auto"/>
        <w:tabs>
          <w:tab w:pos="362" w:val="left"/>
        </w:tabs>
        <w:bidi w:val="0"/>
        <w:spacing w:before="0" w:after="0" w:line="480"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8</w:t>
      </w:r>
      <w:bookmarkEnd w:id="512"/>
      <w:r>
        <w:rPr>
          <w:color w:val="000000"/>
          <w:spacing w:val="0"/>
          <w:w w:val="100"/>
          <w:position w:val="0"/>
        </w:rPr>
        <w:t>、</w:t>
        <w:tab/>
        <w:t>外币业务和外币报表折算</w:t>
      </w:r>
      <w:bookmarkEnd w:id="510"/>
      <w:bookmarkEnd w:id="511"/>
      <w:bookmarkEnd w:id="513"/>
    </w:p>
    <w:p>
      <w:pPr>
        <w:pStyle w:val="Style36"/>
        <w:keepNext/>
        <w:keepLines/>
        <w:widowControl w:val="0"/>
        <w:shd w:val="clear" w:color="auto" w:fill="auto"/>
        <w:bidi w:val="0"/>
        <w:spacing w:before="0" w:after="220" w:line="468" w:lineRule="exact"/>
        <w:ind w:left="0" w:right="0" w:firstLine="0"/>
        <w:jc w:val="both"/>
      </w:pPr>
      <w:bookmarkStart w:id="510" w:name="bookmark510"/>
      <w:bookmarkStart w:id="511" w:name="bookmark511"/>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510"/>
      <w:bookmarkEnd w:id="511"/>
      <w:bookmarkEnd w:id="515"/>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3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 xml:space="preserve">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w:t>
      </w:r>
      <w:r>
        <w:rPr>
          <w:color w:val="000000"/>
          <w:spacing w:val="0"/>
          <w:w w:val="100"/>
          <w:position w:val="0"/>
        </w:rPr>
        <w:t>允价值计量的外币非货币性项目，采用公允价值确定日的即期汇率折算，由此产生的汇兑差额计入当期损 益或资本公积。</w:t>
      </w:r>
    </w:p>
    <w:p>
      <w:pPr>
        <w:pStyle w:val="Style36"/>
        <w:keepNext/>
        <w:keepLines/>
        <w:widowControl w:val="0"/>
        <w:shd w:val="clear" w:color="auto" w:fill="auto"/>
        <w:bidi w:val="0"/>
        <w:spacing w:before="0" w:after="200" w:line="472" w:lineRule="exact"/>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16"/>
      <w:bookmarkEnd w:id="517"/>
      <w:bookmarkEnd w:id="519"/>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33"/>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36"/>
        <w:keepNext/>
        <w:keepLines/>
        <w:widowControl w:val="0"/>
        <w:shd w:val="clear" w:color="auto" w:fill="auto"/>
        <w:bidi w:val="0"/>
        <w:spacing w:before="0" w:after="0" w:line="492"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9</w:t>
      </w:r>
      <w:bookmarkEnd w:id="522"/>
      <w:r>
        <w:rPr>
          <w:color w:val="000000"/>
          <w:spacing w:val="0"/>
          <w:w w:val="100"/>
          <w:position w:val="0"/>
        </w:rPr>
        <w:t>、金融工具</w:t>
      </w:r>
      <w:bookmarkEnd w:id="520"/>
      <w:bookmarkEnd w:id="521"/>
      <w:bookmarkEnd w:id="523"/>
    </w:p>
    <w:p>
      <w:pPr>
        <w:pStyle w:val="Style33"/>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金融工具包括金融资产、金融负债和权益工具。</w:t>
      </w:r>
    </w:p>
    <w:p>
      <w:pPr>
        <w:pStyle w:val="Style36"/>
        <w:keepNext/>
        <w:keepLines/>
        <w:widowControl w:val="0"/>
        <w:shd w:val="clear" w:color="auto" w:fill="auto"/>
        <w:tabs>
          <w:tab w:pos="493" w:val="left"/>
        </w:tabs>
        <w:bidi w:val="0"/>
        <w:spacing w:before="0" w:after="200" w:line="472"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24"/>
      <w:bookmarkEnd w:id="525"/>
      <w:bookmarkEnd w:id="527"/>
    </w:p>
    <w:p>
      <w:pPr>
        <w:pStyle w:val="Style33"/>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期损益的金融资产或金融负债，包括交易性金融资产或金融负债；持有至到期投资；应收款项；可供出售 金融资产；其他金融负债等。</w:t>
      </w:r>
    </w:p>
    <w:p>
      <w:pPr>
        <w:pStyle w:val="Style36"/>
        <w:keepNext/>
        <w:keepLines/>
        <w:widowControl w:val="0"/>
        <w:shd w:val="clear" w:color="auto" w:fill="auto"/>
        <w:tabs>
          <w:tab w:pos="493" w:val="left"/>
        </w:tabs>
        <w:bidi w:val="0"/>
        <w:spacing w:before="0" w:after="200" w:line="472"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28"/>
      <w:bookmarkEnd w:id="529"/>
      <w:bookmarkEnd w:id="531"/>
    </w:p>
    <w:p>
      <w:pPr>
        <w:pStyle w:val="Style33"/>
        <w:keepNext w:val="0"/>
        <w:keepLines w:val="0"/>
        <w:widowControl w:val="0"/>
        <w:numPr>
          <w:ilvl w:val="0"/>
          <w:numId w:val="11"/>
        </w:numPr>
        <w:shd w:val="clear" w:color="auto" w:fill="auto"/>
        <w:tabs>
          <w:tab w:pos="832" w:val="left"/>
        </w:tabs>
        <w:bidi w:val="0"/>
        <w:spacing w:before="0" w:after="0" w:line="473" w:lineRule="exact"/>
        <w:ind w:left="0" w:right="0" w:firstLine="440"/>
        <w:jc w:val="left"/>
      </w:pPr>
      <w:bookmarkStart w:id="532" w:name="bookmark532"/>
      <w:bookmarkEnd w:id="532"/>
      <w:r>
        <w:rPr>
          <w:color w:val="000000"/>
          <w:spacing w:val="0"/>
          <w:w w:val="100"/>
          <w:position w:val="0"/>
        </w:rPr>
        <w:t>以公允价值计量且其变动计入当期损益的金融资产（金融负债）</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3"/>
        <w:keepNext w:val="0"/>
        <w:keepLines w:val="0"/>
        <w:widowControl w:val="0"/>
        <w:numPr>
          <w:ilvl w:val="0"/>
          <w:numId w:val="11"/>
        </w:numPr>
        <w:shd w:val="clear" w:color="auto" w:fill="auto"/>
        <w:tabs>
          <w:tab w:pos="837" w:val="left"/>
        </w:tabs>
        <w:bidi w:val="0"/>
        <w:spacing w:before="0" w:after="0" w:line="473" w:lineRule="exact"/>
        <w:ind w:left="0" w:right="0" w:firstLine="440"/>
        <w:jc w:val="left"/>
      </w:pPr>
      <w:bookmarkStart w:id="533" w:name="bookmark533"/>
      <w:bookmarkEnd w:id="533"/>
      <w:r>
        <w:rPr>
          <w:color w:val="000000"/>
          <w:spacing w:val="0"/>
          <w:w w:val="100"/>
          <w:position w:val="0"/>
        </w:rPr>
        <w:t>持有至到期投资</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取得时按公允价值（扣除已到付息期但尚未领取的债券利息）和相关交易费用之和作为初始确认金额。</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持有期间按照摊余成本和实际利率计算确认利息收入，计入投资收益。实际利率在取得时确定，在该 预期存续期间或适用的更短期间内保持不变。</w:t>
      </w:r>
    </w:p>
    <w:p>
      <w:pPr>
        <w:pStyle w:val="Style33"/>
        <w:keepNext w:val="0"/>
        <w:keepLines w:val="0"/>
        <w:widowControl w:val="0"/>
        <w:shd w:val="clear" w:color="auto" w:fill="auto"/>
        <w:bidi w:val="0"/>
        <w:spacing w:before="0" w:after="200" w:line="473" w:lineRule="exact"/>
        <w:ind w:left="0" w:right="0" w:firstLine="440"/>
        <w:jc w:val="left"/>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9" w:h="17415"/>
          <w:pgMar w:top="1333" w:right="916" w:bottom="1452" w:left="1033" w:header="0" w:footer="3" w:gutter="0"/>
          <w:cols w:space="720"/>
          <w:noEndnote/>
          <w:titlePg/>
          <w:rtlGutter w:val="0"/>
          <w:docGrid w:linePitch="360"/>
        </w:sectPr>
      </w:pPr>
      <w:r>
        <w:rPr>
          <w:color w:val="000000"/>
          <w:spacing w:val="0"/>
          <w:w w:val="100"/>
          <w:position w:val="0"/>
        </w:rPr>
        <w:t>处置时，将所取得价款与该投资账面价值之间的差额计入投资收益。</w:t>
      </w:r>
    </w:p>
    <w:p>
      <w:pPr>
        <w:pStyle w:val="Style33"/>
        <w:keepNext w:val="0"/>
        <w:keepLines w:val="0"/>
        <w:widowControl w:val="0"/>
        <w:numPr>
          <w:ilvl w:val="0"/>
          <w:numId w:val="11"/>
        </w:numPr>
        <w:shd w:val="clear" w:color="auto" w:fill="auto"/>
        <w:tabs>
          <w:tab w:pos="837" w:val="left"/>
        </w:tabs>
        <w:bidi w:val="0"/>
        <w:spacing w:before="0" w:after="0" w:line="467" w:lineRule="exact"/>
        <w:ind w:left="0" w:right="0" w:firstLine="440"/>
        <w:jc w:val="left"/>
      </w:pPr>
      <w:bookmarkStart w:id="534" w:name="bookmark534"/>
      <w:bookmarkEnd w:id="534"/>
      <w:r>
        <w:rPr>
          <w:color w:val="000000"/>
          <w:spacing w:val="0"/>
          <w:w w:val="100"/>
          <w:position w:val="0"/>
        </w:rPr>
        <w:t>应收款项</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收回或处置时，将取得的价款与该应收款项账面价值之间的差额计入当期损益。</w:t>
      </w:r>
    </w:p>
    <w:p>
      <w:pPr>
        <w:pStyle w:val="Style33"/>
        <w:keepNext w:val="0"/>
        <w:keepLines w:val="0"/>
        <w:widowControl w:val="0"/>
        <w:numPr>
          <w:ilvl w:val="0"/>
          <w:numId w:val="11"/>
        </w:numPr>
        <w:shd w:val="clear" w:color="auto" w:fill="auto"/>
        <w:tabs>
          <w:tab w:pos="837" w:val="left"/>
        </w:tabs>
        <w:bidi w:val="0"/>
        <w:spacing w:before="0" w:after="0" w:line="467" w:lineRule="exact"/>
        <w:ind w:left="0" w:right="0" w:firstLine="440"/>
        <w:jc w:val="left"/>
      </w:pPr>
      <w:bookmarkStart w:id="535" w:name="bookmark535"/>
      <w:bookmarkEnd w:id="535"/>
      <w:r>
        <w:rPr>
          <w:color w:val="000000"/>
          <w:spacing w:val="0"/>
          <w:w w:val="100"/>
          <w:position w:val="0"/>
        </w:rPr>
        <w:t>可供出售金融资产</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33"/>
        <w:keepNext w:val="0"/>
        <w:keepLines w:val="0"/>
        <w:widowControl w:val="0"/>
        <w:numPr>
          <w:ilvl w:val="0"/>
          <w:numId w:val="11"/>
        </w:numPr>
        <w:shd w:val="clear" w:color="auto" w:fill="auto"/>
        <w:tabs>
          <w:tab w:pos="837" w:val="left"/>
        </w:tabs>
        <w:bidi w:val="0"/>
        <w:spacing w:before="0" w:after="0" w:line="467" w:lineRule="exact"/>
        <w:ind w:left="0" w:right="0" w:firstLine="440"/>
        <w:jc w:val="left"/>
      </w:pPr>
      <w:bookmarkStart w:id="536" w:name="bookmark536"/>
      <w:bookmarkEnd w:id="536"/>
      <w:r>
        <w:rPr>
          <w:color w:val="000000"/>
          <w:spacing w:val="0"/>
          <w:w w:val="100"/>
          <w:position w:val="0"/>
        </w:rPr>
        <w:t>其他金融负债</w:t>
      </w:r>
    </w:p>
    <w:p>
      <w:pPr>
        <w:pStyle w:val="Style33"/>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6"/>
        <w:keepNext/>
        <w:keepLines/>
        <w:widowControl w:val="0"/>
        <w:shd w:val="clear" w:color="auto" w:fill="auto"/>
        <w:bidi w:val="0"/>
        <w:spacing w:before="0" w:after="200" w:line="469"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537"/>
      <w:bookmarkEnd w:id="538"/>
      <w:bookmarkEnd w:id="540"/>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3"/>
        <w:keepNext w:val="0"/>
        <w:keepLines w:val="0"/>
        <w:widowControl w:val="0"/>
        <w:numPr>
          <w:ilvl w:val="0"/>
          <w:numId w:val="13"/>
        </w:numPr>
        <w:shd w:val="clear" w:color="auto" w:fill="auto"/>
        <w:tabs>
          <w:tab w:pos="832" w:val="left"/>
        </w:tabs>
        <w:bidi w:val="0"/>
        <w:spacing w:before="0" w:after="0" w:line="470" w:lineRule="exact"/>
        <w:ind w:left="0" w:right="0" w:firstLine="440"/>
        <w:jc w:val="both"/>
      </w:pPr>
      <w:bookmarkStart w:id="541" w:name="bookmark541"/>
      <w:bookmarkEnd w:id="541"/>
      <w:r>
        <w:rPr>
          <w:color w:val="000000"/>
          <w:spacing w:val="0"/>
          <w:w w:val="100"/>
          <w:position w:val="0"/>
        </w:rPr>
        <w:t>所转移金融资产的账面价值；</w:t>
      </w:r>
    </w:p>
    <w:p>
      <w:pPr>
        <w:pStyle w:val="Style33"/>
        <w:keepNext w:val="0"/>
        <w:keepLines w:val="0"/>
        <w:widowControl w:val="0"/>
        <w:numPr>
          <w:ilvl w:val="0"/>
          <w:numId w:val="13"/>
        </w:numPr>
        <w:shd w:val="clear" w:color="auto" w:fill="auto"/>
        <w:tabs>
          <w:tab w:pos="819" w:val="left"/>
        </w:tabs>
        <w:bidi w:val="0"/>
        <w:spacing w:before="0" w:after="0" w:line="470" w:lineRule="exact"/>
        <w:ind w:left="0" w:right="0" w:firstLine="440"/>
        <w:jc w:val="both"/>
      </w:pPr>
      <w:bookmarkStart w:id="542" w:name="bookmark542"/>
      <w:bookmarkEnd w:id="542"/>
      <w:r>
        <w:rPr>
          <w:color w:val="000000"/>
          <w:spacing w:val="0"/>
          <w:w w:val="100"/>
          <w:position w:val="0"/>
        </w:rPr>
        <w:t>因转移而收到的对价，与原直接计入所有者权益的公允价值变动累计额（涉及转移的金融资产为可 供出售金融资产的情形）之和。</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3"/>
        <w:keepNext w:val="0"/>
        <w:keepLines w:val="0"/>
        <w:widowControl w:val="0"/>
        <w:numPr>
          <w:ilvl w:val="0"/>
          <w:numId w:val="15"/>
        </w:numPr>
        <w:shd w:val="clear" w:color="auto" w:fill="auto"/>
        <w:tabs>
          <w:tab w:pos="832" w:val="left"/>
        </w:tabs>
        <w:bidi w:val="0"/>
        <w:spacing w:before="0" w:after="0" w:line="470" w:lineRule="exact"/>
        <w:ind w:left="0" w:right="0" w:firstLine="440"/>
        <w:jc w:val="both"/>
      </w:pPr>
      <w:bookmarkStart w:id="543" w:name="bookmark543"/>
      <w:bookmarkEnd w:id="543"/>
      <w:r>
        <w:rPr>
          <w:color w:val="000000"/>
          <w:spacing w:val="0"/>
          <w:w w:val="100"/>
          <w:position w:val="0"/>
        </w:rPr>
        <w:t>终止确认部分的账面价值；</w:t>
      </w:r>
    </w:p>
    <w:p>
      <w:pPr>
        <w:pStyle w:val="Style33"/>
        <w:keepNext w:val="0"/>
        <w:keepLines w:val="0"/>
        <w:widowControl w:val="0"/>
        <w:numPr>
          <w:ilvl w:val="0"/>
          <w:numId w:val="15"/>
        </w:numPr>
        <w:shd w:val="clear" w:color="auto" w:fill="auto"/>
        <w:tabs>
          <w:tab w:pos="709" w:val="left"/>
        </w:tabs>
        <w:bidi w:val="0"/>
        <w:spacing w:before="0" w:after="0" w:line="470" w:lineRule="exact"/>
        <w:ind w:left="0" w:right="0" w:firstLine="440"/>
        <w:jc w:val="both"/>
      </w:pPr>
      <w:bookmarkStart w:id="544" w:name="bookmark544"/>
      <w:bookmarkEnd w:id="544"/>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33"/>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58"/>
        <w:keepNext w:val="0"/>
        <w:keepLines w:val="0"/>
        <w:widowControl w:val="0"/>
        <w:shd w:val="clear" w:color="auto" w:fill="auto"/>
        <w:tabs>
          <w:tab w:pos="3701" w:val="left"/>
        </w:tabs>
        <w:bidi w:val="0"/>
        <w:spacing w:before="0" w:line="240" w:lineRule="auto"/>
        <w:ind w:left="0" w:right="0" w:firstLine="0"/>
        <w:jc w:val="right"/>
        <w:sectPr>
          <w:headerReference w:type="default" r:id="rId217"/>
          <w:footerReference w:type="default" r:id="rId218"/>
          <w:headerReference w:type="even" r:id="rId219"/>
          <w:footerReference w:type="even" r:id="rId220"/>
          <w:footnotePr>
            <w:pos w:val="pageBottom"/>
            <w:numFmt w:val="decimal"/>
            <w:numRestart w:val="continuous"/>
          </w:footnotePr>
          <w:pgSz w:w="11909" w:h="17415"/>
          <w:pgMar w:top="1333" w:right="916" w:bottom="1452" w:left="1033" w:header="0" w:footer="1024" w:gutter="0"/>
          <w:pgNumType w:start="89"/>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88</w:t>
        <w:tab/>
      </w:r>
      <w:r>
        <w:rPr>
          <w:spacing w:val="0"/>
          <w:w w:val="100"/>
          <w:position w:val="0"/>
        </w:rPr>
        <w:t xml:space="preserve">cninf </w:t>
      </w:r>
      <w:r>
        <w:rPr>
          <w:spacing w:val="0"/>
          <w:w w:val="100"/>
          <w:position w:val="0"/>
        </w:rPr>
        <w:t>£</w:t>
      </w:r>
    </w:p>
    <w:p>
      <w:pPr>
        <w:pStyle w:val="Style36"/>
        <w:keepNext/>
        <w:keepLines/>
        <w:widowControl w:val="0"/>
        <w:shd w:val="clear" w:color="auto" w:fill="auto"/>
        <w:tabs>
          <w:tab w:pos="493" w:val="left"/>
        </w:tabs>
        <w:bidi w:val="0"/>
        <w:spacing w:before="0" w:after="220" w:line="469"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45"/>
      <w:bookmarkEnd w:id="546"/>
      <w:bookmarkEnd w:id="548"/>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6"/>
        <w:keepNext/>
        <w:keepLines/>
        <w:widowControl w:val="0"/>
        <w:shd w:val="clear" w:color="auto" w:fill="auto"/>
        <w:tabs>
          <w:tab w:pos="493" w:val="left"/>
        </w:tabs>
        <w:bidi w:val="0"/>
        <w:spacing w:before="0" w:after="220" w:line="469" w:lineRule="exact"/>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49"/>
      <w:bookmarkEnd w:id="550"/>
      <w:bookmarkEnd w:id="552"/>
    </w:p>
    <w:p>
      <w:pPr>
        <w:pStyle w:val="Style33"/>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公司采用公允价值计量的金融资产和金融负债全部直接参考活跃市场中的报价。</w:t>
      </w:r>
    </w:p>
    <w:p>
      <w:pPr>
        <w:pStyle w:val="Style36"/>
        <w:keepNext/>
        <w:keepLines/>
        <w:widowControl w:val="0"/>
        <w:shd w:val="clear" w:color="auto" w:fill="auto"/>
        <w:tabs>
          <w:tab w:pos="493" w:val="left"/>
        </w:tabs>
        <w:bidi w:val="0"/>
        <w:spacing w:before="0" w:after="220" w:line="469"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53"/>
      <w:bookmarkEnd w:id="554"/>
      <w:bookmarkEnd w:id="556"/>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3"/>
        <w:keepNext w:val="0"/>
        <w:keepLines w:val="0"/>
        <w:widowControl w:val="0"/>
        <w:numPr>
          <w:ilvl w:val="0"/>
          <w:numId w:val="17"/>
        </w:numPr>
        <w:shd w:val="clear" w:color="auto" w:fill="auto"/>
        <w:tabs>
          <w:tab w:pos="832" w:val="left"/>
        </w:tabs>
        <w:bidi w:val="0"/>
        <w:spacing w:before="0" w:after="0" w:line="467" w:lineRule="exact"/>
        <w:ind w:left="0" w:right="0" w:firstLine="440"/>
        <w:jc w:val="both"/>
      </w:pPr>
      <w:bookmarkStart w:id="557" w:name="bookmark557"/>
      <w:bookmarkEnd w:id="557"/>
      <w:r>
        <w:rPr>
          <w:color w:val="000000"/>
          <w:spacing w:val="0"/>
          <w:w w:val="100"/>
          <w:position w:val="0"/>
        </w:rPr>
        <w:t>可供出售金融资产的减值准备：</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可供出售权益工具投资发生的减值损失，不得通过损益转回。</w:t>
      </w:r>
    </w:p>
    <w:p>
      <w:pPr>
        <w:pStyle w:val="Style33"/>
        <w:keepNext w:val="0"/>
        <w:keepLines w:val="0"/>
        <w:widowControl w:val="0"/>
        <w:numPr>
          <w:ilvl w:val="0"/>
          <w:numId w:val="17"/>
        </w:numPr>
        <w:shd w:val="clear" w:color="auto" w:fill="auto"/>
        <w:tabs>
          <w:tab w:pos="837" w:val="left"/>
        </w:tabs>
        <w:bidi w:val="0"/>
        <w:spacing w:before="0" w:after="0" w:line="467" w:lineRule="exact"/>
        <w:ind w:left="0" w:right="0" w:firstLine="440"/>
        <w:jc w:val="left"/>
      </w:pPr>
      <w:bookmarkStart w:id="558" w:name="bookmark558"/>
      <w:bookmarkEnd w:id="558"/>
      <w:r>
        <w:rPr>
          <w:color w:val="000000"/>
          <w:spacing w:val="0"/>
          <w:w w:val="100"/>
          <w:position w:val="0"/>
        </w:rPr>
        <w:t>持有至到期投资的减值准备：</w:t>
      </w:r>
    </w:p>
    <w:p>
      <w:pPr>
        <w:pStyle w:val="Style33"/>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持有至到期投资减值损失的计量比照应收款项减值损失计量方法处理。</w:t>
      </w:r>
      <w:r>
        <w:br w:type="page"/>
      </w:r>
    </w:p>
    <w:p>
      <w:pPr>
        <w:pStyle w:val="Style36"/>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59"/>
      <w:bookmarkEnd w:id="560"/>
      <w:bookmarkEnd w:id="562"/>
    </w:p>
    <w:p>
      <w:pPr>
        <w:pStyle w:val="Style36"/>
        <w:keepNext/>
        <w:keepLines/>
        <w:widowControl w:val="0"/>
        <w:numPr>
          <w:ilvl w:val="0"/>
          <w:numId w:val="19"/>
        </w:numPr>
        <w:shd w:val="clear" w:color="auto" w:fill="auto"/>
        <w:bidi w:val="0"/>
        <w:spacing w:before="0" w:after="320" w:line="240" w:lineRule="auto"/>
        <w:ind w:left="0" w:right="0" w:firstLine="0"/>
        <w:jc w:val="left"/>
      </w:pPr>
      <w:bookmarkStart w:id="559" w:name="bookmark559"/>
      <w:bookmarkStart w:id="560" w:name="bookmark560"/>
      <w:bookmarkStart w:id="563" w:name="bookmark563"/>
      <w:bookmarkStart w:id="564" w:name="bookmark564"/>
      <w:bookmarkEnd w:id="563"/>
      <w:r>
        <w:rPr>
          <w:color w:val="000000"/>
          <w:spacing w:val="0"/>
          <w:w w:val="100"/>
          <w:position w:val="0"/>
        </w:rPr>
        <w:t>单项金额重大的应收款项坏账准备</w:t>
      </w:r>
      <w:bookmarkEnd w:id="559"/>
      <w:bookmarkEnd w:id="560"/>
      <w:bookmarkEnd w:id="564"/>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应收款项余额前五名的款项。</w:t>
            </w:r>
          </w:p>
        </w:tc>
      </w:tr>
      <w:tr>
        <w:trPr>
          <w:trHeight w:val="1661"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期末对于单项金额重大的应收款项单独进行减值测试。如 有客观证据表明其已发生了减值，按预计未来现金流量现 值低于其账面价值的差额计提坏账准备，计入当期损益。 单独测试未发生减值的应收款项，将其归入相应组合计提 坏账准备。</w:t>
            </w:r>
          </w:p>
        </w:tc>
      </w:tr>
    </w:tbl>
    <w:p>
      <w:pPr>
        <w:widowControl w:val="0"/>
        <w:spacing w:after="319" w:line="1" w:lineRule="exact"/>
      </w:pPr>
    </w:p>
    <w:p>
      <w:pPr>
        <w:pStyle w:val="Style36"/>
        <w:keepNext/>
        <w:keepLines/>
        <w:widowControl w:val="0"/>
        <w:numPr>
          <w:ilvl w:val="0"/>
          <w:numId w:val="19"/>
        </w:numPr>
        <w:shd w:val="clear" w:color="auto" w:fill="auto"/>
        <w:bidi w:val="0"/>
        <w:spacing w:before="0" w:after="320" w:line="240" w:lineRule="auto"/>
        <w:ind w:left="0" w:right="0" w:firstLine="0"/>
        <w:jc w:val="left"/>
      </w:pPr>
      <w:bookmarkStart w:id="565" w:name="bookmark565"/>
      <w:bookmarkStart w:id="566" w:name="bookmark566"/>
      <w:bookmarkStart w:id="567" w:name="bookmark567"/>
      <w:bookmarkStart w:id="568" w:name="bookmark568"/>
      <w:bookmarkEnd w:id="567"/>
      <w:r>
        <w:rPr>
          <w:color w:val="000000"/>
          <w:spacing w:val="0"/>
          <w:w w:val="100"/>
          <w:position w:val="0"/>
        </w:rPr>
        <w:t>按组合计提坏账准备的应收款项</w:t>
      </w:r>
      <w:bookmarkEnd w:id="565"/>
      <w:bookmarkEnd w:id="566"/>
      <w:bookmarkEnd w:id="568"/>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以外的单项金额非重大的且不单独计提坏账准备的 应收款项与经单独测试后未减值的应收款项</w:t>
            </w: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公司与下属子公司、下属子公司之间的应收款项及按性质发 生坏账的可能性非常小的应收款项</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19"/>
        </w:numPr>
        <w:shd w:val="clear" w:color="auto" w:fill="auto"/>
        <w:bidi w:val="0"/>
        <w:spacing w:before="0" w:after="320" w:line="240" w:lineRule="auto"/>
        <w:ind w:left="0" w:right="0" w:firstLine="0"/>
        <w:jc w:val="left"/>
      </w:pPr>
      <w:bookmarkStart w:id="569" w:name="bookmark569"/>
      <w:bookmarkStart w:id="570" w:name="bookmark570"/>
      <w:bookmarkStart w:id="571" w:name="bookmark571"/>
      <w:bookmarkStart w:id="572" w:name="bookmark572"/>
      <w:bookmarkEnd w:id="571"/>
      <w:r>
        <w:rPr>
          <w:color w:val="000000"/>
          <w:spacing w:val="0"/>
          <w:w w:val="100"/>
          <w:position w:val="0"/>
        </w:rPr>
        <w:t>单项金额虽不重大但单项计提坏账准备的应收账款</w:t>
      </w:r>
      <w:bookmarkEnd w:id="569"/>
      <w:bookmarkEnd w:id="570"/>
      <w:bookmarkEnd w:id="572"/>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单项金额不重大的应收款项，如有客观证据表明其已发生了减值，按预计未来 现金流量现值低于其账面价值的差额计提坏账准备，计入当期损益。</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9" w:h="17415"/>
          <w:pgMar w:top="1333" w:right="916" w:bottom="1452" w:left="1033" w:header="0" w:footer="3" w:gutter="0"/>
          <w:pgNumType w:start="89"/>
          <w:cols w:space="720"/>
          <w:noEndnote/>
          <w:rtlGutter w:val="0"/>
          <w:docGrid w:linePitch="360"/>
        </w:sectPr>
      </w:pPr>
    </w:p>
    <w:p>
      <w:pPr>
        <w:pStyle w:val="Style36"/>
        <w:keepNext/>
        <w:keepLines/>
        <w:widowControl w:val="0"/>
        <w:shd w:val="clear" w:color="auto" w:fill="auto"/>
        <w:bidi w:val="0"/>
        <w:spacing w:before="0" w:after="120" w:line="467" w:lineRule="exact"/>
        <w:ind w:left="0" w:right="0" w:firstLine="0"/>
        <w:jc w:val="left"/>
      </w:pPr>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573"/>
      <w:bookmarkEnd w:id="574"/>
      <w:bookmarkEnd w:id="575"/>
    </w:p>
    <w:p>
      <w:pPr>
        <w:pStyle w:val="Style36"/>
        <w:keepNext/>
        <w:keepLines/>
        <w:widowControl w:val="0"/>
        <w:shd w:val="clear" w:color="auto" w:fill="auto"/>
        <w:tabs>
          <w:tab w:pos="493" w:val="left"/>
        </w:tabs>
        <w:bidi w:val="0"/>
        <w:spacing w:before="0" w:after="120" w:line="467" w:lineRule="exact"/>
        <w:ind w:left="0" w:right="0" w:firstLine="0"/>
        <w:jc w:val="left"/>
      </w:pPr>
      <w:bookmarkStart w:id="573" w:name="bookmark573"/>
      <w:bookmarkStart w:id="574" w:name="bookmark574"/>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73"/>
      <w:bookmarkEnd w:id="574"/>
      <w:bookmarkEnd w:id="577"/>
    </w:p>
    <w:p>
      <w:pPr>
        <w:pStyle w:val="Style33"/>
        <w:keepNext w:val="0"/>
        <w:keepLines w:val="0"/>
        <w:widowControl w:val="0"/>
        <w:shd w:val="clear" w:color="auto" w:fill="auto"/>
        <w:bidi w:val="0"/>
        <w:spacing w:before="0" w:after="120" w:line="467" w:lineRule="exact"/>
        <w:ind w:left="0" w:right="0" w:firstLine="340"/>
        <w:jc w:val="left"/>
      </w:pPr>
      <w:r>
        <w:rPr>
          <w:color w:val="000000"/>
          <w:spacing w:val="0"/>
          <w:w w:val="100"/>
          <w:position w:val="0"/>
        </w:rPr>
        <w:t>本公司存货分为库存商品、发出商品、周转材料等。</w:t>
      </w:r>
    </w:p>
    <w:p>
      <w:pPr>
        <w:pStyle w:val="Style36"/>
        <w:keepNext/>
        <w:keepLines/>
        <w:widowControl w:val="0"/>
        <w:shd w:val="clear" w:color="auto" w:fill="auto"/>
        <w:tabs>
          <w:tab w:pos="493" w:val="left"/>
        </w:tabs>
        <w:bidi w:val="0"/>
        <w:spacing w:before="0" w:after="120" w:line="467"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78"/>
      <w:bookmarkEnd w:id="579"/>
      <w:bookmarkEnd w:id="581"/>
    </w:p>
    <w:p>
      <w:pPr>
        <w:pStyle w:val="Style33"/>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计价方法：个别认定法</w:t>
      </w:r>
    </w:p>
    <w:p>
      <w:pPr>
        <w:pStyle w:val="Style36"/>
        <w:keepNext/>
        <w:keepLines/>
        <w:widowControl w:val="0"/>
        <w:shd w:val="clear" w:color="auto" w:fill="auto"/>
        <w:tabs>
          <w:tab w:pos="493" w:val="left"/>
        </w:tabs>
        <w:bidi w:val="0"/>
        <w:spacing w:before="0" w:after="220" w:line="467" w:lineRule="exact"/>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82"/>
      <w:bookmarkEnd w:id="583"/>
      <w:bookmarkEnd w:id="585"/>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期末对存货进行全面清查后，按存货的成本与可变现净值孰低提取或调整存货跌价准备。</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3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资产负债表日市场价格异常的判断依据为：本期期末存货项目的可变现净值以资产负债表日市场价格 为基础确定。</w:t>
      </w:r>
    </w:p>
    <w:p>
      <w:pPr>
        <w:pStyle w:val="Style36"/>
        <w:keepNext/>
        <w:keepLines/>
        <w:widowControl w:val="0"/>
        <w:shd w:val="clear" w:color="auto" w:fill="auto"/>
        <w:tabs>
          <w:tab w:pos="493" w:val="left"/>
        </w:tabs>
        <w:bidi w:val="0"/>
        <w:spacing w:before="0" w:after="120" w:line="467"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86"/>
      <w:bookmarkEnd w:id="587"/>
      <w:bookmarkEnd w:id="589"/>
    </w:p>
    <w:p>
      <w:pPr>
        <w:pStyle w:val="Style33"/>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盘存制度：永续盘存制</w:t>
      </w:r>
    </w:p>
    <w:p>
      <w:pPr>
        <w:pStyle w:val="Style36"/>
        <w:keepNext/>
        <w:keepLines/>
        <w:widowControl w:val="0"/>
        <w:shd w:val="clear" w:color="auto" w:fill="auto"/>
        <w:tabs>
          <w:tab w:pos="493" w:val="left"/>
        </w:tabs>
        <w:bidi w:val="0"/>
        <w:spacing w:before="0" w:after="220" w:line="467"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90"/>
      <w:bookmarkEnd w:id="591"/>
      <w:bookmarkEnd w:id="593"/>
    </w:p>
    <w:p>
      <w:pPr>
        <w:pStyle w:val="Style33"/>
        <w:keepNext w:val="0"/>
        <w:keepLines w:val="0"/>
        <w:widowControl w:val="0"/>
        <w:shd w:val="clear" w:color="auto" w:fill="auto"/>
        <w:bidi w:val="0"/>
        <w:spacing w:before="0" w:after="120" w:line="467" w:lineRule="exact"/>
        <w:ind w:left="0" w:right="0" w:firstLine="0"/>
        <w:jc w:val="left"/>
      </w:pPr>
      <w:r>
        <w:rPr>
          <w:color w:val="000000"/>
          <w:spacing w:val="0"/>
          <w:w w:val="100"/>
          <w:position w:val="0"/>
        </w:rPr>
        <w:t>低值易耗品</w:t>
      </w:r>
    </w:p>
    <w:p>
      <w:pPr>
        <w:pStyle w:val="Style33"/>
        <w:keepNext w:val="0"/>
        <w:keepLines w:val="0"/>
        <w:widowControl w:val="0"/>
        <w:shd w:val="clear" w:color="auto" w:fill="auto"/>
        <w:bidi w:val="0"/>
        <w:spacing w:before="0" w:after="0" w:line="470" w:lineRule="exact"/>
        <w:ind w:left="0" w:right="0" w:firstLine="0"/>
        <w:jc w:val="both"/>
      </w:pPr>
      <w:r>
        <w:rPr>
          <w:color w:val="000000"/>
          <w:spacing w:val="0"/>
          <w:w w:val="100"/>
          <w:position w:val="0"/>
        </w:rPr>
        <w:t>摊销方法：其他</w:t>
      </w:r>
    </w:p>
    <w:p>
      <w:pPr>
        <w:pStyle w:val="Style33"/>
        <w:keepNext w:val="0"/>
        <w:keepLines w:val="0"/>
        <w:widowControl w:val="0"/>
        <w:shd w:val="clear" w:color="auto" w:fill="auto"/>
        <w:tabs>
          <w:tab w:pos="894" w:val="left"/>
        </w:tabs>
        <w:bidi w:val="0"/>
        <w:spacing w:before="0" w:after="0" w:line="470" w:lineRule="exact"/>
        <w:ind w:left="0" w:right="0" w:firstLine="440"/>
        <w:jc w:val="both"/>
      </w:pPr>
      <w:bookmarkStart w:id="594" w:name="bookmark594"/>
      <w:r>
        <w:rPr>
          <w:color w:val="000000"/>
          <w:spacing w:val="0"/>
          <w:w w:val="100"/>
          <w:position w:val="0"/>
        </w:rPr>
        <w:t>（</w:t>
      </w:r>
      <w:bookmarkEnd w:id="594"/>
      <w:r>
        <w:rPr>
          <w:color w:val="000000"/>
          <w:spacing w:val="0"/>
          <w:w w:val="100"/>
          <w:position w:val="0"/>
        </w:rPr>
        <w:t>1）</w:t>
        <w:tab/>
      </w:r>
      <w:r>
        <w:rPr>
          <w:color w:val="000000"/>
          <w:spacing w:val="0"/>
          <w:w w:val="100"/>
          <w:position w:val="0"/>
        </w:rPr>
        <w:t>低值易耗品采用一次转销法。</w:t>
      </w:r>
    </w:p>
    <w:p>
      <w:pPr>
        <w:pStyle w:val="Style33"/>
        <w:keepNext w:val="0"/>
        <w:keepLines w:val="0"/>
        <w:widowControl w:val="0"/>
        <w:shd w:val="clear" w:color="auto" w:fill="auto"/>
        <w:tabs>
          <w:tab w:pos="951" w:val="left"/>
        </w:tabs>
        <w:bidi w:val="0"/>
        <w:spacing w:before="0" w:after="220" w:line="470" w:lineRule="exact"/>
        <w:ind w:left="0" w:right="0" w:firstLine="440"/>
        <w:jc w:val="both"/>
      </w:pPr>
      <w:bookmarkStart w:id="595" w:name="bookmark595"/>
      <w:r>
        <w:rPr>
          <w:color w:val="000000"/>
          <w:spacing w:val="0"/>
          <w:w w:val="100"/>
          <w:position w:val="0"/>
        </w:rPr>
        <w:t>（</w:t>
      </w:r>
      <w:bookmarkEnd w:id="595"/>
      <w:r>
        <w:rPr>
          <w:color w:val="000000"/>
          <w:spacing w:val="0"/>
          <w:w w:val="100"/>
          <w:position w:val="0"/>
        </w:rPr>
        <w:t>2）</w:t>
        <w:tab/>
      </w:r>
      <w:r>
        <w:rPr>
          <w:color w:val="000000"/>
          <w:spacing w:val="0"/>
          <w:w w:val="100"/>
          <w:position w:val="0"/>
        </w:rPr>
        <w:t>周转材料采用分次摊销法，在领用或出借周转材料（备品备件）时先摊销其成本的</w:t>
      </w:r>
      <w:r>
        <w:rPr>
          <w:color w:val="000000"/>
          <w:spacing w:val="0"/>
          <w:w w:val="100"/>
          <w:position w:val="0"/>
        </w:rPr>
        <w:t>50%，</w:t>
      </w:r>
      <w:r>
        <w:rPr>
          <w:color w:val="000000"/>
          <w:spacing w:val="0"/>
          <w:w w:val="100"/>
          <w:position w:val="0"/>
        </w:rPr>
        <w:t>在报废 时再摊销其成本的</w:t>
      </w:r>
      <w:r>
        <w:rPr>
          <w:color w:val="000000"/>
          <w:spacing w:val="0"/>
          <w:w w:val="100"/>
          <w:position w:val="0"/>
        </w:rPr>
        <w:t>50%</w:t>
      </w:r>
      <w:r>
        <w:rPr>
          <w:color w:val="000000"/>
          <w:spacing w:val="0"/>
          <w:w w:val="100"/>
          <w:position w:val="0"/>
        </w:rPr>
        <w:t>。</w:t>
      </w:r>
    </w:p>
    <w:p>
      <w:pPr>
        <w:pStyle w:val="Style36"/>
        <w:keepNext/>
        <w:keepLines/>
        <w:widowControl w:val="0"/>
        <w:shd w:val="clear" w:color="auto" w:fill="auto"/>
        <w:bidi w:val="0"/>
        <w:spacing w:before="0" w:after="140" w:line="467" w:lineRule="exact"/>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596"/>
      <w:bookmarkEnd w:id="597"/>
      <w:bookmarkEnd w:id="599"/>
    </w:p>
    <w:p>
      <w:pPr>
        <w:pStyle w:val="Style36"/>
        <w:keepNext/>
        <w:keepLines/>
        <w:widowControl w:val="0"/>
        <w:shd w:val="clear" w:color="auto" w:fill="auto"/>
        <w:bidi w:val="0"/>
        <w:spacing w:before="0" w:after="220" w:line="467" w:lineRule="exact"/>
        <w:ind w:left="0" w:right="0" w:firstLine="0"/>
        <w:jc w:val="both"/>
      </w:pPr>
      <w:bookmarkStart w:id="596" w:name="bookmark596"/>
      <w:bookmarkStart w:id="597" w:name="bookmark597"/>
      <w:bookmarkStart w:id="600" w:name="bookmark600"/>
      <w:bookmarkStart w:id="601" w:name="bookmark601"/>
      <w:r>
        <w:rPr>
          <w:color w:val="000000"/>
          <w:spacing w:val="0"/>
          <w:w w:val="100"/>
          <w:position w:val="0"/>
        </w:rPr>
        <w:t>（</w:t>
      </w:r>
      <w:bookmarkEnd w:id="600"/>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96"/>
      <w:bookmarkEnd w:id="597"/>
      <w:bookmarkEnd w:id="601"/>
    </w:p>
    <w:p>
      <w:pPr>
        <w:pStyle w:val="Style33"/>
        <w:keepNext w:val="0"/>
        <w:keepLines w:val="0"/>
        <w:widowControl w:val="0"/>
        <w:numPr>
          <w:ilvl w:val="0"/>
          <w:numId w:val="21"/>
        </w:numPr>
        <w:shd w:val="clear" w:color="auto" w:fill="auto"/>
        <w:tabs>
          <w:tab w:pos="759" w:val="left"/>
        </w:tabs>
        <w:bidi w:val="0"/>
        <w:spacing w:before="0" w:after="0" w:line="467" w:lineRule="exact"/>
        <w:ind w:left="0" w:right="0" w:firstLine="440"/>
        <w:jc w:val="both"/>
      </w:pPr>
      <w:bookmarkStart w:id="602" w:name="bookmark602"/>
      <w:bookmarkEnd w:id="602"/>
      <w:r>
        <w:rPr>
          <w:color w:val="000000"/>
          <w:spacing w:val="0"/>
          <w:w w:val="100"/>
          <w:position w:val="0"/>
        </w:rPr>
        <w:t>企业合并形成的长期股权投资同一控制下的企业合并：公司以支付现金、转让非现金资产或承担债 务方式以及以发行权益性证券作为合并对价的，在合并日按照取得被合并方所有者权益账面价值的份额作 为长期股权投资的初始投资成本。长期股权投资初始投资成本与支付合并对价之间的差额，调整资本公积 中的股本溢价；资本公积中的股本溢价不足冲减的，调整留存收益。合并发生的各项直接相关费用，包括 为进行合并而支付的审计费用、评估费用、法律服务费用等，于发生时计入当期损益。非同一控制下的企 业合并：公司按照购买日确定的合并成本作为长期股权投资的初始投资成本。合并成本为购买日购买方为 取得对被购买方的控制权而付出的资产、发生或承担的负债以及发行的权益性证券的公允价值。购买方为 企业合并而发生的审计、法律服务、评估咨询等中介费用以及其他相关管理费用于发生时计入当期损益； 购买方作为合并对价发行的权益性证券或债务性证券的交易费用，计入权益性证券或债务性证券的初始确 认金额。通过多次交易分步实现的非同一控制下企业合并，以购买日之前所持被购买方的股权投资的账面 价值与购买日新增投资成本之和，作为该项投资的初始投资成本。本公司将合并协议约定的或有对价作为 企业合并转移对价的一部分，按照其在购买日的公允价值计入企业合并成本。</w:t>
      </w:r>
    </w:p>
    <w:p>
      <w:pPr>
        <w:pStyle w:val="Style33"/>
        <w:keepNext w:val="0"/>
        <w:keepLines w:val="0"/>
        <w:widowControl w:val="0"/>
        <w:numPr>
          <w:ilvl w:val="0"/>
          <w:numId w:val="21"/>
        </w:numPr>
        <w:shd w:val="clear" w:color="auto" w:fill="auto"/>
        <w:tabs>
          <w:tab w:pos="759" w:val="left"/>
        </w:tabs>
        <w:bidi w:val="0"/>
        <w:spacing w:before="0" w:after="180" w:line="467" w:lineRule="exact"/>
        <w:ind w:left="0" w:right="0" w:firstLine="440"/>
        <w:jc w:val="both"/>
      </w:pPr>
      <w:bookmarkStart w:id="603" w:name="bookmark603"/>
      <w:bookmarkEnd w:id="603"/>
      <w:r>
        <w:rPr>
          <w:color w:val="000000"/>
          <w:spacing w:val="0"/>
          <w:w w:val="100"/>
          <w:position w:val="0"/>
        </w:rPr>
        <w:t>其他方式取得的长期股权投资以支付现金方式取得的长期股权投资，按照实际支付的购买价款作为 初始投资成本。以发行权益性证券取得的长期股权投资，按照发行权益性证券的公允价值作为初始投资成 本。投资者投入的长期股权投资，按照投资合同或协议约定的价值（扣除已宣告但尚未发放的现金股利或 利润）作为初始投资成本，但合同或协议约定价值不公允的除外。在非货币性资产交换具备商业实质和 换入资产或换出资产的公允价值能够可靠计量的前提下，非货币性资产交换换入的长期股权投资以换出资 产的公允价值为基础确定其初始投资成本，除非有确凿证据表明换入资产的公允价值更加可靠；不满足上 述前提的非货币性资产交换，以换出资产的账面价值和应支付的相关税费作为换入长期股权投资的初始投 资成本。通过债务重组取得的长期股权投资，其初始投资成本按照公允价值为基础确定。</w:t>
      </w:r>
    </w:p>
    <w:p>
      <w:pPr>
        <w:pStyle w:val="Style36"/>
        <w:keepNext/>
        <w:keepLines/>
        <w:widowControl w:val="0"/>
        <w:numPr>
          <w:ilvl w:val="0"/>
          <w:numId w:val="23"/>
        </w:numPr>
        <w:shd w:val="clear" w:color="auto" w:fill="auto"/>
        <w:bidi w:val="0"/>
        <w:spacing w:before="0" w:after="220" w:line="468" w:lineRule="exact"/>
        <w:ind w:left="0" w:right="0" w:firstLine="0"/>
        <w:jc w:val="left"/>
      </w:pPr>
      <w:bookmarkStart w:id="604" w:name="bookmark604"/>
      <w:bookmarkStart w:id="605" w:name="bookmark605"/>
      <w:bookmarkStart w:id="606" w:name="bookmark606"/>
      <w:bookmarkStart w:id="607" w:name="bookmark607"/>
      <w:bookmarkEnd w:id="606"/>
      <w:r>
        <w:rPr>
          <w:color w:val="000000"/>
          <w:spacing w:val="0"/>
          <w:w w:val="100"/>
          <w:position w:val="0"/>
        </w:rPr>
        <w:t>后续计量及损益确认</w:t>
      </w:r>
      <w:bookmarkEnd w:id="604"/>
      <w:bookmarkEnd w:id="605"/>
      <w:bookmarkEnd w:id="607"/>
    </w:p>
    <w:p>
      <w:pPr>
        <w:pStyle w:val="Style33"/>
        <w:keepNext w:val="0"/>
        <w:keepLines w:val="0"/>
        <w:widowControl w:val="0"/>
        <w:numPr>
          <w:ilvl w:val="0"/>
          <w:numId w:val="25"/>
        </w:numPr>
        <w:shd w:val="clear" w:color="auto" w:fill="auto"/>
        <w:tabs>
          <w:tab w:pos="759" w:val="left"/>
        </w:tabs>
        <w:bidi w:val="0"/>
        <w:spacing w:before="0" w:after="0" w:line="468" w:lineRule="exact"/>
        <w:ind w:left="0" w:right="0" w:firstLine="440"/>
        <w:jc w:val="both"/>
      </w:pPr>
      <w:bookmarkStart w:id="608" w:name="bookmark608"/>
      <w:bookmarkEnd w:id="608"/>
      <w:r>
        <w:rPr>
          <w:color w:val="000000"/>
          <w:spacing w:val="0"/>
          <w:w w:val="100"/>
          <w:position w:val="0"/>
        </w:rPr>
        <w:t>后续计量公司对子公司的长期股权投资，采用成本法核算，编制合并财务报表时按照权益法进行调 整。对被投资单位不具有共同控制或重大影响，并且在活跃市场中没有报价、公允价值不能可靠计量的长 期股权投资，采用成本法核算。对被投资单位具有共同控制或重大影响的长期股权投资，采用权益法核算。 初始投资成本大于投资时应享有被投资单位可辨认净资产公允价值份额的差额，不调整长期股权投资的初 始投资成本；初始投资成本小于投资时应享有被投资单位可辨认净资产公允价值份额的差额，计入当期损 益。被投资单位除净损益以外所有者权益其他变动的处理：对于被投资单位除净损益以外所有者权益的其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33"/>
        <w:keepNext w:val="0"/>
        <w:keepLines w:val="0"/>
        <w:widowControl w:val="0"/>
        <w:numPr>
          <w:ilvl w:val="0"/>
          <w:numId w:val="25"/>
        </w:numPr>
        <w:shd w:val="clear" w:color="auto" w:fill="auto"/>
        <w:tabs>
          <w:tab w:pos="759" w:val="left"/>
        </w:tabs>
        <w:bidi w:val="0"/>
        <w:spacing w:before="0" w:after="0" w:line="468" w:lineRule="exact"/>
        <w:ind w:left="0" w:right="0" w:firstLine="440"/>
        <w:jc w:val="both"/>
      </w:pPr>
      <w:bookmarkStart w:id="609" w:name="bookmark609"/>
      <w:bookmarkEnd w:id="609"/>
      <w:r>
        <w:rPr>
          <w:color w:val="000000"/>
          <w:spacing w:val="0"/>
          <w:w w:val="100"/>
          <w:position w:val="0"/>
        </w:rPr>
        <w:t>损益确认成本法下，除取得投资时实际支付的价款或对价中包含的已宣告但尚未发放的现金股利或 利润外，公司按照享有被投资单位宣告发放的现金股利或利润确认投资收益。权益法下，在被投资单位账 面净利润的基础上考虑：被投资单位与本公司采用的会计政策及会计期间不一致，按本公司的会计政策及 会计期间对被投资单位财务报表进行调整；以取得投资时被投资单位固定资产、无形资产的公允价值为基 础计提的折旧额或摊销额以及有关资产减值准备金额等对被投资单位净利润的影响；对本公司与联营企业 及合营企业之间发生的未实现内部交易予以抵销等事项的适当调整后，确认应享有或应负担被投资单位的 净利润或净亏损。在公司确认应分担被投资单位发生的亏损时，按照以下顺序进行处理：首先，冲减长期 股权投资的账面价值。其次，长期股权投资的账面价值不足以冲减的，以其他实质上构成对被投资单位净 投资的长期权益账面价值为限继续确认投资损失，冲减长期应收项目等的账面价值。最后，经过上述处理, 按照投资合同或协议约定企业仍承担额外义务的，按预计承担的义务确认预计负债，计入当期投资损失。 被投资单位以后期间实现盈利的，公司在扣除未确认的亏损分担额后，按与上述相反的顺序处理，减记已 确认预计负债的账面余额、恢复其他实质上构成对被投资单位净投资的长期权益及长期股权投资的账面价 值，同时确认投资收益。在持有投资期间，被投资单位能够提供合并财务报表的，应当以合并财务报表中 的净利润和其他权益变动为基础进行核算。</w:t>
      </w:r>
    </w:p>
    <w:p>
      <w:pPr>
        <w:pStyle w:val="Style33"/>
        <w:keepNext w:val="0"/>
        <w:keepLines w:val="0"/>
        <w:widowControl w:val="0"/>
        <w:numPr>
          <w:ilvl w:val="0"/>
          <w:numId w:val="25"/>
        </w:numPr>
        <w:shd w:val="clear" w:color="auto" w:fill="auto"/>
        <w:tabs>
          <w:tab w:pos="759" w:val="left"/>
        </w:tabs>
        <w:bidi w:val="0"/>
        <w:spacing w:before="0" w:after="200" w:line="468" w:lineRule="exact"/>
        <w:ind w:left="0" w:right="0" w:firstLine="440"/>
        <w:jc w:val="both"/>
      </w:pPr>
      <w:bookmarkStart w:id="610" w:name="bookmark610"/>
      <w:bookmarkEnd w:id="610"/>
      <w:r>
        <w:rPr>
          <w:color w:val="000000"/>
          <w:spacing w:val="0"/>
          <w:w w:val="100"/>
          <w:position w:val="0"/>
        </w:rPr>
        <w:t xml:space="preserve">长期股权投资的处置处置长期股权投资，其账面价值与实际取得价款的差额，计入当期损益。采用 权益法核算的长期股权投资，因被投资单位除净损益以外所有者权益的其他变动而计入所有者权益的，处 置该项投资时将原计入所有者权益的部分按相应比例转入当期损益。因处置部分股权投资或其他原因丧失 了对原有子公司控制权的，对于剩余股权，按其账面价值确认为长期股权投资或其他相关金融资产。处置 后的剩余股权能够对原有子公司实施共同控制或重大影响的，首先按处置或收回投资的比例结转应终止确 认的长期股权投资成本。在此基础上，比较剩余的长期股权投资成本与按照剩余持股比例计算原投资时应 </w:t>
      </w:r>
      <w:r>
        <w:rPr>
          <w:color w:val="000000"/>
          <w:spacing w:val="0"/>
          <w:w w:val="100"/>
          <w:position w:val="0"/>
        </w:rPr>
        <w:t>享有被投资单位可辨认净资产公允价值的份额，属于投资作价中体现的商誉部分，不调整长期股权投资的 账面价值；属于投资成本小于原投资时应享有被投资单位可辨认净资产公允价值份额的，在调整长期股权 投资成本的同时调整留存收益。对于原取得投资后至因处置投资导致转变为权益法核算之间被投资单位实 现净损益中应享有的份额，一方面调整长期股权投资的账面价值，同时对于原取得投资时至处置投资当期 期初被投资单位实现的净损益（扣除已发放及已宣告发放的现金股利和利润）中应享有的份额，调整留存 收益，对于处置投资当期期初至处置投资之日被投资单位实现的净损益中享有的份额，调整当期损益；其 他原因导致被投资单位所有者权益变动中应享有的份额，在调整长期股权投资账面价值的同时，计入资本 公积（其他资本公积）。</w:t>
      </w:r>
    </w:p>
    <w:p>
      <w:pPr>
        <w:pStyle w:val="Style36"/>
        <w:keepNext/>
        <w:keepLines/>
        <w:widowControl w:val="0"/>
        <w:shd w:val="clear" w:color="auto" w:fill="auto"/>
        <w:tabs>
          <w:tab w:pos="474" w:val="left"/>
        </w:tabs>
        <w:bidi w:val="0"/>
        <w:spacing w:before="0" w:after="200" w:line="468" w:lineRule="exact"/>
        <w:ind w:left="0" w:right="0" w:firstLine="0"/>
        <w:jc w:val="both"/>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11"/>
      <w:bookmarkEnd w:id="612"/>
      <w:bookmarkEnd w:id="614"/>
    </w:p>
    <w:p>
      <w:pPr>
        <w:pStyle w:val="Style3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共同控制，是指按照合同约定对某项经济活动所共有的控制，仅在与该项经济活动相关的重要财务和 经营决策需要分享控制权的投资方一致同意时存在。投资企业与其他方对被投资单位实施共同控制的，被 投资单位为其合营企业。重大影响，是指对一个企业的财务和经营决策有参与决策的权力，但并不能够控 制或者与其他方一起共同控制这些政策的制定。投资企业能够对被投资单位施加重大影响的，被投资单位 为其联营企业。</w:t>
      </w:r>
    </w:p>
    <w:p>
      <w:pPr>
        <w:pStyle w:val="Style36"/>
        <w:keepNext/>
        <w:keepLines/>
        <w:widowControl w:val="0"/>
        <w:shd w:val="clear" w:color="auto" w:fill="auto"/>
        <w:tabs>
          <w:tab w:pos="474" w:val="left"/>
        </w:tabs>
        <w:bidi w:val="0"/>
        <w:spacing w:before="0" w:after="200" w:line="468" w:lineRule="exact"/>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15"/>
      <w:bookmarkEnd w:id="616"/>
      <w:bookmarkEnd w:id="618"/>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3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长期股权投资减值损失一经确认，不再转回。</w:t>
      </w:r>
    </w:p>
    <w:p>
      <w:pPr>
        <w:pStyle w:val="Style36"/>
        <w:keepNext/>
        <w:keepLines/>
        <w:widowControl w:val="0"/>
        <w:shd w:val="clear" w:color="auto" w:fill="auto"/>
        <w:bidi w:val="0"/>
        <w:spacing w:before="0" w:after="0" w:line="48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619"/>
      <w:bookmarkEnd w:id="620"/>
      <w:bookmarkEnd w:id="622"/>
    </w:p>
    <w:p>
      <w:pPr>
        <w:pStyle w:val="Style36"/>
        <w:keepNext/>
        <w:keepLines/>
        <w:widowControl w:val="0"/>
        <w:shd w:val="clear" w:color="auto" w:fill="auto"/>
        <w:bidi w:val="0"/>
        <w:spacing w:before="0" w:after="200" w:line="468" w:lineRule="exact"/>
        <w:ind w:left="0" w:right="0" w:firstLine="0"/>
        <w:jc w:val="left"/>
      </w:pPr>
      <w:bookmarkStart w:id="619" w:name="bookmark619"/>
      <w:bookmarkStart w:id="620" w:name="bookmark620"/>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619"/>
      <w:bookmarkEnd w:id="620"/>
      <w:bookmarkEnd w:id="624"/>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3"/>
        <w:keepNext w:val="0"/>
        <w:keepLines w:val="0"/>
        <w:widowControl w:val="0"/>
        <w:numPr>
          <w:ilvl w:val="0"/>
          <w:numId w:val="27"/>
        </w:numPr>
        <w:shd w:val="clear" w:color="auto" w:fill="auto"/>
        <w:tabs>
          <w:tab w:pos="813" w:val="left"/>
        </w:tabs>
        <w:bidi w:val="0"/>
        <w:spacing w:before="0" w:after="0" w:line="470" w:lineRule="exact"/>
        <w:ind w:left="0" w:right="0" w:firstLine="440"/>
        <w:jc w:val="both"/>
      </w:pPr>
      <w:bookmarkStart w:id="625" w:name="bookmark625"/>
      <w:bookmarkEnd w:id="625"/>
      <w:r>
        <w:rPr>
          <w:color w:val="000000"/>
          <w:spacing w:val="0"/>
          <w:w w:val="100"/>
          <w:position w:val="0"/>
        </w:rPr>
        <w:t>与该固定资产有关的经济利益很可能流入企业；</w:t>
      </w:r>
    </w:p>
    <w:p>
      <w:pPr>
        <w:pStyle w:val="Style33"/>
        <w:keepNext w:val="0"/>
        <w:keepLines w:val="0"/>
        <w:widowControl w:val="0"/>
        <w:numPr>
          <w:ilvl w:val="0"/>
          <w:numId w:val="27"/>
        </w:numPr>
        <w:shd w:val="clear" w:color="auto" w:fill="auto"/>
        <w:tabs>
          <w:tab w:pos="818" w:val="left"/>
        </w:tabs>
        <w:bidi w:val="0"/>
        <w:spacing w:before="0" w:after="200" w:line="470" w:lineRule="exact"/>
        <w:ind w:left="0" w:right="0" w:firstLine="440"/>
        <w:jc w:val="both"/>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9" w:h="17415"/>
          <w:pgMar w:top="1536" w:right="939" w:bottom="1858" w:left="1010" w:header="0" w:footer="3" w:gutter="0"/>
          <w:cols w:space="720"/>
          <w:noEndnote/>
          <w:titlePg/>
          <w:rtlGutter w:val="0"/>
          <w:docGrid w:linePitch="360"/>
        </w:sectPr>
      </w:pPr>
      <w:bookmarkStart w:id="626" w:name="bookmark626"/>
      <w:bookmarkEnd w:id="626"/>
      <w:r>
        <w:rPr>
          <w:color w:val="000000"/>
          <w:spacing w:val="0"/>
          <w:w w:val="100"/>
          <w:position w:val="0"/>
        </w:rPr>
        <w:t>该固定资产的成本能够可靠地计量。</w:t>
      </w:r>
    </w:p>
    <w:p>
      <w:pPr>
        <w:pStyle w:val="Style36"/>
        <w:keepNext/>
        <w:keepLines/>
        <w:widowControl w:val="0"/>
        <w:shd w:val="clear" w:color="auto" w:fill="auto"/>
        <w:bidi w:val="0"/>
        <w:spacing w:before="0" w:after="200" w:line="466" w:lineRule="exact"/>
        <w:ind w:left="0" w:right="0" w:firstLine="0"/>
        <w:jc w:val="both"/>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2</w:t>
      </w:r>
      <w:r>
        <w:rPr>
          <w:color w:val="000000"/>
          <w:spacing w:val="0"/>
          <w:w w:val="100"/>
          <w:position w:val="0"/>
        </w:rPr>
        <w:t>）各类固定资产的折旧方法</w:t>
      </w:r>
      <w:bookmarkEnd w:id="627"/>
      <w:bookmarkEnd w:id="628"/>
      <w:bookmarkEnd w:id="630"/>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33"/>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99" w:line="1" w:lineRule="exact"/>
      </w:pPr>
    </w:p>
    <w:p>
      <w:pPr>
        <w:pStyle w:val="Style36"/>
        <w:keepNext/>
        <w:keepLines/>
        <w:widowControl w:val="0"/>
        <w:shd w:val="clear" w:color="auto" w:fill="auto"/>
        <w:bidi w:val="0"/>
        <w:spacing w:before="0" w:after="200" w:line="473" w:lineRule="exact"/>
        <w:ind w:left="0" w:right="0" w:firstLine="0"/>
        <w:jc w:val="both"/>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3</w:t>
      </w:r>
      <w:r>
        <w:rPr>
          <w:color w:val="000000"/>
          <w:spacing w:val="0"/>
          <w:w w:val="100"/>
          <w:position w:val="0"/>
        </w:rPr>
        <w:t>）固定资产的减值测试方法、减值准备计提方法</w:t>
      </w:r>
      <w:bookmarkEnd w:id="631"/>
      <w:bookmarkEnd w:id="632"/>
      <w:bookmarkEnd w:id="634"/>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公司在每期末判断固定资产是否存在可能发生减值的迹象。</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固定资产的减值损失一经确认，在以后会计期间不再转回。</w:t>
      </w:r>
    </w:p>
    <w:p>
      <w:pPr>
        <w:pStyle w:val="Style33"/>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6"/>
        <w:keepNext/>
        <w:keepLines/>
        <w:widowControl w:val="0"/>
        <w:shd w:val="clear" w:color="auto" w:fill="auto"/>
        <w:bidi w:val="0"/>
        <w:spacing w:before="0" w:after="140" w:line="473" w:lineRule="exact"/>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635"/>
      <w:bookmarkEnd w:id="636"/>
      <w:bookmarkEnd w:id="638"/>
    </w:p>
    <w:p>
      <w:pPr>
        <w:pStyle w:val="Style36"/>
        <w:keepNext/>
        <w:keepLines/>
        <w:widowControl w:val="0"/>
        <w:shd w:val="clear" w:color="auto" w:fill="auto"/>
        <w:bidi w:val="0"/>
        <w:spacing w:before="0" w:after="200" w:line="473" w:lineRule="exact"/>
        <w:ind w:left="0" w:right="0" w:firstLine="0"/>
        <w:jc w:val="both"/>
      </w:pPr>
      <w:bookmarkStart w:id="635" w:name="bookmark635"/>
      <w:bookmarkStart w:id="636" w:name="bookmark636"/>
      <w:bookmarkStart w:id="639" w:name="bookmark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35"/>
      <w:bookmarkEnd w:id="636"/>
      <w:bookmarkEnd w:id="639"/>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①公司取得无形资产时按成本进行初始计量；</w:t>
      </w:r>
    </w:p>
    <w:p>
      <w:pPr>
        <w:pStyle w:val="Style3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②后续计量</w:t>
      </w:r>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在取得无形资产时分析判断其使用寿命。</w:t>
      </w:r>
    </w:p>
    <w:p>
      <w:pPr>
        <w:pStyle w:val="Style33"/>
        <w:keepNext w:val="0"/>
        <w:keepLines w:val="0"/>
        <w:widowControl w:val="0"/>
        <w:shd w:val="clear" w:color="auto" w:fill="auto"/>
        <w:bidi w:val="0"/>
        <w:spacing w:before="0" w:after="220" w:line="467" w:lineRule="exact"/>
        <w:ind w:left="0" w:right="0" w:firstLine="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36"/>
        <w:keepNext/>
        <w:keepLines/>
        <w:widowControl w:val="0"/>
        <w:shd w:val="clear" w:color="auto" w:fill="auto"/>
        <w:bidi w:val="0"/>
        <w:spacing w:before="0" w:after="460" w:line="467" w:lineRule="exact"/>
        <w:ind w:left="0" w:right="0" w:firstLine="0"/>
        <w:jc w:val="both"/>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40"/>
      <w:bookmarkEnd w:id="641"/>
      <w:bookmarkEnd w:id="643"/>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每期末，对使用寿命不确定的无形资产的使用寿命进行复核。</w:t>
      </w:r>
    </w:p>
    <w:p>
      <w:pPr>
        <w:pStyle w:val="Style3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经复核，该类无形资产的使用寿命仍为不确定。</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预计受益年限</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专利权有效期限</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预计受益年限</w:t>
            </w:r>
          </w:p>
        </w:tc>
      </w:tr>
    </w:tbl>
    <w:p>
      <w:pPr>
        <w:widowControl w:val="0"/>
        <w:spacing w:after="35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w:t>
      </w:r>
      <w:bookmarkEnd w:id="646"/>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44"/>
      <w:bookmarkEnd w:id="645"/>
      <w:bookmarkEnd w:id="647"/>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截至资产负债表日，本公司没有使用寿命不确定的无形资产。</w:t>
      </w:r>
    </w:p>
    <w:p>
      <w:pPr>
        <w:pStyle w:val="Style36"/>
        <w:keepNext/>
        <w:keepLines/>
        <w:widowControl w:val="0"/>
        <w:shd w:val="clear" w:color="auto" w:fill="auto"/>
        <w:tabs>
          <w:tab w:pos="493" w:val="left"/>
        </w:tabs>
        <w:bidi w:val="0"/>
        <w:spacing w:before="0" w:after="4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48"/>
      <w:bookmarkEnd w:id="649"/>
      <w:bookmarkEnd w:id="651"/>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对于使用寿命确定的无形资产，如有明显减值迹象的，期末进行减值测试。</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对于使用寿命不确定的无形资产，每期末进行减值测试。</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对无形资产进行减值测试，估计其可收回金额。有迹象表明一项无形资产可能发生减值的，公司以单 项无形资产为基础估计其可收回金额。公司难以对单项资产的可收回金额进行估计的，以该无形资产所属 的资产组为基础确定无形资产组的可收回金额。</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可收回金额根据无形资产的公允价值减去处置费用后的净额与无形资产预计未来现金流量的现值两 者之间较高者确定。</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3"/>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无形资产的减值损失一经确认，在以后会计期间不再转回。</w:t>
      </w:r>
    </w:p>
    <w:p>
      <w:pPr>
        <w:pStyle w:val="Style36"/>
        <w:keepNext/>
        <w:keepLines/>
        <w:widowControl w:val="0"/>
        <w:shd w:val="clear" w:color="auto" w:fill="auto"/>
        <w:tabs>
          <w:tab w:pos="493" w:val="left"/>
        </w:tabs>
        <w:bidi w:val="0"/>
        <w:spacing w:before="0" w:after="220" w:line="469" w:lineRule="exact"/>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52"/>
      <w:bookmarkEnd w:id="653"/>
      <w:bookmarkEnd w:id="655"/>
    </w:p>
    <w:p>
      <w:pPr>
        <w:pStyle w:val="Style33"/>
        <w:keepNext w:val="0"/>
        <w:keepLines w:val="0"/>
        <w:widowControl w:val="0"/>
        <w:shd w:val="clear" w:color="auto" w:fill="auto"/>
        <w:bidi w:val="0"/>
        <w:spacing w:before="0" w:after="0" w:line="470" w:lineRule="exact"/>
        <w:ind w:left="0" w:right="0" w:firstLine="340"/>
        <w:jc w:val="left"/>
      </w:pPr>
      <w:r>
        <w:rPr>
          <w:color w:val="000000"/>
          <w:spacing w:val="0"/>
          <w:w w:val="100"/>
          <w:position w:val="0"/>
        </w:rPr>
        <w:t>公司内部研究开发项目的支出分为研究阶段支出和开发阶段支出。</w:t>
      </w:r>
    </w:p>
    <w:p>
      <w:pPr>
        <w:pStyle w:val="Style33"/>
        <w:keepNext w:val="0"/>
        <w:keepLines w:val="0"/>
        <w:widowControl w:val="0"/>
        <w:shd w:val="clear" w:color="auto" w:fill="auto"/>
        <w:bidi w:val="0"/>
        <w:spacing w:before="0" w:after="220" w:line="470" w:lineRule="exact"/>
        <w:ind w:left="0" w:right="0" w:firstLine="3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6"/>
        <w:keepNext/>
        <w:keepLines/>
        <w:widowControl w:val="0"/>
        <w:shd w:val="clear" w:color="auto" w:fill="auto"/>
        <w:tabs>
          <w:tab w:pos="493" w:val="left"/>
        </w:tabs>
        <w:bidi w:val="0"/>
        <w:spacing w:before="0" w:after="220" w:line="469" w:lineRule="exact"/>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w:t>
      </w:r>
      <w:bookmarkEnd w:id="658"/>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56"/>
      <w:bookmarkEnd w:id="657"/>
      <w:bookmarkEnd w:id="659"/>
    </w:p>
    <w:p>
      <w:pPr>
        <w:pStyle w:val="Style33"/>
        <w:keepNext w:val="0"/>
        <w:keepLines w:val="0"/>
        <w:widowControl w:val="0"/>
        <w:shd w:val="clear" w:color="auto" w:fill="auto"/>
        <w:bidi w:val="0"/>
        <w:spacing w:before="0" w:after="0" w:line="458" w:lineRule="exact"/>
        <w:ind w:left="0" w:right="0" w:firstLine="440"/>
        <w:jc w:val="left"/>
      </w:pPr>
      <w:r>
        <w:rPr>
          <w:color w:val="000000"/>
          <w:spacing w:val="0"/>
          <w:w w:val="100"/>
          <w:position w:val="0"/>
        </w:rPr>
        <w:t>内部研究开发项目开发阶段的支出，同时满足下列条件时确认为无形资产：</w:t>
      </w:r>
    </w:p>
    <w:p>
      <w:pPr>
        <w:pStyle w:val="Style33"/>
        <w:keepNext w:val="0"/>
        <w:keepLines w:val="0"/>
        <w:widowControl w:val="0"/>
        <w:numPr>
          <w:ilvl w:val="0"/>
          <w:numId w:val="29"/>
        </w:numPr>
        <w:shd w:val="clear" w:color="auto" w:fill="auto"/>
        <w:tabs>
          <w:tab w:pos="832" w:val="left"/>
        </w:tabs>
        <w:bidi w:val="0"/>
        <w:spacing w:before="0" w:after="0" w:line="458" w:lineRule="exact"/>
        <w:ind w:left="0" w:right="0" w:firstLine="440"/>
        <w:jc w:val="left"/>
      </w:pPr>
      <w:bookmarkStart w:id="660" w:name="bookmark660"/>
      <w:bookmarkEnd w:id="660"/>
      <w:r>
        <w:rPr>
          <w:color w:val="000000"/>
          <w:spacing w:val="0"/>
          <w:w w:val="100"/>
          <w:position w:val="0"/>
        </w:rPr>
        <w:t>完成该无形资产以使其能够使用或出售在技术上具有可行性；</w:t>
      </w:r>
    </w:p>
    <w:p>
      <w:pPr>
        <w:pStyle w:val="Style33"/>
        <w:keepNext w:val="0"/>
        <w:keepLines w:val="0"/>
        <w:widowControl w:val="0"/>
        <w:numPr>
          <w:ilvl w:val="0"/>
          <w:numId w:val="29"/>
        </w:numPr>
        <w:shd w:val="clear" w:color="auto" w:fill="auto"/>
        <w:tabs>
          <w:tab w:pos="837" w:val="left"/>
        </w:tabs>
        <w:bidi w:val="0"/>
        <w:spacing w:before="0" w:after="0" w:line="458" w:lineRule="exact"/>
        <w:ind w:left="0" w:right="0" w:firstLine="440"/>
        <w:jc w:val="left"/>
      </w:pPr>
      <w:bookmarkStart w:id="661" w:name="bookmark661"/>
      <w:bookmarkEnd w:id="661"/>
      <w:r>
        <w:rPr>
          <w:color w:val="000000"/>
          <w:spacing w:val="0"/>
          <w:w w:val="100"/>
          <w:position w:val="0"/>
        </w:rPr>
        <w:t>具有完成该无形资产并使用或出售的意图；</w:t>
      </w:r>
    </w:p>
    <w:p>
      <w:pPr>
        <w:pStyle w:val="Style33"/>
        <w:keepNext w:val="0"/>
        <w:keepLines w:val="0"/>
        <w:widowControl w:val="0"/>
        <w:numPr>
          <w:ilvl w:val="0"/>
          <w:numId w:val="29"/>
        </w:numPr>
        <w:shd w:val="clear" w:color="auto" w:fill="auto"/>
        <w:tabs>
          <w:tab w:pos="819" w:val="left"/>
        </w:tabs>
        <w:bidi w:val="0"/>
        <w:spacing w:before="0" w:after="0" w:line="458" w:lineRule="exact"/>
        <w:ind w:left="0" w:right="0" w:firstLine="440"/>
        <w:jc w:val="both"/>
      </w:pPr>
      <w:bookmarkStart w:id="662" w:name="bookmark662"/>
      <w:bookmarkEnd w:id="662"/>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3"/>
        <w:keepNext w:val="0"/>
        <w:keepLines w:val="0"/>
        <w:widowControl w:val="0"/>
        <w:numPr>
          <w:ilvl w:val="0"/>
          <w:numId w:val="29"/>
        </w:numPr>
        <w:shd w:val="clear" w:color="auto" w:fill="auto"/>
        <w:tabs>
          <w:tab w:pos="814" w:val="left"/>
        </w:tabs>
        <w:bidi w:val="0"/>
        <w:spacing w:before="0" w:after="0" w:line="458" w:lineRule="exact"/>
        <w:ind w:left="0" w:right="0" w:firstLine="440"/>
        <w:jc w:val="both"/>
      </w:pPr>
      <w:bookmarkStart w:id="663" w:name="bookmark663"/>
      <w:bookmarkEnd w:id="663"/>
      <w:r>
        <w:rPr>
          <w:color w:val="000000"/>
          <w:spacing w:val="0"/>
          <w:w w:val="100"/>
          <w:position w:val="0"/>
        </w:rPr>
        <w:t>有足够的技术、财务资源和其他资源支持，以完成该无形资产的开发，并有能力使用或出售该无形 资产；</w:t>
      </w:r>
    </w:p>
    <w:p>
      <w:pPr>
        <w:pStyle w:val="Style33"/>
        <w:keepNext w:val="0"/>
        <w:keepLines w:val="0"/>
        <w:widowControl w:val="0"/>
        <w:numPr>
          <w:ilvl w:val="0"/>
          <w:numId w:val="29"/>
        </w:numPr>
        <w:shd w:val="clear" w:color="auto" w:fill="auto"/>
        <w:tabs>
          <w:tab w:pos="837" w:val="left"/>
        </w:tabs>
        <w:bidi w:val="0"/>
        <w:spacing w:before="0" w:after="0" w:line="470" w:lineRule="exact"/>
        <w:ind w:left="0" w:right="0" w:firstLine="440"/>
        <w:jc w:val="left"/>
      </w:pPr>
      <w:bookmarkStart w:id="664" w:name="bookmark664"/>
      <w:bookmarkEnd w:id="664"/>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100" w:line="470" w:lineRule="exact"/>
        <w:ind w:left="0" w:right="0" w:firstLine="440"/>
        <w:jc w:val="both"/>
        <w:sectPr>
          <w:headerReference w:type="default" r:id="rId231"/>
          <w:footerReference w:type="default" r:id="rId232"/>
          <w:headerReference w:type="even" r:id="rId233"/>
          <w:footerReference w:type="even" r:id="rId234"/>
          <w:footnotePr>
            <w:pos w:val="pageBottom"/>
            <w:numFmt w:val="decimal"/>
            <w:numRestart w:val="continuous"/>
          </w:footnotePr>
          <w:type w:val="continuous"/>
          <w:pgSz w:w="11909" w:h="17415"/>
          <w:pgMar w:top="1536" w:right="939" w:bottom="1858" w:left="1010" w:header="0" w:footer="3" w:gutter="0"/>
          <w:cols w:space="720"/>
          <w:noEndnote/>
          <w:rtlGutter w:val="0"/>
          <w:docGrid w:linePitch="360"/>
        </w:sectPr>
      </w:pPr>
      <w:r>
        <w:rPr>
          <w:color w:val="000000"/>
          <w:spacing w:val="0"/>
          <w:w w:val="100"/>
          <w:position w:val="0"/>
        </w:rPr>
        <w:t>开发阶段的支出，若不满足上列条件的，于发生时计入当期损益。研究阶段的支出，在发生时计入当 期损益。</w:t>
      </w:r>
    </w:p>
    <w:p>
      <w:pPr>
        <w:pStyle w:val="Style36"/>
        <w:keepNext/>
        <w:keepLines/>
        <w:widowControl w:val="0"/>
        <w:shd w:val="clear" w:color="auto" w:fill="auto"/>
        <w:tabs>
          <w:tab w:pos="474" w:val="left"/>
        </w:tabs>
        <w:bidi w:val="0"/>
        <w:spacing w:before="0" w:after="220" w:line="472" w:lineRule="exact"/>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665"/>
      <w:bookmarkEnd w:id="666"/>
      <w:bookmarkEnd w:id="668"/>
    </w:p>
    <w:p>
      <w:pPr>
        <w:pStyle w:val="Style33"/>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长期待摊费用为已经发生但应由本期和以后各期负担的分摊期限在一年以上的各项费用。</w:t>
      </w:r>
    </w:p>
    <w:p>
      <w:pPr>
        <w:pStyle w:val="Style33"/>
        <w:keepNext w:val="0"/>
        <w:keepLines w:val="0"/>
        <w:widowControl w:val="0"/>
        <w:shd w:val="clear" w:color="auto" w:fill="auto"/>
        <w:tabs>
          <w:tab w:pos="801" w:val="left"/>
        </w:tabs>
        <w:bidi w:val="0"/>
        <w:spacing w:before="0" w:after="0" w:line="472" w:lineRule="exact"/>
        <w:ind w:left="0" w:right="0" w:firstLine="440"/>
        <w:jc w:val="left"/>
      </w:pPr>
      <w:bookmarkStart w:id="669" w:name="bookmark669"/>
      <w:r>
        <w:rPr>
          <w:color w:val="000000"/>
          <w:spacing w:val="0"/>
          <w:w w:val="100"/>
          <w:position w:val="0"/>
        </w:rPr>
        <w:t>1</w:t>
      </w:r>
      <w:bookmarkEnd w:id="669"/>
      <w:r>
        <w:rPr>
          <w:color w:val="000000"/>
          <w:spacing w:val="0"/>
          <w:w w:val="100"/>
          <w:position w:val="0"/>
        </w:rPr>
        <w:t>、</w:t>
        <w:tab/>
        <w:t>摊销方法</w:t>
      </w:r>
    </w:p>
    <w:p>
      <w:pPr>
        <w:pStyle w:val="Style33"/>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长期待摊费用在受益期内平均摊销。</w:t>
      </w:r>
    </w:p>
    <w:p>
      <w:pPr>
        <w:pStyle w:val="Style33"/>
        <w:keepNext w:val="0"/>
        <w:keepLines w:val="0"/>
        <w:widowControl w:val="0"/>
        <w:shd w:val="clear" w:color="auto" w:fill="auto"/>
        <w:tabs>
          <w:tab w:pos="808" w:val="left"/>
        </w:tabs>
        <w:bidi w:val="0"/>
        <w:spacing w:before="0" w:after="0" w:line="472" w:lineRule="exact"/>
        <w:ind w:left="0" w:right="0" w:firstLine="440"/>
        <w:jc w:val="left"/>
      </w:pPr>
      <w:bookmarkStart w:id="670" w:name="bookmark670"/>
      <w:r>
        <w:rPr>
          <w:color w:val="000000"/>
          <w:spacing w:val="0"/>
          <w:w w:val="100"/>
          <w:position w:val="0"/>
        </w:rPr>
        <w:t>2</w:t>
      </w:r>
      <w:bookmarkEnd w:id="670"/>
      <w:r>
        <w:rPr>
          <w:color w:val="000000"/>
          <w:spacing w:val="0"/>
          <w:w w:val="100"/>
          <w:position w:val="0"/>
        </w:rPr>
        <w:t>、</w:t>
        <w:tab/>
        <w:t>摊销年限</w:t>
      </w:r>
    </w:p>
    <w:p>
      <w:pPr>
        <w:pStyle w:val="Style33"/>
        <w:keepNext w:val="0"/>
        <w:keepLines w:val="0"/>
        <w:widowControl w:val="0"/>
        <w:shd w:val="clear" w:color="auto" w:fill="auto"/>
        <w:bidi w:val="0"/>
        <w:spacing w:before="0" w:after="220" w:line="472" w:lineRule="exact"/>
        <w:ind w:left="0" w:right="0" w:firstLine="440"/>
        <w:jc w:val="left"/>
      </w:pPr>
      <w:r>
        <w:rPr>
          <w:color w:val="000000"/>
          <w:spacing w:val="0"/>
          <w:w w:val="100"/>
          <w:position w:val="0"/>
        </w:rPr>
        <w:t>装修费按照预计可使用年限和剩余租赁期限孰短原则确认摊销年限。</w:t>
      </w:r>
    </w:p>
    <w:p>
      <w:pPr>
        <w:pStyle w:val="Style36"/>
        <w:keepNext/>
        <w:keepLines/>
        <w:widowControl w:val="0"/>
        <w:shd w:val="clear" w:color="auto" w:fill="auto"/>
        <w:tabs>
          <w:tab w:pos="474" w:val="left"/>
        </w:tabs>
        <w:bidi w:val="0"/>
        <w:spacing w:before="0" w:after="140" w:line="472" w:lineRule="exact"/>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bookmarkEnd w:id="673"/>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671"/>
      <w:bookmarkEnd w:id="672"/>
      <w:bookmarkEnd w:id="674"/>
    </w:p>
    <w:p>
      <w:pPr>
        <w:pStyle w:val="Style36"/>
        <w:keepNext/>
        <w:keepLines/>
        <w:widowControl w:val="0"/>
        <w:shd w:val="clear" w:color="auto" w:fill="auto"/>
        <w:tabs>
          <w:tab w:pos="493" w:val="left"/>
        </w:tabs>
        <w:bidi w:val="0"/>
        <w:spacing w:before="0" w:after="220" w:line="472" w:lineRule="exact"/>
        <w:ind w:left="0" w:right="0" w:firstLine="0"/>
        <w:jc w:val="left"/>
      </w:pPr>
      <w:bookmarkStart w:id="671" w:name="bookmark671"/>
      <w:bookmarkStart w:id="672" w:name="bookmark672"/>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671"/>
      <w:bookmarkEnd w:id="672"/>
      <w:bookmarkEnd w:id="676"/>
    </w:p>
    <w:p>
      <w:pPr>
        <w:pStyle w:val="Style33"/>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6"/>
        <w:keepNext/>
        <w:keepLines/>
        <w:widowControl w:val="0"/>
        <w:shd w:val="clear" w:color="auto" w:fill="auto"/>
        <w:tabs>
          <w:tab w:pos="493" w:val="left"/>
        </w:tabs>
        <w:bidi w:val="0"/>
        <w:spacing w:before="0" w:after="220" w:line="472" w:lineRule="exact"/>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677"/>
      <w:bookmarkEnd w:id="678"/>
      <w:bookmarkEnd w:id="680"/>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与交易相关的经济利益很可能流入企业，收入的金额能够可靠地计量时。分别下列情况确定让渡资产 使用权收入金额：</w:t>
      </w:r>
    </w:p>
    <w:p>
      <w:pPr>
        <w:pStyle w:val="Style33"/>
        <w:keepNext w:val="0"/>
        <w:keepLines w:val="0"/>
        <w:widowControl w:val="0"/>
        <w:shd w:val="clear" w:color="auto" w:fill="auto"/>
        <w:tabs>
          <w:tab w:pos="928" w:val="left"/>
        </w:tabs>
        <w:bidi w:val="0"/>
        <w:spacing w:before="0" w:after="0" w:line="470" w:lineRule="exact"/>
        <w:ind w:left="0" w:right="0" w:firstLine="440"/>
        <w:jc w:val="left"/>
      </w:pPr>
      <w:bookmarkStart w:id="681" w:name="bookmark681"/>
      <w:r>
        <w:rPr>
          <w:color w:val="000000"/>
          <w:spacing w:val="0"/>
          <w:w w:val="100"/>
          <w:position w:val="0"/>
        </w:rPr>
        <w:t>（</w:t>
      </w:r>
      <w:bookmarkEnd w:id="681"/>
      <w:r>
        <w:rPr>
          <w:color w:val="000000"/>
          <w:spacing w:val="0"/>
          <w:w w:val="100"/>
          <w:position w:val="0"/>
        </w:rPr>
        <w:t>1）</w:t>
        <w:tab/>
      </w:r>
      <w:r>
        <w:rPr>
          <w:color w:val="000000"/>
          <w:spacing w:val="0"/>
          <w:w w:val="100"/>
          <w:position w:val="0"/>
        </w:rPr>
        <w:t>利息收入金额，按照他人使用本企业货币资金的时间和实际利率计算确定。</w:t>
      </w:r>
    </w:p>
    <w:p>
      <w:pPr>
        <w:pStyle w:val="Style33"/>
        <w:keepNext w:val="0"/>
        <w:keepLines w:val="0"/>
        <w:widowControl w:val="0"/>
        <w:shd w:val="clear" w:color="auto" w:fill="auto"/>
        <w:tabs>
          <w:tab w:pos="928" w:val="left"/>
        </w:tabs>
        <w:bidi w:val="0"/>
        <w:spacing w:before="0" w:after="220" w:line="470" w:lineRule="exact"/>
        <w:ind w:left="0" w:right="0" w:firstLine="440"/>
        <w:jc w:val="left"/>
      </w:pPr>
      <w:bookmarkStart w:id="682" w:name="bookmark682"/>
      <w:r>
        <w:rPr>
          <w:color w:val="000000"/>
          <w:spacing w:val="0"/>
          <w:w w:val="100"/>
          <w:position w:val="0"/>
        </w:rPr>
        <w:t>（</w:t>
      </w:r>
      <w:bookmarkEnd w:id="682"/>
      <w:r>
        <w:rPr>
          <w:color w:val="000000"/>
          <w:spacing w:val="0"/>
          <w:w w:val="100"/>
          <w:position w:val="0"/>
        </w:rPr>
        <w:t>2）</w:t>
        <w:tab/>
      </w:r>
      <w:r>
        <w:rPr>
          <w:color w:val="000000"/>
          <w:spacing w:val="0"/>
          <w:w w:val="100"/>
          <w:position w:val="0"/>
        </w:rPr>
        <w:t>使用费收入金额，按照有关合同或协议约定的收费时间和方法计算确定。</w:t>
      </w:r>
    </w:p>
    <w:p>
      <w:pPr>
        <w:pStyle w:val="Style36"/>
        <w:keepNext/>
        <w:keepLines/>
        <w:widowControl w:val="0"/>
        <w:shd w:val="clear" w:color="auto" w:fill="auto"/>
        <w:tabs>
          <w:tab w:pos="493" w:val="left"/>
        </w:tabs>
        <w:bidi w:val="0"/>
        <w:spacing w:before="0" w:after="220" w:line="472" w:lineRule="exact"/>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3</w:t>
      </w:r>
      <w:r>
        <w:rPr>
          <w:color w:val="000000"/>
          <w:spacing w:val="0"/>
          <w:w w:val="100"/>
          <w:position w:val="0"/>
        </w:rPr>
        <w:t>）</w:t>
        <w:tab/>
        <w:t>按完工百分比法确认提供劳务的收入和建造合同收入时，确定合同完工进度的依据和方法</w:t>
      </w:r>
      <w:bookmarkEnd w:id="683"/>
      <w:bookmarkEnd w:id="684"/>
      <w:bookmarkEnd w:id="686"/>
    </w:p>
    <w:p>
      <w:pPr>
        <w:pStyle w:val="Style33"/>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33"/>
        <w:keepNext w:val="0"/>
        <w:keepLines w:val="0"/>
        <w:widowControl w:val="0"/>
        <w:shd w:val="clear" w:color="auto" w:fill="auto"/>
        <w:tabs>
          <w:tab w:pos="8582" w:val="left"/>
        </w:tabs>
        <w:bidi w:val="0"/>
        <w:spacing w:before="0" w:after="0" w:line="472" w:lineRule="exact"/>
        <w:ind w:left="0" w:right="0" w:firstLine="440"/>
        <w:jc w:val="left"/>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w:t>
        <w:tab/>
        <w:t>会计期间累</w:t>
      </w:r>
    </w:p>
    <w:p>
      <w:pPr>
        <w:pStyle w:val="Style33"/>
        <w:keepNext w:val="0"/>
        <w:keepLines w:val="0"/>
        <w:widowControl w:val="0"/>
        <w:shd w:val="clear" w:color="auto" w:fill="auto"/>
        <w:bidi w:val="0"/>
        <w:spacing w:before="0" w:after="0" w:line="472" w:lineRule="exact"/>
        <w:ind w:left="0" w:right="0" w:firstLine="0"/>
        <w:jc w:val="left"/>
      </w:pPr>
      <w:r>
        <w:rPr>
          <w:color w:val="000000"/>
          <w:spacing w:val="0"/>
          <w:w w:val="100"/>
          <w:position w:val="0"/>
        </w:rPr>
        <w:t>计已确认劳务成本后的金额，结转当期劳务成本。</w:t>
      </w:r>
    </w:p>
    <w:p>
      <w:pPr>
        <w:pStyle w:val="Style33"/>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在资产负债表日提供劳务交易结果不能够可靠估计的，分别下列情况处理：</w:t>
      </w:r>
    </w:p>
    <w:p>
      <w:pPr>
        <w:pStyle w:val="Style33"/>
        <w:keepNext w:val="0"/>
        <w:keepLines w:val="0"/>
        <w:widowControl w:val="0"/>
        <w:shd w:val="clear" w:color="auto" w:fill="auto"/>
        <w:bidi w:val="0"/>
        <w:spacing w:before="0" w:after="220" w:line="472" w:lineRule="exact"/>
        <w:ind w:left="0" w:right="0" w:firstLine="440"/>
        <w:jc w:val="left"/>
      </w:pPr>
      <w:r>
        <w:rPr>
          <w:color w:val="000000"/>
          <w:spacing w:val="0"/>
          <w:w w:val="100"/>
          <w:position w:val="0"/>
        </w:rPr>
        <w:t>（1）</w:t>
      </w:r>
      <w:r>
        <w:rPr>
          <w:color w:val="000000"/>
          <w:spacing w:val="0"/>
          <w:w w:val="100"/>
          <w:position w:val="0"/>
        </w:rPr>
        <w:t>已经发生的劳务成本预计能够得到补偿的，按照已经发生的劳务成本金额确认提供劳务收入， 并按相同金额结转劳务成本。</w:t>
      </w:r>
    </w:p>
    <w:p>
      <w:pPr>
        <w:pStyle w:val="Style3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（2）</w:t>
      </w:r>
      <w:r>
        <w:rPr>
          <w:color w:val="000000"/>
          <w:spacing w:val="0"/>
          <w:w w:val="100"/>
          <w:position w:val="0"/>
        </w:rPr>
        <w:t>已经发生的劳务成本预计不能够得到补偿的，将已经发生的劳务成本计入当期损益，不确认提 供劳务收入。</w:t>
      </w:r>
    </w:p>
    <w:p>
      <w:pPr>
        <w:pStyle w:val="Style36"/>
        <w:keepNext/>
        <w:keepLines/>
        <w:widowControl w:val="0"/>
        <w:shd w:val="clear" w:color="auto" w:fill="auto"/>
        <w:tabs>
          <w:tab w:pos="474" w:val="left"/>
        </w:tabs>
        <w:bidi w:val="0"/>
        <w:spacing w:before="0" w:after="120" w:line="469" w:lineRule="exact"/>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687"/>
      <w:bookmarkEnd w:id="688"/>
      <w:bookmarkEnd w:id="690"/>
    </w:p>
    <w:p>
      <w:pPr>
        <w:pStyle w:val="Style36"/>
        <w:keepNext/>
        <w:keepLines/>
        <w:widowControl w:val="0"/>
        <w:shd w:val="clear" w:color="auto" w:fill="auto"/>
        <w:tabs>
          <w:tab w:pos="493" w:val="left"/>
        </w:tabs>
        <w:bidi w:val="0"/>
        <w:spacing w:before="0" w:after="200" w:line="469" w:lineRule="exact"/>
        <w:ind w:left="0" w:right="0" w:firstLine="0"/>
        <w:jc w:val="both"/>
      </w:pPr>
      <w:bookmarkStart w:id="687" w:name="bookmark687"/>
      <w:bookmarkStart w:id="688" w:name="bookmark688"/>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687"/>
      <w:bookmarkEnd w:id="688"/>
      <w:bookmarkEnd w:id="692"/>
    </w:p>
    <w:p>
      <w:pPr>
        <w:pStyle w:val="Style3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收益相关的政府补助。与资产相关的政府补助，是指企业取得的、用于购建或以其他方式形成长期资产的 政府补助，包括购买固定资产或无形资产的财政拨款、固定资产专门借款的财政贴息等。与收益相关的政 府补助，是指除与资产相关的政府补助之外的政府补助。本公司将政府补助划分为与资产相关的具体标准 为：企业取得的，用于购建或以其他方式形成长期资产的政府补助；本公司将政府补助划分为与收益相关 的具体标准为：除与资产相关的政府补助之外的政府补助；对于政府文件未明确规定补助对象的，本公司 将该政府补助划分为与资产相关或与收益相关的判断依据为：是否用于购建或以其他方式形成长期资产。</w:t>
      </w:r>
    </w:p>
    <w:p>
      <w:pPr>
        <w:pStyle w:val="Style36"/>
        <w:keepNext/>
        <w:keepLines/>
        <w:widowControl w:val="0"/>
        <w:shd w:val="clear" w:color="auto" w:fill="auto"/>
        <w:tabs>
          <w:tab w:pos="493" w:val="left"/>
        </w:tabs>
        <w:bidi w:val="0"/>
        <w:spacing w:before="0" w:after="200" w:line="469" w:lineRule="exact"/>
        <w:ind w:left="0" w:right="0" w:firstLine="0"/>
        <w:jc w:val="both"/>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693"/>
      <w:bookmarkEnd w:id="694"/>
      <w:bookmarkEnd w:id="696"/>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与购建固定资产、无形资产等长期资产相关的政府补助，确认为递延收益，按照所建造或购买的资产 使用年限分期计入营业外收入。</w:t>
      </w:r>
    </w:p>
    <w:p>
      <w:pPr>
        <w:pStyle w:val="Style3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36"/>
        <w:keepNext/>
        <w:keepLines/>
        <w:widowControl w:val="0"/>
        <w:shd w:val="clear" w:color="auto" w:fill="auto"/>
        <w:tabs>
          <w:tab w:pos="474" w:val="left"/>
        </w:tabs>
        <w:bidi w:val="0"/>
        <w:spacing w:before="0" w:after="120" w:line="469" w:lineRule="exact"/>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697"/>
      <w:bookmarkEnd w:id="698"/>
      <w:bookmarkEnd w:id="700"/>
    </w:p>
    <w:p>
      <w:pPr>
        <w:pStyle w:val="Style36"/>
        <w:keepNext/>
        <w:keepLines/>
        <w:widowControl w:val="0"/>
        <w:shd w:val="clear" w:color="auto" w:fill="auto"/>
        <w:tabs>
          <w:tab w:pos="493" w:val="left"/>
        </w:tabs>
        <w:bidi w:val="0"/>
        <w:spacing w:before="0" w:after="200" w:line="469" w:lineRule="exact"/>
        <w:ind w:left="0" w:right="0" w:firstLine="0"/>
        <w:jc w:val="both"/>
      </w:pPr>
      <w:bookmarkStart w:id="697" w:name="bookmark697"/>
      <w:bookmarkStart w:id="698" w:name="bookmark698"/>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697"/>
      <w:bookmarkEnd w:id="698"/>
      <w:bookmarkEnd w:id="702"/>
    </w:p>
    <w:p>
      <w:pPr>
        <w:pStyle w:val="Style33"/>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w:t>
      </w:r>
    </w:p>
    <w:p>
      <w:pPr>
        <w:pStyle w:val="Style36"/>
        <w:keepNext/>
        <w:keepLines/>
        <w:widowControl w:val="0"/>
        <w:shd w:val="clear" w:color="auto" w:fill="auto"/>
        <w:tabs>
          <w:tab w:pos="493" w:val="left"/>
        </w:tabs>
        <w:bidi w:val="0"/>
        <w:spacing w:before="0" w:after="200" w:line="469" w:lineRule="exact"/>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03"/>
      <w:bookmarkEnd w:id="704"/>
      <w:bookmarkEnd w:id="706"/>
    </w:p>
    <w:p>
      <w:pPr>
        <w:pStyle w:val="Style3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对于应纳税暂时性差异，除特殊情况外，确认递延所得税负债。</w:t>
      </w:r>
    </w:p>
    <w:p>
      <w:pPr>
        <w:pStyle w:val="Style36"/>
        <w:keepNext/>
        <w:keepLines/>
        <w:widowControl w:val="0"/>
        <w:shd w:val="clear" w:color="auto" w:fill="auto"/>
        <w:tabs>
          <w:tab w:pos="474" w:val="left"/>
        </w:tabs>
        <w:bidi w:val="0"/>
        <w:spacing w:before="0" w:after="140" w:line="469" w:lineRule="exact"/>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707"/>
      <w:bookmarkEnd w:id="708"/>
      <w:bookmarkEnd w:id="710"/>
    </w:p>
    <w:p>
      <w:pPr>
        <w:pStyle w:val="Style36"/>
        <w:keepNext/>
        <w:keepLines/>
        <w:widowControl w:val="0"/>
        <w:numPr>
          <w:ilvl w:val="0"/>
          <w:numId w:val="31"/>
        </w:numPr>
        <w:shd w:val="clear" w:color="auto" w:fill="auto"/>
        <w:tabs>
          <w:tab w:pos="493" w:val="left"/>
        </w:tabs>
        <w:bidi w:val="0"/>
        <w:spacing w:before="0" w:after="200" w:line="469" w:lineRule="exact"/>
        <w:ind w:left="0" w:right="0" w:firstLine="0"/>
        <w:jc w:val="left"/>
      </w:pPr>
      <w:bookmarkStart w:id="707" w:name="bookmark707"/>
      <w:bookmarkStart w:id="708" w:name="bookmark708"/>
      <w:bookmarkStart w:id="711" w:name="bookmark711"/>
      <w:bookmarkStart w:id="712" w:name="bookmark712"/>
      <w:bookmarkEnd w:id="711"/>
      <w:r>
        <w:rPr>
          <w:color w:val="000000"/>
          <w:spacing w:val="0"/>
          <w:w w:val="100"/>
          <w:position w:val="0"/>
        </w:rPr>
        <w:t>经营租赁会计处理</w:t>
      </w:r>
      <w:bookmarkEnd w:id="707"/>
      <w:bookmarkEnd w:id="708"/>
      <w:bookmarkEnd w:id="712"/>
    </w:p>
    <w:p>
      <w:pPr>
        <w:pStyle w:val="Style33"/>
        <w:keepNext w:val="0"/>
        <w:keepLines w:val="0"/>
        <w:widowControl w:val="0"/>
        <w:numPr>
          <w:ilvl w:val="0"/>
          <w:numId w:val="33"/>
        </w:numPr>
        <w:shd w:val="clear" w:color="auto" w:fill="auto"/>
        <w:tabs>
          <w:tab w:pos="819" w:val="left"/>
        </w:tabs>
        <w:bidi w:val="0"/>
        <w:spacing w:before="0" w:after="0" w:line="470" w:lineRule="exact"/>
        <w:ind w:left="0" w:right="0" w:firstLine="440"/>
        <w:jc w:val="both"/>
      </w:pPr>
      <w:bookmarkStart w:id="713" w:name="bookmark713"/>
      <w:bookmarkEnd w:id="713"/>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3"/>
        <w:keepNext w:val="0"/>
        <w:keepLines w:val="0"/>
        <w:widowControl w:val="0"/>
        <w:numPr>
          <w:ilvl w:val="0"/>
          <w:numId w:val="33"/>
        </w:numPr>
        <w:shd w:val="clear" w:color="auto" w:fill="auto"/>
        <w:tabs>
          <w:tab w:pos="819" w:val="left"/>
        </w:tabs>
        <w:bidi w:val="0"/>
        <w:spacing w:before="0" w:after="0" w:line="470" w:lineRule="exact"/>
        <w:ind w:left="0" w:right="0" w:firstLine="440"/>
        <w:jc w:val="both"/>
      </w:pPr>
      <w:bookmarkStart w:id="714" w:name="bookmark714"/>
      <w:bookmarkEnd w:id="714"/>
      <w:r>
        <w:rPr>
          <w:color w:val="000000"/>
          <w:spacing w:val="0"/>
          <w:w w:val="100"/>
          <w:position w:val="0"/>
        </w:rPr>
        <w:t>公司出租资产所收取的租赁费，在不扣除免租期的整个租赁期内，按直线法进行分摊，确认为租赁 收入。公司支付的与租赁交易相关的初始直接费用，计入当期费用；如金额较大的，则予以资本化，在 整个租赁期间内按照与租赁收入确认相同的基础分期计入当期收益。</w:t>
      </w:r>
    </w:p>
    <w:p>
      <w:pPr>
        <w:pStyle w:val="Style33"/>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6"/>
        <w:keepNext/>
        <w:keepLines/>
        <w:widowControl w:val="0"/>
        <w:numPr>
          <w:ilvl w:val="0"/>
          <w:numId w:val="31"/>
        </w:numPr>
        <w:shd w:val="clear" w:color="auto" w:fill="auto"/>
        <w:tabs>
          <w:tab w:pos="493" w:val="left"/>
        </w:tabs>
        <w:bidi w:val="0"/>
        <w:spacing w:before="0" w:after="200" w:line="469" w:lineRule="exact"/>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融资租赁会计处理</w:t>
      </w:r>
      <w:bookmarkEnd w:id="715"/>
      <w:bookmarkEnd w:id="716"/>
      <w:bookmarkEnd w:id="718"/>
    </w:p>
    <w:p>
      <w:pPr>
        <w:pStyle w:val="Style33"/>
        <w:keepNext w:val="0"/>
        <w:keepLines w:val="0"/>
        <w:widowControl w:val="0"/>
        <w:numPr>
          <w:ilvl w:val="0"/>
          <w:numId w:val="35"/>
        </w:numPr>
        <w:shd w:val="clear" w:color="auto" w:fill="auto"/>
        <w:tabs>
          <w:tab w:pos="819" w:val="left"/>
        </w:tabs>
        <w:bidi w:val="0"/>
        <w:spacing w:before="0" w:after="0" w:line="467" w:lineRule="exact"/>
        <w:ind w:left="0" w:right="0" w:firstLine="440"/>
        <w:jc w:val="both"/>
      </w:pPr>
      <w:bookmarkStart w:id="719" w:name="bookmark719"/>
      <w:bookmarkEnd w:id="719"/>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33"/>
        <w:keepNext w:val="0"/>
        <w:keepLines w:val="0"/>
        <w:widowControl w:val="0"/>
        <w:numPr>
          <w:ilvl w:val="0"/>
          <w:numId w:val="35"/>
        </w:numPr>
        <w:shd w:val="clear" w:color="auto" w:fill="auto"/>
        <w:tabs>
          <w:tab w:pos="814" w:val="left"/>
        </w:tabs>
        <w:bidi w:val="0"/>
        <w:spacing w:before="0" w:after="200" w:line="467" w:lineRule="exact"/>
        <w:ind w:left="0" w:right="0" w:firstLine="440"/>
        <w:jc w:val="both"/>
      </w:pPr>
      <w:bookmarkStart w:id="720" w:name="bookmark720"/>
      <w:bookmarkEnd w:id="720"/>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36"/>
        <w:keepNext/>
        <w:keepLines/>
        <w:widowControl w:val="0"/>
        <w:shd w:val="clear" w:color="auto" w:fill="auto"/>
        <w:tabs>
          <w:tab w:pos="483" w:val="left"/>
        </w:tabs>
        <w:bidi w:val="0"/>
        <w:spacing w:before="0" w:after="400" w:line="469" w:lineRule="exact"/>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rFonts w:ascii="Times New Roman" w:eastAsia="Times New Roman" w:hAnsi="Times New Roman" w:cs="Times New Roman"/>
          <w:color w:val="000000"/>
          <w:spacing w:val="0"/>
          <w:w w:val="100"/>
          <w:position w:val="0"/>
        </w:rPr>
        <w:t>0</w:t>
      </w:r>
      <w:r>
        <w:rPr>
          <w:color w:val="000000"/>
          <w:spacing w:val="0"/>
          <w:w w:val="100"/>
          <w:position w:val="0"/>
        </w:rPr>
        <w:t>、</w:t>
        <w:tab/>
        <w:t>主要会计政策、会计估计的变更</w:t>
      </w:r>
      <w:bookmarkEnd w:id="721"/>
      <w:bookmarkEnd w:id="722"/>
      <w:bookmarkEnd w:id="7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本报告期主要会计政策、会计估计是否变更</w:t>
      </w:r>
    </w:p>
    <w:p>
      <w:pPr>
        <w:pStyle w:val="Style33"/>
        <w:keepNext w:val="0"/>
        <w:keepLines w:val="0"/>
        <w:widowControl w:val="0"/>
        <w:shd w:val="clear" w:color="auto" w:fill="auto"/>
        <w:bidi w:val="0"/>
        <w:spacing w:before="0" w:after="140" w:line="37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6"/>
          <w:szCs w:val="16"/>
        </w:rPr>
        <w:t xml:space="preserve">否 </w:t>
      </w:r>
      <w:r>
        <w:rPr>
          <w:color w:val="000000"/>
          <w:spacing w:val="0"/>
          <w:w w:val="100"/>
          <w:position w:val="0"/>
        </w:rPr>
        <w:t>本报告期主要会计政策、会计估计未发生变更。</w:t>
      </w:r>
    </w:p>
    <w:p>
      <w:pPr>
        <w:pStyle w:val="Style36"/>
        <w:keepNext/>
        <w:keepLines/>
        <w:widowControl w:val="0"/>
        <w:shd w:val="clear" w:color="auto" w:fill="auto"/>
        <w:bidi w:val="0"/>
        <w:spacing w:before="0" w:after="400" w:line="469" w:lineRule="exact"/>
        <w:ind w:left="0" w:right="0" w:firstLine="0"/>
        <w:jc w:val="left"/>
      </w:pPr>
      <w:bookmarkStart w:id="725" w:name="bookmark725"/>
      <w:bookmarkStart w:id="726" w:name="bookmark726"/>
      <w:bookmarkStart w:id="727" w:name="bookmark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)会计政策变更</w:t>
      </w:r>
      <w:bookmarkEnd w:id="725"/>
      <w:bookmarkEnd w:id="726"/>
      <w:bookmarkEnd w:id="72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本报告期主要会计政策是否变更</w:t>
      </w:r>
    </w:p>
    <w:p>
      <w:pPr>
        <w:pStyle w:val="Style27"/>
        <w:keepNext w:val="0"/>
        <w:keepLines w:val="0"/>
        <w:widowControl w:val="0"/>
        <w:shd w:val="clear" w:color="auto" w:fill="auto"/>
        <w:bidi w:val="0"/>
        <w:spacing w:before="0" w:after="200" w:line="240" w:lineRule="auto"/>
        <w:ind w:left="0" w:right="0" w:firstLine="0"/>
        <w:jc w:val="left"/>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9" w:h="17415"/>
          <w:pgMar w:top="1536" w:right="939" w:bottom="1858" w:left="101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220" w:line="240" w:lineRule="auto"/>
        <w:ind w:left="0" w:right="0" w:firstLine="0"/>
        <w:jc w:val="left"/>
      </w:pPr>
      <w:bookmarkStart w:id="728" w:name="bookmark728"/>
      <w:bookmarkStart w:id="729" w:name="bookmark729"/>
      <w:bookmarkStart w:id="730" w:name="bookmark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）会计估计变更</w:t>
      </w:r>
      <w:bookmarkEnd w:id="728"/>
      <w:bookmarkEnd w:id="729"/>
      <w:bookmarkEnd w:id="730"/>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22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731"/>
      <w:bookmarkEnd w:id="732"/>
      <w:bookmarkEnd w:id="734"/>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本报告期，未发现前期会计差错。</w:t>
      </w:r>
    </w:p>
    <w:p>
      <w:pPr>
        <w:pStyle w:val="Style36"/>
        <w:keepNext/>
        <w:keepLines/>
        <w:widowControl w:val="0"/>
        <w:shd w:val="clear" w:color="auto" w:fill="auto"/>
        <w:tabs>
          <w:tab w:pos="493" w:val="left"/>
        </w:tabs>
        <w:bidi w:val="0"/>
        <w:spacing w:before="0" w:after="22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735"/>
      <w:bookmarkEnd w:id="736"/>
      <w:bookmarkEnd w:id="738"/>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after="22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739"/>
      <w:bookmarkEnd w:id="740"/>
      <w:bookmarkEnd w:id="742"/>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五</w:t>
      </w:r>
      <w:bookmarkEnd w:id="745"/>
      <w:r>
        <w:rPr>
          <w:color w:val="000000"/>
          <w:spacing w:val="0"/>
          <w:w w:val="100"/>
          <w:position w:val="0"/>
        </w:rPr>
        <w:t>、税项</w:t>
      </w:r>
      <w:bookmarkEnd w:id="743"/>
      <w:bookmarkEnd w:id="744"/>
      <w:bookmarkEnd w:id="746"/>
    </w:p>
    <w:p>
      <w:pPr>
        <w:pStyle w:val="Style36"/>
        <w:keepNext/>
        <w:keepLines/>
        <w:widowControl w:val="0"/>
        <w:shd w:val="clear" w:color="auto" w:fill="auto"/>
        <w:bidi w:val="0"/>
        <w:spacing w:before="0" w:after="320" w:line="240" w:lineRule="auto"/>
        <w:ind w:left="0" w:right="0" w:firstLine="0"/>
        <w:jc w:val="left"/>
      </w:pPr>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47"/>
      <w:bookmarkEnd w:id="748"/>
      <w:bookmarkEnd w:id="749"/>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建筑智能化工程化按应税营业收入计 征</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各分公司、分厂执行的所得税税率</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月试行营改增纳税试点后，技术服务收入按照</w:t>
      </w:r>
      <w:r>
        <w:rPr>
          <w:color w:val="000000"/>
          <w:spacing w:val="0"/>
          <w:w w:val="100"/>
          <w:position w:val="0"/>
        </w:rPr>
        <w:t>6%</w:t>
      </w:r>
      <w:r>
        <w:rPr>
          <w:color w:val="000000"/>
          <w:spacing w:val="0"/>
          <w:w w:val="100"/>
          <w:position w:val="0"/>
        </w:rPr>
        <w:t xml:space="preserve">计算并交纳增值税，符合条件的技术开发收 </w:t>
      </w:r>
      <w:r>
        <w:rPr>
          <w:color w:val="000000"/>
          <w:spacing w:val="0"/>
          <w:w w:val="100"/>
          <w:position w:val="0"/>
        </w:rPr>
        <w:t>入免征增值税。</w:t>
      </w: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w:t>
      </w:r>
      <w:r>
        <w:rPr>
          <w:color w:val="000000"/>
          <w:spacing w:val="0"/>
          <w:w w:val="100"/>
          <w:position w:val="0"/>
        </w:rPr>
        <w:t>2013</w:t>
      </w:r>
      <w:r>
        <w:rPr>
          <w:color w:val="000000"/>
          <w:spacing w:val="0"/>
          <w:w w:val="100"/>
          <w:position w:val="0"/>
        </w:rPr>
        <w:t>年所得税税率适用优惠税率为</w:t>
      </w:r>
      <w:r>
        <w:rPr>
          <w:color w:val="000000"/>
          <w:spacing w:val="0"/>
          <w:w w:val="100"/>
          <w:position w:val="0"/>
        </w:rPr>
        <w:t>10%,</w:t>
      </w:r>
      <w:r>
        <w:rPr>
          <w:color w:val="000000"/>
          <w:spacing w:val="0"/>
          <w:w w:val="100"/>
          <w:position w:val="0"/>
        </w:rPr>
        <w:t>子公司北京中科金财电子商务有限公司</w:t>
      </w:r>
      <w:r>
        <w:rPr>
          <w:color w:val="000000"/>
          <w:spacing w:val="0"/>
          <w:w w:val="100"/>
          <w:position w:val="0"/>
        </w:rPr>
        <w:t>2013</w:t>
      </w:r>
      <w:r>
        <w:rPr>
          <w:color w:val="000000"/>
          <w:spacing w:val="0"/>
          <w:w w:val="100"/>
          <w:position w:val="0"/>
        </w:rPr>
        <w:t xml:space="preserve">年所得税税 </w:t>
      </w:r>
      <w:r>
        <w:rPr>
          <w:color w:val="000000"/>
          <w:spacing w:val="0"/>
          <w:w w:val="100"/>
          <w:position w:val="0"/>
        </w:rPr>
        <w:t>率适用优惠税率为</w:t>
      </w:r>
      <w:r>
        <w:rPr>
          <w:color w:val="000000"/>
          <w:spacing w:val="0"/>
          <w:w w:val="100"/>
          <w:position w:val="0"/>
        </w:rPr>
        <w:t>15%,</w:t>
      </w:r>
      <w:r>
        <w:rPr>
          <w:color w:val="000000"/>
          <w:spacing w:val="0"/>
          <w:w w:val="100"/>
          <w:position w:val="0"/>
        </w:rPr>
        <w:t>其他子公司所得税税率为</w:t>
      </w:r>
      <w:r>
        <w:rPr>
          <w:color w:val="000000"/>
          <w:spacing w:val="0"/>
          <w:w w:val="100"/>
          <w:position w:val="0"/>
        </w:rPr>
        <w:t>25%</w:t>
      </w:r>
      <w:r>
        <w:rPr>
          <w:color w:val="000000"/>
          <w:spacing w:val="0"/>
          <w:w w:val="100"/>
          <w:position w:val="0"/>
        </w:rPr>
        <w:t>。</w:t>
      </w:r>
    </w:p>
    <w:p>
      <w:pPr>
        <w:pStyle w:val="Style36"/>
        <w:keepNext/>
        <w:keepLines/>
        <w:widowControl w:val="0"/>
        <w:shd w:val="clear" w:color="auto" w:fill="auto"/>
        <w:bidi w:val="0"/>
        <w:spacing w:before="0" w:after="220" w:line="469" w:lineRule="exact"/>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、税收优惠及批文</w:t>
      </w:r>
      <w:bookmarkEnd w:id="750"/>
      <w:bookmarkEnd w:id="751"/>
      <w:bookmarkEnd w:id="753"/>
    </w:p>
    <w:p>
      <w:pPr>
        <w:pStyle w:val="Style33"/>
        <w:keepNext w:val="0"/>
        <w:keepLines w:val="0"/>
        <w:widowControl w:val="0"/>
        <w:shd w:val="clear" w:color="auto" w:fill="auto"/>
        <w:tabs>
          <w:tab w:pos="915" w:val="left"/>
        </w:tabs>
        <w:bidi w:val="0"/>
        <w:spacing w:before="0" w:after="0" w:line="458" w:lineRule="exact"/>
        <w:ind w:left="0" w:right="0" w:firstLine="440"/>
        <w:jc w:val="left"/>
      </w:pPr>
      <w:bookmarkStart w:id="754" w:name="bookmark754"/>
      <w:r>
        <w:rPr>
          <w:color w:val="000000"/>
          <w:spacing w:val="0"/>
          <w:w w:val="100"/>
          <w:position w:val="0"/>
        </w:rPr>
        <w:t>（</w:t>
      </w:r>
      <w:bookmarkEnd w:id="754"/>
      <w:r>
        <w:rPr>
          <w:color w:val="000000"/>
          <w:spacing w:val="0"/>
          <w:w w:val="100"/>
          <w:position w:val="0"/>
        </w:rPr>
        <w:t>1）</w:t>
        <w:tab/>
      </w:r>
      <w:r>
        <w:rPr>
          <w:color w:val="000000"/>
          <w:spacing w:val="0"/>
          <w:w w:val="100"/>
          <w:position w:val="0"/>
        </w:rPr>
        <w:t>企业所得税减免</w:t>
      </w:r>
    </w:p>
    <w:p>
      <w:pPr>
        <w:pStyle w:val="Style33"/>
        <w:keepNext w:val="0"/>
        <w:keepLines w:val="0"/>
        <w:widowControl w:val="0"/>
        <w:shd w:val="clear" w:color="auto" w:fill="auto"/>
        <w:bidi w:val="0"/>
        <w:spacing w:before="0" w:after="0" w:line="458" w:lineRule="exact"/>
        <w:ind w:left="0" w:right="0" w:firstLine="440"/>
        <w:jc w:val="left"/>
      </w:pPr>
      <w:r>
        <w:rPr>
          <w:color w:val="000000"/>
          <w:spacing w:val="0"/>
          <w:w w:val="100"/>
          <w:position w:val="0"/>
        </w:rPr>
        <w:t>根据国家发展和改革委员会、工业和信息化部、财政部、商务部和国家税务总局等五部委联合下发的 《关于印发</w:t>
      </w:r>
      <w:r>
        <w:rPr>
          <w:color w:val="000000"/>
          <w:spacing w:val="0"/>
          <w:w w:val="100"/>
          <w:position w:val="0"/>
        </w:rPr>
        <w:t>2013-2014</w:t>
      </w:r>
      <w:r>
        <w:rPr>
          <w:color w:val="000000"/>
          <w:spacing w:val="0"/>
          <w:w w:val="100"/>
          <w:position w:val="0"/>
        </w:rPr>
        <w:t xml:space="preserve">年度国家规划布局内重点软件企业和集成电路设计企业名单的通知》（发改高技 </w:t>
      </w:r>
      <w:r>
        <w:rPr>
          <w:color w:val="000000"/>
          <w:spacing w:val="0"/>
          <w:w w:val="100"/>
          <w:position w:val="0"/>
        </w:rPr>
        <w:t>[2013]2458</w:t>
      </w:r>
      <w:r>
        <w:rPr>
          <w:color w:val="000000"/>
          <w:spacing w:val="0"/>
          <w:w w:val="100"/>
          <w:position w:val="0"/>
        </w:rPr>
        <w:t>号），公司被认定为</w:t>
      </w:r>
      <w:r>
        <w:rPr>
          <w:color w:val="000000"/>
          <w:spacing w:val="0"/>
          <w:w w:val="100"/>
          <w:position w:val="0"/>
        </w:rPr>
        <w:t>“2013-2014</w:t>
      </w:r>
      <w:r>
        <w:rPr>
          <w:color w:val="000000"/>
          <w:spacing w:val="0"/>
          <w:w w:val="100"/>
          <w:position w:val="0"/>
        </w:rPr>
        <w:t>年度国家规划布局内重点软件企业”。</w:t>
      </w:r>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根据《关于进一步鼓励软件产业和集成电路产业发展企业所得税政策的通知》（财税</w:t>
      </w:r>
      <w:r>
        <w:rPr>
          <w:color w:val="000000"/>
          <w:spacing w:val="0"/>
          <w:w w:val="100"/>
          <w:position w:val="0"/>
        </w:rPr>
        <w:t>[2012]27</w:t>
      </w:r>
      <w:r>
        <w:rPr>
          <w:color w:val="000000"/>
          <w:spacing w:val="0"/>
          <w:w w:val="100"/>
          <w:position w:val="0"/>
        </w:rPr>
        <w:t>号）中 关于“国家规划布局内重点软件企业和集成电路设计企业，如当年未享免税优惠的，可减按</w:t>
      </w:r>
      <w:r>
        <w:rPr>
          <w:color w:val="000000"/>
          <w:spacing w:val="0"/>
          <w:w w:val="100"/>
          <w:position w:val="0"/>
        </w:rPr>
        <w:t>10%</w:t>
      </w:r>
      <w:r>
        <w:rPr>
          <w:color w:val="000000"/>
          <w:spacing w:val="0"/>
          <w:w w:val="100"/>
          <w:position w:val="0"/>
        </w:rPr>
        <w:t>的税率征 收企业所得税”的规定，公司</w:t>
      </w:r>
      <w:r>
        <w:rPr>
          <w:color w:val="000000"/>
          <w:spacing w:val="0"/>
          <w:w w:val="100"/>
          <w:position w:val="0"/>
        </w:rPr>
        <w:t>2013</w:t>
      </w:r>
      <w:r>
        <w:rPr>
          <w:color w:val="000000"/>
          <w:spacing w:val="0"/>
          <w:w w:val="100"/>
          <w:position w:val="0"/>
        </w:rPr>
        <w:t>、</w:t>
      </w:r>
      <w:r>
        <w:rPr>
          <w:color w:val="000000"/>
          <w:spacing w:val="0"/>
          <w:w w:val="100"/>
          <w:position w:val="0"/>
        </w:rPr>
        <w:t>2014</w:t>
      </w:r>
      <w:r>
        <w:rPr>
          <w:color w:val="000000"/>
          <w:spacing w:val="0"/>
          <w:w w:val="100"/>
          <w:position w:val="0"/>
        </w:rPr>
        <w:t>年度企业所得税税率减按</w:t>
      </w:r>
      <w:r>
        <w:rPr>
          <w:color w:val="000000"/>
          <w:spacing w:val="0"/>
          <w:w w:val="100"/>
          <w:position w:val="0"/>
        </w:rPr>
        <w:t>10%</w:t>
      </w:r>
      <w:r>
        <w:rPr>
          <w:color w:val="000000"/>
          <w:spacing w:val="0"/>
          <w:w w:val="100"/>
          <w:position w:val="0"/>
        </w:rPr>
        <w:t>征收。</w:t>
      </w:r>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子公司中科商务于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日取得北京市科学技术委员会、北京市财政局、北京市国家税务局、 北京市地方税务局核发的编号为</w:t>
      </w:r>
      <w:r>
        <w:rPr>
          <w:color w:val="000000"/>
          <w:spacing w:val="0"/>
          <w:w w:val="100"/>
          <w:position w:val="0"/>
        </w:rPr>
        <w:t>GF201111001205</w:t>
      </w:r>
      <w:r>
        <w:rPr>
          <w:color w:val="000000"/>
          <w:spacing w:val="0"/>
          <w:w w:val="100"/>
          <w:position w:val="0"/>
        </w:rPr>
        <w:t>的《高新技术企业证书》，有效期</w:t>
      </w:r>
      <w:r>
        <w:rPr>
          <w:color w:val="000000"/>
          <w:spacing w:val="0"/>
          <w:w w:val="100"/>
          <w:position w:val="0"/>
        </w:rPr>
        <w:t>3</w:t>
      </w:r>
      <w:r>
        <w:rPr>
          <w:color w:val="000000"/>
          <w:spacing w:val="0"/>
          <w:w w:val="100"/>
          <w:position w:val="0"/>
        </w:rPr>
        <w:t>年，根据《中华人民 共和国企业所得税法》第</w:t>
      </w:r>
      <w:r>
        <w:rPr>
          <w:color w:val="000000"/>
          <w:spacing w:val="0"/>
          <w:w w:val="100"/>
          <w:position w:val="0"/>
        </w:rPr>
        <w:t>28</w:t>
      </w:r>
      <w:r>
        <w:rPr>
          <w:color w:val="000000"/>
          <w:spacing w:val="0"/>
          <w:w w:val="100"/>
          <w:position w:val="0"/>
        </w:rPr>
        <w:t>条的规定，</w:t>
      </w:r>
      <w:r>
        <w:rPr>
          <w:color w:val="000000"/>
          <w:spacing w:val="0"/>
          <w:w w:val="100"/>
          <w:position w:val="0"/>
        </w:rPr>
        <w:t>2013</w:t>
      </w:r>
      <w:r>
        <w:rPr>
          <w:color w:val="000000"/>
          <w:spacing w:val="0"/>
          <w:w w:val="100"/>
          <w:position w:val="0"/>
        </w:rPr>
        <w:t>年度</w:t>
      </w:r>
      <w:r>
        <w:rPr>
          <w:color w:val="000000"/>
          <w:spacing w:val="0"/>
          <w:w w:val="100"/>
          <w:position w:val="0"/>
        </w:rPr>
        <w:t>15%</w:t>
      </w:r>
      <w:r>
        <w:rPr>
          <w:color w:val="000000"/>
          <w:spacing w:val="0"/>
          <w:w w:val="100"/>
          <w:position w:val="0"/>
        </w:rPr>
        <w:t>的税率计提并缴纳企业所得税。</w:t>
      </w:r>
    </w:p>
    <w:p>
      <w:pPr>
        <w:pStyle w:val="Style33"/>
        <w:keepNext w:val="0"/>
        <w:keepLines w:val="0"/>
        <w:widowControl w:val="0"/>
        <w:shd w:val="clear" w:color="auto" w:fill="auto"/>
        <w:tabs>
          <w:tab w:pos="915" w:val="left"/>
        </w:tabs>
        <w:bidi w:val="0"/>
        <w:spacing w:before="0" w:after="0" w:line="469" w:lineRule="exact"/>
        <w:ind w:left="0" w:right="0" w:firstLine="440"/>
        <w:jc w:val="both"/>
      </w:pPr>
      <w:bookmarkStart w:id="755" w:name="bookmark755"/>
      <w:r>
        <w:rPr>
          <w:color w:val="000000"/>
          <w:spacing w:val="0"/>
          <w:w w:val="100"/>
          <w:position w:val="0"/>
        </w:rPr>
        <w:t>（</w:t>
      </w:r>
      <w:bookmarkEnd w:id="755"/>
      <w:r>
        <w:rPr>
          <w:color w:val="000000"/>
          <w:spacing w:val="0"/>
          <w:w w:val="100"/>
          <w:position w:val="0"/>
        </w:rPr>
        <w:t>2）</w:t>
        <w:tab/>
      </w:r>
      <w:r>
        <w:rPr>
          <w:color w:val="000000"/>
          <w:spacing w:val="0"/>
          <w:w w:val="100"/>
          <w:position w:val="0"/>
        </w:rPr>
        <w:t>增值税税收优惠</w:t>
      </w:r>
    </w:p>
    <w:p>
      <w:pPr>
        <w:pStyle w:val="Style33"/>
        <w:keepNext w:val="0"/>
        <w:keepLines w:val="0"/>
        <w:widowControl w:val="0"/>
        <w:shd w:val="clear" w:color="auto" w:fill="auto"/>
        <w:tabs>
          <w:tab w:pos="2673" w:val="left"/>
        </w:tabs>
        <w:bidi w:val="0"/>
        <w:spacing w:before="0" w:after="0" w:line="469" w:lineRule="exact"/>
        <w:ind w:left="0" w:right="0" w:firstLine="440"/>
        <w:jc w:val="left"/>
      </w:pPr>
      <w:r>
        <w:rPr>
          <w:color w:val="000000"/>
          <w:spacing w:val="0"/>
          <w:w w:val="100"/>
          <w:position w:val="0"/>
        </w:rPr>
        <w:t>根据《财政部国家税务总局关于在北京等</w:t>
      </w:r>
      <w:r>
        <w:rPr>
          <w:color w:val="000000"/>
          <w:spacing w:val="0"/>
          <w:w w:val="100"/>
          <w:position w:val="0"/>
        </w:rPr>
        <w:t>8</w:t>
      </w:r>
      <w:r>
        <w:rPr>
          <w:color w:val="000000"/>
          <w:spacing w:val="0"/>
          <w:w w:val="100"/>
          <w:position w:val="0"/>
        </w:rPr>
        <w:t>省市开展交通运输业和部分现代服务业营业税改征增值税 试点的通知》（财税〔</w:t>
      </w:r>
      <w:r>
        <w:rPr>
          <w:color w:val="000000"/>
          <w:spacing w:val="0"/>
          <w:w w:val="100"/>
          <w:position w:val="0"/>
        </w:rPr>
        <w:t>2012）</w:t>
        <w:tab/>
        <w:t>71</w:t>
      </w:r>
      <w:r>
        <w:rPr>
          <w:color w:val="000000"/>
          <w:spacing w:val="0"/>
          <w:w w:val="100"/>
          <w:position w:val="0"/>
        </w:rPr>
        <w:t>号）规定及《关于在全国开展交通运输业和部分现代服务业营业税改征增</w:t>
      </w:r>
    </w:p>
    <w:p>
      <w:pPr>
        <w:pStyle w:val="Style33"/>
        <w:keepNext w:val="0"/>
        <w:keepLines w:val="0"/>
        <w:widowControl w:val="0"/>
        <w:shd w:val="clear" w:color="auto" w:fill="auto"/>
        <w:bidi w:val="0"/>
        <w:spacing w:before="0" w:after="0" w:line="469" w:lineRule="exact"/>
        <w:ind w:left="0" w:right="0" w:firstLine="0"/>
        <w:jc w:val="left"/>
      </w:pPr>
      <w:r>
        <w:rPr>
          <w:color w:val="000000"/>
          <w:spacing w:val="0"/>
          <w:w w:val="100"/>
          <w:position w:val="0"/>
        </w:rPr>
        <w:t>值税试点税收政策的通知》（财税</w:t>
      </w:r>
      <w:r>
        <w:rPr>
          <w:color w:val="000000"/>
          <w:spacing w:val="0"/>
          <w:w w:val="100"/>
          <w:position w:val="0"/>
        </w:rPr>
        <w:t>[2013]37</w:t>
      </w:r>
      <w:r>
        <w:rPr>
          <w:color w:val="000000"/>
          <w:spacing w:val="0"/>
          <w:w w:val="100"/>
          <w:position w:val="0"/>
        </w:rPr>
        <w:t>号）规定，本公司</w:t>
      </w:r>
      <w:r>
        <w:rPr>
          <w:color w:val="000000"/>
          <w:spacing w:val="0"/>
          <w:w w:val="100"/>
          <w:position w:val="0"/>
        </w:rPr>
        <w:t>2013</w:t>
      </w:r>
      <w:r>
        <w:rPr>
          <w:color w:val="000000"/>
          <w:spacing w:val="0"/>
          <w:w w:val="100"/>
          <w:position w:val="0"/>
        </w:rPr>
        <w:t>年度提供技术转让、技术开发业务和与 之相关的技术咨询、技术服务业务取得的收入免征增值税。</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日，国务院颁发《进一步鼓励软件产业和集成电路产业发展的若干政策》（国发【</w:t>
      </w:r>
      <w:r>
        <w:rPr>
          <w:color w:val="000000"/>
          <w:spacing w:val="0"/>
          <w:w w:val="100"/>
          <w:position w:val="0"/>
        </w:rPr>
        <w:t>2011</w:t>
      </w:r>
      <w:r>
        <w:rPr>
          <w:color w:val="000000"/>
          <w:spacing w:val="0"/>
          <w:w w:val="100"/>
          <w:position w:val="0"/>
        </w:rPr>
        <w:t xml:space="preserve">】 </w:t>
      </w:r>
      <w:r>
        <w:rPr>
          <w:color w:val="000000"/>
          <w:spacing w:val="0"/>
          <w:w w:val="100"/>
          <w:position w:val="0"/>
        </w:rPr>
        <w:t>4</w:t>
      </w:r>
      <w:r>
        <w:rPr>
          <w:color w:val="000000"/>
          <w:spacing w:val="0"/>
          <w:w w:val="100"/>
          <w:position w:val="0"/>
        </w:rPr>
        <w:t>号），规定明确了 “继续实施软件增值税优惠政策”。</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日，财政部发布了《关于软件产品增值税政策的通知》（财税【</w:t>
      </w:r>
      <w:r>
        <w:rPr>
          <w:color w:val="000000"/>
          <w:spacing w:val="0"/>
          <w:w w:val="100"/>
          <w:position w:val="0"/>
        </w:rPr>
        <w:t>2011</w:t>
      </w:r>
      <w:r>
        <w:rPr>
          <w:color w:val="000000"/>
          <w:spacing w:val="0"/>
          <w:w w:val="100"/>
          <w:position w:val="0"/>
        </w:rPr>
        <w:t>】</w:t>
      </w:r>
      <w:r>
        <w:rPr>
          <w:color w:val="000000"/>
          <w:spacing w:val="0"/>
          <w:w w:val="100"/>
          <w:position w:val="0"/>
        </w:rPr>
        <w:t>100</w:t>
      </w:r>
      <w:r>
        <w:rPr>
          <w:color w:val="000000"/>
          <w:spacing w:val="0"/>
          <w:w w:val="100"/>
          <w:position w:val="0"/>
        </w:rPr>
        <w:t>号）明确了 增值税一般纳税人销售其自行开发生产的软件产品，按</w:t>
      </w:r>
      <w:r>
        <w:rPr>
          <w:color w:val="000000"/>
          <w:spacing w:val="0"/>
          <w:w w:val="100"/>
          <w:position w:val="0"/>
        </w:rPr>
        <w:t>17%</w:t>
      </w:r>
      <w:r>
        <w:rPr>
          <w:color w:val="000000"/>
          <w:spacing w:val="0"/>
          <w:w w:val="100"/>
          <w:position w:val="0"/>
        </w:rPr>
        <w:t xml:space="preserve">税率征收增值税后，对其增值税实际税负超过 </w:t>
      </w:r>
      <w:r>
        <w:rPr>
          <w:color w:val="000000"/>
          <w:spacing w:val="0"/>
          <w:w w:val="100"/>
          <w:position w:val="0"/>
        </w:rPr>
        <w:t>3%</w:t>
      </w:r>
      <w:r>
        <w:rPr>
          <w:color w:val="000000"/>
          <w:spacing w:val="0"/>
          <w:w w:val="100"/>
          <w:position w:val="0"/>
        </w:rPr>
        <w:t>的部分实行即征即退政策。</w:t>
      </w:r>
    </w:p>
    <w:p>
      <w:pPr>
        <w:pStyle w:val="Style33"/>
        <w:keepNext w:val="0"/>
        <w:keepLines w:val="0"/>
        <w:widowControl w:val="0"/>
        <w:shd w:val="clear" w:color="auto" w:fill="auto"/>
        <w:tabs>
          <w:tab w:pos="915" w:val="left"/>
        </w:tabs>
        <w:bidi w:val="0"/>
        <w:spacing w:before="0" w:after="0" w:line="469" w:lineRule="exact"/>
        <w:ind w:left="0" w:right="0" w:firstLine="440"/>
        <w:jc w:val="left"/>
      </w:pPr>
      <w:bookmarkStart w:id="756" w:name="bookmark756"/>
      <w:r>
        <w:rPr>
          <w:color w:val="000000"/>
          <w:spacing w:val="0"/>
          <w:w w:val="100"/>
          <w:position w:val="0"/>
        </w:rPr>
        <w:t>（</w:t>
      </w:r>
      <w:bookmarkEnd w:id="756"/>
      <w:r>
        <w:rPr>
          <w:color w:val="000000"/>
          <w:spacing w:val="0"/>
          <w:w w:val="100"/>
          <w:position w:val="0"/>
        </w:rPr>
        <w:t>3）</w:t>
        <w:tab/>
      </w:r>
      <w:r>
        <w:rPr>
          <w:color w:val="000000"/>
          <w:spacing w:val="0"/>
          <w:w w:val="100"/>
          <w:position w:val="0"/>
        </w:rPr>
        <w:t>营业税减免</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根据《财政部、国家税务总局关于贯彻落实〈中共中央国务院关于加强技术创新，发展高科技，实现 产业化的决定〉有关税收问题的通知》（财税字</w:t>
      </w:r>
      <w:r>
        <w:rPr>
          <w:color w:val="000000"/>
          <w:spacing w:val="0"/>
          <w:w w:val="100"/>
          <w:position w:val="0"/>
        </w:rPr>
        <w:t>[1999]273</w:t>
      </w:r>
      <w:r>
        <w:rPr>
          <w:color w:val="000000"/>
          <w:spacing w:val="0"/>
          <w:w w:val="100"/>
          <w:position w:val="0"/>
        </w:rPr>
        <w:t>号）的规定，公司</w:t>
      </w:r>
      <w:r>
        <w:rPr>
          <w:color w:val="000000"/>
          <w:spacing w:val="0"/>
          <w:w w:val="100"/>
          <w:position w:val="0"/>
        </w:rPr>
        <w:t>2012</w:t>
      </w:r>
      <w:r>
        <w:rPr>
          <w:color w:val="000000"/>
          <w:spacing w:val="0"/>
          <w:w w:val="100"/>
          <w:position w:val="0"/>
        </w:rPr>
        <w:t>年度未执行完毕的技术转 让、技术开发业务和与之相关的技术咨询、技术服务业务取得的收入，免征营业税。</w:t>
      </w:r>
    </w:p>
    <w:p>
      <w:pPr>
        <w:pStyle w:val="Style22"/>
        <w:keepNext/>
        <w:keepLines/>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六</w:t>
      </w:r>
      <w:bookmarkEnd w:id="759"/>
      <w:r>
        <w:rPr>
          <w:color w:val="000000"/>
          <w:spacing w:val="0"/>
          <w:w w:val="100"/>
          <w:position w:val="0"/>
        </w:rPr>
        <w:t>、企业合并及合并财务报表</w:t>
      </w:r>
      <w:bookmarkEnd w:id="757"/>
      <w:bookmarkEnd w:id="758"/>
      <w:bookmarkEnd w:id="760"/>
    </w:p>
    <w:p>
      <w:pPr>
        <w:pStyle w:val="Style36"/>
        <w:keepNext/>
        <w:keepLines/>
        <w:widowControl w:val="0"/>
        <w:shd w:val="clear" w:color="auto" w:fill="auto"/>
        <w:bidi w:val="0"/>
        <w:spacing w:before="0" w:after="0" w:line="494" w:lineRule="auto"/>
        <w:ind w:left="0" w:right="0" w:firstLine="0"/>
        <w:jc w:val="left"/>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61"/>
      <w:bookmarkEnd w:id="762"/>
      <w:bookmarkEnd w:id="763"/>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（1）</w:t>
      </w:r>
      <w:r>
        <w:rPr>
          <w:color w:val="000000"/>
          <w:spacing w:val="0"/>
          <w:w w:val="100"/>
          <w:position w:val="0"/>
        </w:rPr>
        <w:t>北京中科金财电子商务有限公司为母公司持有</w:t>
      </w:r>
      <w:r>
        <w:rPr>
          <w:color w:val="000000"/>
          <w:spacing w:val="0"/>
          <w:w w:val="100"/>
          <w:position w:val="0"/>
        </w:rPr>
        <w:t>97%</w:t>
      </w:r>
      <w:r>
        <w:rPr>
          <w:color w:val="000000"/>
          <w:spacing w:val="0"/>
          <w:w w:val="100"/>
          <w:position w:val="0"/>
        </w:rPr>
        <w:t>股份的控股子公司，注册地在北京，法定代表 人是朱烨东。</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公司的经营范围：</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许可经营项目：互联网信息服务业务（除新闻、出版、教育、医疗保健、药品、医疗器械以外的内容）； 第二类增值电信业务中的呼叫中心业务和信息服务业务（不含固定网电话信息服务和互联网信息服务）。</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一般经营项目：技术开发、技术咨询；计算机系统服务；销售计算机、软件及辅助设备、电子产品； 货物进出口；技术进出口；代理进出口；专业承包。（未取得行政许可的项目除外）</w:t>
      </w:r>
    </w:p>
    <w:p>
      <w:pPr>
        <w:pStyle w:val="Style33"/>
        <w:keepNext w:val="0"/>
        <w:keepLines w:val="0"/>
        <w:widowControl w:val="0"/>
        <w:shd w:val="clear" w:color="auto" w:fill="auto"/>
        <w:bidi w:val="0"/>
        <w:spacing w:before="0" w:after="0" w:line="473" w:lineRule="exact"/>
        <w:ind w:left="0" w:right="0" w:firstLine="540"/>
        <w:jc w:val="both"/>
      </w:pPr>
      <w:r>
        <w:rPr>
          <w:color w:val="000000"/>
          <w:spacing w:val="0"/>
          <w:w w:val="100"/>
          <w:position w:val="0"/>
        </w:rPr>
        <w:t>（2）</w:t>
      </w:r>
      <w:r>
        <w:rPr>
          <w:color w:val="000000"/>
          <w:spacing w:val="0"/>
          <w:w w:val="100"/>
          <w:position w:val="0"/>
        </w:rPr>
        <w:t>北京中科金财电子产品有限公司为母公司持有</w:t>
      </w:r>
      <w:r>
        <w:rPr>
          <w:color w:val="000000"/>
          <w:spacing w:val="0"/>
          <w:w w:val="100"/>
          <w:position w:val="0"/>
        </w:rPr>
        <w:t>51%</w:t>
      </w:r>
      <w:r>
        <w:rPr>
          <w:color w:val="000000"/>
          <w:spacing w:val="0"/>
          <w:w w:val="100"/>
          <w:position w:val="0"/>
        </w:rPr>
        <w:t>股份的控股子公司，注册地在北京，法定代 表人是沈飒。</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公司的经营范围：</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许可经营项目：无。</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一般经营项目：销售计算机、软件及辅助设备、电子产品；软件开发；技术服务；（未取得行政许可 的项目除外）</w:t>
      </w:r>
    </w:p>
    <w:p>
      <w:pPr>
        <w:pStyle w:val="Style33"/>
        <w:keepNext w:val="0"/>
        <w:keepLines w:val="0"/>
        <w:widowControl w:val="0"/>
        <w:shd w:val="clear" w:color="auto" w:fill="auto"/>
        <w:tabs>
          <w:tab w:pos="1026" w:val="left"/>
        </w:tabs>
        <w:bidi w:val="0"/>
        <w:spacing w:before="0" w:after="0" w:line="473" w:lineRule="exact"/>
        <w:ind w:left="0" w:right="0" w:firstLine="440"/>
        <w:jc w:val="left"/>
      </w:pPr>
      <w:bookmarkStart w:id="764" w:name="bookmark764"/>
      <w:r>
        <w:rPr>
          <w:color w:val="000000"/>
          <w:spacing w:val="0"/>
          <w:w w:val="100"/>
          <w:position w:val="0"/>
        </w:rPr>
        <w:t>（</w:t>
      </w:r>
      <w:bookmarkEnd w:id="764"/>
      <w:r>
        <w:rPr>
          <w:color w:val="000000"/>
          <w:spacing w:val="0"/>
          <w:w w:val="100"/>
          <w:position w:val="0"/>
        </w:rPr>
        <w:t>3）</w:t>
        <w:tab/>
      </w:r>
      <w:r>
        <w:rPr>
          <w:color w:val="000000"/>
          <w:spacing w:val="0"/>
          <w:w w:val="100"/>
          <w:position w:val="0"/>
        </w:rPr>
        <w:t>北京中科金财信息技术有限公司为母公司持有</w:t>
      </w:r>
      <w:r>
        <w:rPr>
          <w:color w:val="000000"/>
          <w:spacing w:val="0"/>
          <w:w w:val="100"/>
          <w:position w:val="0"/>
        </w:rPr>
        <w:t>70%</w:t>
      </w:r>
      <w:r>
        <w:rPr>
          <w:color w:val="000000"/>
          <w:spacing w:val="0"/>
          <w:w w:val="100"/>
          <w:position w:val="0"/>
        </w:rPr>
        <w:t>股份的控股子公司，注册地在北京，法定代表 人是朱烨东。</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公司的经营范围：</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许可经营项目：专业承包。</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一般经营项目：技术开发、技术转让、技术咨询、技术服务、技术推广；计算机技术培训；软件开发; 计算机系统服务；销售计算机、软件及辅助设备、电子产品、通讯设备；货物进出口、技术进出口、代理 进出口。（未取得行政许可的项目除外）</w:t>
      </w:r>
    </w:p>
    <w:p>
      <w:pPr>
        <w:pStyle w:val="Style33"/>
        <w:keepNext w:val="0"/>
        <w:keepLines w:val="0"/>
        <w:widowControl w:val="0"/>
        <w:shd w:val="clear" w:color="auto" w:fill="auto"/>
        <w:tabs>
          <w:tab w:pos="1026" w:val="left"/>
        </w:tabs>
        <w:bidi w:val="0"/>
        <w:spacing w:before="0" w:after="0" w:line="473" w:lineRule="exact"/>
        <w:ind w:left="0" w:right="0" w:firstLine="440"/>
        <w:jc w:val="left"/>
      </w:pPr>
      <w:bookmarkStart w:id="765" w:name="bookmark765"/>
      <w:r>
        <w:rPr>
          <w:color w:val="000000"/>
          <w:spacing w:val="0"/>
          <w:w w:val="100"/>
          <w:position w:val="0"/>
        </w:rPr>
        <w:t>（</w:t>
      </w:r>
      <w:bookmarkEnd w:id="765"/>
      <w:r>
        <w:rPr>
          <w:color w:val="000000"/>
          <w:spacing w:val="0"/>
          <w:w w:val="100"/>
          <w:position w:val="0"/>
        </w:rPr>
        <w:t>4）</w:t>
        <w:tab/>
      </w:r>
      <w:r>
        <w:rPr>
          <w:color w:val="000000"/>
          <w:spacing w:val="0"/>
          <w:w w:val="100"/>
          <w:position w:val="0"/>
        </w:rPr>
        <w:t>北京中科金财软件技术有限公司为母公司持有</w:t>
      </w:r>
      <w:r>
        <w:rPr>
          <w:color w:val="000000"/>
          <w:spacing w:val="0"/>
          <w:w w:val="100"/>
          <w:position w:val="0"/>
        </w:rPr>
        <w:t>100%</w:t>
      </w:r>
      <w:r>
        <w:rPr>
          <w:color w:val="000000"/>
          <w:spacing w:val="0"/>
          <w:w w:val="100"/>
          <w:position w:val="0"/>
        </w:rPr>
        <w:t>股份的控股子公司，注册地在北京，法定代 表人是朱烨东。</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公司的经营范围：</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许可经营项目：无。</w:t>
      </w:r>
    </w:p>
    <w:p>
      <w:pPr>
        <w:pStyle w:val="Style33"/>
        <w:keepNext w:val="0"/>
        <w:keepLines w:val="0"/>
        <w:widowControl w:val="0"/>
        <w:shd w:val="clear" w:color="auto" w:fill="auto"/>
        <w:bidi w:val="0"/>
        <w:spacing w:before="0" w:after="180" w:line="473" w:lineRule="exact"/>
        <w:ind w:left="0" w:right="0" w:firstLine="440"/>
        <w:jc w:val="both"/>
      </w:pPr>
      <w:r>
        <w:rPr>
          <w:color w:val="000000"/>
          <w:spacing w:val="0"/>
          <w:w w:val="100"/>
          <w:position w:val="0"/>
        </w:rPr>
        <w:t>一般经营项目：软件开发；计算机系统服务；技术培训；技术咨询；销售计算机、软件及辅助设备。 （未取得行政许可的项目除外）</w:t>
      </w:r>
      <w:r>
        <w:br w:type="page"/>
      </w:r>
    </w:p>
    <w:p>
      <w:pPr>
        <w:pStyle w:val="Style36"/>
        <w:keepNext/>
        <w:keepLines/>
        <w:widowControl w:val="0"/>
        <w:shd w:val="clear" w:color="auto" w:fill="auto"/>
        <w:bidi w:val="0"/>
        <w:spacing w:before="0" w:line="240" w:lineRule="auto"/>
        <w:ind w:left="0" w:right="0" w:firstLine="0"/>
        <w:jc w:val="left"/>
      </w:pPr>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66"/>
      <w:bookmarkEnd w:id="767"/>
      <w:bookmarkEnd w:id="7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6"/>
                <w:szCs w:val="16"/>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20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 科金财 电子产 品有限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发及服 务，计 算机 软、硬 件及电 子产品 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销售计 算机、 软件及 辅助设 备、电 子产 品；软 件开 发；技 术服务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 科金财 信息技 术有限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发及服 务，计 算机 软、硬 件及电 子产品 销售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 营项 目：专 业承 包。一 般经营 项目： 技术开 发、技 术转 让、技 术咨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1"/>
          <w:footerReference w:type="default" r:id="rId242"/>
          <w:headerReference w:type="even" r:id="rId243"/>
          <w:footerReference w:type="even" r:id="rId244"/>
          <w:headerReference w:type="first" r:id="rId245"/>
          <w:footerReference w:type="first" r:id="rId246"/>
          <w:footnotePr>
            <w:pos w:val="pageBottom"/>
            <w:numFmt w:val="decimal"/>
            <w:numRestart w:val="continuous"/>
          </w:footnotePr>
          <w:pgSz w:w="11909" w:h="17415"/>
          <w:pgMar w:top="1536" w:right="939" w:bottom="1858" w:left="1010"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询、技 术服 务、技 术推 广；计 算机技 术培 训；软 件开 发；计 算机系 统服 务；销 售计算 机、软 件及辅 助设 备、电 子产 品、通 讯设</w:t>
            </w:r>
          </w:p>
          <w:p>
            <w:pPr>
              <w:pStyle w:val="Style9"/>
              <w:keepNext w:val="0"/>
              <w:keepLines w:val="0"/>
              <w:widowControl w:val="0"/>
              <w:shd w:val="clear" w:color="auto" w:fill="auto"/>
              <w:bidi w:val="0"/>
              <w:spacing w:before="0" w:after="0" w:line="280" w:lineRule="exact"/>
              <w:ind w:left="0" w:right="0" w:firstLine="380"/>
              <w:jc w:val="both"/>
            </w:pPr>
            <w:r>
              <w:rPr>
                <w:color w:val="000000"/>
                <w:spacing w:val="0"/>
                <w:w w:val="100"/>
                <w:position w:val="0"/>
              </w:rPr>
              <w:t>化 备；贝 物进出 口、技 术进出 口、代 理进出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 科金财 软件技 术有限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发及服 务，计 算机 软、硬 件及电 子产品 销售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)非同一控制下企业合并取得的子公司</w:t>
      </w:r>
      <w:bookmarkEnd w:id="769"/>
      <w:bookmarkEnd w:id="770"/>
      <w:bookmarkEnd w:id="7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10"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实质上 构成对 子公司 净投资</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6"/>
                <w:szCs w:val="16"/>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 中用于 冲减少</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从母公 司所有 者权益 冲减子</w:t>
            </w:r>
          </w:p>
        </w:tc>
      </w:tr>
    </w:tbl>
    <w:p>
      <w:pPr>
        <w:widowControl w:val="0"/>
        <w:spacing w:after="979" w:line="1" w:lineRule="exact"/>
      </w:pPr>
    </w:p>
    <w:p>
      <w:pPr>
        <w:widowControl w:val="0"/>
        <w:jc w:val="center"/>
        <w:rPr>
          <w:sz w:val="2"/>
          <w:szCs w:val="2"/>
        </w:rPr>
        <w:sectPr>
          <w:headerReference w:type="default" r:id="rId247"/>
          <w:footerReference w:type="default" r:id="rId248"/>
          <w:headerReference w:type="even" r:id="rId249"/>
          <w:footerReference w:type="even" r:id="rId250"/>
          <w:footnotePr>
            <w:pos w:val="pageBottom"/>
            <w:numFmt w:val="decimal"/>
            <w:numRestart w:val="continuous"/>
          </w:footnotePr>
          <w:pgSz w:w="11909" w:h="17415"/>
          <w:pgMar w:top="1728" w:right="1113" w:bottom="451" w:left="1123" w:header="0" w:footer="3" w:gutter="0"/>
          <w:cols w:space="720"/>
          <w:noEndnote/>
          <w:rtlGutter w:val="0"/>
          <w:docGrid w:linePitch="360"/>
        </w:sectPr>
      </w:pPr>
      <w:r>
        <w:drawing>
          <wp:inline>
            <wp:extent cx="774065" cy="182880"/>
            <wp:docPr id="715" name="Picutre 715"/>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251"/>
                    <a:stretch/>
                  </pic:blipFill>
                  <pic:spPr>
                    <a:xfrm>
                      <a:ext cx="774065" cy="182880"/>
                    </a:xfrm>
                    <a:prstGeom prst="rect"/>
                  </pic:spPr>
                </pic:pic>
              </a:graphicData>
            </a:graphic>
          </wp:inline>
        </w:drawing>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42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的其他 项目余 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数股东 损益的 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公司少 数股东 分担的 本期亏 损超过 少数股 东在该 子公司 年初所 有者权 益中所 享有份 额后的 余额</w:t>
            </w:r>
          </w:p>
        </w:tc>
      </w:tr>
      <w:tr>
        <w:trPr>
          <w:trHeight w:val="941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 科金财 电子商 务有限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 事移动 支付及 移动电 子商务 业务及 服务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许可经 营项 目：互 联网信 息服务 业务</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（除新 闻、出 版、教 育、医 疗保 健、药 品、医 疗器械 以外的 内容）； 第二类 增值电 信业务 中的呼 叫中心 业务和 信息服 务业务</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固定网 电话信 息服务 和互联 网信息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99" w:line="1" w:lineRule="exact"/>
      </w:pPr>
    </w:p>
    <w:p>
      <w:pPr>
        <w:widowControl w:val="0"/>
        <w:jc w:val="center"/>
        <w:rPr>
          <w:sz w:val="2"/>
          <w:szCs w:val="2"/>
        </w:rPr>
        <w:sectPr>
          <w:footnotePr>
            <w:pos w:val="pageBottom"/>
            <w:numFmt w:val="decimal"/>
            <w:numRestart w:val="continuous"/>
          </w:footnotePr>
          <w:pgSz w:w="11909" w:h="17415"/>
          <w:pgMar w:top="1728" w:right="1205" w:bottom="451" w:left="1123" w:header="0" w:footer="3" w:gutter="0"/>
          <w:cols w:space="720"/>
          <w:noEndnote/>
          <w:rtlGutter w:val="0"/>
          <w:docGrid w:linePitch="360"/>
        </w:sectPr>
      </w:pPr>
      <w:r>
        <w:drawing>
          <wp:inline>
            <wp:extent cx="774065" cy="182880"/>
            <wp:docPr id="716" name="Picutre 716"/>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253"/>
                    <a:stretch/>
                  </pic:blipFill>
                  <pic:spPr>
                    <a:xfrm>
                      <a:ext cx="774065" cy="182880"/>
                    </a:xfrm>
                    <a:prstGeom prst="rect"/>
                  </pic:spPr>
                </pic:pic>
              </a:graphicData>
            </a:graphic>
          </wp:inline>
        </w:drawing>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keepLines/>
        <w:widowControl w:val="0"/>
        <w:shd w:val="clear" w:color="auto" w:fill="auto"/>
        <w:tabs>
          <w:tab w:pos="378" w:val="left"/>
        </w:tabs>
        <w:bidi w:val="0"/>
        <w:spacing w:before="0" w:after="380" w:line="462"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合并范围发生变更的说明</w:t>
      </w:r>
      <w:bookmarkEnd w:id="772"/>
      <w:bookmarkEnd w:id="773"/>
      <w:bookmarkEnd w:id="77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合并报表范围发生变更说明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本年度公司合并报表范围发生变更，新增合并单位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62" w:lineRule="exact"/>
        <w:ind w:left="0" w:right="0" w:firstLine="0"/>
        <w:jc w:val="left"/>
      </w:pPr>
      <w:r>
        <w:rPr>
          <w:color w:val="000000"/>
          <w:spacing w:val="0"/>
          <w:w w:val="100"/>
          <w:position w:val="0"/>
        </w:rPr>
        <w:t>与上年相比本年（期）新增合并单位</w:t>
      </w:r>
      <w:r>
        <w:rPr>
          <w:color w:val="000000"/>
          <w:spacing w:val="0"/>
          <w:w w:val="100"/>
          <w:position w:val="0"/>
        </w:rPr>
        <w:t>3</w:t>
      </w:r>
      <w:r>
        <w:rPr>
          <w:color w:val="000000"/>
          <w:spacing w:val="0"/>
          <w:w w:val="100"/>
          <w:position w:val="0"/>
        </w:rPr>
        <w:t>家，原因为</w:t>
      </w:r>
    </w:p>
    <w:p>
      <w:pPr>
        <w:pStyle w:val="Style33"/>
        <w:keepNext w:val="0"/>
        <w:keepLines w:val="0"/>
        <w:widowControl w:val="0"/>
        <w:shd w:val="clear" w:color="auto" w:fill="auto"/>
        <w:bidi w:val="0"/>
        <w:spacing w:before="0" w:after="0" w:line="462" w:lineRule="exact"/>
        <w:ind w:left="0" w:right="0" w:firstLine="440"/>
        <w:jc w:val="left"/>
      </w:pPr>
      <w:r>
        <w:rPr>
          <w:color w:val="000000"/>
          <w:spacing w:val="0"/>
          <w:w w:val="100"/>
          <w:position w:val="0"/>
        </w:rPr>
        <w:t>与上期相比本期新增合并单位</w:t>
      </w:r>
      <w:r>
        <w:rPr>
          <w:color w:val="000000"/>
          <w:spacing w:val="0"/>
          <w:w w:val="100"/>
          <w:position w:val="0"/>
        </w:rPr>
        <w:t>3</w:t>
      </w:r>
      <w:r>
        <w:rPr>
          <w:color w:val="000000"/>
          <w:spacing w:val="0"/>
          <w:w w:val="100"/>
          <w:position w:val="0"/>
        </w:rPr>
        <w:t>家，原因为公司通过新设成立子公司</w:t>
      </w:r>
      <w:r>
        <w:rPr>
          <w:color w:val="000000"/>
          <w:spacing w:val="0"/>
          <w:w w:val="100"/>
          <w:position w:val="0"/>
        </w:rPr>
        <w:t>3</w:t>
      </w:r>
      <w:r>
        <w:rPr>
          <w:color w:val="000000"/>
          <w:spacing w:val="0"/>
          <w:w w:val="100"/>
          <w:position w:val="0"/>
        </w:rPr>
        <w:t>家：</w:t>
      </w:r>
    </w:p>
    <w:p>
      <w:pPr>
        <w:pStyle w:val="Style33"/>
        <w:keepNext w:val="0"/>
        <w:keepLines w:val="0"/>
        <w:widowControl w:val="0"/>
        <w:shd w:val="clear" w:color="auto" w:fill="auto"/>
        <w:tabs>
          <w:tab w:pos="790" w:val="left"/>
        </w:tabs>
        <w:bidi w:val="0"/>
        <w:spacing w:before="0" w:after="0" w:line="462" w:lineRule="exact"/>
        <w:ind w:left="0" w:right="0" w:firstLine="440"/>
        <w:jc w:val="left"/>
      </w:pPr>
      <w:bookmarkStart w:id="776" w:name="bookmark776"/>
      <w:r>
        <w:rPr>
          <w:color w:val="000000"/>
          <w:spacing w:val="0"/>
          <w:w w:val="100"/>
          <w:position w:val="0"/>
        </w:rPr>
        <w:t>1</w:t>
      </w:r>
      <w:bookmarkEnd w:id="776"/>
      <w:r>
        <w:rPr>
          <w:color w:val="000000"/>
          <w:spacing w:val="0"/>
          <w:w w:val="100"/>
          <w:position w:val="0"/>
        </w:rPr>
        <w:t>、</w:t>
        <w:tab/>
        <w:t>北京中科金财电子产品有限公司由公司与北京恒沙科技有限责任公司共同组建成立的有限责任公 司，该公司注册资本</w:t>
      </w:r>
      <w:r>
        <w:rPr>
          <w:color w:val="000000"/>
          <w:spacing w:val="0"/>
          <w:w w:val="100"/>
          <w:position w:val="0"/>
        </w:rPr>
        <w:t>4,000</w:t>
      </w:r>
      <w:r>
        <w:rPr>
          <w:color w:val="000000"/>
          <w:spacing w:val="0"/>
          <w:w w:val="100"/>
          <w:position w:val="0"/>
        </w:rPr>
        <w:t>万元，公司投资</w:t>
      </w:r>
      <w:r>
        <w:rPr>
          <w:color w:val="000000"/>
          <w:spacing w:val="0"/>
          <w:w w:val="100"/>
          <w:position w:val="0"/>
        </w:rPr>
        <w:t>2,040.00</w:t>
      </w:r>
      <w:r>
        <w:rPr>
          <w:color w:val="000000"/>
          <w:spacing w:val="0"/>
          <w:w w:val="100"/>
          <w:position w:val="0"/>
        </w:rPr>
        <w:t>万元，持股比例</w:t>
      </w:r>
      <w:r>
        <w:rPr>
          <w:color w:val="000000"/>
          <w:spacing w:val="0"/>
          <w:w w:val="100"/>
          <w:position w:val="0"/>
        </w:rPr>
        <w:t>51%</w:t>
      </w:r>
      <w:r>
        <w:rPr>
          <w:color w:val="000000"/>
          <w:spacing w:val="0"/>
          <w:w w:val="100"/>
          <w:position w:val="0"/>
        </w:rPr>
        <w:t>，截止至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日，中科电 子实收资本</w:t>
      </w:r>
      <w:r>
        <w:rPr>
          <w:color w:val="000000"/>
          <w:spacing w:val="0"/>
          <w:w w:val="100"/>
          <w:position w:val="0"/>
        </w:rPr>
        <w:t>800</w:t>
      </w:r>
      <w:r>
        <w:rPr>
          <w:color w:val="000000"/>
          <w:spacing w:val="0"/>
          <w:w w:val="100"/>
          <w:position w:val="0"/>
        </w:rPr>
        <w:t>万元，其中公司缴付</w:t>
      </w:r>
      <w:r>
        <w:rPr>
          <w:color w:val="000000"/>
          <w:spacing w:val="0"/>
          <w:w w:val="100"/>
          <w:position w:val="0"/>
        </w:rPr>
        <w:t>408</w:t>
      </w:r>
      <w:r>
        <w:rPr>
          <w:color w:val="000000"/>
          <w:spacing w:val="0"/>
          <w:w w:val="100"/>
          <w:position w:val="0"/>
        </w:rPr>
        <w:t>万元，少数股东缴付</w:t>
      </w:r>
      <w:r>
        <w:rPr>
          <w:color w:val="000000"/>
          <w:spacing w:val="0"/>
          <w:w w:val="100"/>
          <w:position w:val="0"/>
        </w:rPr>
        <w:t>392</w:t>
      </w:r>
      <w:r>
        <w:rPr>
          <w:color w:val="000000"/>
          <w:spacing w:val="0"/>
          <w:w w:val="100"/>
          <w:position w:val="0"/>
        </w:rPr>
        <w:t>万元。</w:t>
      </w:r>
    </w:p>
    <w:p>
      <w:pPr>
        <w:pStyle w:val="Style33"/>
        <w:keepNext w:val="0"/>
        <w:keepLines w:val="0"/>
        <w:widowControl w:val="0"/>
        <w:shd w:val="clear" w:color="auto" w:fill="auto"/>
        <w:tabs>
          <w:tab w:pos="790" w:val="left"/>
        </w:tabs>
        <w:bidi w:val="0"/>
        <w:spacing w:before="0" w:after="0" w:line="462" w:lineRule="exact"/>
        <w:ind w:left="0" w:right="0" w:firstLine="440"/>
        <w:jc w:val="left"/>
      </w:pPr>
      <w:bookmarkStart w:id="777" w:name="bookmark777"/>
      <w:r>
        <w:rPr>
          <w:color w:val="000000"/>
          <w:spacing w:val="0"/>
          <w:w w:val="100"/>
          <w:position w:val="0"/>
        </w:rPr>
        <w:t>2</w:t>
      </w:r>
      <w:bookmarkEnd w:id="777"/>
      <w:r>
        <w:rPr>
          <w:color w:val="000000"/>
          <w:spacing w:val="0"/>
          <w:w w:val="100"/>
          <w:position w:val="0"/>
        </w:rPr>
        <w:t>、</w:t>
        <w:tab/>
        <w:t>北京中科金财信息技术有限公司由公司与自然人袁渊、蒋渊舜、帅军共同组建成立的有限责任公 司，该公司注册资本</w:t>
      </w:r>
      <w:r>
        <w:rPr>
          <w:color w:val="000000"/>
          <w:spacing w:val="0"/>
          <w:w w:val="100"/>
          <w:position w:val="0"/>
        </w:rPr>
        <w:t>1,000.00</w:t>
      </w:r>
      <w:r>
        <w:rPr>
          <w:color w:val="000000"/>
          <w:spacing w:val="0"/>
          <w:w w:val="100"/>
          <w:position w:val="0"/>
        </w:rPr>
        <w:t>万元，公司投资</w:t>
      </w:r>
      <w:r>
        <w:rPr>
          <w:color w:val="000000"/>
          <w:spacing w:val="0"/>
          <w:w w:val="100"/>
          <w:position w:val="0"/>
        </w:rPr>
        <w:t>700.00</w:t>
      </w:r>
      <w:r>
        <w:rPr>
          <w:color w:val="000000"/>
          <w:spacing w:val="0"/>
          <w:w w:val="100"/>
          <w:position w:val="0"/>
        </w:rPr>
        <w:t>万元，持股比例</w:t>
      </w:r>
      <w:r>
        <w:rPr>
          <w:color w:val="000000"/>
          <w:spacing w:val="0"/>
          <w:w w:val="100"/>
          <w:position w:val="0"/>
        </w:rPr>
        <w:t>70%</w:t>
      </w:r>
      <w:r>
        <w:rPr>
          <w:color w:val="000000"/>
          <w:spacing w:val="0"/>
          <w:w w:val="100"/>
          <w:position w:val="0"/>
        </w:rPr>
        <w:t>，截止至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日，中科信 息实收资本</w:t>
      </w:r>
      <w:r>
        <w:rPr>
          <w:color w:val="000000"/>
          <w:spacing w:val="0"/>
          <w:w w:val="100"/>
          <w:position w:val="0"/>
        </w:rPr>
        <w:t>850</w:t>
      </w:r>
      <w:r>
        <w:rPr>
          <w:color w:val="000000"/>
          <w:spacing w:val="0"/>
          <w:w w:val="100"/>
          <w:position w:val="0"/>
        </w:rPr>
        <w:t>万元，其中公司缴付</w:t>
      </w:r>
      <w:r>
        <w:rPr>
          <w:color w:val="000000"/>
          <w:spacing w:val="0"/>
          <w:w w:val="100"/>
          <w:position w:val="0"/>
        </w:rPr>
        <w:t>700</w:t>
      </w:r>
      <w:r>
        <w:rPr>
          <w:color w:val="000000"/>
          <w:spacing w:val="0"/>
          <w:w w:val="100"/>
          <w:position w:val="0"/>
        </w:rPr>
        <w:t>万元，少数股东合计共缴付</w:t>
      </w:r>
      <w:r>
        <w:rPr>
          <w:color w:val="000000"/>
          <w:spacing w:val="0"/>
          <w:w w:val="100"/>
          <w:position w:val="0"/>
        </w:rPr>
        <w:t>150</w:t>
      </w:r>
      <w:r>
        <w:rPr>
          <w:color w:val="000000"/>
          <w:spacing w:val="0"/>
          <w:w w:val="100"/>
          <w:position w:val="0"/>
        </w:rPr>
        <w:t>万元。</w:t>
      </w:r>
    </w:p>
    <w:p>
      <w:pPr>
        <w:pStyle w:val="Style33"/>
        <w:keepNext w:val="0"/>
        <w:keepLines w:val="0"/>
        <w:widowControl w:val="0"/>
        <w:shd w:val="clear" w:color="auto" w:fill="auto"/>
        <w:tabs>
          <w:tab w:pos="795" w:val="left"/>
        </w:tabs>
        <w:bidi w:val="0"/>
        <w:spacing w:before="0" w:after="240" w:line="462" w:lineRule="exact"/>
        <w:ind w:left="0" w:right="0" w:firstLine="440"/>
        <w:jc w:val="left"/>
      </w:pPr>
      <w:bookmarkStart w:id="778" w:name="bookmark778"/>
      <w:r>
        <w:rPr>
          <w:color w:val="000000"/>
          <w:spacing w:val="0"/>
          <w:w w:val="100"/>
          <w:position w:val="0"/>
        </w:rPr>
        <w:t>3</w:t>
      </w:r>
      <w:bookmarkEnd w:id="778"/>
      <w:r>
        <w:rPr>
          <w:color w:val="000000"/>
          <w:spacing w:val="0"/>
          <w:w w:val="100"/>
          <w:position w:val="0"/>
        </w:rPr>
        <w:t>、</w:t>
        <w:tab/>
        <w:t>北京中科金财软件技术有限公司由公司独资设立的有限责任公司，该公司注册资本</w:t>
      </w:r>
      <w:r>
        <w:rPr>
          <w:color w:val="000000"/>
          <w:spacing w:val="0"/>
          <w:w w:val="100"/>
          <w:position w:val="0"/>
        </w:rPr>
        <w:t>500</w:t>
      </w:r>
      <w:r>
        <w:rPr>
          <w:color w:val="000000"/>
          <w:spacing w:val="0"/>
          <w:w w:val="100"/>
          <w:position w:val="0"/>
        </w:rPr>
        <w:t>万元。截止 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日，企业尚未正式运营。</w:t>
      </w:r>
    </w:p>
    <w:p>
      <w:pPr>
        <w:pStyle w:val="Style36"/>
        <w:keepNext/>
        <w:keepLines/>
        <w:widowControl w:val="0"/>
        <w:shd w:val="clear" w:color="auto" w:fill="auto"/>
        <w:tabs>
          <w:tab w:pos="378" w:val="left"/>
        </w:tabs>
        <w:bidi w:val="0"/>
        <w:spacing w:before="0" w:after="380" w:line="462"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3</w:t>
      </w:r>
      <w:bookmarkEnd w:id="781"/>
      <w:r>
        <w:rPr>
          <w:color w:val="000000"/>
          <w:spacing w:val="0"/>
          <w:w w:val="100"/>
          <w:position w:val="0"/>
        </w:rPr>
        <w:t>、</w:t>
        <w:tab/>
        <w:t>报告期内新纳入合并范围的主体和报告期内不再纳入合并范围的主体</w:t>
      </w:r>
      <w:bookmarkEnd w:id="779"/>
      <w:bookmarkEnd w:id="780"/>
      <w:bookmarkEnd w:id="78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北京中科金财电子产品有限公司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8,858,673.94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858,673.94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9,994,471.58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1,493,753.19</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北京中科金财软件技术有限公司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4</w:t>
      </w:r>
      <w:bookmarkEnd w:id="785"/>
      <w:r>
        <w:rPr>
          <w:color w:val="000000"/>
          <w:spacing w:val="0"/>
          <w:w w:val="100"/>
          <w:position w:val="0"/>
        </w:rPr>
        <w:t>、境外经营实体主要报表项目的折算汇率</w:t>
      </w:r>
      <w:bookmarkEnd w:id="783"/>
      <w:bookmarkEnd w:id="784"/>
      <w:bookmarkEnd w:id="786"/>
    </w:p>
    <w:p>
      <w:pPr>
        <w:pStyle w:val="Style3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北京中科金财信息技术有限公司之全资控股子公司中科金财信息技术（香港）有限公司记账本位币为</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美元。在通过合并报表纳入本公司财务报表时采用的报表折算汇率：</w:t>
      </w:r>
    </w:p>
    <w:p>
      <w:pPr>
        <w:pStyle w:val="Style3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资产负债表中的资产、负债项目采用资产负债表日即期汇率</w:t>
      </w:r>
      <w:r>
        <w:rPr>
          <w:color w:val="000000"/>
          <w:spacing w:val="0"/>
          <w:w w:val="100"/>
          <w:position w:val="0"/>
        </w:rPr>
        <w:t xml:space="preserve">6. </w:t>
      </w:r>
      <w:r>
        <w:rPr>
          <w:color w:val="000000"/>
          <w:spacing w:val="0"/>
          <w:w w:val="100"/>
          <w:position w:val="0"/>
        </w:rPr>
        <w:t>0969</w:t>
      </w:r>
      <w:r>
        <w:rPr>
          <w:color w:val="000000"/>
          <w:spacing w:val="0"/>
          <w:w w:val="100"/>
          <w:position w:val="0"/>
        </w:rPr>
        <w:t>折算；</w:t>
      </w:r>
    </w:p>
    <w:p>
      <w:pPr>
        <w:pStyle w:val="Style3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所有者权益项目除“未分配利润”项目外，其他项目采用发生时的即期汇率</w:t>
      </w:r>
      <w:r>
        <w:rPr>
          <w:color w:val="000000"/>
          <w:spacing w:val="0"/>
          <w:w w:val="100"/>
          <w:position w:val="0"/>
        </w:rPr>
        <w:t>6.0867</w:t>
      </w:r>
      <w:r>
        <w:rPr>
          <w:color w:val="000000"/>
          <w:spacing w:val="0"/>
          <w:w w:val="100"/>
          <w:position w:val="0"/>
        </w:rPr>
        <w:t>折算；</w:t>
      </w:r>
    </w:p>
    <w:p>
      <w:pPr>
        <w:pStyle w:val="Style3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利润表中的收入和费用项目，采用交易发生日的近似汇率折算。</w:t>
      </w:r>
    </w:p>
    <w:p>
      <w:pPr>
        <w:pStyle w:val="Style33"/>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产生的外币财务报表折算差额，在编制合并财务报表时，在合并资产负债表中所有者权益项目下单独</w:t>
      </w:r>
    </w:p>
    <w:p>
      <w:pPr>
        <w:pStyle w:val="Style58"/>
        <w:keepNext w:val="0"/>
        <w:keepLines w:val="0"/>
        <w:widowControl w:val="0"/>
        <w:shd w:val="clear" w:color="auto" w:fill="auto"/>
        <w:tabs>
          <w:tab w:pos="3749" w:val="left"/>
        </w:tabs>
        <w:bidi w:val="0"/>
        <w:spacing w:before="0" w:after="240" w:line="240" w:lineRule="auto"/>
        <w:ind w:left="0" w:right="0" w:firstLine="0"/>
        <w:jc w:val="right"/>
        <w:sectPr>
          <w:headerReference w:type="default" r:id="rId255"/>
          <w:footerReference w:type="default" r:id="rId256"/>
          <w:headerReference w:type="even" r:id="rId257"/>
          <w:footerReference w:type="even" r:id="rId258"/>
          <w:footnotePr>
            <w:pos w:val="pageBottom"/>
            <w:numFmt w:val="decimal"/>
            <w:numRestart w:val="continuous"/>
          </w:footnotePr>
          <w:pgSz w:w="11909" w:h="17415"/>
          <w:pgMar w:top="1728" w:right="965" w:bottom="1248" w:left="1109" w:header="0" w:footer="820" w:gutter="0"/>
          <w:pgNumType w:start="108"/>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107</w:t>
        <w:tab/>
      </w:r>
      <w:r>
        <w:rPr>
          <w:spacing w:val="0"/>
          <w:w w:val="100"/>
          <w:position w:val="0"/>
        </w:rPr>
        <w:t xml:space="preserve">cninf </w:t>
      </w:r>
      <w:r>
        <w:rPr>
          <w:spacing w:val="0"/>
          <w:w w:val="100"/>
          <w:position w:val="0"/>
        </w:rPr>
        <w:t>&lt;</w:t>
      </w:r>
    </w:p>
    <w:p>
      <w:pPr>
        <w:pStyle w:val="Style33"/>
        <w:keepNext w:val="0"/>
        <w:keepLines w:val="0"/>
        <w:widowControl w:val="0"/>
        <w:shd w:val="clear" w:color="auto" w:fill="auto"/>
        <w:bidi w:val="0"/>
        <w:spacing w:before="0" w:after="440" w:line="240" w:lineRule="auto"/>
        <w:ind w:left="0" w:right="0" w:firstLine="0"/>
        <w:jc w:val="left"/>
      </w:pPr>
      <w:r>
        <w:rPr>
          <w:color w:val="000000"/>
          <w:spacing w:val="0"/>
          <w:w w:val="100"/>
          <w:position w:val="0"/>
        </w:rPr>
        <w:t>作为“外币报表折算差额”项目列示。</w:t>
      </w:r>
    </w:p>
    <w:p>
      <w:pPr>
        <w:pStyle w:val="Style22"/>
        <w:keepNext/>
        <w:keepLines/>
        <w:widowControl w:val="0"/>
        <w:shd w:val="clear" w:color="auto" w:fill="auto"/>
        <w:bidi w:val="0"/>
        <w:spacing w:before="0" w:after="36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七</w:t>
      </w:r>
      <w:bookmarkEnd w:id="789"/>
      <w:r>
        <w:rPr>
          <w:color w:val="000000"/>
          <w:spacing w:val="0"/>
          <w:w w:val="100"/>
          <w:position w:val="0"/>
        </w:rPr>
        <w:t>、合并财务报表主要项目注释</w:t>
      </w:r>
      <w:bookmarkEnd w:id="787"/>
      <w:bookmarkEnd w:id="788"/>
      <w:bookmarkEnd w:id="790"/>
    </w:p>
    <w:p>
      <w:pPr>
        <w:pStyle w:val="Style36"/>
        <w:keepNext/>
        <w:keepLines/>
        <w:widowControl w:val="0"/>
        <w:shd w:val="clear" w:color="auto" w:fill="auto"/>
        <w:bidi w:val="0"/>
        <w:spacing w:before="0" w:line="240" w:lineRule="auto"/>
        <w:ind w:left="0" w:right="0" w:firstLine="0"/>
        <w:jc w:val="left"/>
      </w:pPr>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91"/>
      <w:bookmarkEnd w:id="792"/>
      <w:bookmarkEnd w:id="7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现金</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103,025.01</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153,936.99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103,025.01</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153,936.99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103,025.01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153,936.99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526,164,672.24</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399,467,364.70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525,697,218.77</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399,467,364.70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76,670.68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467,453.47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526,164,672.24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399,467,364.70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13,973,520.14</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10,158,502.60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13,973,520.14</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10,158,502.60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13,973,520.14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10,158,502.60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540,241,217.39</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409,779,804.29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19" w:line="1" w:lineRule="exact"/>
      </w:pPr>
    </w:p>
    <w:p>
      <w:pPr>
        <w:pStyle w:val="Style3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其中受限制的货币资金明细如下:</w:t>
      </w:r>
    </w:p>
    <w:tbl>
      <w:tblPr>
        <w:tblOverlap w:val="never"/>
        <w:jc w:val="center"/>
        <w:tblLayout w:type="fixed"/>
      </w:tblPr>
      <w:tblGrid>
        <w:gridCol w:w="3614"/>
        <w:gridCol w:w="2462"/>
        <w:gridCol w:w="2467"/>
      </w:tblGrid>
      <w:tr>
        <w:trPr>
          <w:trHeight w:val="336"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1,744,640.00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12,154,449.02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10,158,502.60</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13,899,089.02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10,158,502.60</w:t>
            </w:r>
          </w:p>
        </w:tc>
      </w:tr>
    </w:tbl>
    <w:p>
      <w:pPr>
        <w:widowControl w:val="0"/>
        <w:spacing w:after="359" w:line="1" w:lineRule="exact"/>
      </w:pPr>
    </w:p>
    <w:p>
      <w:pPr>
        <w:pStyle w:val="Style33"/>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日，孙公司中科金财信息技术(香港)有限公司存放于境外的货币资金为美元</w:t>
      </w:r>
    </w:p>
    <w:p>
      <w:pPr>
        <w:pStyle w:val="Style79"/>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rPr>
        <w:t>76,670.68</w:t>
      </w:r>
      <w:r>
        <w:rPr>
          <w:rFonts w:ascii="SimSun" w:eastAsia="SimSun" w:hAnsi="SimSun" w:cs="SimSun"/>
          <w:color w:val="000000"/>
          <w:spacing w:val="0"/>
          <w:w w:val="100"/>
          <w:position w:val="0"/>
          <w:shd w:val="clear" w:color="auto" w:fill="auto"/>
        </w:rPr>
        <w:t>元。</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，公司不存在抵押、质押或冻结等限制变现或有潜在回收风险的款项。</w:t>
      </w:r>
    </w:p>
    <w:p>
      <w:pPr>
        <w:pStyle w:val="Style36"/>
        <w:keepNext/>
        <w:keepLines/>
        <w:widowControl w:val="0"/>
        <w:shd w:val="clear" w:color="auto" w:fill="auto"/>
        <w:bidi w:val="0"/>
        <w:spacing w:before="0" w:line="240" w:lineRule="auto"/>
        <w:ind w:left="0" w:right="0" w:firstLine="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794"/>
      <w:bookmarkEnd w:id="795"/>
      <w:bookmarkEnd w:id="796"/>
    </w:p>
    <w:p>
      <w:pPr>
        <w:pStyle w:val="Style36"/>
        <w:keepNext/>
        <w:keepLines/>
        <w:widowControl w:val="0"/>
        <w:shd w:val="clear" w:color="auto" w:fill="auto"/>
        <w:bidi w:val="0"/>
        <w:spacing w:before="0" w:line="240" w:lineRule="auto"/>
        <w:ind w:left="0" w:right="0" w:firstLine="140"/>
        <w:jc w:val="left"/>
      </w:pPr>
      <w:bookmarkStart w:id="794" w:name="bookmark794"/>
      <w:bookmarkStart w:id="795" w:name="bookmark795"/>
      <w:bookmarkStart w:id="797" w:name="bookmark797"/>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94"/>
      <w:bookmarkEnd w:id="795"/>
      <w:bookmarkEnd w:id="797"/>
    </w:p>
    <w:p>
      <w:pPr>
        <w:pStyle w:val="Style27"/>
        <w:keepNext w:val="0"/>
        <w:keepLines w:val="0"/>
        <w:widowControl w:val="0"/>
        <w:shd w:val="clear" w:color="auto" w:fill="auto"/>
        <w:bidi w:val="0"/>
        <w:spacing w:before="0" w:after="1480" w:line="240" w:lineRule="auto"/>
        <w:ind w:left="0" w:right="0" w:firstLine="0"/>
        <w:jc w:val="right"/>
      </w:pPr>
      <w:r>
        <w:rPr>
          <w:color w:val="000000"/>
          <w:spacing w:val="0"/>
          <w:w w:val="100"/>
          <w:position w:val="0"/>
        </w:rPr>
        <w:t>单位： 元</w:t>
      </w:r>
    </w:p>
    <w:p>
      <w:pPr>
        <w:widowControl w:val="0"/>
        <w:jc w:val="center"/>
        <w:rPr>
          <w:sz w:val="2"/>
          <w:szCs w:val="2"/>
        </w:rPr>
        <w:sectPr>
          <w:headerReference w:type="default" r:id="rId259"/>
          <w:footerReference w:type="default" r:id="rId260"/>
          <w:headerReference w:type="even" r:id="rId261"/>
          <w:footerReference w:type="even" r:id="rId262"/>
          <w:footnotePr>
            <w:pos w:val="pageBottom"/>
            <w:numFmt w:val="decimal"/>
            <w:numRestart w:val="continuous"/>
          </w:footnotePr>
          <w:pgSz w:w="11909" w:h="17415"/>
          <w:pgMar w:top="1839" w:right="1114" w:bottom="481" w:left="1109" w:header="0" w:footer="3" w:gutter="0"/>
          <w:pgNumType w:start="108"/>
          <w:cols w:space="720"/>
          <w:noEndnote/>
          <w:rtlGutter w:val="0"/>
          <w:docGrid w:linePitch="360"/>
        </w:sectPr>
      </w:pPr>
      <w:r>
        <w:drawing>
          <wp:inline>
            <wp:extent cx="402590" cy="146050"/>
            <wp:docPr id="733" name="Picutre 733"/>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263"/>
                    <a:stretch/>
                  </pic:blipFill>
                  <pic:spPr>
                    <a:xfrm>
                      <a:ext cx="402590" cy="146050"/>
                    </a:xfrm>
                    <a:prstGeom prst="rect"/>
                  </pic:spPr>
                </pic:pic>
              </a:graphicData>
            </a:graphic>
          </wp:inline>
        </w:drawing>
      </w:r>
    </w:p>
    <w:p>
      <w:pPr>
        <w:widowControl w:val="0"/>
        <w:spacing w:after="119" w:line="1" w:lineRule="exact"/>
      </w:pP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15,921,161.85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15,921,161.85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公司已经背书给其他方但尚未到期的票据</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河北远东通信系统工程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3</w:t>
      </w:r>
      <w:bookmarkEnd w:id="800"/>
      <w:r>
        <w:rPr>
          <w:color w:val="000000"/>
          <w:spacing w:val="0"/>
          <w:w w:val="100"/>
          <w:position w:val="0"/>
        </w:rPr>
        <w:t>、应收账款</w:t>
      </w:r>
      <w:bookmarkEnd w:id="798"/>
      <w:bookmarkEnd w:id="799"/>
      <w:bookmarkEnd w:id="801"/>
    </w:p>
    <w:p>
      <w:pPr>
        <w:pStyle w:val="Style36"/>
        <w:keepNext/>
        <w:keepLines/>
        <w:widowControl w:val="0"/>
        <w:shd w:val="clear" w:color="auto" w:fill="auto"/>
        <w:bidi w:val="0"/>
        <w:spacing w:before="0" w:after="340" w:line="240" w:lineRule="auto"/>
        <w:ind w:left="0" w:right="0" w:firstLine="0"/>
        <w:jc w:val="both"/>
      </w:pPr>
      <w:bookmarkStart w:id="798" w:name="bookmark798"/>
      <w:bookmarkStart w:id="799" w:name="bookmark799"/>
      <w:bookmarkStart w:id="802" w:name="bookmark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98"/>
      <w:bookmarkEnd w:id="799"/>
      <w:bookmarkEnd w:id="8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38,922,615.</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2,979,061.2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46,324,78</w:t>
            </w:r>
          </w:p>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2,781,613.20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38,922,615.</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2,979,061.2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46,324,78</w:t>
            </w:r>
          </w:p>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2,781,613.20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38,922,615.</w:t>
            </w:r>
          </w:p>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2,979,061.2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46,324,78</w:t>
            </w:r>
          </w:p>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2,781,613.20</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29,146,804.90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1,457,340.24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37,951,986.33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1,897,599.32</w:t>
            </w:r>
          </w:p>
        </w:tc>
      </w:tr>
    </w:tbl>
    <w:p>
      <w:pPr>
        <w:widowControl w:val="0"/>
        <w:spacing w:line="1" w:lineRule="exact"/>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29,146,804.90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1,457,340.24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37,951,986.33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1,897,599.32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4,334,410.40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433,441.04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7,905,467.00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790,546.70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5,441,400.00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1,088,280.00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467,335.91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93,467.18</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38,922,615.30</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2,979,061.28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46,324,789.24</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2,781,613.20</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803" w:name="bookmark803"/>
      <w:bookmarkStart w:id="804" w:name="bookmark804"/>
      <w:bookmarkStart w:id="805" w:name="bookmark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803"/>
      <w:bookmarkEnd w:id="804"/>
      <w:bookmarkEnd w:id="8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神华物资集团有限公司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8,778,700.00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中国电信集团系统集成 有限责任公司新疆分公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中国人寿保险股份有限 公司上海数据中心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6,277,520.58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陕西通信信息技术有限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5,259,900.00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唐山中厚板材有限公司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30,036,120.58</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4</w:t>
      </w:r>
      <w:bookmarkEnd w:id="808"/>
      <w:r>
        <w:rPr>
          <w:color w:val="000000"/>
          <w:spacing w:val="0"/>
          <w:w w:val="100"/>
          <w:position w:val="0"/>
        </w:rPr>
        <w:t>、其他应收款</w:t>
      </w:r>
      <w:bookmarkEnd w:id="806"/>
      <w:bookmarkEnd w:id="807"/>
      <w:bookmarkEnd w:id="809"/>
    </w:p>
    <w:p>
      <w:pPr>
        <w:pStyle w:val="Style36"/>
        <w:keepNext/>
        <w:keepLines/>
        <w:widowControl w:val="0"/>
        <w:shd w:val="clear" w:color="auto" w:fill="auto"/>
        <w:bidi w:val="0"/>
        <w:spacing w:before="0" w:line="240" w:lineRule="auto"/>
        <w:ind w:left="0" w:right="0" w:firstLine="0"/>
        <w:jc w:val="left"/>
      </w:pPr>
      <w:bookmarkStart w:id="806" w:name="bookmark806"/>
      <w:bookmarkStart w:id="807" w:name="bookmark807"/>
      <w:bookmarkStart w:id="810" w:name="bookmark8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06"/>
      <w:bookmarkEnd w:id="807"/>
      <w:bookmarkEnd w:id="8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31,667,732.3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1,926,986.01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32,072,887.4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2,254,711.83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bl>
    <w:p>
      <w:pPr>
        <w:widowControl w:val="0"/>
        <w:spacing w:line="1" w:lineRule="exact"/>
        <w:sectPr>
          <w:headerReference w:type="default" r:id="rId265"/>
          <w:footerReference w:type="default" r:id="rId266"/>
          <w:headerReference w:type="even" r:id="rId267"/>
          <w:footerReference w:type="even" r:id="rId268"/>
          <w:footnotePr>
            <w:pos w:val="pageBottom"/>
            <w:numFmt w:val="decimal"/>
            <w:numRestart w:val="continuous"/>
          </w:footnotePr>
          <w:pgSz w:w="11909" w:h="17415"/>
          <w:pgMar w:top="1594" w:right="1056" w:bottom="1724" w:left="1056" w:header="0" w:footer="3" w:gutter="0"/>
          <w:cols w:space="720"/>
          <w:noEndnote/>
          <w:rtlGutter w:val="0"/>
          <w:docGrid w:linePitch="360"/>
        </w:sectPr>
      </w:pPr>
    </w:p>
    <w:tbl>
      <w:tblPr>
        <w:tblOverlap w:val="never"/>
        <w:jc w:val="center"/>
        <w:tblLayout w:type="fixed"/>
      </w:tblPr>
      <w:tblGrid>
        <w:gridCol w:w="1910"/>
        <w:gridCol w:w="1056"/>
        <w:gridCol w:w="792"/>
        <w:gridCol w:w="1061"/>
        <w:gridCol w:w="792"/>
        <w:gridCol w:w="1061"/>
        <w:gridCol w:w="926"/>
        <w:gridCol w:w="1190"/>
        <w:gridCol w:w="797"/>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31,667,732.3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1,926,986.01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32,072,887.4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2,254,711.83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31,667,732.3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1,926,986.01</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32,072,887.4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2,254,711.83</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27,567,694.23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1,378,384.71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25,673,631.61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1,283,681.58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27,567,694.23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1,378,384.71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25,673,631.61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1,283,681.58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2,860,063.25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286,006.33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3,456,258.18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345,625.82</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1,191,308.18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238,261.64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2,820,314.66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564,062.93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48,666.66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61,341.50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48,666.66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61,341.50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31,667,732.32</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1,926,986.01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32,072,887.45</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2,254,711.83</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11"/>
      <w:bookmarkEnd w:id="812"/>
      <w:bookmarkEnd w:id="8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中科软科技股份有限公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11,678,842.68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中国教育电视台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北京敬保盛业装饰装修</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北京北航科技园有限公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1,321,142.00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中捷通信有限公司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17,860,484.68</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5</w:t>
      </w:r>
      <w:bookmarkEnd w:id="816"/>
      <w:r>
        <w:rPr>
          <w:color w:val="000000"/>
          <w:spacing w:val="0"/>
          <w:w w:val="100"/>
          <w:position w:val="0"/>
        </w:rPr>
        <w:t>、预付款项</w:t>
      </w:r>
      <w:bookmarkEnd w:id="814"/>
      <w:bookmarkEnd w:id="815"/>
      <w:bookmarkEnd w:id="817"/>
    </w:p>
    <w:p>
      <w:pPr>
        <w:pStyle w:val="Style36"/>
        <w:keepNext/>
        <w:keepLines/>
        <w:widowControl w:val="0"/>
        <w:shd w:val="clear" w:color="auto" w:fill="auto"/>
        <w:bidi w:val="0"/>
        <w:spacing w:before="0" w:after="340" w:line="240" w:lineRule="auto"/>
        <w:ind w:left="0" w:right="0" w:firstLine="0"/>
        <w:jc w:val="left"/>
      </w:pPr>
      <w:bookmarkStart w:id="814" w:name="bookmark814"/>
      <w:bookmarkStart w:id="815" w:name="bookmark815"/>
      <w:bookmarkStart w:id="818" w:name="bookmark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14"/>
      <w:bookmarkEnd w:id="815"/>
      <w:bookmarkEnd w:id="8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50,403,449.51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32,550,541.52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2,541,720.00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332,574.92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53,017,869.51</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32,923,116.44</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819" w:name="bookmark819"/>
      <w:bookmarkStart w:id="820" w:name="bookmark820"/>
      <w:bookmarkStart w:id="821" w:name="bookmark8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19"/>
      <w:bookmarkEnd w:id="820"/>
      <w:bookmarkEnd w:id="8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苹果电脑贸易（上海）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29,518,965.19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预付货款，未到货</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北京仁佳合美科技发展</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预付货款，未到货</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富通时代科技有限公司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2,419,001.36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预付货款，未到货</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上海元亿国际贸易有限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2,337,300.00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预付货款，未到货</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北京南北天地科技股份</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1,539,000.00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预付货款，未到货</w:t>
            </w: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41,094,266.55</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Restart w:val="continuous"/>
          </w:footnotePr>
          <w:pgSz w:w="11909" w:h="17415"/>
          <w:pgMar w:top="1594" w:right="1056" w:bottom="1724" w:left="1056" w:header="0" w:footer="3" w:gutter="0"/>
          <w:cols w:space="720"/>
          <w:noEndnote/>
          <w:titlePg/>
          <w:rtlGutter w:val="0"/>
          <w:docGrid w:linePitch="360"/>
        </w:sectPr>
      </w:pPr>
    </w:p>
    <w:p>
      <w:pPr>
        <w:pStyle w:val="Style36"/>
        <w:keepNext/>
        <w:keepLines/>
        <w:widowControl w:val="0"/>
        <w:shd w:val="clear" w:color="auto" w:fill="auto"/>
        <w:bidi w:val="0"/>
        <w:spacing w:before="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6</w:t>
      </w:r>
      <w:bookmarkEnd w:id="824"/>
      <w:r>
        <w:rPr>
          <w:color w:val="000000"/>
          <w:spacing w:val="0"/>
          <w:w w:val="100"/>
          <w:position w:val="0"/>
        </w:rPr>
        <w:t>、存货</w:t>
      </w:r>
      <w:bookmarkEnd w:id="822"/>
      <w:bookmarkEnd w:id="823"/>
      <w:bookmarkEnd w:id="825"/>
    </w:p>
    <w:p>
      <w:pPr>
        <w:pStyle w:val="Style36"/>
        <w:keepNext/>
        <w:keepLines/>
        <w:widowControl w:val="0"/>
        <w:shd w:val="clear" w:color="auto" w:fill="auto"/>
        <w:bidi w:val="0"/>
        <w:spacing w:before="0" w:line="240" w:lineRule="auto"/>
        <w:ind w:left="0" w:right="0" w:firstLine="0"/>
        <w:jc w:val="left"/>
      </w:pPr>
      <w:bookmarkStart w:id="822" w:name="bookmark822"/>
      <w:bookmarkStart w:id="823" w:name="bookmark823"/>
      <w:bookmarkStart w:id="826" w:name="bookmark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22"/>
      <w:bookmarkEnd w:id="823"/>
      <w:bookmarkEnd w:id="8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157,374,831.86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157,374,831.86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86,178,076.93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86,178,076.93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156,475.79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663,872.36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213,366,669.51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213,366,669.51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217,716,011.38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217,716,011.38</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370,897,977.16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370,897,977.16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304,557,960.67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304,557,960.67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7</w:t>
      </w:r>
      <w:bookmarkEnd w:id="829"/>
      <w:r>
        <w:rPr>
          <w:color w:val="000000"/>
          <w:spacing w:val="0"/>
          <w:w w:val="100"/>
          <w:position w:val="0"/>
        </w:rPr>
        <w:t>、其他流动资产</w:t>
      </w:r>
      <w:bookmarkEnd w:id="827"/>
      <w:bookmarkEnd w:id="828"/>
      <w:bookmarkEnd w:id="8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94,600,000.00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94,600,000.00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其他流动资产说明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本期公司购买理财产品明细情况如下:</w:t>
      </w:r>
    </w:p>
    <w:tbl>
      <w:tblPr>
        <w:tblOverlap w:val="never"/>
        <w:jc w:val="center"/>
        <w:tblLayout w:type="fixed"/>
      </w:tblPr>
      <w:tblGrid>
        <w:gridCol w:w="355"/>
        <w:gridCol w:w="614"/>
        <w:gridCol w:w="566"/>
        <w:gridCol w:w="1555"/>
        <w:gridCol w:w="994"/>
        <w:gridCol w:w="710"/>
        <w:gridCol w:w="1027"/>
        <w:gridCol w:w="821"/>
        <w:gridCol w:w="826"/>
        <w:gridCol w:w="902"/>
        <w:gridCol w:w="1147"/>
      </w:tblGrid>
      <w:tr>
        <w:trPr>
          <w:trHeight w:val="65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06" w:lineRule="exact"/>
              <w:ind w:left="0" w:right="0" w:firstLine="0"/>
              <w:jc w:val="center"/>
            </w:pPr>
            <w:r>
              <w:rPr>
                <w:color w:val="000000"/>
                <w:spacing w:val="0"/>
                <w:w w:val="100"/>
                <w:position w:val="0"/>
              </w:rPr>
              <w:t>序 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220" w:right="0" w:hanging="220"/>
              <w:jc w:val="left"/>
            </w:pPr>
            <w:r>
              <w:rPr>
                <w:color w:val="000000"/>
                <w:spacing w:val="0"/>
                <w:w w:val="100"/>
                <w:position w:val="0"/>
              </w:rPr>
              <w:t>银行名 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180" w:right="0" w:hanging="180"/>
              <w:jc w:val="left"/>
            </w:pPr>
            <w:r>
              <w:rPr>
                <w:color w:val="000000"/>
                <w:spacing w:val="0"/>
                <w:w w:val="100"/>
                <w:position w:val="0"/>
              </w:rPr>
              <w:t>资金来 源</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理财产品名称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合同号</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产品形 态</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本金</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起息日期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预期年化 收益率（%）</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投资收益</w:t>
            </w: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both"/>
            </w:pPr>
            <w:r>
              <w:rPr>
                <w:color w:val="000000"/>
                <w:spacing w:val="0"/>
                <w:w w:val="100"/>
                <w:position w:val="0"/>
              </w:rPr>
              <w:t>光大银</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募集资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阳光理财</w:t>
            </w:r>
            <w:r>
              <w:rPr>
                <w:rFonts w:ascii="Times New Roman" w:eastAsia="Times New Roman" w:hAnsi="Times New Roman" w:cs="Times New Roman"/>
                <w:color w:val="000000"/>
                <w:spacing w:val="0"/>
                <w:w w:val="100"/>
                <w:position w:val="0"/>
                <w:sz w:val="18"/>
                <w:szCs w:val="18"/>
              </w:rPr>
              <w:t>T</w:t>
            </w:r>
            <w:r>
              <w:rPr>
                <w:color w:val="000000"/>
                <w:spacing w:val="0"/>
                <w:w w:val="100"/>
                <w:position w:val="0"/>
                <w:sz w:val="16"/>
                <w:szCs w:val="16"/>
              </w:rPr>
              <w:t>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月 月盈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年对公客 户第一期产品</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1210107200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2013-6-26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84,500.00</w:t>
            </w: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宁波银</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募集资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稳健型</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保本保 证收益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2013-5-24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2013-7-2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65,712.33</w:t>
            </w: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广发银</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广赢安薪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高端保 本型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款）</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GYAXA049</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2013-6-8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2013-7-8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36,986.30</w:t>
            </w:r>
          </w:p>
        </w:tc>
      </w:tr>
      <w:tr>
        <w:trPr>
          <w:trHeight w:val="127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both"/>
            </w:pPr>
            <w:r>
              <w:rPr>
                <w:color w:val="000000"/>
                <w:spacing w:val="0"/>
                <w:w w:val="100"/>
                <w:position w:val="0"/>
              </w:rPr>
              <w:t>北京银</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北京银行稳健系列 人民币</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天期限银 行间保证收益理财 产品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2013062714</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2400474949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保本保 证收益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2013-7-26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51,643.84</w:t>
            </w:r>
          </w:p>
        </w:tc>
      </w:tr>
      <w:tr>
        <w:trPr>
          <w:trHeight w:val="127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both"/>
            </w:pPr>
            <w:r>
              <w:rPr>
                <w:color w:val="000000"/>
                <w:spacing w:val="0"/>
                <w:w w:val="100"/>
                <w:position w:val="0"/>
              </w:rPr>
              <w:t>北京银</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募集资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北京银行稳健型系 列人民币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个月期限</w:t>
            </w:r>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SHIBOR</w:t>
            </w:r>
            <w:r>
              <w:rPr>
                <w:color w:val="000000"/>
                <w:spacing w:val="0"/>
                <w:w w:val="100"/>
                <w:position w:val="0"/>
              </w:rPr>
              <w:t>关联保证</w:t>
            </w:r>
          </w:p>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收益理财产品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2013062609</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4700137638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保本保 证收益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2013-7-26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87,826.30</w:t>
            </w:r>
          </w:p>
        </w:tc>
      </w:tr>
      <w:tr>
        <w:trPr>
          <w:trHeight w:val="667"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平安银</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平安银行卓越计划 保本人民币公司理</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保本浮</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2013-5-16</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2013-8-16</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60,493.15</w:t>
            </w:r>
          </w:p>
        </w:tc>
      </w:tr>
    </w:tbl>
    <w:p>
      <w:pPr>
        <w:widowControl w:val="0"/>
        <w:spacing w:line="1" w:lineRule="exact"/>
      </w:pPr>
      <w:r>
        <w:br w:type="page"/>
      </w:r>
    </w:p>
    <w:tbl>
      <w:tblPr>
        <w:tblOverlap w:val="never"/>
        <w:jc w:val="center"/>
        <w:tblLayout w:type="fixed"/>
      </w:tblPr>
      <w:tblGrid>
        <w:gridCol w:w="355"/>
        <w:gridCol w:w="614"/>
        <w:gridCol w:w="566"/>
        <w:gridCol w:w="1555"/>
        <w:gridCol w:w="994"/>
        <w:gridCol w:w="710"/>
        <w:gridCol w:w="1027"/>
        <w:gridCol w:w="821"/>
        <w:gridCol w:w="826"/>
        <w:gridCol w:w="902"/>
        <w:gridCol w:w="1147"/>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平安银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京城财富一</w:t>
            </w:r>
          </w:p>
          <w:p>
            <w:pPr>
              <w:pStyle w:val="Style9"/>
              <w:keepNext w:val="0"/>
              <w:keepLines w:val="0"/>
              <w:widowControl w:val="0"/>
              <w:shd w:val="clear" w:color="auto" w:fill="auto"/>
              <w:bidi w:val="0"/>
              <w:spacing w:before="0" w:after="0" w:line="319"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期保 本型人民币理财产 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2013-6-27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2013-8-27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233,972.60</w:t>
            </w: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平安银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平安银行卓越计划 滚动型保本人民币 公司理财产品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2013-8-30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2013-9-29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17,753.42</w:t>
            </w: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广发银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募集资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广赢安 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高端保本型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款）理财计划</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GYAXJD00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2013-7-22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2013-10-2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158,794.52</w:t>
            </w: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稳健系列人民币</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天期限银行间保证 收益理财产品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2013121216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3000953949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保本保 证收益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59,452.05</w:t>
            </w: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北京银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募集资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稳健系列人民币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月期限银行间保证 收益理财产品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2013100911</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3400298683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保本保 证收益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2013-10-1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2014-1-10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广发银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募集资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广赢安 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高端保本型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款）理财计划</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GYAXJD00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2013-7-22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2014-1-22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招商银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流金岁月</w:t>
            </w:r>
            <w:r>
              <w:rPr>
                <w:rFonts w:ascii="Times New Roman" w:eastAsia="Times New Roman" w:hAnsi="Times New Roman" w:cs="Times New Roman"/>
                <w:color w:val="000000"/>
                <w:spacing w:val="0"/>
                <w:w w:val="100"/>
                <w:position w:val="0"/>
                <w:sz w:val="18"/>
                <w:szCs w:val="18"/>
              </w:rPr>
              <w:t>54029</w:t>
            </w:r>
            <w:r>
              <w:rPr>
                <w:color w:val="000000"/>
                <w:spacing w:val="0"/>
                <w:w w:val="100"/>
                <w:position w:val="0"/>
              </w:rPr>
              <w:t>号</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10041206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2014-1-30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招商银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募集资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步步生金</w:t>
            </w:r>
            <w:r>
              <w:rPr>
                <w:rFonts w:ascii="Times New Roman" w:eastAsia="Times New Roman" w:hAnsi="Times New Roman" w:cs="Times New Roman"/>
                <w:color w:val="000000"/>
                <w:spacing w:val="0"/>
                <w:w w:val="100"/>
                <w:position w:val="0"/>
                <w:sz w:val="18"/>
                <w:szCs w:val="18"/>
              </w:rPr>
              <w:t>8688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10560426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2014-2-24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宁波银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启盈理财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年智</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能定期理财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8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2014-3-12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宁波银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启盈理财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年智 能定期理财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2014-3-12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北京银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稳健系列人民币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 构天天金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保本 浮动收益理财产品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2013122014</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5800341691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both"/>
            </w:pPr>
            <w:r>
              <w:rPr>
                <w:color w:val="000000"/>
                <w:spacing w:val="0"/>
                <w:w w:val="100"/>
                <w:position w:val="0"/>
              </w:rPr>
              <w:t>随时支取</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招商银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点金池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10690051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6027.40</w:t>
            </w:r>
          </w:p>
        </w:tc>
      </w:tr>
      <w:tr>
        <w:trPr>
          <w:trHeight w:val="965"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招商银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100" w:line="240" w:lineRule="auto"/>
              <w:ind w:left="0" w:right="0" w:firstLine="0"/>
              <w:jc w:val="both"/>
            </w:pPr>
            <w:r>
              <w:rPr>
                <w:color w:val="000000"/>
                <w:spacing w:val="0"/>
                <w:w w:val="100"/>
                <w:position w:val="0"/>
              </w:rPr>
              <w:t>非募集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岁月流金</w:t>
            </w:r>
            <w:r>
              <w:rPr>
                <w:rFonts w:ascii="Times New Roman" w:eastAsia="Times New Roman" w:hAnsi="Times New Roman" w:cs="Times New Roman"/>
                <w:color w:val="000000"/>
                <w:spacing w:val="0"/>
                <w:w w:val="100"/>
                <w:position w:val="0"/>
                <w:sz w:val="18"/>
                <w:szCs w:val="18"/>
              </w:rPr>
              <w:t>54006</w:t>
            </w:r>
            <w:r>
              <w:rPr>
                <w:color w:val="000000"/>
                <w:spacing w:val="0"/>
                <w:w w:val="100"/>
                <w:position w:val="0"/>
              </w:rPr>
              <w:t>号</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10031166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2013-6-5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111210.00</w:t>
            </w:r>
          </w:p>
        </w:tc>
      </w:tr>
      <w:tr>
        <w:trPr>
          <w:trHeight w:val="6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974,371.91</w:t>
            </w:r>
          </w:p>
        </w:tc>
      </w:tr>
    </w:tbl>
    <w:p>
      <w:pPr>
        <w:widowControl w:val="0"/>
        <w:spacing w:line="1" w:lineRule="exact"/>
      </w:pPr>
      <w:r>
        <w:br w:type="page"/>
      </w:r>
    </w:p>
    <w:tbl>
      <w:tblPr>
        <w:tblOverlap w:val="never"/>
        <w:jc w:val="center"/>
        <w:tblLayout w:type="fixed"/>
      </w:tblPr>
      <w:tblGrid>
        <w:gridCol w:w="355"/>
        <w:gridCol w:w="614"/>
        <w:gridCol w:w="566"/>
        <w:gridCol w:w="1555"/>
        <w:gridCol w:w="994"/>
        <w:gridCol w:w="710"/>
        <w:gridCol w:w="1027"/>
        <w:gridCol w:w="821"/>
        <w:gridCol w:w="826"/>
        <w:gridCol w:w="902"/>
        <w:gridCol w:w="1147"/>
      </w:tblGrid>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6"/>
        <w:keepNext/>
        <w:keepLines/>
        <w:widowControl w:val="0"/>
        <w:shd w:val="clear" w:color="auto" w:fill="auto"/>
        <w:bidi w:val="0"/>
        <w:spacing w:before="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8</w:t>
      </w:r>
      <w:bookmarkEnd w:id="833"/>
      <w:r>
        <w:rPr>
          <w:color w:val="000000"/>
          <w:spacing w:val="0"/>
          <w:w w:val="100"/>
          <w:position w:val="0"/>
        </w:rPr>
        <w:t>、固定资产</w:t>
      </w:r>
      <w:bookmarkEnd w:id="831"/>
      <w:bookmarkEnd w:id="832"/>
      <w:bookmarkEnd w:id="834"/>
    </w:p>
    <w:p>
      <w:pPr>
        <w:pStyle w:val="Style36"/>
        <w:keepNext/>
        <w:keepLines/>
        <w:widowControl w:val="0"/>
        <w:shd w:val="clear" w:color="auto" w:fill="auto"/>
        <w:bidi w:val="0"/>
        <w:spacing w:before="0" w:line="240" w:lineRule="auto"/>
        <w:ind w:left="0" w:right="0" w:firstLine="140"/>
        <w:jc w:val="left"/>
      </w:pPr>
      <w:bookmarkStart w:id="831" w:name="bookmark831"/>
      <w:bookmarkStart w:id="832" w:name="bookmark832"/>
      <w:bookmarkStart w:id="835" w:name="bookmark83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31"/>
      <w:bookmarkEnd w:id="832"/>
      <w:bookmarkEnd w:id="8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134,864,440.25</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9,062,562.36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5,989,619.65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137,937,382.96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8,653,664.04</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1,057,847.76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284,176.00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9,427,335.80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办公及电子设</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126,210,776.21</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8,004,714.60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5,705,443.65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128,510,047.16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36,613,773.28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25,218,640.63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5,452,456.19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56,379,957.72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2,190,622.23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1,634,860.03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31,496.15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3,793,986.11</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办公及电子设</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34,423,151.05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23,583,780.60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5,420,960.04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52,585,971.61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98,250,666.97</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81,557,425.24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6,463,041.81</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5,633,349.69</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办公及电子设</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91,787,625.16</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75,924,075.55</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办公及电子设</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98,250,666.97</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81,557,425.24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6,463,041.81</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5,633,349.69</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办公及电子设</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91,787,625.16</w:t>
            </w:r>
          </w:p>
        </w:tc>
        <w:tc>
          <w:tcPr>
            <w:gridSpan w:val="3"/>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75,924,075.55</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25,218,640.63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9</w:t>
      </w:r>
      <w:bookmarkEnd w:id="838"/>
      <w:r>
        <w:rPr>
          <w:color w:val="000000"/>
          <w:spacing w:val="0"/>
          <w:w w:val="100"/>
          <w:position w:val="0"/>
        </w:rPr>
        <w:t>、无形资产</w:t>
      </w:r>
      <w:bookmarkEnd w:id="836"/>
      <w:bookmarkEnd w:id="837"/>
      <w:bookmarkEnd w:id="839"/>
    </w:p>
    <w:p>
      <w:pPr>
        <w:pStyle w:val="Style36"/>
        <w:keepNext/>
        <w:keepLines/>
        <w:widowControl w:val="0"/>
        <w:shd w:val="clear" w:color="auto" w:fill="auto"/>
        <w:bidi w:val="0"/>
        <w:spacing w:before="0" w:line="240" w:lineRule="auto"/>
        <w:ind w:left="0" w:right="0" w:firstLine="140"/>
        <w:jc w:val="left"/>
      </w:pPr>
      <w:bookmarkStart w:id="836" w:name="bookmark836"/>
      <w:bookmarkStart w:id="837" w:name="bookmark837"/>
      <w:bookmarkStart w:id="840" w:name="bookmark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36"/>
      <w:bookmarkEnd w:id="837"/>
      <w:bookmarkEnd w:id="8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77,698,419.12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44,896,188.34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12,099,663.92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110,494,943.54</w:t>
            </w:r>
          </w:p>
        </w:tc>
      </w:tr>
    </w:tbl>
    <w:p>
      <w:pPr>
        <w:widowControl w:val="0"/>
        <w:spacing w:line="1" w:lineRule="exact"/>
        <w:sectPr>
          <w:headerReference w:type="default" r:id="rId275"/>
          <w:footerReference w:type="default" r:id="rId276"/>
          <w:headerReference w:type="even" r:id="rId277"/>
          <w:footerReference w:type="even" r:id="rId278"/>
          <w:footnotePr>
            <w:pos w:val="pageBottom"/>
            <w:numFmt w:val="decimal"/>
            <w:numRestart w:val="continuous"/>
          </w:footnotePr>
          <w:pgSz w:w="11909" w:h="17415"/>
          <w:pgMar w:top="1594" w:right="1056" w:bottom="1724" w:left="1056" w:header="0" w:footer="3" w:gutter="0"/>
          <w:cols w:space="720"/>
          <w:noEndnote/>
          <w:rtlGutter w:val="0"/>
          <w:docGrid w:linePitch="360"/>
        </w:sectPr>
      </w:pP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77,698,419.12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44,896,188.34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12,099,663.92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110,494,943.54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26,963,357.73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18,295,887.18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12,099,663.92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33,159,580.99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26,963,357.73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18,295,887.18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12,099,663.92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33,159,580.99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50,735,061.39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26,600,301.16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77,335,362.55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50,735,061.39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26,600,301.16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77,335,362.55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50,735,061.39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26,600,301.16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77,335,362.55</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50,735,061.39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26,600,301.16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77,335,362.55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18,295,887.18</w:t>
      </w:r>
      <w:r>
        <w:rPr>
          <w:color w:val="000000"/>
          <w:spacing w:val="0"/>
          <w:w w:val="100"/>
          <w:position w:val="0"/>
        </w:rPr>
        <w:t>元。</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841"/>
      <w:bookmarkEnd w:id="842"/>
      <w:bookmarkEnd w:id="8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服务综合业务管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7,603,326.54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11,925,264.47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19,528,591.01</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多渠道服务整合平</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2,139,148.97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1,653,486.32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3,792,635.29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基础组件支撑平台</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8,191,902.39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8,191,902.39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票据自助受理系统</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1,800,806.08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5,988,738.59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7,789,544.67</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区域医疗全科医生 服务平台项目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1,246,410.42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1,365,253.27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2,611,663.69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数据综合应用支撑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1,136,561.86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1,776,975.83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影像集中作业平台</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9,021,837.03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13,466,521.14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22,488,358.17</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中科金财</w:t>
            </w:r>
            <w:r>
              <w:rPr>
                <w:rFonts w:ascii="Times New Roman" w:eastAsia="Times New Roman" w:hAnsi="Times New Roman" w:cs="Times New Roman"/>
                <w:color w:val="000000"/>
                <w:spacing w:val="0"/>
                <w:w w:val="100"/>
                <w:position w:val="0"/>
                <w:sz w:val="18"/>
                <w:szCs w:val="18"/>
              </w:rPr>
              <w:t>BSM</w:t>
            </w:r>
            <w:r>
              <w:rPr>
                <w:color w:val="000000"/>
                <w:spacing w:val="0"/>
                <w:w w:val="100"/>
                <w:position w:val="0"/>
              </w:rPr>
              <w:t>业务 服务管理系统项目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2,988,654.28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3,351,861.54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6,340,515.82</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智能银行渠道整合</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1,856,071.47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1,856,071.47</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银行网点优化服务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1,125,102.18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1,125,102.18</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商户营销平台及手 机支付平台项目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4,229,273.71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2,027,125.29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6,256,399.00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38,357,921.28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43,399,838.24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22,629,576.20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59,128,183.32</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33.86%</w:t>
      </w:r>
      <w:r>
        <w:rPr>
          <w:color w:val="000000"/>
          <w:spacing w:val="0"/>
          <w:w w:val="100"/>
          <w:position w:val="0"/>
        </w:rPr>
        <w:t>。</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29.26%</w:t>
      </w:r>
      <w:r>
        <w:rPr>
          <w:color w:val="000000"/>
          <w:spacing w:val="0"/>
          <w:w w:val="100"/>
          <w:position w:val="0"/>
        </w:rPr>
        <w:t>。</w:t>
      </w:r>
    </w:p>
    <w:p>
      <w:pPr>
        <w:pStyle w:val="Style36"/>
        <w:keepNext/>
        <w:keepLines/>
        <w:widowControl w:val="0"/>
        <w:shd w:val="clear" w:color="auto" w:fill="auto"/>
        <w:bidi w:val="0"/>
        <w:spacing w:before="0" w:after="34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844"/>
      <w:bookmarkEnd w:id="845"/>
      <w:bookmarkEnd w:id="8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3,912,140.92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1,096,650.00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1,662,315.66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1,313,120.97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2,033,354.29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办公楼退租，装 修费一次性摊销</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3,912,140.92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1,096,650.00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1,662,315.66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1,313,120.97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2,033,354.29</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w:t>
      </w:r>
      <w:bookmarkEnd w:id="848"/>
      <w:bookmarkEnd w:id="849"/>
      <w:bookmarkEnd w:id="851"/>
    </w:p>
    <w:p>
      <w:pPr>
        <w:pStyle w:val="Style36"/>
        <w:keepNext/>
        <w:keepLines/>
        <w:widowControl w:val="0"/>
        <w:shd w:val="clear" w:color="auto" w:fill="auto"/>
        <w:bidi w:val="0"/>
        <w:spacing w:before="0" w:after="400" w:line="240" w:lineRule="auto"/>
        <w:ind w:left="0" w:right="0" w:firstLine="0"/>
        <w:jc w:val="left"/>
      </w:pPr>
      <w:bookmarkStart w:id="848" w:name="bookmark848"/>
      <w:bookmarkStart w:id="849" w:name="bookmark849"/>
      <w:bookmarkStart w:id="852" w:name="bookmark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848"/>
      <w:bookmarkEnd w:id="849"/>
      <w:bookmarkEnd w:id="85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503,874.08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755,448.76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4,113,203.33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2,482,530.00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内部购销形成的无形资产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-11,538.46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703,933.17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1,170,960.64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无形资产摊销（年限）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2,628,393.75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2,198,211.75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7,949,404.33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6,595,612.69</w:t>
            </w:r>
          </w:p>
        </w:tc>
      </w:tr>
      <w:tr>
        <w:trPr>
          <w:trHeight w:val="413" w:hRule="exact"/>
        </w:trPr>
        <w:tc>
          <w:tcPr>
            <w:gridSpan w:val="3"/>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-23,870,743.59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-23,870,743.59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tabs>
                <w:tab w:pos="2856" w:val="left"/>
              </w:tabs>
              <w:bidi w:val="0"/>
              <w:spacing w:before="0" w:after="0" w:line="240" w:lineRule="auto"/>
              <w:ind w:left="0" w:right="0" w:firstLine="0"/>
              <w:jc w:val="center"/>
            </w:pPr>
            <w:r>
              <w:rPr>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line="1" w:lineRule="exact"/>
        <w:sectPr>
          <w:headerReference w:type="default" r:id="rId279"/>
          <w:footerReference w:type="default" r:id="rId280"/>
          <w:headerReference w:type="even" r:id="rId281"/>
          <w:footerReference w:type="even" r:id="rId282"/>
          <w:footnotePr>
            <w:pos w:val="pageBottom"/>
            <w:numFmt w:val="decimal"/>
            <w:numRestart w:val="continuous"/>
          </w:footnotePr>
          <w:pgSz w:w="11909" w:h="17415"/>
          <w:pgMar w:top="1594" w:right="1056" w:bottom="1724" w:left="1056" w:header="0" w:footer="3" w:gutter="0"/>
          <w:cols w:space="720"/>
          <w:noEndnote/>
          <w:rtlGutter w:val="0"/>
          <w:docGrid w:linePitch="360"/>
        </w:sectPr>
      </w:pP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4,906,047.29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5,036,325.03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40,932,033.33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16,550,200.00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内部购销形成的无形资产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-76,923.07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6,742,059.91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7,806,404.29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无形资产摊销（年限）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22,000,418.53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14,654,744.99</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74,580,559.06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43,970,751.24</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、资产减值准备明细</w:t>
      </w:r>
    </w:p>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5,036,325.03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-130,277.74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4,906,047.29</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5,036,325.03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-130,277.74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4,906,047.29</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853"/>
      <w:bookmarkEnd w:id="854"/>
      <w:bookmarkEnd w:id="856"/>
    </w:p>
    <w:p>
      <w:pPr>
        <w:pStyle w:val="Style36"/>
        <w:keepNext/>
        <w:keepLines/>
        <w:widowControl w:val="0"/>
        <w:shd w:val="clear" w:color="auto" w:fill="auto"/>
        <w:bidi w:val="0"/>
        <w:spacing w:before="0" w:line="240" w:lineRule="auto"/>
        <w:ind w:left="0" w:right="0" w:firstLine="0"/>
        <w:jc w:val="left"/>
      </w:pPr>
      <w:bookmarkStart w:id="853" w:name="bookmark853"/>
      <w:bookmarkStart w:id="854" w:name="bookmark854"/>
      <w:bookmarkStart w:id="857" w:name="bookmark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853"/>
      <w:bookmarkEnd w:id="854"/>
      <w:bookmarkEnd w:id="8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118,739,665.00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118,739,665.00</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短期借款分类的说明</w:t>
      </w:r>
    </w:p>
    <w:p>
      <w:pPr>
        <w:pStyle w:val="Style33"/>
        <w:keepNext w:val="0"/>
        <w:keepLines w:val="0"/>
        <w:widowControl w:val="0"/>
        <w:shd w:val="clear" w:color="auto" w:fill="auto"/>
        <w:tabs>
          <w:tab w:pos="767" w:val="left"/>
        </w:tabs>
        <w:bidi w:val="0"/>
        <w:spacing w:before="0" w:after="0" w:line="469" w:lineRule="exact"/>
        <w:ind w:left="0" w:right="0" w:firstLine="440"/>
        <w:jc w:val="left"/>
      </w:pPr>
      <w:bookmarkStart w:id="858" w:name="bookmark858"/>
      <w:r>
        <w:rPr>
          <w:rFonts w:ascii="Times New Roman" w:eastAsia="Times New Roman" w:hAnsi="Times New Roman" w:cs="Times New Roman"/>
          <w:color w:val="000000"/>
          <w:spacing w:val="0"/>
          <w:w w:val="100"/>
          <w:position w:val="0"/>
        </w:rPr>
        <w:t>1</w:t>
      </w:r>
      <w:bookmarkEnd w:id="858"/>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日，公司与北京银行中关村科技园区支行签订《综合授信合同》，授信额度为</w:t>
      </w:r>
      <w:r>
        <w:rPr>
          <w:rFonts w:ascii="Times New Roman" w:eastAsia="Times New Roman" w:hAnsi="Times New Roman" w:cs="Times New Roman"/>
          <w:color w:val="000000"/>
          <w:spacing w:val="0"/>
          <w:w w:val="100"/>
          <w:position w:val="0"/>
        </w:rPr>
        <w:t xml:space="preserve">5,000.00 </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日，公司与北京银行中关村科技园区支行签订编号为</w:t>
      </w:r>
      <w:r>
        <w:rPr>
          <w:rFonts w:ascii="Times New Roman" w:eastAsia="Times New Roman" w:hAnsi="Times New Roman" w:cs="Times New Roman"/>
          <w:color w:val="000000"/>
          <w:spacing w:val="0"/>
          <w:w w:val="100"/>
          <w:position w:val="0"/>
        </w:rPr>
        <w:t>0136139</w:t>
      </w:r>
      <w:r>
        <w:rPr>
          <w:color w:val="000000"/>
          <w:spacing w:val="0"/>
          <w:w w:val="100"/>
          <w:position w:val="0"/>
        </w:rPr>
        <w:t>、</w:t>
      </w:r>
      <w:r>
        <w:rPr>
          <w:rFonts w:ascii="Times New Roman" w:eastAsia="Times New Roman" w:hAnsi="Times New Roman" w:cs="Times New Roman"/>
          <w:color w:val="000000"/>
          <w:spacing w:val="0"/>
          <w:w w:val="100"/>
          <w:position w:val="0"/>
        </w:rPr>
        <w:t>0136933</w:t>
      </w:r>
      <w:r>
        <w:rPr>
          <w:color w:val="000000"/>
          <w:spacing w:val="0"/>
          <w:w w:val="100"/>
          <w:position w:val="0"/>
        </w:rPr>
        <w:t>号借款合同， 分别借款</w:t>
      </w:r>
      <w:r>
        <w:rPr>
          <w:rFonts w:ascii="Times New Roman" w:eastAsia="Times New Roman" w:hAnsi="Times New Roman" w:cs="Times New Roman"/>
          <w:color w:val="000000"/>
          <w:spacing w:val="0"/>
          <w:w w:val="100"/>
          <w:position w:val="0"/>
        </w:rPr>
        <w:t>635.51</w:t>
      </w:r>
      <w:r>
        <w:rPr>
          <w:color w:val="000000"/>
          <w:spacing w:val="0"/>
          <w:w w:val="100"/>
          <w:position w:val="0"/>
        </w:rPr>
        <w:t>万元、</w:t>
      </w:r>
      <w:r>
        <w:rPr>
          <w:rFonts w:ascii="Times New Roman" w:eastAsia="Times New Roman" w:hAnsi="Times New Roman" w:cs="Times New Roman"/>
          <w:color w:val="000000"/>
          <w:spacing w:val="0"/>
          <w:w w:val="100"/>
          <w:position w:val="0"/>
        </w:rPr>
        <w:t>4,364.4</w:t>
      </w:r>
      <w:r>
        <w:rPr>
          <w:rFonts w:ascii="Times New Roman" w:eastAsia="Times New Roman" w:hAnsi="Times New Roman" w:cs="Times New Roman"/>
          <w:color w:val="000000"/>
          <w:spacing w:val="0"/>
          <w:w w:val="100"/>
          <w:position w:val="0"/>
        </w:rPr>
        <w:t>9</w:t>
      </w:r>
      <w:r>
        <w:rPr>
          <w:color w:val="000000"/>
          <w:spacing w:val="0"/>
          <w:w w:val="100"/>
          <w:position w:val="0"/>
        </w:rPr>
        <w:t>万元，借款期限一年，朱烨东、沈飒为借款提供个人无限连带责任保证担保。 借款已于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日归还。</w:t>
      </w:r>
    </w:p>
    <w:p>
      <w:pPr>
        <w:pStyle w:val="Style33"/>
        <w:keepNext w:val="0"/>
        <w:keepLines w:val="0"/>
        <w:widowControl w:val="0"/>
        <w:shd w:val="clear" w:color="auto" w:fill="auto"/>
        <w:tabs>
          <w:tab w:pos="762" w:val="left"/>
        </w:tabs>
        <w:bidi w:val="0"/>
        <w:spacing w:before="0" w:after="0" w:line="469" w:lineRule="exact"/>
        <w:ind w:left="0" w:right="0" w:firstLine="440"/>
        <w:jc w:val="left"/>
      </w:pPr>
      <w:bookmarkStart w:id="859" w:name="bookmark859"/>
      <w:r>
        <w:rPr>
          <w:rFonts w:ascii="Times New Roman" w:eastAsia="Times New Roman" w:hAnsi="Times New Roman" w:cs="Times New Roman"/>
          <w:color w:val="000000"/>
          <w:spacing w:val="0"/>
          <w:w w:val="100"/>
          <w:position w:val="0"/>
        </w:rPr>
        <w:t>2</w:t>
      </w:r>
      <w:bookmarkEnd w:id="85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日，公司与北京银行中关村科技园区支行签订编号为</w:t>
      </w:r>
      <w:r>
        <w:rPr>
          <w:rFonts w:ascii="Times New Roman" w:eastAsia="Times New Roman" w:hAnsi="Times New Roman" w:cs="Times New Roman"/>
          <w:color w:val="000000"/>
          <w:spacing w:val="0"/>
          <w:w w:val="100"/>
          <w:position w:val="0"/>
        </w:rPr>
        <w:t>181947</w:t>
      </w:r>
      <w:r>
        <w:rPr>
          <w:color w:val="000000"/>
          <w:spacing w:val="0"/>
          <w:w w:val="100"/>
          <w:position w:val="0"/>
        </w:rPr>
        <w:t xml:space="preserve">号借款合同，借款金额 </w:t>
      </w:r>
      <w:r>
        <w:rPr>
          <w:rFonts w:ascii="Times New Roman" w:eastAsia="Times New Roman" w:hAnsi="Times New Roman" w:cs="Times New Roman"/>
          <w:color w:val="000000"/>
          <w:spacing w:val="0"/>
          <w:w w:val="100"/>
          <w:position w:val="0"/>
        </w:rPr>
        <w:t>1,000.00</w:t>
      </w:r>
      <w:r>
        <w:rPr>
          <w:color w:val="000000"/>
          <w:spacing w:val="0"/>
          <w:w w:val="100"/>
          <w:position w:val="0"/>
        </w:rPr>
        <w:t>万元，借款期限一年，朱烨东、沈飒为借款提供个人无限连带责任保证担保。借款已于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0</w:t>
      </w:r>
      <w:r>
        <w:rPr>
          <w:color w:val="000000"/>
          <w:spacing w:val="0"/>
          <w:w w:val="100"/>
          <w:position w:val="0"/>
        </w:rPr>
        <w:t>归还。</w:t>
      </w:r>
    </w:p>
    <w:p>
      <w:pPr>
        <w:pStyle w:val="Style33"/>
        <w:keepNext w:val="0"/>
        <w:keepLines w:val="0"/>
        <w:widowControl w:val="0"/>
        <w:shd w:val="clear" w:color="auto" w:fill="auto"/>
        <w:tabs>
          <w:tab w:pos="772" w:val="left"/>
        </w:tabs>
        <w:bidi w:val="0"/>
        <w:spacing w:before="0" w:after="0" w:line="469" w:lineRule="exact"/>
        <w:ind w:left="0" w:right="0" w:firstLine="440"/>
        <w:jc w:val="left"/>
      </w:pPr>
      <w:bookmarkStart w:id="860" w:name="bookmark860"/>
      <w:r>
        <w:rPr>
          <w:rFonts w:ascii="Times New Roman" w:eastAsia="Times New Roman" w:hAnsi="Times New Roman" w:cs="Times New Roman"/>
          <w:color w:val="000000"/>
          <w:spacing w:val="0"/>
          <w:w w:val="100"/>
          <w:position w:val="0"/>
        </w:rPr>
        <w:t>3</w:t>
      </w:r>
      <w:bookmarkEnd w:id="860"/>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日，公司与宁波银行北京分行营业部分别签订编号</w:t>
      </w:r>
      <w:r>
        <w:rPr>
          <w:rFonts w:ascii="Times New Roman" w:eastAsia="Times New Roman" w:hAnsi="Times New Roman" w:cs="Times New Roman"/>
          <w:color w:val="000000"/>
          <w:spacing w:val="0"/>
          <w:w w:val="100"/>
          <w:position w:val="0"/>
        </w:rPr>
        <w:t>077021k20121885</w:t>
      </w:r>
      <w:r>
        <w:rPr>
          <w:color w:val="000000"/>
          <w:spacing w:val="0"/>
          <w:w w:val="100"/>
          <w:position w:val="0"/>
        </w:rPr>
        <w:t>、</w:t>
      </w:r>
      <w:r>
        <w:rPr>
          <w:rFonts w:ascii="Times New Roman" w:eastAsia="Times New Roman" w:hAnsi="Times New Roman" w:cs="Times New Roman"/>
          <w:color w:val="000000"/>
          <w:spacing w:val="0"/>
          <w:w w:val="100"/>
          <w:position w:val="0"/>
        </w:rPr>
        <w:t xml:space="preserve">07702lk20121877 </w:t>
      </w:r>
      <w:r>
        <w:rPr>
          <w:color w:val="000000"/>
          <w:spacing w:val="0"/>
          <w:w w:val="100"/>
          <w:position w:val="0"/>
        </w:rPr>
        <w:t>号借款合同，借款金额为</w:t>
      </w:r>
      <w:r>
        <w:rPr>
          <w:rFonts w:ascii="Times New Roman" w:eastAsia="Times New Roman" w:hAnsi="Times New Roman" w:cs="Times New Roman"/>
          <w:color w:val="000000"/>
          <w:spacing w:val="0"/>
          <w:w w:val="100"/>
          <w:position w:val="0"/>
        </w:rPr>
        <w:t>389.55</w:t>
      </w:r>
      <w:r>
        <w:rPr>
          <w:color w:val="000000"/>
          <w:spacing w:val="0"/>
          <w:w w:val="100"/>
          <w:position w:val="0"/>
        </w:rPr>
        <w:t>万元、</w:t>
      </w:r>
      <w:r>
        <w:rPr>
          <w:rFonts w:ascii="Times New Roman" w:eastAsia="Times New Roman" w:hAnsi="Times New Roman" w:cs="Times New Roman"/>
          <w:color w:val="000000"/>
          <w:spacing w:val="0"/>
          <w:w w:val="100"/>
          <w:position w:val="0"/>
        </w:rPr>
        <w:t>1,484.4</w:t>
      </w:r>
      <w:r>
        <w:rPr>
          <w:rFonts w:ascii="Times New Roman" w:eastAsia="Times New Roman" w:hAnsi="Times New Roman" w:cs="Times New Roman"/>
          <w:color w:val="000000"/>
          <w:spacing w:val="0"/>
          <w:w w:val="100"/>
          <w:position w:val="0"/>
        </w:rPr>
        <w:t>2</w:t>
      </w:r>
      <w:r>
        <w:rPr>
          <w:color w:val="000000"/>
          <w:spacing w:val="0"/>
          <w:w w:val="100"/>
          <w:position w:val="0"/>
        </w:rPr>
        <w:t>万元，借款期限一年，朱烨东、沈飒作为连带责任保证人提 供无限连带责任担保。借款已于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日归还。</w:t>
      </w:r>
    </w:p>
    <w:p>
      <w:pPr>
        <w:pStyle w:val="Style33"/>
        <w:keepNext w:val="0"/>
        <w:keepLines w:val="0"/>
        <w:widowControl w:val="0"/>
        <w:shd w:val="clear" w:color="auto" w:fill="auto"/>
        <w:tabs>
          <w:tab w:pos="344" w:val="left"/>
        </w:tabs>
        <w:bidi w:val="0"/>
        <w:spacing w:before="0" w:after="0" w:line="469" w:lineRule="exact"/>
        <w:ind w:left="0" w:right="0" w:firstLine="440"/>
        <w:jc w:val="left"/>
      </w:pPr>
      <w:bookmarkStart w:id="861" w:name="bookmark861"/>
      <w:r>
        <w:rPr>
          <w:rFonts w:ascii="Times New Roman" w:eastAsia="Times New Roman" w:hAnsi="Times New Roman" w:cs="Times New Roman"/>
          <w:color w:val="000000"/>
          <w:spacing w:val="0"/>
          <w:w w:val="100"/>
          <w:position w:val="0"/>
        </w:rPr>
        <w:t>4</w:t>
      </w:r>
      <w:bookmarkEnd w:id="86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日，公司与宁波银行北京分行营业部签订编号为</w:t>
      </w:r>
      <w:r>
        <w:rPr>
          <w:rFonts w:ascii="Times New Roman" w:eastAsia="Times New Roman" w:hAnsi="Times New Roman" w:cs="Times New Roman"/>
          <w:color w:val="000000"/>
          <w:spacing w:val="0"/>
          <w:w w:val="100"/>
          <w:position w:val="0"/>
        </w:rPr>
        <w:t>07701LK20130813</w:t>
      </w:r>
      <w:r>
        <w:rPr>
          <w:color w:val="000000"/>
          <w:spacing w:val="0"/>
          <w:w w:val="100"/>
          <w:position w:val="0"/>
        </w:rPr>
        <w:t xml:space="preserve">号借款合同，借款 </w:t>
      </w:r>
      <w:r>
        <w:rPr>
          <w:color w:val="000000"/>
          <w:spacing w:val="0"/>
          <w:w w:val="100"/>
          <w:position w:val="0"/>
        </w:rPr>
        <w:t>金额</w:t>
      </w:r>
      <w:r>
        <w:rPr>
          <w:rFonts w:ascii="Times New Roman" w:eastAsia="Times New Roman" w:hAnsi="Times New Roman" w:cs="Times New Roman"/>
          <w:color w:val="000000"/>
          <w:spacing w:val="0"/>
          <w:w w:val="100"/>
          <w:position w:val="0"/>
        </w:rPr>
        <w:t>126.03</w:t>
      </w:r>
      <w:r>
        <w:rPr>
          <w:color w:val="000000"/>
          <w:spacing w:val="0"/>
          <w:w w:val="100"/>
          <w:position w:val="0"/>
        </w:rPr>
        <w:t>万元，借款期限</w:t>
      </w:r>
      <w:r>
        <w:rPr>
          <w:rFonts w:ascii="Times New Roman" w:eastAsia="Times New Roman" w:hAnsi="Times New Roman" w:cs="Times New Roman"/>
          <w:color w:val="000000"/>
          <w:spacing w:val="0"/>
          <w:w w:val="100"/>
          <w:position w:val="0"/>
        </w:rPr>
        <w:t>8</w:t>
      </w:r>
      <w:r>
        <w:rPr>
          <w:color w:val="000000"/>
          <w:spacing w:val="0"/>
          <w:w w:val="100"/>
          <w:position w:val="0"/>
        </w:rPr>
        <w:t>个月，朱烨东、沈飒为该借款提供无限连带责任保证担保。借款已于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日归还。</w:t>
      </w:r>
    </w:p>
    <w:p>
      <w:pPr>
        <w:pStyle w:val="Style33"/>
        <w:keepNext w:val="0"/>
        <w:keepLines w:val="0"/>
        <w:widowControl w:val="0"/>
        <w:shd w:val="clear" w:color="auto" w:fill="auto"/>
        <w:tabs>
          <w:tab w:pos="764" w:val="left"/>
        </w:tabs>
        <w:bidi w:val="0"/>
        <w:spacing w:before="0" w:after="0" w:line="468" w:lineRule="exact"/>
        <w:ind w:left="0" w:right="0" w:firstLine="460"/>
        <w:jc w:val="both"/>
      </w:pPr>
      <w:bookmarkStart w:id="862" w:name="bookmark862"/>
      <w:r>
        <w:rPr>
          <w:rFonts w:ascii="Times New Roman" w:eastAsia="Times New Roman" w:hAnsi="Times New Roman" w:cs="Times New Roman"/>
          <w:color w:val="000000"/>
          <w:spacing w:val="0"/>
          <w:w w:val="100"/>
          <w:position w:val="0"/>
        </w:rPr>
        <w:t>5</w:t>
      </w:r>
      <w:bookmarkEnd w:id="86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日，公司与平安银行北京三元桥支行签订编号为平银京三贷字</w:t>
      </w:r>
      <w:r>
        <w:rPr>
          <w:rFonts w:ascii="Times New Roman" w:eastAsia="Times New Roman" w:hAnsi="Times New Roman" w:cs="Times New Roman"/>
          <w:color w:val="000000"/>
          <w:spacing w:val="0"/>
          <w:w w:val="100"/>
          <w:position w:val="0"/>
        </w:rPr>
        <w:t>20130329</w:t>
      </w:r>
      <w:r>
        <w:rPr>
          <w:color w:val="000000"/>
          <w:spacing w:val="0"/>
          <w:w w:val="100"/>
          <w:position w:val="0"/>
        </w:rPr>
        <w:t>第</w:t>
      </w:r>
      <w:r>
        <w:rPr>
          <w:rFonts w:ascii="Times New Roman" w:eastAsia="Times New Roman" w:hAnsi="Times New Roman" w:cs="Times New Roman"/>
          <w:color w:val="000000"/>
          <w:spacing w:val="0"/>
          <w:w w:val="100"/>
          <w:position w:val="0"/>
        </w:rPr>
        <w:t>001</w:t>
      </w:r>
      <w:r>
        <w:rPr>
          <w:color w:val="000000"/>
          <w:spacing w:val="0"/>
          <w:w w:val="100"/>
          <w:position w:val="0"/>
        </w:rPr>
        <w:t>号借款合 同，借款金额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923.90</w:t>
      </w:r>
      <w:r>
        <w:rPr>
          <w:color w:val="000000"/>
          <w:spacing w:val="0"/>
          <w:w w:val="100"/>
          <w:position w:val="0"/>
        </w:rPr>
        <w:t>万元，借款期限半年，朱烨东、沈飒为该借款提供无限连带责任保证担保。借款已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日归还。</w:t>
      </w:r>
    </w:p>
    <w:p>
      <w:pPr>
        <w:pStyle w:val="Style33"/>
        <w:keepNext w:val="0"/>
        <w:keepLines w:val="0"/>
        <w:widowControl w:val="0"/>
        <w:shd w:val="clear" w:color="auto" w:fill="auto"/>
        <w:bidi w:val="0"/>
        <w:spacing w:before="0" w:after="0" w:line="468" w:lineRule="exact"/>
        <w:ind w:left="0" w:right="0" w:firstLine="460"/>
        <w:jc w:val="both"/>
      </w:pPr>
      <w:bookmarkStart w:id="863" w:name="bookmark863"/>
      <w:r>
        <w:rPr>
          <w:rFonts w:ascii="Times New Roman" w:eastAsia="Times New Roman" w:hAnsi="Times New Roman" w:cs="Times New Roman"/>
          <w:color w:val="000000"/>
          <w:spacing w:val="0"/>
          <w:w w:val="100"/>
          <w:position w:val="0"/>
        </w:rPr>
        <w:t>6</w:t>
      </w:r>
      <w:bookmarkEnd w:id="863"/>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日，公司与招商银行北京分行营业部签订《综合授信合同》，授信额度为</w:t>
      </w:r>
      <w:r>
        <w:rPr>
          <w:rFonts w:ascii="Times New Roman" w:eastAsia="Times New Roman" w:hAnsi="Times New Roman" w:cs="Times New Roman"/>
          <w:color w:val="000000"/>
          <w:spacing w:val="0"/>
          <w:w w:val="100"/>
          <w:position w:val="0"/>
        </w:rPr>
        <w:t>5,000.00</w:t>
      </w:r>
      <w:r>
        <w:rPr>
          <w:color w:val="000000"/>
          <w:spacing w:val="0"/>
          <w:w w:val="100"/>
          <w:position w:val="0"/>
        </w:rPr>
        <w:t>万 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日，公司与招商银行北京分行营业部签订</w:t>
      </w:r>
      <w:r>
        <w:rPr>
          <w:rFonts w:ascii="Times New Roman" w:eastAsia="Times New Roman" w:hAnsi="Times New Roman" w:cs="Times New Roman"/>
          <w:color w:val="000000"/>
          <w:spacing w:val="0"/>
          <w:w w:val="100"/>
          <w:position w:val="0"/>
        </w:rPr>
        <w:t>2012</w:t>
      </w:r>
      <w:r>
        <w:rPr>
          <w:color w:val="000000"/>
          <w:spacing w:val="0"/>
          <w:w w:val="100"/>
          <w:position w:val="0"/>
        </w:rPr>
        <w:t>年中小授字第</w:t>
      </w:r>
      <w:r>
        <w:rPr>
          <w:rFonts w:ascii="Times New Roman" w:eastAsia="Times New Roman" w:hAnsi="Times New Roman" w:cs="Times New Roman"/>
          <w:color w:val="000000"/>
          <w:spacing w:val="0"/>
          <w:w w:val="100"/>
          <w:position w:val="0"/>
        </w:rPr>
        <w:t>023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流</w:t>
      </w:r>
      <w:r>
        <w:rPr>
          <w:rFonts w:ascii="Times New Roman" w:eastAsia="Times New Roman" w:hAnsi="Times New Roman" w:cs="Times New Roman"/>
          <w:color w:val="000000"/>
          <w:spacing w:val="0"/>
          <w:w w:val="100"/>
          <w:position w:val="0"/>
        </w:rPr>
        <w:t>01</w:t>
      </w:r>
      <w:r>
        <w:rPr>
          <w:color w:val="000000"/>
          <w:spacing w:val="0"/>
          <w:w w:val="100"/>
          <w:position w:val="0"/>
        </w:rPr>
        <w:t>号借款协议，借款 金额为</w:t>
      </w:r>
      <w:r>
        <w:rPr>
          <w:rFonts w:ascii="Times New Roman" w:eastAsia="Times New Roman" w:hAnsi="Times New Roman" w:cs="Times New Roman"/>
          <w:color w:val="000000"/>
          <w:spacing w:val="0"/>
          <w:w w:val="100"/>
          <w:position w:val="0"/>
        </w:rPr>
        <w:t>5,000.00</w:t>
      </w:r>
      <w:r>
        <w:rPr>
          <w:color w:val="000000"/>
          <w:spacing w:val="0"/>
          <w:w w:val="100"/>
          <w:position w:val="0"/>
        </w:rPr>
        <w:t xml:space="preserve">万元，借款期限一年，朱烨东作为连带责任保证人提供无限连带责任保证担保。借款已于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日归还。</w:t>
      </w:r>
    </w:p>
    <w:p>
      <w:pPr>
        <w:pStyle w:val="Style33"/>
        <w:keepNext w:val="0"/>
        <w:keepLines w:val="0"/>
        <w:widowControl w:val="0"/>
        <w:shd w:val="clear" w:color="auto" w:fill="auto"/>
        <w:tabs>
          <w:tab w:pos="773" w:val="left"/>
        </w:tabs>
        <w:bidi w:val="0"/>
        <w:spacing w:before="0" w:after="220" w:line="468" w:lineRule="exact"/>
        <w:ind w:left="0" w:right="0" w:firstLine="460"/>
        <w:jc w:val="both"/>
      </w:pPr>
      <w:bookmarkStart w:id="864" w:name="bookmark864"/>
      <w:r>
        <w:rPr>
          <w:rFonts w:ascii="Times New Roman" w:eastAsia="Times New Roman" w:hAnsi="Times New Roman" w:cs="Times New Roman"/>
          <w:color w:val="000000"/>
          <w:spacing w:val="0"/>
          <w:w w:val="100"/>
          <w:position w:val="0"/>
        </w:rPr>
        <w:t>7</w:t>
      </w:r>
      <w:bookmarkEnd w:id="86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日，公司与招商银行北京分行营业部签订</w:t>
      </w:r>
      <w:r>
        <w:rPr>
          <w:rFonts w:ascii="Times New Roman" w:eastAsia="Times New Roman" w:hAnsi="Times New Roman" w:cs="Times New Roman"/>
          <w:color w:val="000000"/>
          <w:spacing w:val="0"/>
          <w:w w:val="100"/>
          <w:position w:val="0"/>
        </w:rPr>
        <w:t>2013</w:t>
      </w:r>
      <w:r>
        <w:rPr>
          <w:color w:val="000000"/>
          <w:spacing w:val="0"/>
          <w:w w:val="100"/>
          <w:position w:val="0"/>
        </w:rPr>
        <w:t>年中小授字第</w:t>
      </w:r>
      <w:r>
        <w:rPr>
          <w:rFonts w:ascii="Times New Roman" w:eastAsia="Times New Roman" w:hAnsi="Times New Roman" w:cs="Times New Roman"/>
          <w:color w:val="000000"/>
          <w:spacing w:val="0"/>
          <w:w w:val="100"/>
          <w:position w:val="0"/>
        </w:rPr>
        <w:t>020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流</w:t>
      </w:r>
      <w:r>
        <w:rPr>
          <w:rFonts w:ascii="Times New Roman" w:eastAsia="Times New Roman" w:hAnsi="Times New Roman" w:cs="Times New Roman"/>
          <w:color w:val="000000"/>
          <w:spacing w:val="0"/>
          <w:w w:val="100"/>
          <w:position w:val="0"/>
        </w:rPr>
        <w:t>01</w:t>
      </w:r>
      <w:r>
        <w:rPr>
          <w:color w:val="000000"/>
          <w:spacing w:val="0"/>
          <w:w w:val="100"/>
          <w:position w:val="0"/>
        </w:rPr>
        <w:t>号借款协议， 借款金额</w:t>
      </w:r>
      <w:r>
        <w:rPr>
          <w:rFonts w:ascii="Times New Roman" w:eastAsia="Times New Roman" w:hAnsi="Times New Roman" w:cs="Times New Roman"/>
          <w:color w:val="000000"/>
          <w:spacing w:val="0"/>
          <w:w w:val="100"/>
          <w:position w:val="0"/>
        </w:rPr>
        <w:t>5,000.00</w:t>
      </w:r>
      <w:r>
        <w:rPr>
          <w:color w:val="000000"/>
          <w:spacing w:val="0"/>
          <w:w w:val="100"/>
          <w:position w:val="0"/>
        </w:rPr>
        <w:t xml:space="preserve">万元，借款期限一年，朱烨东、沈飒为该借款提供无限连带责任保证担保，该借款中的 </w:t>
      </w:r>
      <w:r>
        <w:rPr>
          <w:rFonts w:ascii="Times New Roman" w:eastAsia="Times New Roman" w:hAnsi="Times New Roman" w:cs="Times New Roman"/>
          <w:color w:val="000000"/>
          <w:spacing w:val="0"/>
          <w:w w:val="100"/>
          <w:position w:val="0"/>
        </w:rPr>
        <w:t>2,000.00</w:t>
      </w:r>
      <w:r>
        <w:rPr>
          <w:color w:val="000000"/>
          <w:spacing w:val="0"/>
          <w:w w:val="100"/>
          <w:position w:val="0"/>
        </w:rPr>
        <w:t>万元已于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日归还。</w:t>
      </w:r>
    </w:p>
    <w:p>
      <w:pPr>
        <w:pStyle w:val="Style36"/>
        <w:keepNext/>
        <w:keepLines/>
        <w:widowControl w:val="0"/>
        <w:shd w:val="clear" w:color="auto" w:fill="auto"/>
        <w:bidi w:val="0"/>
        <w:spacing w:before="0" w:after="380" w:line="468" w:lineRule="exact"/>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865"/>
      <w:bookmarkEnd w:id="866"/>
      <w:bookmarkEnd w:id="8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8,723,200.00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8,723,200.00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8,723,200.00</w:t>
      </w:r>
      <w:r>
        <w:rPr>
          <w:color w:val="000000"/>
          <w:spacing w:val="0"/>
          <w:w w:val="100"/>
          <w:position w:val="0"/>
        </w:rPr>
        <w:t>元。</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869"/>
      <w:bookmarkEnd w:id="870"/>
      <w:bookmarkEnd w:id="872"/>
    </w:p>
    <w:p>
      <w:pPr>
        <w:pStyle w:val="Style36"/>
        <w:keepNext/>
        <w:keepLines/>
        <w:widowControl w:val="0"/>
        <w:shd w:val="clear" w:color="auto" w:fill="auto"/>
        <w:bidi w:val="0"/>
        <w:spacing w:before="0" w:after="380" w:line="240" w:lineRule="auto"/>
        <w:ind w:left="0" w:right="0" w:firstLine="140"/>
        <w:jc w:val="both"/>
      </w:pPr>
      <w:bookmarkStart w:id="869" w:name="bookmark869"/>
      <w:bookmarkStart w:id="870" w:name="bookmark870"/>
      <w:bookmarkStart w:id="873" w:name="bookmark873"/>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869"/>
      <w:bookmarkEnd w:id="870"/>
      <w:bookmarkEnd w:id="8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94,806,798.77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87,401,097.72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7,735,868.94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3,182,848.69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2,530,675.24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6,714,307.26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3,063,108.21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74,415.46</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108,136,451.16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97,372,669.13</w:t>
            </w:r>
          </w:p>
        </w:tc>
      </w:tr>
    </w:tbl>
    <w:p>
      <w:pPr>
        <w:spacing w:lineRule="exact" w:line="1"/>
        <w:rPr>
          <w:sz w:val="2"/>
          <w:szCs w:val="2"/>
        </w:rPr>
      </w:pPr>
      <w:r>
        <w:br w:type="page"/>
      </w:r>
    </w:p>
    <w:p>
      <w:pPr>
        <w:pStyle w:val="Style36"/>
        <w:keepNext/>
        <w:keepLines/>
        <w:widowControl w:val="0"/>
        <w:shd w:val="clear" w:color="auto" w:fill="auto"/>
        <w:bidi w:val="0"/>
        <w:spacing w:before="0" w:after="320" w:line="240" w:lineRule="auto"/>
        <w:ind w:left="0" w:right="0" w:firstLine="0"/>
        <w:jc w:val="left"/>
      </w:pPr>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874"/>
      <w:bookmarkEnd w:id="875"/>
      <w:bookmarkEnd w:id="876"/>
    </w:p>
    <w:tbl>
      <w:tblPr>
        <w:tblOverlap w:val="never"/>
        <w:jc w:val="center"/>
        <w:tblLayout w:type="fixed"/>
      </w:tblPr>
      <w:tblGrid>
        <w:gridCol w:w="3024"/>
        <w:gridCol w:w="1267"/>
        <w:gridCol w:w="3197"/>
        <w:gridCol w:w="998"/>
      </w:tblGrid>
      <w:tr>
        <w:trPr>
          <w:trHeight w:val="341"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未结转原因</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太极计算机股份有限公司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2,722,371.80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对应销售项目尚未收款，暂缓付款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恒银金融科技有限公司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1,983,698.00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对应销售项目尚未收款，暂缓付款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北京健行天下信息咨询有限公司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1,731,435.90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对应销售项目尚未收款，暂缓付款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西安安智科技有限公司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1,395,446.40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对应销售项目尚未收款，暂缓付款</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7,832,952.10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6</w:t>
      </w:r>
      <w:r>
        <w:rPr>
          <w:color w:val="000000"/>
          <w:spacing w:val="0"/>
          <w:w w:val="100"/>
          <w:position w:val="0"/>
        </w:rPr>
        <w:t>、预收账款</w:t>
      </w:r>
      <w:bookmarkEnd w:id="877"/>
      <w:bookmarkEnd w:id="878"/>
      <w:bookmarkEnd w:id="880"/>
    </w:p>
    <w:p>
      <w:pPr>
        <w:pStyle w:val="Style36"/>
        <w:keepNext/>
        <w:keepLines/>
        <w:widowControl w:val="0"/>
        <w:shd w:val="clear" w:color="auto" w:fill="auto"/>
        <w:bidi w:val="0"/>
        <w:spacing w:before="0" w:line="240" w:lineRule="auto"/>
        <w:ind w:left="0" w:right="0" w:firstLine="0"/>
        <w:jc w:val="left"/>
      </w:pPr>
      <w:bookmarkStart w:id="877" w:name="bookmark877"/>
      <w:bookmarkStart w:id="878" w:name="bookmark878"/>
      <w:bookmarkStart w:id="881" w:name="bookmark8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877"/>
      <w:bookmarkEnd w:id="878"/>
      <w:bookmarkEnd w:id="8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187,650,477.58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130,510,326.16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10,887,967.77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2,017,218.30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332,727.75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198,871,173.10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132,527,544.46</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882"/>
      <w:bookmarkEnd w:id="883"/>
      <w:bookmarkEnd w:id="884"/>
    </w:p>
    <w:tbl>
      <w:tblPr>
        <w:tblOverlap w:val="never"/>
        <w:jc w:val="center"/>
        <w:tblLayout w:type="fixed"/>
      </w:tblPr>
      <w:tblGrid>
        <w:gridCol w:w="2808"/>
        <w:gridCol w:w="1843"/>
        <w:gridCol w:w="1843"/>
        <w:gridCol w:w="2050"/>
      </w:tblGrid>
      <w:tr>
        <w:trPr>
          <w:trHeight w:val="65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未结转原因</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备注（报表日后已结转或 还款的应予注明）</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卫生部统计信息中心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3,512,000.00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项目未完成</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北京鑫海泽祥科技发展有限公司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2,510,400.00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项目未完成</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首都医科大学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1,657,800.00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项目未完成</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1,425,000.00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项目未完成</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神木县医院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835,953.00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项目未完成</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9,941,153.00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885"/>
      <w:bookmarkEnd w:id="886"/>
      <w:bookmarkEnd w:id="8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7,806,404.29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106,244,787.11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107,309,131.49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6,742,059.91</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877,227.90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877,227.90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15,439,373.01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15,439,373.01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862"/>
        <w:gridCol w:w="1992"/>
        <w:gridCol w:w="2261"/>
        <w:gridCol w:w="1867"/>
      </w:tblGrid>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4,575,214.67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4,575,214.67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5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基本养老 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8,775,558.23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8,775,558.23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58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失业保险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474,686.92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474,686.92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58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工伤保险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318,943.22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318,943.22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580"/>
              <w:jc w:val="left"/>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生育保险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361,706.08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361,706.08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G</w:t>
            </w:r>
            <w:r>
              <w:rPr>
                <w:color w:val="000000"/>
                <w:spacing w:val="0"/>
                <w:w w:val="100"/>
                <w:position w:val="0"/>
              </w:rPr>
              <w:t>、</w:t>
            </w:r>
            <w:r>
              <w:rPr>
                <w:color w:val="000000"/>
                <w:spacing w:val="0"/>
                <w:w w:val="100"/>
                <w:position w:val="0"/>
              </w:rPr>
              <w:t>补充</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933,263.89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933,263.89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4,883,589.80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4,883,589.80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577,889.20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2,565,320.86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2,577,437.14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565,772.92</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其中：工会经费和职</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工教育经费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577,889.20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2,565,320.86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2,577,437.14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565,772.92</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8,384,293.49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130,010,298.68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131,086,759.34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7,307,832.83</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565,772.92</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889"/>
      <w:bookmarkEnd w:id="890"/>
      <w:bookmarkEnd w:id="8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-42,316,521.24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-27,486,497.37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750,385.78</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1,580,595.47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3,984,198.85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642,531.84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681,279.95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83,124.24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190,938.86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57,759.09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118,790.29</w:t>
            </w: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-39,944,283.75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-21,760,903.64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893"/>
      <w:bookmarkEnd w:id="894"/>
      <w:bookmarkEnd w:id="8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9" w:h="17415"/>
          <w:pgMar w:top="1594" w:right="1056" w:bottom="1724" w:left="1056" w:header="0" w:footer="3" w:gutter="0"/>
          <w:cols w:space="720"/>
          <w:noEndnote/>
          <w:titlePg/>
          <w:rtlGutter w:val="0"/>
          <w:docGrid w:linePitch="360"/>
        </w:sectPr>
      </w:pPr>
    </w:p>
    <w:tbl>
      <w:tblPr>
        <w:tblOverlap w:val="never"/>
        <w:jc w:val="center"/>
        <w:tblLayout w:type="fixed"/>
      </w:tblPr>
      <w:tblGrid>
        <w:gridCol w:w="4133"/>
        <w:gridCol w:w="2789"/>
        <w:gridCol w:w="2664"/>
      </w:tblGrid>
      <w:tr>
        <w:trPr>
          <w:trHeight w:val="41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897"/>
      <w:bookmarkEnd w:id="898"/>
      <w:bookmarkEnd w:id="900"/>
    </w:p>
    <w:p>
      <w:pPr>
        <w:pStyle w:val="Style36"/>
        <w:keepNext/>
        <w:keepLines/>
        <w:widowControl w:val="0"/>
        <w:shd w:val="clear" w:color="auto" w:fill="auto"/>
        <w:bidi w:val="0"/>
        <w:spacing w:before="0" w:line="240" w:lineRule="auto"/>
        <w:ind w:left="0" w:right="0" w:firstLine="0"/>
        <w:jc w:val="both"/>
      </w:pPr>
      <w:bookmarkStart w:id="897" w:name="bookmark897"/>
      <w:bookmarkStart w:id="898" w:name="bookmark898"/>
      <w:bookmarkStart w:id="901" w:name="bookmark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897"/>
      <w:bookmarkEnd w:id="898"/>
      <w:bookmarkEnd w:id="9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52,480,733.95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7,476,475.63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1,798,418.56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241,087.18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88,860.18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54,368,512.69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7,882,562.81</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r>
        <w:rPr>
          <w:color w:val="000000"/>
          <w:spacing w:val="0"/>
          <w:w w:val="100"/>
          <w:position w:val="0"/>
        </w:rPr>
        <w:t>)金额较大的其他应付款说明内容</w:t>
      </w:r>
      <w:bookmarkEnd w:id="902"/>
      <w:bookmarkEnd w:id="903"/>
      <w:bookmarkEnd w:id="904"/>
    </w:p>
    <w:tbl>
      <w:tblPr>
        <w:tblOverlap w:val="never"/>
        <w:jc w:val="center"/>
        <w:tblLayout w:type="fixed"/>
      </w:tblPr>
      <w:tblGrid>
        <w:gridCol w:w="2962"/>
        <w:gridCol w:w="1272"/>
        <w:gridCol w:w="2693"/>
        <w:gridCol w:w="2400"/>
      </w:tblGrid>
      <w:tr>
        <w:trPr>
          <w:trHeight w:val="552"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未偿还原因</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北京恒沙科技有限责任公司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29,270,000.00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中科电子少数股东借入往来款</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北京润雨嘉科技发展有限公司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10,976,846.30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北京泓澳峰科技发展有限公司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4,702,904.80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保证金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 xml:space="preserve">一年以内 </w:t>
            </w:r>
            <w:r>
              <w:rPr>
                <w:rFonts w:ascii="Times New Roman" w:eastAsia="Times New Roman" w:hAnsi="Times New Roman" w:cs="Times New Roman"/>
                <w:color w:val="000000"/>
                <w:spacing w:val="0"/>
                <w:w w:val="100"/>
                <w:position w:val="0"/>
                <w:sz w:val="20"/>
                <w:szCs w:val="20"/>
              </w:rPr>
              <w:t>3,538,899.00</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年以上</w:t>
            </w:r>
            <w:r>
              <w:rPr>
                <w:rFonts w:ascii="Times New Roman" w:eastAsia="Times New Roman" w:hAnsi="Times New Roman" w:cs="Times New Roman"/>
                <w:color w:val="000000"/>
                <w:spacing w:val="0"/>
                <w:w w:val="100"/>
                <w:position w:val="0"/>
                <w:sz w:val="20"/>
                <w:szCs w:val="20"/>
              </w:rPr>
              <w:t>1,164,005.8</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19"/>
                <w:szCs w:val="19"/>
              </w:rPr>
              <w:t>元</w:t>
            </w:r>
          </w:p>
        </w:tc>
      </w:tr>
      <w:tr>
        <w:trPr>
          <w:trHeight w:val="48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北京友邦佳通电子科技有限公司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3,538,810.48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东华软件股份公司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1,320,500.00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49,809,061.58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905"/>
      <w:bookmarkEnd w:id="906"/>
      <w:bookmarkEnd w:id="9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面值</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237,960,000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应付债券说明，包括可转换公司债券的转股条件、转股时间</w:t>
      </w:r>
    </w:p>
    <w:p>
      <w:pPr>
        <w:pStyle w:val="Style33"/>
        <w:keepNext w:val="0"/>
        <w:keepLines w:val="0"/>
        <w:widowControl w:val="0"/>
        <w:shd w:val="clear" w:color="auto" w:fill="auto"/>
        <w:bidi w:val="0"/>
        <w:spacing w:before="0" w:after="340" w:line="477"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日经中国证券监督管理委员会“证监许可</w:t>
      </w:r>
      <w:r>
        <w:rPr>
          <w:color w:val="000000"/>
          <w:spacing w:val="0"/>
          <w:w w:val="100"/>
          <w:position w:val="0"/>
        </w:rPr>
        <w:t>[2013]39</w:t>
      </w:r>
      <w:r>
        <w:rPr>
          <w:color w:val="000000"/>
          <w:spacing w:val="0"/>
          <w:w w:val="100"/>
          <w:position w:val="0"/>
        </w:rPr>
        <w:t>号”文件批复，核准公司向社会公开 发行面值不超过人民币</w:t>
      </w:r>
      <w:r>
        <w:rPr>
          <w:color w:val="000000"/>
          <w:spacing w:val="0"/>
          <w:w w:val="100"/>
          <w:position w:val="0"/>
        </w:rPr>
        <w:t>24, 000</w:t>
      </w:r>
      <w:r>
        <w:rPr>
          <w:color w:val="000000"/>
          <w:spacing w:val="0"/>
          <w:w w:val="100"/>
          <w:position w:val="0"/>
        </w:rPr>
        <w:t>万元的公司债券。债券每张面值为人民币</w:t>
      </w:r>
      <w:r>
        <w:rPr>
          <w:color w:val="000000"/>
          <w:spacing w:val="0"/>
          <w:w w:val="100"/>
          <w:position w:val="0"/>
        </w:rPr>
        <w:t>100</w:t>
      </w:r>
      <w:r>
        <w:rPr>
          <w:color w:val="000000"/>
          <w:spacing w:val="0"/>
          <w:w w:val="100"/>
          <w:position w:val="0"/>
        </w:rPr>
        <w:t>元，期限为</w:t>
      </w:r>
      <w:r>
        <w:rPr>
          <w:color w:val="000000"/>
          <w:spacing w:val="0"/>
          <w:w w:val="100"/>
          <w:position w:val="0"/>
        </w:rPr>
        <w:t>5</w:t>
      </w:r>
      <w:r>
        <w:rPr>
          <w:color w:val="000000"/>
          <w:spacing w:val="0"/>
          <w:w w:val="100"/>
          <w:position w:val="0"/>
        </w:rPr>
        <w:t>年。债券票面利率 为</w:t>
      </w:r>
      <w:r>
        <w:rPr>
          <w:color w:val="000000"/>
          <w:spacing w:val="0"/>
          <w:w w:val="100"/>
          <w:position w:val="0"/>
        </w:rPr>
        <w:t>6.7%,</w:t>
      </w:r>
      <w:r>
        <w:rPr>
          <w:color w:val="000000"/>
          <w:spacing w:val="0"/>
          <w:w w:val="100"/>
          <w:position w:val="0"/>
        </w:rPr>
        <w:t>采取单利方式按年计息，按年付息，到期一次还本。利息每年支付一次，最后一次利息随本金一 起支付。</w:t>
      </w:r>
      <w:r>
        <w:br w:type="page"/>
      </w:r>
    </w:p>
    <w:p>
      <w:pPr>
        <w:pStyle w:val="Style33"/>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日，公司与北京中关村科技融资担保有限公司签定</w:t>
      </w:r>
      <w:r>
        <w:rPr>
          <w:color w:val="000000"/>
          <w:spacing w:val="0"/>
          <w:w w:val="100"/>
          <w:position w:val="0"/>
        </w:rPr>
        <w:t>2012</w:t>
      </w:r>
      <w:r>
        <w:rPr>
          <w:color w:val="000000"/>
          <w:spacing w:val="0"/>
          <w:w w:val="100"/>
          <w:position w:val="0"/>
        </w:rPr>
        <w:t>年</w:t>
      </w:r>
      <w:r>
        <w:rPr>
          <w:color w:val="000000"/>
          <w:spacing w:val="0"/>
          <w:w w:val="100"/>
          <w:position w:val="0"/>
        </w:rPr>
        <w:t>WT0736</w:t>
      </w:r>
      <w:r>
        <w:rPr>
          <w:color w:val="000000"/>
          <w:spacing w:val="0"/>
          <w:w w:val="100"/>
          <w:position w:val="0"/>
        </w:rPr>
        <w:t>号《委托保证合同》， 由北京中关村科技融资担保有限公司为本次债券募集提供保证担保。担保金额为</w:t>
      </w:r>
      <w:r>
        <w:rPr>
          <w:color w:val="000000"/>
          <w:spacing w:val="0"/>
          <w:w w:val="100"/>
          <w:position w:val="0"/>
        </w:rPr>
        <w:t>2.4</w:t>
      </w:r>
      <w:r>
        <w:rPr>
          <w:color w:val="000000"/>
          <w:spacing w:val="0"/>
          <w:w w:val="100"/>
          <w:position w:val="0"/>
        </w:rPr>
        <w:t>亿。公司实际控制人 沈飒、朱烨东夫妇为本次发债保证提供连带责任保证反担保，沈飒以其持有公司股份</w:t>
      </w:r>
      <w:r>
        <w:rPr>
          <w:color w:val="000000"/>
          <w:spacing w:val="0"/>
          <w:w w:val="100"/>
          <w:position w:val="0"/>
        </w:rPr>
        <w:t>200.00</w:t>
      </w:r>
      <w:r>
        <w:rPr>
          <w:color w:val="000000"/>
          <w:spacing w:val="0"/>
          <w:w w:val="100"/>
          <w:position w:val="0"/>
        </w:rPr>
        <w:t>万股为本次发 债提供质押反担保；公司以全部应收账款为本次发债提供应收账款质押反担保。</w:t>
      </w:r>
    </w:p>
    <w:p>
      <w:pPr>
        <w:pStyle w:val="Style36"/>
        <w:keepNext/>
        <w:keepLines/>
        <w:widowControl w:val="0"/>
        <w:shd w:val="clear" w:color="auto" w:fill="auto"/>
        <w:bidi w:val="0"/>
        <w:spacing w:before="0" w:line="472" w:lineRule="exact"/>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909"/>
      <w:bookmarkEnd w:id="910"/>
      <w:bookmarkEnd w:id="9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40,932,033.33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16,550,200.00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40,932,033.33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16,550,200.00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涉及政府补助的负债项目</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情报信息系统软件 研发专项资金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海淀区促进非公有 制和中小企业发展 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票据影像交换平台 项目专项资金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服务管理系统软</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件项目专项资金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8" w:lineRule="exact"/>
              <w:ind w:left="0" w:right="0" w:firstLine="0"/>
              <w:jc w:val="both"/>
            </w:pPr>
            <w:r>
              <w:rPr>
                <w:color w:val="000000"/>
                <w:spacing w:val="0"/>
                <w:w w:val="100"/>
                <w:position w:val="0"/>
              </w:rPr>
              <w:t>面向云计算基于虚 拟化技术的分布式 计算管理系统平台 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1,533,333.33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移动电子商务公共 服务平台项目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3,536,000.00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金融行业海量数据 处理北京市工程实 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移动金融云安全服 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7,866,666.67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年北京市科技 计划项目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1,640,700.00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移动支付安全中间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9" w:h="17415"/>
          <w:pgMar w:top="1594" w:right="1056" w:bottom="1724" w:left="1056" w:header="0" w:footer="3" w:gutter="0"/>
          <w:cols w:space="720"/>
          <w:noEndnote/>
          <w:titlePg/>
          <w:rtlGutter w:val="0"/>
          <w:docGrid w:linePitch="360"/>
        </w:sectPr>
      </w:pPr>
    </w:p>
    <w:tbl>
      <w:tblPr>
        <w:tblOverlap w:val="never"/>
        <w:jc w:val="center"/>
        <w:tblLayout w:type="fixed"/>
      </w:tblPr>
      <w:tblGrid>
        <w:gridCol w:w="1666"/>
        <w:gridCol w:w="1406"/>
        <w:gridCol w:w="1238"/>
        <w:gridCol w:w="1435"/>
        <w:gridCol w:w="1152"/>
        <w:gridCol w:w="1114"/>
        <w:gridCol w:w="1574"/>
      </w:tblGrid>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电子发展基金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 支付清算平台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综合运维管理软件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语言的移动 应用软件开发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基于影像可配置的 金融集中作业系统 项目资金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互联网情报搜索系</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统项目资金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16,550,200.00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5,908,166.67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40,932,033.33</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、股本</w:t>
      </w:r>
    </w:p>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69,797,534.00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34,898,767.00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34,898,767.00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104,696,301.00</w:t>
            </w:r>
          </w:p>
        </w:tc>
      </w:tr>
    </w:tbl>
    <w:p>
      <w:pPr>
        <w:pStyle w:val="Style25"/>
        <w:keepNext w:val="0"/>
        <w:keepLines w:val="0"/>
        <w:widowControl w:val="0"/>
        <w:shd w:val="clear" w:color="auto" w:fill="auto"/>
        <w:bidi w:val="0"/>
        <w:spacing w:before="0" w:after="0" w:line="382" w:lineRule="exact"/>
        <w:ind w:left="0" w:right="0" w:firstLine="0"/>
        <w:jc w:val="left"/>
        <w:rPr>
          <w:sz w:val="20"/>
          <w:szCs w:val="20"/>
        </w:rPr>
      </w:pPr>
      <w:r>
        <w:rPr>
          <w:color w:val="000000"/>
          <w:spacing w:val="0"/>
          <w:w w:val="100"/>
          <w:position w:val="0"/>
          <w:sz w:val="16"/>
          <w:szCs w:val="16"/>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6"/>
          <w:szCs w:val="16"/>
        </w:rPr>
        <w:t xml:space="preserve">年的股份有限公司，设立前的年份只需说明净资产情况；有限责任公司整体变更为股份公司应说明公司设立时的验资情况 </w:t>
      </w:r>
      <w:r>
        <w:rPr>
          <w:color w:val="000000"/>
          <w:spacing w:val="0"/>
          <w:w w:val="100"/>
          <w:position w:val="0"/>
          <w:sz w:val="20"/>
          <w:szCs w:val="20"/>
        </w:rPr>
        <w:t>股本变动说明：</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日，公司有限售条件股份有</w:t>
      </w:r>
      <w:r>
        <w:rPr>
          <w:color w:val="000000"/>
          <w:spacing w:val="0"/>
          <w:w w:val="100"/>
          <w:position w:val="0"/>
        </w:rPr>
        <w:t>18,036,884</w:t>
      </w:r>
      <w:r>
        <w:rPr>
          <w:color w:val="000000"/>
          <w:spacing w:val="0"/>
          <w:w w:val="100"/>
          <w:position w:val="0"/>
        </w:rPr>
        <w:t>股解除限售上市流通，占公司总股本的</w:t>
      </w:r>
      <w:r>
        <w:rPr>
          <w:color w:val="000000"/>
          <w:spacing w:val="0"/>
          <w:w w:val="100"/>
          <w:position w:val="0"/>
        </w:rPr>
        <w:t>25.84%</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月，根据公司</w:t>
      </w:r>
      <w:r>
        <w:rPr>
          <w:color w:val="000000"/>
          <w:spacing w:val="0"/>
          <w:w w:val="100"/>
          <w:position w:val="0"/>
        </w:rPr>
        <w:t>2012</w:t>
      </w:r>
      <w:r>
        <w:rPr>
          <w:color w:val="000000"/>
          <w:spacing w:val="0"/>
          <w:w w:val="100"/>
          <w:position w:val="0"/>
        </w:rPr>
        <w:t>年度股东大会决议，公司以资本公积转增股本，以公司总股本</w:t>
      </w:r>
      <w:r>
        <w:rPr>
          <w:color w:val="000000"/>
          <w:spacing w:val="0"/>
          <w:w w:val="100"/>
          <w:position w:val="0"/>
        </w:rPr>
        <w:t xml:space="preserve">69,797,534 </w:t>
      </w:r>
      <w:r>
        <w:rPr>
          <w:color w:val="000000"/>
          <w:spacing w:val="0"/>
          <w:w w:val="100"/>
          <w:position w:val="0"/>
        </w:rPr>
        <w:t>股为基础，向全体公司每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股，共转增</w:t>
      </w:r>
      <w:r>
        <w:rPr>
          <w:color w:val="000000"/>
          <w:spacing w:val="0"/>
          <w:w w:val="100"/>
          <w:position w:val="0"/>
        </w:rPr>
        <w:t xml:space="preserve">34, </w:t>
      </w:r>
      <w:r>
        <w:rPr>
          <w:color w:val="000000"/>
          <w:spacing w:val="0"/>
          <w:w w:val="100"/>
          <w:position w:val="0"/>
        </w:rPr>
        <w:t xml:space="preserve">898,767. </w:t>
      </w:r>
      <w:r>
        <w:rPr>
          <w:color w:val="000000"/>
          <w:spacing w:val="0"/>
          <w:w w:val="100"/>
          <w:position w:val="0"/>
        </w:rPr>
        <w:t>00</w:t>
      </w:r>
      <w:r>
        <w:rPr>
          <w:color w:val="000000"/>
          <w:spacing w:val="0"/>
          <w:w w:val="100"/>
          <w:position w:val="0"/>
        </w:rPr>
        <w:t>股。变更后，限售股股本总额</w:t>
      </w:r>
      <w:r>
        <w:rPr>
          <w:color w:val="000000"/>
          <w:spacing w:val="0"/>
          <w:w w:val="100"/>
          <w:position w:val="0"/>
        </w:rPr>
        <w:t>57,783,599</w:t>
      </w:r>
      <w:r>
        <w:rPr>
          <w:color w:val="000000"/>
          <w:spacing w:val="0"/>
          <w:w w:val="100"/>
          <w:position w:val="0"/>
        </w:rPr>
        <w:t>股, 占总股本的</w:t>
      </w:r>
      <w:r>
        <w:rPr>
          <w:color w:val="000000"/>
          <w:spacing w:val="0"/>
          <w:w w:val="100"/>
          <w:position w:val="0"/>
        </w:rPr>
        <w:t>55.19%；</w:t>
      </w:r>
      <w:r>
        <w:rPr>
          <w:color w:val="000000"/>
          <w:spacing w:val="0"/>
          <w:w w:val="100"/>
          <w:position w:val="0"/>
        </w:rPr>
        <w:t>无限售流通股股本总额</w:t>
      </w:r>
      <w:r>
        <w:rPr>
          <w:color w:val="000000"/>
          <w:spacing w:val="0"/>
          <w:w w:val="100"/>
          <w:position w:val="0"/>
        </w:rPr>
        <w:t>46,912, 702</w:t>
      </w:r>
      <w:r>
        <w:rPr>
          <w:color w:val="000000"/>
          <w:spacing w:val="0"/>
          <w:w w:val="100"/>
          <w:position w:val="0"/>
        </w:rPr>
        <w:t>股，占总股本额的</w:t>
      </w:r>
      <w:r>
        <w:rPr>
          <w:color w:val="000000"/>
          <w:spacing w:val="0"/>
          <w:w w:val="100"/>
          <w:position w:val="0"/>
        </w:rPr>
        <w:t>44.81%</w:t>
      </w:r>
      <w:r>
        <w:rPr>
          <w:color w:val="000000"/>
          <w:spacing w:val="0"/>
          <w:w w:val="100"/>
          <w:position w:val="0"/>
        </w:rPr>
        <w:t>。本次变更后，公司注册 资本增加至</w:t>
      </w:r>
      <w:r>
        <w:rPr>
          <w:color w:val="000000"/>
          <w:spacing w:val="0"/>
          <w:w w:val="100"/>
          <w:position w:val="0"/>
        </w:rPr>
        <w:t xml:space="preserve">104, 696, </w:t>
      </w:r>
      <w:r>
        <w:rPr>
          <w:color w:val="000000"/>
          <w:spacing w:val="0"/>
          <w:w w:val="100"/>
          <w:position w:val="0"/>
        </w:rPr>
        <w:t xml:space="preserve">301. </w:t>
      </w:r>
      <w:r>
        <w:rPr>
          <w:color w:val="000000"/>
          <w:spacing w:val="0"/>
          <w:w w:val="100"/>
          <w:position w:val="0"/>
        </w:rPr>
        <w:t>00</w:t>
      </w:r>
      <w:r>
        <w:rPr>
          <w:color w:val="000000"/>
          <w:spacing w:val="0"/>
          <w:w w:val="100"/>
          <w:position w:val="0"/>
        </w:rPr>
        <w:t>元。</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此次增资业经立信会计师事务所（特殊普通合伙）出具“信会师报字</w:t>
      </w:r>
      <w:r>
        <w:rPr>
          <w:color w:val="000000"/>
          <w:spacing w:val="0"/>
          <w:w w:val="100"/>
          <w:position w:val="0"/>
        </w:rPr>
        <w:t>（2013</w:t>
      </w:r>
      <w:r>
        <w:rPr>
          <w:color w:val="000000"/>
          <w:spacing w:val="0"/>
          <w:w w:val="100"/>
          <w:position w:val="0"/>
        </w:rPr>
        <w:t>）第</w:t>
      </w:r>
      <w:r>
        <w:rPr>
          <w:color w:val="000000"/>
          <w:spacing w:val="0"/>
          <w:w w:val="100"/>
          <w:position w:val="0"/>
        </w:rPr>
        <w:t>210776</w:t>
      </w:r>
      <w:r>
        <w:rPr>
          <w:color w:val="000000"/>
          <w:spacing w:val="0"/>
          <w:w w:val="100"/>
          <w:position w:val="0"/>
        </w:rPr>
        <w:t>号”验资报告 验证。</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公司实际控制人沈飒于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日将其持有的公司股份</w:t>
      </w:r>
      <w:r>
        <w:rPr>
          <w:color w:val="000000"/>
          <w:spacing w:val="0"/>
          <w:w w:val="100"/>
          <w:position w:val="0"/>
        </w:rPr>
        <w:t>2, 000, 000</w:t>
      </w:r>
      <w:r>
        <w:rPr>
          <w:color w:val="000000"/>
          <w:spacing w:val="0"/>
          <w:w w:val="100"/>
          <w:position w:val="0"/>
        </w:rPr>
        <w:t>股质押给北京中关村科技融资 担保有限公司（以下简称“中关村担保”），作为中关村担保为公司发行公司债券提供担保的反担保，质 押期限自</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日起至向中国证券登记结算有限责任公司深圳分公司办理解除质押登记为止。</w:t>
      </w:r>
      <w:r>
        <w:rPr>
          <w:color w:val="000000"/>
          <w:spacing w:val="0"/>
          <w:w w:val="100"/>
          <w:position w:val="0"/>
        </w:rPr>
        <w:t xml:space="preserve">2013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日因资本公积每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股股本，质押股份增加</w:t>
      </w:r>
      <w:r>
        <w:rPr>
          <w:color w:val="000000"/>
          <w:spacing w:val="0"/>
          <w:w w:val="100"/>
          <w:position w:val="0"/>
        </w:rPr>
        <w:t>1, 000, 000</w:t>
      </w:r>
      <w:r>
        <w:rPr>
          <w:color w:val="000000"/>
          <w:spacing w:val="0"/>
          <w:w w:val="100"/>
          <w:position w:val="0"/>
        </w:rPr>
        <w:t>股，增为质押</w:t>
      </w:r>
      <w:r>
        <w:rPr>
          <w:color w:val="000000"/>
          <w:spacing w:val="0"/>
          <w:w w:val="100"/>
          <w:position w:val="0"/>
        </w:rPr>
        <w:t>3,000,000</w:t>
      </w:r>
      <w:r>
        <w:rPr>
          <w:color w:val="000000"/>
          <w:spacing w:val="0"/>
          <w:w w:val="100"/>
          <w:position w:val="0"/>
        </w:rPr>
        <w:t>股。</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实际控制人沈飒于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日将其持有的公司限售股</w:t>
      </w:r>
      <w:r>
        <w:rPr>
          <w:color w:val="000000"/>
          <w:spacing w:val="0"/>
          <w:w w:val="100"/>
          <w:position w:val="0"/>
        </w:rPr>
        <w:t>18,000,000</w:t>
      </w:r>
      <w:r>
        <w:rPr>
          <w:color w:val="000000"/>
          <w:spacing w:val="0"/>
          <w:w w:val="100"/>
          <w:position w:val="0"/>
        </w:rPr>
        <w:t>股（占公司总股本的</w:t>
      </w:r>
      <w:r>
        <w:rPr>
          <w:color w:val="000000"/>
          <w:spacing w:val="0"/>
          <w:w w:val="100"/>
          <w:position w:val="0"/>
        </w:rPr>
        <w:t>17.19%）</w:t>
      </w:r>
      <w:r>
        <w:rPr>
          <w:color w:val="000000"/>
          <w:spacing w:val="0"/>
          <w:w w:val="100"/>
          <w:position w:val="0"/>
        </w:rPr>
        <w:t xml:space="preserve">与国 </w:t>
      </w:r>
      <w:r>
        <w:rPr>
          <w:color w:val="000000"/>
          <w:spacing w:val="0"/>
          <w:w w:val="100"/>
          <w:position w:val="0"/>
        </w:rPr>
        <w:t>泰君安证券股份有限公司进行了股权质押式回购交易业务。股权质押初始交易日为</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日，回购交 易日为</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日。质押期限自</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日起至质押双方向中国证券登记结算有限责任公司深圳分 公司办理解除质押手续为止。</w:t>
      </w:r>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股东陈绪华于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日将其持有的公司股份</w:t>
      </w:r>
      <w:r>
        <w:rPr>
          <w:color w:val="000000"/>
          <w:spacing w:val="0"/>
          <w:w w:val="100"/>
          <w:position w:val="0"/>
        </w:rPr>
        <w:t>5,820,000</w:t>
      </w:r>
      <w:r>
        <w:rPr>
          <w:color w:val="000000"/>
          <w:spacing w:val="0"/>
          <w:w w:val="100"/>
          <w:position w:val="0"/>
        </w:rPr>
        <w:t>股质押给东北证券股份有限公 司，质押期限为</w:t>
      </w:r>
      <w:r>
        <w:rPr>
          <w:color w:val="000000"/>
          <w:spacing w:val="0"/>
          <w:w w:val="100"/>
          <w:position w:val="0"/>
        </w:rPr>
        <w:t>18</w:t>
      </w:r>
      <w:r>
        <w:rPr>
          <w:color w:val="000000"/>
          <w:spacing w:val="0"/>
          <w:w w:val="100"/>
          <w:position w:val="0"/>
        </w:rPr>
        <w:t>个月。</w:t>
      </w:r>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股东陈绪华将其持有的公司股份</w:t>
      </w:r>
      <w:r>
        <w:rPr>
          <w:color w:val="000000"/>
          <w:spacing w:val="0"/>
          <w:w w:val="100"/>
          <w:position w:val="0"/>
        </w:rPr>
        <w:t>9,000,00</w:t>
      </w:r>
      <w:r>
        <w:rPr>
          <w:color w:val="000000"/>
          <w:spacing w:val="0"/>
          <w:w w:val="100"/>
          <w:position w:val="0"/>
        </w:rPr>
        <w:t>。股质押给长江证券股份有限公司，本次股权质押初始交易 日为</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日，回购交易日为</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日。质押期限自</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日起至质押双方向中国证券 登记结算有限责任公司深圳分公司办理解除质押手续为止。</w:t>
      </w:r>
    </w:p>
    <w:p>
      <w:pPr>
        <w:pStyle w:val="Style33"/>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股东蔡迦于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日将其持有的公司股份</w:t>
      </w:r>
      <w:r>
        <w:rPr>
          <w:color w:val="000000"/>
          <w:spacing w:val="0"/>
          <w:w w:val="100"/>
          <w:position w:val="0"/>
        </w:rPr>
        <w:t>7, 000,000</w:t>
      </w:r>
      <w:r>
        <w:rPr>
          <w:color w:val="000000"/>
          <w:spacing w:val="0"/>
          <w:w w:val="100"/>
          <w:position w:val="0"/>
        </w:rPr>
        <w:t>股质押给山西证券股份有限公司，用于其经 营活动，质押期限为</w:t>
      </w:r>
      <w:r>
        <w:rPr>
          <w:color w:val="000000"/>
          <w:spacing w:val="0"/>
          <w:w w:val="100"/>
          <w:position w:val="0"/>
        </w:rPr>
        <w:t>2</w:t>
      </w:r>
      <w:r>
        <w:rPr>
          <w:color w:val="000000"/>
          <w:spacing w:val="0"/>
          <w:w w:val="100"/>
          <w:position w:val="0"/>
        </w:rPr>
        <w:t>年。</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日因资本公积每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股股本，质押股份增加</w:t>
      </w:r>
      <w:r>
        <w:rPr>
          <w:color w:val="000000"/>
          <w:spacing w:val="0"/>
          <w:w w:val="100"/>
          <w:position w:val="0"/>
        </w:rPr>
        <w:t>3, 500, 000</w:t>
      </w:r>
      <w:r>
        <w:rPr>
          <w:color w:val="000000"/>
          <w:spacing w:val="0"/>
          <w:w w:val="100"/>
          <w:position w:val="0"/>
        </w:rPr>
        <w:t>股，增 为质押</w:t>
      </w:r>
      <w:r>
        <w:rPr>
          <w:color w:val="000000"/>
          <w:spacing w:val="0"/>
          <w:w w:val="100"/>
          <w:position w:val="0"/>
        </w:rPr>
        <w:t>10,500,000</w:t>
      </w:r>
      <w:r>
        <w:rPr>
          <w:color w:val="000000"/>
          <w:spacing w:val="0"/>
          <w:w w:val="100"/>
          <w:position w:val="0"/>
        </w:rPr>
        <w:t>股。</w:t>
      </w:r>
    </w:p>
    <w:p>
      <w:pPr>
        <w:pStyle w:val="Style36"/>
        <w:keepNext/>
        <w:keepLines/>
        <w:widowControl w:val="0"/>
        <w:shd w:val="clear" w:color="auto" w:fill="auto"/>
        <w:bidi w:val="0"/>
        <w:spacing w:before="0" w:after="120" w:line="494" w:lineRule="auto"/>
        <w:ind w:left="0" w:right="0" w:firstLine="0"/>
        <w:jc w:val="left"/>
      </w:pPr>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24</w:t>
      </w:r>
      <w:r>
        <w:rPr>
          <w:color w:val="000000"/>
          <w:spacing w:val="0"/>
          <w:w w:val="100"/>
          <w:position w:val="0"/>
        </w:rPr>
        <w:t>、资本公积</w:t>
      </w:r>
      <w:bookmarkEnd w:id="913"/>
      <w:bookmarkEnd w:id="914"/>
      <w:bookmarkEnd w:id="9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359,755,976.72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34,898,767.00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324,857,209.72</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359,755,976.72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34,898,767.00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324,857,209.72</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25</w:t>
      </w:r>
      <w:r>
        <w:rPr>
          <w:b/>
          <w:bCs/>
          <w:color w:val="000000"/>
          <w:spacing w:val="0"/>
          <w:w w:val="100"/>
          <w:position w:val="0"/>
          <w:sz w:val="20"/>
          <w:szCs w:val="20"/>
        </w:rPr>
        <w:t>、盈余公积</w:t>
      </w:r>
    </w:p>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22,582,871.20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29,910,824.83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22,582,871.20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29,910,824.83</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26</w:t>
      </w:r>
      <w:r>
        <w:rPr>
          <w:b/>
          <w:bCs/>
          <w:color w:val="000000"/>
          <w:spacing w:val="0"/>
          <w:w w:val="100"/>
          <w:position w:val="0"/>
          <w:sz w:val="20"/>
          <w:szCs w:val="20"/>
        </w:rPr>
        <w:t>、未分配利润</w:t>
      </w:r>
    </w:p>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206,485,176.26</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206,485,176.26</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56,021,607.58</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7,327,953.63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10,469,630.08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3730"/>
        <w:gridCol w:w="2131"/>
      </w:tblGrid>
      <w:tr>
        <w:trPr>
          <w:trHeight w:val="41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244,709,200.13</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916" w:name="bookmark916"/>
      <w:r>
        <w:rPr>
          <w:rFonts w:ascii="Times New Roman" w:eastAsia="Times New Roman" w:hAnsi="Times New Roman" w:cs="Times New Roman"/>
          <w:color w:val="000000"/>
          <w:spacing w:val="0"/>
          <w:w w:val="100"/>
          <w:position w:val="0"/>
          <w:sz w:val="18"/>
          <w:szCs w:val="18"/>
        </w:rPr>
        <w:t>1</w:t>
      </w:r>
      <w:bookmarkEnd w:id="9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917" w:name="bookmark917"/>
      <w:r>
        <w:rPr>
          <w:rFonts w:ascii="Times New Roman" w:eastAsia="Times New Roman" w:hAnsi="Times New Roman" w:cs="Times New Roman"/>
          <w:color w:val="000000"/>
          <w:spacing w:val="0"/>
          <w:w w:val="100"/>
          <w:position w:val="0"/>
          <w:sz w:val="18"/>
          <w:szCs w:val="18"/>
        </w:rPr>
        <w:t>2</w:t>
      </w:r>
      <w:bookmarkEnd w:id="9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918" w:name="bookmark918"/>
      <w:r>
        <w:rPr>
          <w:rFonts w:ascii="Times New Roman" w:eastAsia="Times New Roman" w:hAnsi="Times New Roman" w:cs="Times New Roman"/>
          <w:color w:val="000000"/>
          <w:spacing w:val="0"/>
          <w:w w:val="100"/>
          <w:position w:val="0"/>
          <w:sz w:val="18"/>
          <w:szCs w:val="18"/>
        </w:rPr>
        <w:t>3</w:t>
      </w:r>
      <w:bookmarkEnd w:id="9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919" w:name="bookmark919"/>
      <w:r>
        <w:rPr>
          <w:rFonts w:ascii="Times New Roman" w:eastAsia="Times New Roman" w:hAnsi="Times New Roman" w:cs="Times New Roman"/>
          <w:color w:val="000000"/>
          <w:spacing w:val="0"/>
          <w:w w:val="100"/>
          <w:position w:val="0"/>
          <w:sz w:val="18"/>
          <w:szCs w:val="18"/>
        </w:rPr>
        <w:t>4</w:t>
      </w:r>
      <w:bookmarkEnd w:id="9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920" w:name="bookmark920"/>
      <w:r>
        <w:rPr>
          <w:rFonts w:ascii="Times New Roman" w:eastAsia="Times New Roman" w:hAnsi="Times New Roman" w:cs="Times New Roman"/>
          <w:color w:val="000000"/>
          <w:spacing w:val="0"/>
          <w:w w:val="100"/>
          <w:position w:val="0"/>
          <w:sz w:val="18"/>
          <w:szCs w:val="18"/>
        </w:rPr>
        <w:t>5</w:t>
      </w:r>
      <w:bookmarkEnd w:id="9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7</w:t>
      </w:r>
      <w:r>
        <w:rPr>
          <w:color w:val="000000"/>
          <w:spacing w:val="0"/>
          <w:w w:val="100"/>
          <w:position w:val="0"/>
        </w:rPr>
        <w:t>、营业收入、营业成本</w:t>
      </w:r>
      <w:bookmarkEnd w:id="921"/>
      <w:bookmarkEnd w:id="922"/>
      <w:bookmarkEnd w:id="924"/>
    </w:p>
    <w:p>
      <w:pPr>
        <w:pStyle w:val="Style36"/>
        <w:keepNext/>
        <w:keepLines/>
        <w:widowControl w:val="0"/>
        <w:shd w:val="clear" w:color="auto" w:fill="auto"/>
        <w:bidi w:val="0"/>
        <w:spacing w:before="0" w:after="380" w:line="240" w:lineRule="auto"/>
        <w:ind w:left="0" w:right="0" w:firstLine="0"/>
        <w:jc w:val="left"/>
      </w:pPr>
      <w:bookmarkStart w:id="921" w:name="bookmark921"/>
      <w:bookmarkStart w:id="922" w:name="bookmark922"/>
      <w:bookmarkStart w:id="925" w:name="bookmark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21"/>
      <w:bookmarkEnd w:id="922"/>
      <w:bookmarkEnd w:id="9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1,021,541,177.65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518,551,596.94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1,281,496.38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3,125,060.05</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755,401,977.94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288,296,990.59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26"/>
      <w:bookmarkEnd w:id="927"/>
      <w:bookmarkEnd w:id="9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701,540,552.96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496,452,919.58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307,939,476.92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124,698,872.89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144,543,286.56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110,684,045.65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119,370,905.29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84,890,160.61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144,003,818.45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117,901,557.73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71,249,502.72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57,033,897.87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31,453,519.68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29,747,412.36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19,991,712.01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18,918,978.92</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1,021,541,177.65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754,785,935.32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518,551,596.94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285,541,910.29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929"/>
      <w:bookmarkEnd w:id="930"/>
      <w:bookmarkEnd w:id="9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服务管理解决方案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162,122,399.66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4,506,173.38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141,665,610.38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25,743,687.95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数据中心综合建设解决方案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753,780,893.63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675,564,712.55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300,351,998.72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226,404,571.61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银行影像解决方案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105,637,884.36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74,715,049.39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76,533,987.84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33,393,650.73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1,021,541,177.65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754,785,935.32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518,551,596.94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285,541,910.29</w:t>
            </w:r>
          </w:p>
        </w:tc>
      </w:tr>
    </w:tbl>
    <w:p>
      <w:pPr>
        <w:spacing w:lineRule="exact" w:line="1"/>
        <w:rPr>
          <w:sz w:val="2"/>
          <w:szCs w:val="2"/>
        </w:rPr>
      </w:pPr>
      <w:r>
        <w:br w:type="page"/>
      </w:r>
    </w:p>
    <w:p>
      <w:pPr>
        <w:pStyle w:val="Style36"/>
        <w:keepNext/>
        <w:keepLines/>
        <w:widowControl w:val="0"/>
        <w:numPr>
          <w:ilvl w:val="0"/>
          <w:numId w:val="37"/>
        </w:numPr>
        <w:shd w:val="clear" w:color="auto" w:fill="auto"/>
        <w:bidi w:val="0"/>
        <w:spacing w:before="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主营业务(分地区)</w:t>
      </w:r>
      <w:bookmarkEnd w:id="933"/>
      <w:bookmarkEnd w:id="934"/>
      <w:bookmarkEnd w:id="9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2,908,033.83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2,159,651.16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6,199,927.55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5,955,661.43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815,271,880.39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607,639,502.65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436,310,560.55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222,300,955.22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89,768,956.15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71,241,373.47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32,420,735.13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25,925,877.17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18,110,254.90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16,232,586.46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6,321,023.59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4,529,122.92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19,191,644.48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15,868,820.70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11,374,762.19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11,215,646.16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67,984,135.92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37,330,460.22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24,536,216.89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14,857,386.56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8,306,271.98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4,313,540.66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1,361,956.87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751,768.35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26,414.17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5,492.48</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1,021,541,177.65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754,785,935.32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518,551,596.94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285,541,910.29</w:t>
            </w:r>
          </w:p>
        </w:tc>
      </w:tr>
    </w:tbl>
    <w:p>
      <w:pPr>
        <w:widowControl w:val="0"/>
        <w:spacing w:after="319" w:line="1" w:lineRule="exact"/>
      </w:pPr>
    </w:p>
    <w:p>
      <w:pPr>
        <w:pStyle w:val="Style36"/>
        <w:keepNext/>
        <w:keepLines/>
        <w:widowControl w:val="0"/>
        <w:numPr>
          <w:ilvl w:val="0"/>
          <w:numId w:val="37"/>
        </w:numPr>
        <w:shd w:val="clear" w:color="auto" w:fill="auto"/>
        <w:bidi w:val="0"/>
        <w:spacing w:before="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公司来自前五名客户的营业收入情况</w:t>
      </w:r>
      <w:bookmarkEnd w:id="937"/>
      <w:bookmarkEnd w:id="938"/>
      <w:bookmarkEnd w:id="9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中经网(北京)数据科技发展有</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84,231,196.64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中科软科技股份有限公司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51,338,066.76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中国人寿保险股份有限公司上 海数据中心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49,512,547.22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北京中天智捷商贸有限公司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44,278,819.64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北京高信达通信科技股份有限公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37,843,649.57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267,204,279.83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8</w:t>
      </w:r>
      <w:r>
        <w:rPr>
          <w:color w:val="000000"/>
          <w:spacing w:val="0"/>
          <w:w w:val="100"/>
          <w:position w:val="0"/>
        </w:rPr>
        <w:t>、营业税金及附加</w:t>
      </w:r>
      <w:bookmarkEnd w:id="941"/>
      <w:bookmarkEnd w:id="942"/>
      <w:bookmarkEnd w:id="9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-587,348.10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1,114,393.77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应税收入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2,150,467.06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1,829,379.42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应交流转税</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1,552,884.23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1,158,596.10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应交流转税</w:t>
            </w:r>
            <w:r>
              <w:rPr>
                <w:rFonts w:ascii="Times New Roman" w:eastAsia="Times New Roman" w:hAnsi="Times New Roman" w:cs="Times New Roman"/>
                <w:color w:val="000000"/>
                <w:spacing w:val="0"/>
                <w:w w:val="100"/>
                <w:position w:val="0"/>
                <w:sz w:val="18"/>
                <w:szCs w:val="18"/>
              </w:rPr>
              <w:t>3%+2%</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3,116,003.19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4,102,369.29</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945"/>
      <w:bookmarkEnd w:id="946"/>
      <w:bookmarkEnd w:id="9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工资及五险一金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26,617,893.63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23,358,128.13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4,812,938.01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7,405,642.17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2,112,056.65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3,162,794.58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1,778,732.48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1,112,967.93</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1,410,166.11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1,378,005.57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3,651,642.68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3,120,926.27</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40,383,429.56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39,538,464.65</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949"/>
      <w:bookmarkEnd w:id="950"/>
      <w:bookmarkEnd w:id="9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工资及五险一金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64,791,784.57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48,041,157.19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16,950,948.43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8,367,049.59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13,113,911.03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10,794,505.45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5,446,595.13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7,181,506.40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8,991,871.93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4,929,624.55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21,884,680.73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16,912,710.37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9,498,800.06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6,576,610.51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858,474.02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5,385,809.10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5,809,695.04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7,184,140.57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2,990,943.00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3,205,435.62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2,793,678.79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836,831.44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劳务派遣费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14,104,364.86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8,211,161.88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12,878,409.85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9,702,357.59</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180,114,157.44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137,328,900.26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953"/>
      <w:bookmarkEnd w:id="954"/>
      <w:bookmarkEnd w:id="9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18,121,142.09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2,910,373.47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-3,980,812.98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-3,709,039.02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公司债券担保费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667,269.94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189,545.06</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16,410,063.72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-609,120.49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957"/>
      <w:bookmarkEnd w:id="958"/>
      <w:bookmarkEnd w:id="960"/>
    </w:p>
    <w:p>
      <w:pPr>
        <w:pStyle w:val="Style36"/>
        <w:keepNext/>
        <w:keepLines/>
        <w:widowControl w:val="0"/>
        <w:shd w:val="clear" w:color="auto" w:fill="auto"/>
        <w:bidi w:val="0"/>
        <w:spacing w:before="0" w:line="240" w:lineRule="auto"/>
        <w:ind w:left="0" w:right="0" w:firstLine="0"/>
        <w:jc w:val="left"/>
      </w:pPr>
      <w:bookmarkStart w:id="957" w:name="bookmark957"/>
      <w:bookmarkStart w:id="958" w:name="bookmark958"/>
      <w:bookmarkStart w:id="961" w:name="bookmark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957"/>
      <w:bookmarkEnd w:id="958"/>
      <w:bookmarkEnd w:id="9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962"/>
      <w:bookmarkEnd w:id="963"/>
      <w:bookmarkEnd w:id="9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934,506.06</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-130,277.74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934,506.06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966"/>
      <w:bookmarkEnd w:id="967"/>
      <w:bookmarkEnd w:id="969"/>
    </w:p>
    <w:p>
      <w:pPr>
        <w:pStyle w:val="Style36"/>
        <w:keepNext/>
        <w:keepLines/>
        <w:widowControl w:val="0"/>
        <w:shd w:val="clear" w:color="auto" w:fill="auto"/>
        <w:bidi w:val="0"/>
        <w:spacing w:before="0" w:line="240" w:lineRule="auto"/>
        <w:ind w:left="0" w:right="0" w:firstLine="0"/>
        <w:jc w:val="left"/>
      </w:pPr>
      <w:bookmarkStart w:id="966" w:name="bookmark966"/>
      <w:bookmarkStart w:id="967" w:name="bookmark967"/>
      <w:bookmarkStart w:id="970" w:name="bookmark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966"/>
      <w:bookmarkEnd w:id="967"/>
      <w:bookmarkEnd w:id="9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35,809,741.20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17,044,401.75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10,922,466.67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35,814,571.23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17,044,401.75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10,927,296.70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971"/>
      <w:bookmarkEnd w:id="972"/>
      <w:bookmarkEnd w:id="9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24,887,274.53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14,358,867.56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789,370.86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海淀科委</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基本计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中介服务支持资金补贴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保增长补贴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418,713.33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服务管理系统软件项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海淀区促进非公有制和 中小企业发展专项资金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面向云计算基于虚拟化 技术的分布式计算管理 系统平台项目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移动金融云安全服务项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智能高精准金融影像处 理成果转化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移动支付安全中间件产</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语言的移动应用 软件开发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184,866.67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互联网情报搜索系统项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移动电子商务公共服务 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年北京市科技计划 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重点培育企业资金奖励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政府中介服务支持资金 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专精特新产业园重点培 育企业租金补贴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年重大应用示范项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票据影像交换平台项目</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印鉴自动识别中间件软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sectPr>
          <w:headerReference w:type="default" r:id="rId295"/>
          <w:footerReference w:type="default" r:id="rId296"/>
          <w:headerReference w:type="even" r:id="rId297"/>
          <w:footerReference w:type="even" r:id="rId298"/>
          <w:headerReference w:type="first" r:id="rId299"/>
          <w:footerReference w:type="first" r:id="rId300"/>
          <w:footnotePr>
            <w:pos w:val="pageBottom"/>
            <w:numFmt w:val="decimal"/>
            <w:numRestart w:val="continuous"/>
          </w:footnotePr>
          <w:pgSz w:w="11909" w:h="17415"/>
          <w:pgMar w:top="1594" w:right="1056" w:bottom="1724" w:left="1056" w:header="0" w:footer="3" w:gutter="0"/>
          <w:cols w:space="720"/>
          <w:noEndnote/>
          <w:titlePg/>
          <w:rtlGutter w:val="0"/>
          <w:docGrid w:linePitch="360"/>
        </w:sectPr>
      </w:pP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35,809,741.20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17,044,401.75</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、营业外支出</w:t>
      </w:r>
    </w:p>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计入当期非经常性损益</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162,619.40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162,619.40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162,619.40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162,619.40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61,328.50</w:t>
            </w: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223,947.90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223,947.90</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36</w:t>
      </w:r>
      <w:r>
        <w:rPr>
          <w:b/>
          <w:bCs/>
          <w:color w:val="000000"/>
          <w:spacing w:val="0"/>
          <w:w w:val="100"/>
          <w:position w:val="0"/>
          <w:sz w:val="20"/>
          <w:szCs w:val="20"/>
        </w:rPr>
        <w:t>、所得税费用</w:t>
      </w:r>
    </w:p>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9,323,463.56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11,339,319.93</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-1,353,791.64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-2,510,704.68</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7,969,671.92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8,828,615.25</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37</w:t>
      </w:r>
      <w:r>
        <w:rPr>
          <w:b/>
          <w:bCs/>
          <w:color w:val="000000"/>
          <w:spacing w:val="0"/>
          <w:w w:val="100"/>
          <w:position w:val="0"/>
          <w:sz w:val="20"/>
          <w:szCs w:val="20"/>
        </w:rPr>
        <w:t>、基本每股收益和稀释每股收益的计算过程</w:t>
      </w:r>
    </w:p>
    <w:p>
      <w:pPr>
        <w:widowControl w:val="0"/>
        <w:spacing w:after="179" w:line="1" w:lineRule="exact"/>
      </w:pPr>
    </w:p>
    <w:p>
      <w:pPr>
        <w:pStyle w:val="Style3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计算公式：</w:t>
      </w:r>
    </w:p>
    <w:p>
      <w:pPr>
        <w:pStyle w:val="Style33"/>
        <w:keepNext w:val="0"/>
        <w:keepLines w:val="0"/>
        <w:widowControl w:val="0"/>
        <w:shd w:val="clear" w:color="auto" w:fill="auto"/>
        <w:tabs>
          <w:tab w:pos="794" w:val="left"/>
        </w:tabs>
        <w:bidi w:val="0"/>
        <w:spacing w:before="0" w:after="0" w:line="475" w:lineRule="exact"/>
        <w:ind w:left="0" w:right="0" w:firstLine="440"/>
        <w:jc w:val="left"/>
      </w:pPr>
      <w:bookmarkStart w:id="974" w:name="bookmark974"/>
      <w:r>
        <w:rPr>
          <w:rFonts w:ascii="Times New Roman" w:eastAsia="Times New Roman" w:hAnsi="Times New Roman" w:cs="Times New Roman"/>
          <w:color w:val="000000"/>
          <w:spacing w:val="0"/>
          <w:w w:val="100"/>
          <w:position w:val="0"/>
        </w:rPr>
        <w:t>1</w:t>
      </w:r>
      <w:bookmarkEnd w:id="974"/>
      <w:r>
        <w:rPr>
          <w:color w:val="000000"/>
          <w:spacing w:val="0"/>
          <w:w w:val="100"/>
          <w:position w:val="0"/>
        </w:rPr>
        <w:t>、</w:t>
        <w:tab/>
        <w:t>基本每股收益</w:t>
      </w:r>
    </w:p>
    <w:p>
      <w:pPr>
        <w:pStyle w:val="Style3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79"/>
        <w:keepNext w:val="0"/>
        <w:keepLines w:val="0"/>
        <w:widowControl w:val="0"/>
        <w:shd w:val="clear" w:color="auto" w:fill="auto"/>
        <w:bidi w:val="0"/>
        <w:spacing w:before="0" w:after="0" w:line="475" w:lineRule="exact"/>
        <w:ind w:left="0" w:right="0" w:firstLine="440"/>
        <w:jc w:val="left"/>
      </w:pPr>
      <w:r>
        <w:rPr>
          <w:color w:val="000000"/>
          <w:spacing w:val="0"/>
          <w:w w:val="100"/>
          <w:position w:val="0"/>
          <w:shd w:val="clear" w:color="auto" w:fill="auto"/>
        </w:rPr>
        <w:t xml:space="preserve">S= S0 </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 xml:space="preserve">Sl </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SixMi+M0-SjxMj+M0-Sk</w:t>
      </w:r>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 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 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 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 期末的累计月数。</w:t>
      </w:r>
    </w:p>
    <w:p>
      <w:pPr>
        <w:pStyle w:val="Style33"/>
        <w:keepNext w:val="0"/>
        <w:keepLines w:val="0"/>
        <w:widowControl w:val="0"/>
        <w:shd w:val="clear" w:color="auto" w:fill="auto"/>
        <w:tabs>
          <w:tab w:pos="813" w:val="left"/>
        </w:tabs>
        <w:bidi w:val="0"/>
        <w:spacing w:before="0" w:after="0" w:line="475" w:lineRule="exact"/>
        <w:ind w:left="0" w:right="0" w:firstLine="440"/>
        <w:jc w:val="both"/>
      </w:pPr>
      <w:bookmarkStart w:id="975" w:name="bookmark975"/>
      <w:r>
        <w:rPr>
          <w:rFonts w:ascii="Times New Roman" w:eastAsia="Times New Roman" w:hAnsi="Times New Roman" w:cs="Times New Roman"/>
          <w:color w:val="000000"/>
          <w:spacing w:val="0"/>
          <w:w w:val="100"/>
          <w:position w:val="0"/>
        </w:rPr>
        <w:t>2</w:t>
      </w:r>
      <w:bookmarkEnd w:id="975"/>
      <w:r>
        <w:rPr>
          <w:color w:val="000000"/>
          <w:spacing w:val="0"/>
          <w:w w:val="100"/>
          <w:position w:val="0"/>
        </w:rPr>
        <w:t>、</w:t>
        <w:tab/>
        <w:t>稀释每股收益</w:t>
      </w:r>
    </w:p>
    <w:p>
      <w:pPr>
        <w:pStyle w:val="Style33"/>
        <w:keepNext w:val="0"/>
        <w:keepLines w:val="0"/>
        <w:widowControl w:val="0"/>
        <w:shd w:val="clear" w:color="auto" w:fill="auto"/>
        <w:bidi w:val="0"/>
        <w:spacing w:before="0" w:after="260" w:line="475" w:lineRule="exact"/>
        <w:ind w:left="0" w:right="0" w:firstLine="44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=P1/（S0</w:t>
      </w:r>
      <w:r>
        <w:rPr>
          <w:color w:val="000000"/>
          <w:spacing w:val="0"/>
          <w:w w:val="100"/>
          <w:position w:val="0"/>
        </w:rPr>
        <w:t>+</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认股权证、股份期权、可转换债券等增加的普 通股加权平均数</w:t>
      </w:r>
      <w:r>
        <w:rPr>
          <w:color w:val="000000"/>
          <w:spacing w:val="0"/>
          <w:w w:val="100"/>
          <w:position w:val="0"/>
        </w:rPr>
        <w:t>）</w:t>
      </w:r>
      <w:r>
        <w:br w:type="page"/>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计算过程：</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33"/>
        <w:keepNext w:val="0"/>
        <w:keepLines w:val="0"/>
        <w:widowControl w:val="0"/>
        <w:shd w:val="clear" w:color="auto" w:fill="auto"/>
        <w:bidi w:val="0"/>
        <w:spacing w:before="0" w:after="560" w:line="468" w:lineRule="exact"/>
        <w:ind w:left="0" w:right="0" w:firstLine="440"/>
        <w:jc w:val="both"/>
      </w:pPr>
      <w:r>
        <w:rPr>
          <w:color w:val="000000"/>
          <w:spacing w:val="0"/>
          <w:w w:val="100"/>
          <w:position w:val="0"/>
        </w:rPr>
        <w:t>基本每股收益以归属于本公司普通股股东的合并净利润除以本公司发行在外普通股的加权平均数计</w:t>
      </w:r>
    </w:p>
    <w:tbl>
      <w:tblPr>
        <w:tblOverlap w:val="never"/>
        <w:jc w:val="center"/>
        <w:tblLayout w:type="fixed"/>
      </w:tblPr>
      <w:tblGrid>
        <w:gridCol w:w="4762"/>
        <w:gridCol w:w="1882"/>
        <w:gridCol w:w="1891"/>
      </w:tblGrid>
      <w:tr>
        <w:trPr>
          <w:trHeight w:val="346"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上期金额（注）</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56,021,607.58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63,372,945.76</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104,696,301.00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100,333,801.00</w:t>
            </w:r>
          </w:p>
        </w:tc>
      </w:tr>
      <w:tr>
        <w:trPr>
          <w:trHeight w:val="35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bl>
    <w:p>
      <w:pPr>
        <w:widowControl w:val="0"/>
        <w:spacing w:after="319" w:line="1" w:lineRule="exact"/>
      </w:pPr>
    </w:p>
    <w:p>
      <w:pPr>
        <w:pStyle w:val="Style33"/>
        <w:keepNext w:val="0"/>
        <w:keepLines w:val="0"/>
        <w:widowControl w:val="0"/>
        <w:shd w:val="clear" w:color="auto" w:fill="auto"/>
        <w:bidi w:val="0"/>
        <w:spacing w:before="0" w:after="0" w:line="240" w:lineRule="auto"/>
        <w:ind w:left="0" w:right="0" w:firstLine="720"/>
        <w:jc w:val="both"/>
      </w:pPr>
      <w:r>
        <w:rPr>
          <w:color w:val="000000"/>
          <w:spacing w:val="0"/>
          <w:w w:val="100"/>
          <w:position w:val="0"/>
        </w:rPr>
        <w:t>普通股的加权平均数计算过程如下:</w:t>
      </w:r>
    </w:p>
    <w:tbl>
      <w:tblPr>
        <w:tblOverlap w:val="never"/>
        <w:jc w:val="center"/>
        <w:tblLayout w:type="fixed"/>
      </w:tblPr>
      <w:tblGrid>
        <w:gridCol w:w="4762"/>
        <w:gridCol w:w="1882"/>
        <w:gridCol w:w="1891"/>
      </w:tblGrid>
      <w:tr>
        <w:trPr>
          <w:trHeight w:val="341"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上期金额（注）</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69,797,534.00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52,347,534.00</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加：本期发行的普通股加权数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34,898,767.00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47,986,267.00</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104,696,301.00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100,333,801.00</w:t>
            </w:r>
          </w:p>
        </w:tc>
      </w:tr>
    </w:tbl>
    <w:p>
      <w:pPr>
        <w:pStyle w:val="Style33"/>
        <w:keepNext w:val="0"/>
        <w:keepLines w:val="0"/>
        <w:widowControl w:val="0"/>
        <w:shd w:val="clear" w:color="auto" w:fill="auto"/>
        <w:bidi w:val="0"/>
        <w:spacing w:before="0" w:after="320" w:line="240" w:lineRule="auto"/>
        <w:ind w:left="0" w:right="0" w:firstLine="720"/>
        <w:jc w:val="both"/>
      </w:pPr>
      <w:r>
        <w:rPr>
          <w:color w:val="000000"/>
          <w:spacing w:val="0"/>
          <w:w w:val="100"/>
          <w:position w:val="0"/>
        </w:rPr>
        <w:t>注：上期金额，按《企业会计准则第</w:t>
      </w:r>
      <w:r>
        <w:rPr>
          <w:rFonts w:ascii="Times New Roman" w:eastAsia="Times New Roman" w:hAnsi="Times New Roman" w:cs="Times New Roman"/>
          <w:color w:val="000000"/>
          <w:spacing w:val="0"/>
          <w:w w:val="100"/>
          <w:position w:val="0"/>
        </w:rPr>
        <w:t>34</w:t>
      </w:r>
      <w:r>
        <w:rPr>
          <w:color w:val="000000"/>
          <w:spacing w:val="0"/>
          <w:w w:val="100"/>
          <w:position w:val="0"/>
        </w:rPr>
        <w:t>号——每股收益》规定进行了调整计算。</w:t>
      </w:r>
    </w:p>
    <w:p>
      <w:pPr>
        <w:pStyle w:val="Style33"/>
        <w:keepNext w:val="0"/>
        <w:keepLines w:val="0"/>
        <w:widowControl w:val="0"/>
        <w:shd w:val="clear" w:color="auto" w:fill="auto"/>
        <w:bidi w:val="0"/>
        <w:spacing w:before="0" w:after="0" w:line="293"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33"/>
        <w:keepNext w:val="0"/>
        <w:keepLines w:val="0"/>
        <w:widowControl w:val="0"/>
        <w:shd w:val="clear" w:color="auto" w:fill="auto"/>
        <w:bidi w:val="0"/>
        <w:spacing w:before="0" w:after="0" w:line="293" w:lineRule="exact"/>
        <w:ind w:left="0" w:right="0" w:firstLine="440"/>
        <w:jc w:val="both"/>
      </w:pPr>
      <w:r>
        <w:rPr>
          <w:color w:val="000000"/>
          <w:spacing w:val="0"/>
          <w:w w:val="100"/>
          <w:position w:val="0"/>
        </w:rPr>
        <w:t>稀释每股收益以调整后的归属于本公司普通股股东的合并净利润除以调整后的本公司发行在外普通 股的加权平均数计算:</w:t>
      </w:r>
    </w:p>
    <w:p>
      <w:pPr>
        <w:widowControl w:val="0"/>
        <w:spacing w:after="4421" w:line="1" w:lineRule="exact"/>
      </w:pPr>
      <w:r>
        <mc:AlternateContent>
          <mc:Choice Requires="wps">
            <w:drawing>
              <wp:anchor distT="0" distB="0" distL="0" distR="0" simplePos="0" relativeHeight="62915338" behindDoc="1" locked="0" layoutInCell="1" allowOverlap="1">
                <wp:simplePos x="0" y="0"/>
                <wp:positionH relativeFrom="page">
                  <wp:posOffset>963295</wp:posOffset>
                </wp:positionH>
                <wp:positionV relativeFrom="paragraph">
                  <wp:posOffset>152400</wp:posOffset>
                </wp:positionV>
                <wp:extent cx="2861945" cy="1234440"/>
                <wp:wrapNone/>
                <wp:docPr id="852" name="Shape 852"/>
                <a:graphic xmlns:a="http://schemas.openxmlformats.org/drawingml/2006/main">
                  <a:graphicData uri="http://schemas.microsoft.com/office/word/2010/wordprocessingShape">
                    <wps:wsp>
                      <wps:cNvSpPr txBox="1"/>
                      <wps:spPr>
                        <a:xfrm>
                          <a:ext cx="2861945" cy="1234440"/>
                        </a:xfrm>
                        <a:prstGeom prst="rect"/>
                        <a:noFill/>
                      </wps:spPr>
                      <wps:txbx>
                        <w:txbxContent>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普通股的加权平均数（稀释）计算过程如下：</w:t>
                            </w:r>
                          </w:p>
                          <w:p>
                            <w:pPr>
                              <w:pStyle w:val="Style27"/>
                              <w:keepNext w:val="0"/>
                              <w:keepLines w:val="0"/>
                              <w:widowControl w:val="0"/>
                              <w:shd w:val="clear" w:color="auto" w:fill="auto"/>
                              <w:bidi w:val="0"/>
                              <w:spacing w:before="0" w:line="240" w:lineRule="auto"/>
                              <w:ind w:left="2220" w:right="0" w:firstLine="0"/>
                              <w:jc w:val="left"/>
                            </w:pPr>
                            <w:r>
                              <w:rPr>
                                <w:color w:val="000000"/>
                                <w:spacing w:val="0"/>
                                <w:w w:val="100"/>
                                <w:position w:val="0"/>
                              </w:rPr>
                              <w:t>项目</w:t>
                            </w:r>
                          </w:p>
                          <w:p>
                            <w:pPr>
                              <w:pStyle w:val="Style27"/>
                              <w:keepNext w:val="0"/>
                              <w:keepLines w:val="0"/>
                              <w:widowControl w:val="0"/>
                              <w:shd w:val="clear" w:color="auto" w:fill="auto"/>
                              <w:bidi w:val="0"/>
                              <w:spacing w:before="0" w:line="240" w:lineRule="auto"/>
                              <w:ind w:left="0" w:right="0" w:firstLine="160"/>
                              <w:jc w:val="left"/>
                            </w:pPr>
                            <w:r>
                              <w:rPr>
                                <w:color w:val="000000"/>
                                <w:spacing w:val="0"/>
                                <w:w w:val="100"/>
                                <w:position w:val="0"/>
                              </w:rPr>
                              <w:t>计算基本每股收益时年末发行在外的普通股加权平均数</w:t>
                            </w:r>
                          </w:p>
                          <w:p>
                            <w:pPr>
                              <w:pStyle w:val="Style27"/>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可转换债券的影响</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股份期权的影响</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line="240" w:lineRule="auto"/>
                              <w:ind w:left="0" w:right="0" w:firstLine="160"/>
                              <w:jc w:val="left"/>
                            </w:pPr>
                            <w:r>
                              <w:rPr>
                                <w:color w:val="000000"/>
                                <w:spacing w:val="0"/>
                                <w:w w:val="100"/>
                                <w:position w:val="0"/>
                              </w:rPr>
                              <w:t>年末普通股的加权平均数（稀释）</w:t>
                            </w:r>
                          </w:p>
                        </w:txbxContent>
                      </wps:txbx>
                      <wps:bodyPr lIns="0" tIns="0" rIns="0" bIns="0">
                        <a:noAutoFit/>
                      </wps:bodyPr>
                    </wps:wsp>
                  </a:graphicData>
                </a:graphic>
              </wp:anchor>
            </w:drawing>
          </mc:Choice>
          <mc:Fallback>
            <w:pict>
              <v:shape id="_x0000_s1878" type="#_x0000_t202" style="position:absolute;margin-left:75.850000000000009pt;margin-top:12.pt;width:225.34999999999999pt;height:97.200000000000003pt;z-index:-188743415;mso-wrap-distance-left:0;mso-wrap-distance-right:0;mso-position-horizontal-relative:page" wrapcoords="0 0" filled="f" stroked="f">
                <v:textbox inset="0,0,0,0">
                  <w:txbxContent>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普通股的加权平均数（稀释）计算过程如下：</w:t>
                      </w:r>
                    </w:p>
                    <w:p>
                      <w:pPr>
                        <w:pStyle w:val="Style27"/>
                        <w:keepNext w:val="0"/>
                        <w:keepLines w:val="0"/>
                        <w:widowControl w:val="0"/>
                        <w:shd w:val="clear" w:color="auto" w:fill="auto"/>
                        <w:bidi w:val="0"/>
                        <w:spacing w:before="0" w:line="240" w:lineRule="auto"/>
                        <w:ind w:left="2220" w:right="0" w:firstLine="0"/>
                        <w:jc w:val="left"/>
                      </w:pPr>
                      <w:r>
                        <w:rPr>
                          <w:color w:val="000000"/>
                          <w:spacing w:val="0"/>
                          <w:w w:val="100"/>
                          <w:position w:val="0"/>
                        </w:rPr>
                        <w:t>项目</w:t>
                      </w:r>
                    </w:p>
                    <w:p>
                      <w:pPr>
                        <w:pStyle w:val="Style27"/>
                        <w:keepNext w:val="0"/>
                        <w:keepLines w:val="0"/>
                        <w:widowControl w:val="0"/>
                        <w:shd w:val="clear" w:color="auto" w:fill="auto"/>
                        <w:bidi w:val="0"/>
                        <w:spacing w:before="0" w:line="240" w:lineRule="auto"/>
                        <w:ind w:left="0" w:right="0" w:firstLine="160"/>
                        <w:jc w:val="left"/>
                      </w:pPr>
                      <w:r>
                        <w:rPr>
                          <w:color w:val="000000"/>
                          <w:spacing w:val="0"/>
                          <w:w w:val="100"/>
                          <w:position w:val="0"/>
                        </w:rPr>
                        <w:t>计算基本每股收益时年末发行在外的普通股加权平均数</w:t>
                      </w:r>
                    </w:p>
                    <w:p>
                      <w:pPr>
                        <w:pStyle w:val="Style27"/>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可转换债券的影响</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股份期权的影响</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line="240" w:lineRule="auto"/>
                        <w:ind w:left="0" w:right="0" w:firstLine="160"/>
                        <w:jc w:val="left"/>
                      </w:pPr>
                      <w:r>
                        <w:rPr>
                          <w:color w:val="000000"/>
                          <w:spacing w:val="0"/>
                          <w:w w:val="100"/>
                          <w:position w:val="0"/>
                        </w:rPr>
                        <w:t>年末普通股的加权平均数（稀释）</w:t>
                      </w:r>
                    </w:p>
                  </w:txbxContent>
                </v:textbox>
                <w10:wrap anchorx="page"/>
              </v:shape>
            </w:pict>
          </mc:Fallback>
        </mc:AlternateContent>
      </w:r>
      <w:r>
        <mc:AlternateContent>
          <mc:Choice Requires="wps">
            <w:drawing>
              <wp:anchor distT="0" distB="0" distL="0" distR="0" simplePos="0" relativeHeight="62915340" behindDoc="1" locked="0" layoutInCell="1" allowOverlap="1">
                <wp:simplePos x="0" y="0"/>
                <wp:positionH relativeFrom="page">
                  <wp:posOffset>4398645</wp:posOffset>
                </wp:positionH>
                <wp:positionV relativeFrom="paragraph">
                  <wp:posOffset>368935</wp:posOffset>
                </wp:positionV>
                <wp:extent cx="484505" cy="149225"/>
                <wp:wrapNone/>
                <wp:docPr id="854" name="Shape 854"/>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880" type="#_x0000_t202" style="position:absolute;margin-left:346.35000000000002pt;margin-top:29.050000000000001pt;width:38.149999999999999pt;height:11.75pt;z-index:-188743413;mso-wrap-distance-left:0;mso-wrap-distance-right:0;mso-position-horizontal-relative:page" wrapcoords="0 0"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v:textbox>
                <w10:wrap anchorx="page"/>
              </v:shape>
            </w:pict>
          </mc:Fallback>
        </mc:AlternateContent>
      </w:r>
      <w:r>
        <mc:AlternateContent>
          <mc:Choice Requires="wps">
            <w:drawing>
              <wp:anchor distT="0" distB="0" distL="0" distR="0" simplePos="0" relativeHeight="62915342" behindDoc="1" locked="0" layoutInCell="1" allowOverlap="1">
                <wp:simplePos x="0" y="0"/>
                <wp:positionH relativeFrom="page">
                  <wp:posOffset>4544695</wp:posOffset>
                </wp:positionH>
                <wp:positionV relativeFrom="paragraph">
                  <wp:posOffset>591185</wp:posOffset>
                </wp:positionV>
                <wp:extent cx="734695" cy="146050"/>
                <wp:wrapNone/>
                <wp:docPr id="856" name="Shape 856"/>
                <a:graphic xmlns:a="http://schemas.openxmlformats.org/drawingml/2006/main">
                  <a:graphicData uri="http://schemas.microsoft.com/office/word/2010/wordprocessingShape">
                    <wps:wsp>
                      <wps:cNvSpPr txBox="1"/>
                      <wps:spPr>
                        <a:xfrm>
                          <a:ext cx="734695" cy="14605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104,696,301.00</w:t>
                            </w:r>
                          </w:p>
                        </w:txbxContent>
                      </wps:txbx>
                      <wps:bodyPr wrap="none" lIns="0" tIns="0" rIns="0" bIns="0">
                        <a:noAutoFit/>
                      </wps:bodyPr>
                    </wps:wsp>
                  </a:graphicData>
                </a:graphic>
              </wp:anchor>
            </w:drawing>
          </mc:Choice>
          <mc:Fallback>
            <w:pict>
              <v:shape id="_x0000_s1882" type="#_x0000_t202" style="position:absolute;margin-left:357.85000000000002pt;margin-top:46.550000000000004pt;width:57.850000000000001pt;height:11.5pt;z-index:-188743411;mso-wrap-distance-left:0;mso-wrap-distance-right:0;mso-position-horizontal-relative:page" wrapcoords="0 0"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104,696,301.00</w:t>
                      </w:r>
                    </w:p>
                  </w:txbxContent>
                </v:textbox>
                <w10:wrap anchorx="page"/>
              </v:shape>
            </w:pict>
          </mc:Fallback>
        </mc:AlternateContent>
      </w:r>
      <w:r>
        <w:drawing>
          <wp:anchor distT="0" distB="0" distL="0" distR="0" simplePos="0" relativeHeight="62915344" behindDoc="1" locked="0" layoutInCell="1" allowOverlap="1">
            <wp:simplePos x="0" y="0"/>
            <wp:positionH relativeFrom="page">
              <wp:posOffset>4008120</wp:posOffset>
            </wp:positionH>
            <wp:positionV relativeFrom="paragraph">
              <wp:posOffset>768350</wp:posOffset>
            </wp:positionV>
            <wp:extent cx="1261745" cy="213360"/>
            <wp:wrapNone/>
            <wp:docPr id="858" name="Shape 858"/>
            <a:graphic xmlns:a="http://schemas.openxmlformats.org/drawingml/2006/main">
              <a:graphicData uri="http://schemas.openxmlformats.org/drawingml/2006/picture">
                <pic:pic xmlns:pic="http://schemas.openxmlformats.org/drawingml/2006/picture">
                  <pic:nvPicPr>
                    <pic:cNvPr id="859" name="Picture box 859"/>
                    <pic:cNvPicPr/>
                  </pic:nvPicPr>
                  <pic:blipFill>
                    <a:blip r:embed="rId301"/>
                    <a:stretch/>
                  </pic:blipFill>
                  <pic:spPr>
                    <a:xfrm>
                      <a:ext cx="1261745" cy="213360"/>
                    </a:xfrm>
                    <a:prstGeom prst="rect"/>
                  </pic:spPr>
                </pic:pic>
              </a:graphicData>
            </a:graphic>
          </wp:anchor>
        </w:drawing>
      </w:r>
      <w:r>
        <w:drawing>
          <wp:anchor distT="0" distB="0" distL="0" distR="0" simplePos="0" relativeHeight="62915345" behindDoc="1" locked="0" layoutInCell="1" allowOverlap="1">
            <wp:simplePos x="0" y="0"/>
            <wp:positionH relativeFrom="page">
              <wp:posOffset>4008120</wp:posOffset>
            </wp:positionH>
            <wp:positionV relativeFrom="paragraph">
              <wp:posOffset>984250</wp:posOffset>
            </wp:positionV>
            <wp:extent cx="1261745" cy="219710"/>
            <wp:wrapNone/>
            <wp:docPr id="860" name="Shape 860"/>
            <a:graphic xmlns:a="http://schemas.openxmlformats.org/drawingml/2006/main">
              <a:graphicData uri="http://schemas.openxmlformats.org/drawingml/2006/picture">
                <pic:pic xmlns:pic="http://schemas.openxmlformats.org/drawingml/2006/picture">
                  <pic:nvPicPr>
                    <pic:cNvPr id="861" name="Picture box 861"/>
                    <pic:cNvPicPr/>
                  </pic:nvPicPr>
                  <pic:blipFill>
                    <a:blip r:embed="rId303"/>
                    <a:stretch/>
                  </pic:blipFill>
                  <pic:spPr>
                    <a:xfrm>
                      <a:ext cx="1261745" cy="219710"/>
                    </a:xfrm>
                    <a:prstGeom prst="rect"/>
                  </pic:spPr>
                </pic:pic>
              </a:graphicData>
            </a:graphic>
          </wp:anchor>
        </w:drawing>
      </w:r>
      <w:r>
        <mc:AlternateContent>
          <mc:Choice Requires="wps">
            <w:drawing>
              <wp:anchor distT="0" distB="0" distL="0" distR="0" simplePos="0" relativeHeight="62915346" behindDoc="1" locked="0" layoutInCell="1" allowOverlap="1">
                <wp:simplePos x="0" y="0"/>
                <wp:positionH relativeFrom="page">
                  <wp:posOffset>5633085</wp:posOffset>
                </wp:positionH>
                <wp:positionV relativeFrom="paragraph">
                  <wp:posOffset>368935</wp:posOffset>
                </wp:positionV>
                <wp:extent cx="481330" cy="149225"/>
                <wp:wrapNone/>
                <wp:docPr id="862" name="Shape 86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上期金额</w:t>
                            </w:r>
                          </w:p>
                        </w:txbxContent>
                      </wps:txbx>
                      <wps:bodyPr wrap="none" lIns="0" tIns="0" rIns="0" bIns="0">
                        <a:noAutoFit/>
                      </wps:bodyPr>
                    </wps:wsp>
                  </a:graphicData>
                </a:graphic>
              </wp:anchor>
            </w:drawing>
          </mc:Choice>
          <mc:Fallback>
            <w:pict>
              <v:shape id="_x0000_s1888" type="#_x0000_t202" style="position:absolute;margin-left:443.55000000000001pt;margin-top:29.050000000000001pt;width:37.899999999999999pt;height:11.75pt;z-index:-188743407;mso-wrap-distance-left:0;mso-wrap-distance-right:0;mso-position-horizontal-relative:page" wrapcoords="0 0"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上期金额</w:t>
                      </w:r>
                    </w:p>
                  </w:txbxContent>
                </v:textbox>
                <w10:wrap anchorx="page"/>
              </v:shape>
            </w:pict>
          </mc:Fallback>
        </mc:AlternateContent>
      </w:r>
      <w:r>
        <mc:AlternateContent>
          <mc:Choice Requires="wps">
            <w:drawing>
              <wp:anchor distT="0" distB="0" distL="0" distR="0" simplePos="0" relativeHeight="62915348" behindDoc="1" locked="0" layoutInCell="1" allowOverlap="1">
                <wp:simplePos x="0" y="0"/>
                <wp:positionH relativeFrom="page">
                  <wp:posOffset>5748655</wp:posOffset>
                </wp:positionH>
                <wp:positionV relativeFrom="paragraph">
                  <wp:posOffset>591185</wp:posOffset>
                </wp:positionV>
                <wp:extent cx="734695" cy="146050"/>
                <wp:wrapNone/>
                <wp:docPr id="864" name="Shape 864"/>
                <a:graphic xmlns:a="http://schemas.openxmlformats.org/drawingml/2006/main">
                  <a:graphicData uri="http://schemas.microsoft.com/office/word/2010/wordprocessingShape">
                    <wps:wsp>
                      <wps:cNvSpPr txBox="1"/>
                      <wps:spPr>
                        <a:xfrm>
                          <a:ext cx="734695" cy="14605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100,333,801.00</w:t>
                            </w:r>
                          </w:p>
                        </w:txbxContent>
                      </wps:txbx>
                      <wps:bodyPr wrap="none" lIns="0" tIns="0" rIns="0" bIns="0">
                        <a:noAutoFit/>
                      </wps:bodyPr>
                    </wps:wsp>
                  </a:graphicData>
                </a:graphic>
              </wp:anchor>
            </w:drawing>
          </mc:Choice>
          <mc:Fallback>
            <w:pict>
              <v:shape id="_x0000_s1890" type="#_x0000_t202" style="position:absolute;margin-left:452.65000000000003pt;margin-top:46.550000000000004pt;width:57.850000000000001pt;height:11.5pt;z-index:-188743405;mso-wrap-distance-left:0;mso-wrap-distance-right:0;mso-position-horizontal-relative:page" wrapcoords="0 0"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100,333,801.00</w:t>
                      </w:r>
                    </w:p>
                  </w:txbxContent>
                </v:textbox>
                <w10:wrap anchorx="page"/>
              </v:shape>
            </w:pict>
          </mc:Fallback>
        </mc:AlternateContent>
      </w:r>
      <w:r>
        <w:drawing>
          <wp:anchor distT="0" distB="0" distL="0" distR="0" simplePos="0" relativeHeight="62915350" behindDoc="1" locked="0" layoutInCell="1" allowOverlap="1">
            <wp:simplePos x="0" y="0"/>
            <wp:positionH relativeFrom="page">
              <wp:posOffset>5269865</wp:posOffset>
            </wp:positionH>
            <wp:positionV relativeFrom="paragraph">
              <wp:posOffset>768350</wp:posOffset>
            </wp:positionV>
            <wp:extent cx="1200785" cy="213360"/>
            <wp:wrapNone/>
            <wp:docPr id="866" name="Shape 866"/>
            <a:graphic xmlns:a="http://schemas.openxmlformats.org/drawingml/2006/main">
              <a:graphicData uri="http://schemas.openxmlformats.org/drawingml/2006/picture">
                <pic:pic xmlns:pic="http://schemas.openxmlformats.org/drawingml/2006/picture">
                  <pic:nvPicPr>
                    <pic:cNvPr id="867" name="Picture box 867"/>
                    <pic:cNvPicPr/>
                  </pic:nvPicPr>
                  <pic:blipFill>
                    <a:blip r:embed="rId305"/>
                    <a:stretch/>
                  </pic:blipFill>
                  <pic:spPr>
                    <a:xfrm>
                      <a:ext cx="1200785" cy="213360"/>
                    </a:xfrm>
                    <a:prstGeom prst="rect"/>
                  </pic:spPr>
                </pic:pic>
              </a:graphicData>
            </a:graphic>
          </wp:anchor>
        </w:drawing>
      </w:r>
      <w:r>
        <w:drawing>
          <wp:anchor distT="0" distB="0" distL="0" distR="0" simplePos="0" relativeHeight="62915351" behindDoc="1" locked="0" layoutInCell="1" allowOverlap="1">
            <wp:simplePos x="0" y="0"/>
            <wp:positionH relativeFrom="page">
              <wp:posOffset>5269865</wp:posOffset>
            </wp:positionH>
            <wp:positionV relativeFrom="paragraph">
              <wp:posOffset>984250</wp:posOffset>
            </wp:positionV>
            <wp:extent cx="1200785" cy="219710"/>
            <wp:wrapNone/>
            <wp:docPr id="868" name="Shape 868"/>
            <a:graphic xmlns:a="http://schemas.openxmlformats.org/drawingml/2006/main">
              <a:graphicData uri="http://schemas.openxmlformats.org/drawingml/2006/picture">
                <pic:pic xmlns:pic="http://schemas.openxmlformats.org/drawingml/2006/picture">
                  <pic:nvPicPr>
                    <pic:cNvPr id="869" name="Picture box 869"/>
                    <pic:cNvPicPr/>
                  </pic:nvPicPr>
                  <pic:blipFill>
                    <a:blip r:embed="rId307"/>
                    <a:stretch/>
                  </pic:blipFill>
                  <pic:spPr>
                    <a:xfrm>
                      <a:ext cx="1200785" cy="219710"/>
                    </a:xfrm>
                    <a:prstGeom prst="rect"/>
                  </pic:spPr>
                </pic:pic>
              </a:graphicData>
            </a:graphic>
          </wp:anchor>
        </w:drawing>
      </w:r>
      <w:r>
        <mc:AlternateContent>
          <mc:Choice Requires="wps">
            <w:drawing>
              <wp:anchor distT="0" distB="0" distL="0" distR="0" simplePos="0" relativeHeight="62915352" behindDoc="1" locked="0" layoutInCell="1" allowOverlap="1">
                <wp:simplePos x="0" y="0"/>
                <wp:positionH relativeFrom="page">
                  <wp:posOffset>4544695</wp:posOffset>
                </wp:positionH>
                <wp:positionV relativeFrom="paragraph">
                  <wp:posOffset>1243330</wp:posOffset>
                </wp:positionV>
                <wp:extent cx="734695" cy="143510"/>
                <wp:wrapNone/>
                <wp:docPr id="870" name="Shape 870"/>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104,696,301.00</w:t>
                            </w:r>
                          </w:p>
                        </w:txbxContent>
                      </wps:txbx>
                      <wps:bodyPr wrap="none" lIns="0" tIns="0" rIns="0" bIns="0">
                        <a:noAutoFit/>
                      </wps:bodyPr>
                    </wps:wsp>
                  </a:graphicData>
                </a:graphic>
              </wp:anchor>
            </w:drawing>
          </mc:Choice>
          <mc:Fallback>
            <w:pict>
              <v:shape id="_x0000_s1896" type="#_x0000_t202" style="position:absolute;margin-left:357.85000000000002pt;margin-top:97.900000000000006pt;width:57.850000000000001pt;height:11.300000000000001pt;z-index:-188743401;mso-wrap-distance-left:0;mso-wrap-distance-right:0;mso-position-horizontal-relative:page" wrapcoords="0 0"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104,696,301.00</w:t>
                      </w:r>
                    </w:p>
                  </w:txbxContent>
                </v:textbox>
                <w10:wrap anchorx="page"/>
              </v:shape>
            </w:pict>
          </mc:Fallback>
        </mc:AlternateContent>
      </w:r>
      <w:r>
        <mc:AlternateContent>
          <mc:Choice Requires="wps">
            <w:drawing>
              <wp:anchor distT="0" distB="0" distL="0" distR="0" simplePos="0" relativeHeight="62915354" behindDoc="1" locked="0" layoutInCell="1" allowOverlap="1">
                <wp:simplePos x="0" y="0"/>
                <wp:positionH relativeFrom="page">
                  <wp:posOffset>5748655</wp:posOffset>
                </wp:positionH>
                <wp:positionV relativeFrom="paragraph">
                  <wp:posOffset>1243330</wp:posOffset>
                </wp:positionV>
                <wp:extent cx="734695" cy="143510"/>
                <wp:wrapNone/>
                <wp:docPr id="872" name="Shape 872"/>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100,333,801.00</w:t>
                            </w:r>
                          </w:p>
                        </w:txbxContent>
                      </wps:txbx>
                      <wps:bodyPr wrap="none" lIns="0" tIns="0" rIns="0" bIns="0">
                        <a:noAutoFit/>
                      </wps:bodyPr>
                    </wps:wsp>
                  </a:graphicData>
                </a:graphic>
              </wp:anchor>
            </w:drawing>
          </mc:Choice>
          <mc:Fallback>
            <w:pict>
              <v:shape id="_x0000_s1898" type="#_x0000_t202" style="position:absolute;margin-left:452.65000000000003pt;margin-top:97.900000000000006pt;width:57.850000000000001pt;height:11.300000000000001pt;z-index:-188743399;mso-wrap-distance-left:0;mso-wrap-distance-right:0;mso-position-horizontal-relative:page" wrapcoords="0 0"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100,333,801.00</w:t>
                      </w:r>
                    </w:p>
                  </w:txbxContent>
                </v:textbox>
                <w10:wrap anchorx="page"/>
              </v:shape>
            </w:pict>
          </mc:Fallback>
        </mc:AlternateContent>
      </w:r>
      <w:r>
        <w:drawing>
          <wp:anchor distT="0" distB="0" distL="0" distR="0" simplePos="0" relativeHeight="62915356" behindDoc="1" locked="0" layoutInCell="1" allowOverlap="1">
            <wp:simplePos x="0" y="0"/>
            <wp:positionH relativeFrom="page">
              <wp:posOffset>5815965</wp:posOffset>
            </wp:positionH>
            <wp:positionV relativeFrom="paragraph">
              <wp:posOffset>1810385</wp:posOffset>
            </wp:positionV>
            <wp:extent cx="1737360" cy="999490"/>
            <wp:wrapNone/>
            <wp:docPr id="874" name="Shape 874"/>
            <a:graphic xmlns:a="http://schemas.openxmlformats.org/drawingml/2006/main">
              <a:graphicData uri="http://schemas.openxmlformats.org/drawingml/2006/picture">
                <pic:pic xmlns:pic="http://schemas.openxmlformats.org/drawingml/2006/picture">
                  <pic:nvPicPr>
                    <pic:cNvPr id="875" name="Picture box 875"/>
                    <pic:cNvPicPr/>
                  </pic:nvPicPr>
                  <pic:blipFill>
                    <a:blip r:embed="rId309"/>
                    <a:stretch/>
                  </pic:blipFill>
                  <pic:spPr>
                    <a:xfrm>
                      <a:ext cx="1737360" cy="999490"/>
                    </a:xfrm>
                    <a:prstGeom prst="rect"/>
                  </pic:spPr>
                </pic:pic>
              </a:graphicData>
            </a:graphic>
          </wp:anchor>
        </w:drawing>
      </w:r>
    </w:p>
    <w:tbl>
      <w:tblPr>
        <w:tblOverlap w:val="never"/>
        <w:jc w:val="center"/>
        <w:tblLayout w:type="fixed"/>
      </w:tblPr>
      <w:tblGrid>
        <w:gridCol w:w="5006"/>
        <w:gridCol w:w="1762"/>
        <w:gridCol w:w="1771"/>
      </w:tblGrid>
      <w:tr>
        <w:trPr>
          <w:trHeight w:val="336"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56,021,607.58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63,372,945.76</w:t>
            </w: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104,696,301.00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100,333,801.00</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976"/>
      <w:bookmarkEnd w:id="977"/>
      <w:bookmarkEnd w:id="9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9</w:t>
      </w:r>
      <w:r>
        <w:rPr>
          <w:color w:val="000000"/>
          <w:spacing w:val="0"/>
          <w:w w:val="100"/>
          <w:position w:val="0"/>
        </w:rPr>
        <w:t>、现金流量表附注</w:t>
      </w:r>
      <w:bookmarkEnd w:id="980"/>
      <w:bookmarkEnd w:id="981"/>
      <w:bookmarkEnd w:id="983"/>
    </w:p>
    <w:p>
      <w:pPr>
        <w:pStyle w:val="Style36"/>
        <w:keepNext/>
        <w:keepLines/>
        <w:widowControl w:val="0"/>
        <w:shd w:val="clear" w:color="auto" w:fill="auto"/>
        <w:bidi w:val="0"/>
        <w:spacing w:before="0" w:line="240" w:lineRule="auto"/>
        <w:ind w:left="0" w:right="0" w:firstLine="0"/>
        <w:jc w:val="left"/>
      </w:pPr>
      <w:bookmarkStart w:id="980" w:name="bookmark980"/>
      <w:bookmarkStart w:id="981" w:name="bookmark981"/>
      <w:bookmarkStart w:id="984" w:name="bookmark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980"/>
      <w:bookmarkEnd w:id="981"/>
      <w:bookmarkEnd w:id="9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政府及其他奖励资金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35,304,300.00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收取保证金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126,778,620.67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收回的往来款、代垫款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83,705,512.16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1,736,533.71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3,411,757.81</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250,936,724.35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985" w:name="bookmark985"/>
      <w:bookmarkStart w:id="986" w:name="bookmark986"/>
      <w:bookmarkStart w:id="987" w:name="bookmark9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985"/>
      <w:bookmarkEnd w:id="986"/>
      <w:bookmarkEnd w:id="9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110,091,377.83</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54,378,352.98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劳务派遣费</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14,104,364.86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13,109,939.93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11,287,669.34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研发服务费</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7,982,893.49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7,921,751.69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5,671,412.03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其他付现费用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26,039,259.41</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250,587,021.56</w:t>
            </w:r>
          </w:p>
        </w:tc>
      </w:tr>
    </w:tbl>
    <w:p>
      <w:pPr>
        <w:sectPr>
          <w:headerReference w:type="default" r:id="rId311"/>
          <w:footerReference w:type="default" r:id="rId312"/>
          <w:headerReference w:type="even" r:id="rId313"/>
          <w:footerReference w:type="even" r:id="rId314"/>
          <w:headerReference w:type="first" r:id="rId315"/>
          <w:footerReference w:type="first" r:id="rId316"/>
          <w:footnotePr>
            <w:pos w:val="pageBottom"/>
            <w:numFmt w:val="decimal"/>
            <w:numRestart w:val="continuous"/>
          </w:footnotePr>
          <w:pgSz w:w="11909" w:h="17415"/>
          <w:pgMar w:top="1594" w:right="1056" w:bottom="1724" w:left="1056" w:header="0" w:footer="3" w:gutter="0"/>
          <w:cols w:space="720"/>
          <w:noEndnote/>
          <w:titlePg/>
          <w:rtlGutter w:val="0"/>
          <w:docGrid w:linePitch="360"/>
        </w:sectPr>
      </w:pPr>
    </w:p>
    <w:p>
      <w:pPr>
        <w:pStyle w:val="Style36"/>
        <w:keepNext/>
        <w:keepLines/>
        <w:widowControl w:val="0"/>
        <w:shd w:val="clear" w:color="auto" w:fill="auto"/>
        <w:bidi w:val="0"/>
        <w:spacing w:before="0" w:after="38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988"/>
      <w:bookmarkEnd w:id="989"/>
      <w:bookmarkEnd w:id="9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2,244,279.27</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2,244,279.27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w:t>
      </w:r>
      <w:bookmarkEnd w:id="994"/>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992"/>
      <w:bookmarkEnd w:id="993"/>
      <w:bookmarkEnd w:id="9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开具承兑汇票保证金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1,744,640.00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发行债券相关费用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1,967,600.00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3,712,240.00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8"/>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996"/>
      <w:bookmarkEnd w:id="997"/>
      <w:bookmarkEnd w:id="999"/>
    </w:p>
    <w:p>
      <w:pPr>
        <w:pStyle w:val="Style36"/>
        <w:keepNext/>
        <w:keepLines/>
        <w:widowControl w:val="0"/>
        <w:shd w:val="clear" w:color="auto" w:fill="auto"/>
        <w:bidi w:val="0"/>
        <w:spacing w:before="0" w:after="380" w:line="240" w:lineRule="auto"/>
        <w:ind w:left="0" w:right="0" w:firstLine="0"/>
        <w:jc w:val="left"/>
      </w:pPr>
      <w:bookmarkStart w:id="1000" w:name="bookmark1000"/>
      <w:bookmarkStart w:id="996" w:name="bookmark996"/>
      <w:bookmarkStart w:id="997" w:name="bookmark9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00"/>
      <w:bookmarkEnd w:id="996"/>
      <w:bookmarkEnd w:id="9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56,122,643.24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60,300,333.13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934,506.06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25,218,640.63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20,787,061.73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18,295,887.18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9,014,939.89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2,975,436.63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813,154.04</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17,477,021.00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66,213.63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-1,353,791.64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-2,510,704.68</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-66,340,016.49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-226,319,310.56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-28,465,625.57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-22,425,640.62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126,982,730.03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149,464,782.54</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149,966,809.23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-9,874,664.84</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526,342,128.37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401,686,050.99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401,686,050.99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156,319,601.03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124,656,077.38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245,366,449.96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001"/>
      <w:bookmarkEnd w:id="1002"/>
      <w:bookmarkEnd w:id="10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526,342,128.37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401,686,050.99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103,025.01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153,936.99</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526,164,672.24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399,467,364.70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74,431.12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2,064,749.30</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526,342,128.37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401,686,050.99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99" w:line="1" w:lineRule="exact"/>
      </w:pPr>
    </w:p>
    <w:p>
      <w:pPr>
        <w:pStyle w:val="Style33"/>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其他项中</w:t>
      </w:r>
      <w:r>
        <w:rPr>
          <w:rFonts w:ascii="Times New Roman" w:eastAsia="Times New Roman" w:hAnsi="Times New Roman" w:cs="Times New Roman"/>
          <w:color w:val="000000"/>
          <w:spacing w:val="0"/>
          <w:w w:val="100"/>
          <w:position w:val="0"/>
        </w:rPr>
        <w:t>718.39</w:t>
      </w:r>
      <w:r>
        <w:rPr>
          <w:color w:val="000000"/>
          <w:spacing w:val="0"/>
          <w:w w:val="100"/>
          <w:position w:val="0"/>
        </w:rPr>
        <w:t>元系信息技术香港外币报表折算差额。</w:t>
      </w:r>
    </w:p>
    <w:p>
      <w:pPr>
        <w:pStyle w:val="Style22"/>
        <w:keepNext/>
        <w:keepLines/>
        <w:widowControl w:val="0"/>
        <w:shd w:val="clear" w:color="auto" w:fill="auto"/>
        <w:bidi w:val="0"/>
        <w:spacing w:before="0" w:after="34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八</w:t>
      </w:r>
      <w:bookmarkEnd w:id="1006"/>
      <w:r>
        <w:rPr>
          <w:color w:val="000000"/>
          <w:spacing w:val="0"/>
          <w:w w:val="100"/>
          <w:position w:val="0"/>
        </w:rPr>
        <w:t>、关联方及关联交易</w:t>
      </w:r>
      <w:bookmarkEnd w:id="1004"/>
      <w:bookmarkEnd w:id="1005"/>
      <w:bookmarkEnd w:id="1007"/>
    </w:p>
    <w:p>
      <w:pPr>
        <w:pStyle w:val="Style36"/>
        <w:keepNext/>
        <w:keepLines/>
        <w:widowControl w:val="0"/>
        <w:shd w:val="clear" w:color="auto" w:fill="auto"/>
        <w:bidi w:val="0"/>
        <w:spacing w:before="0" w:after="340" w:line="240" w:lineRule="auto"/>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008"/>
      <w:bookmarkEnd w:id="1009"/>
      <w:bookmarkEnd w:id="1010"/>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北京中科金 财电子商务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主要从事移 动支付及移 动电子商务 业务及服务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74939488-1</w:t>
            </w: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北京中科金 财信息技术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主要从事专 业承包、技 术开发、技 术转让、技 术咨询、技 术服务与技 术推广等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06283666-3</w:t>
            </w:r>
          </w:p>
        </w:tc>
      </w:tr>
      <w:tr>
        <w:trPr>
          <w:trHeight w:val="193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北京中科金 财电子产品 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主要从事计 算机、平板 电脑等信息 科技类电子 产品的销售 及相关软件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06283651-6</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产品的开发 和服务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北京中科金 财软件技术 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主要从事软 件开发、计 算机系统服 务、技术培 训、技术咨 询、销售计 算机、软件 及辅助设备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08547768-3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r>
        <w:rPr>
          <w:color w:val="000000"/>
          <w:spacing w:val="0"/>
          <w:w w:val="100"/>
          <w:position w:val="0"/>
        </w:rPr>
        <w:t>、关联方交易</w:t>
      </w:r>
      <w:bookmarkEnd w:id="1011"/>
      <w:bookmarkEnd w:id="1012"/>
      <w:bookmarkEnd w:id="1013"/>
    </w:p>
    <w:p>
      <w:pPr>
        <w:pStyle w:val="Style36"/>
        <w:keepNext/>
        <w:keepLines/>
        <w:widowControl w:val="0"/>
        <w:shd w:val="clear" w:color="auto" w:fill="auto"/>
        <w:bidi w:val="0"/>
        <w:spacing w:before="0" w:after="340" w:line="240" w:lineRule="auto"/>
        <w:ind w:left="0" w:right="0" w:firstLine="0"/>
        <w:jc w:val="left"/>
      </w:pPr>
      <w:bookmarkStart w:id="1011" w:name="bookmark1011"/>
      <w:bookmarkStart w:id="1012" w:name="bookmark1012"/>
      <w:bookmarkStart w:id="1014" w:name="bookmark1014"/>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011"/>
      <w:bookmarkEnd w:id="1012"/>
      <w:bookmarkEnd w:id="10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中科商务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中科商务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1,873.97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朱姓东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1,923.90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3"/>
        <w:keepNext w:val="0"/>
        <w:keepLines w:val="0"/>
        <w:widowControl w:val="0"/>
        <w:shd w:val="clear" w:color="auto" w:fill="auto"/>
        <w:bidi w:val="0"/>
        <w:spacing w:before="0" w:after="340" w:line="470" w:lineRule="exact"/>
        <w:ind w:left="0" w:right="0" w:firstLine="480"/>
        <w:jc w:val="left"/>
        <w:sectPr>
          <w:headerReference w:type="default" r:id="rId317"/>
          <w:footerReference w:type="default" r:id="rId318"/>
          <w:headerReference w:type="even" r:id="rId319"/>
          <w:footerReference w:type="even" r:id="rId320"/>
          <w:footnotePr>
            <w:pos w:val="pageBottom"/>
            <w:numFmt w:val="decimal"/>
            <w:numRestart w:val="continuous"/>
          </w:footnotePr>
          <w:pgSz w:w="11909" w:h="17415"/>
          <w:pgMar w:top="1594" w:right="1056" w:bottom="1724" w:left="1056" w:header="0" w:footer="3" w:gutter="0"/>
          <w:cols w:space="720"/>
          <w:noEndnote/>
          <w:rtlGutter w:val="0"/>
          <w:docGrid w:linePitch="360"/>
        </w:sectPr>
      </w:pPr>
      <w:r>
        <w:rPr>
          <w:color w:val="000000"/>
          <w:spacing w:val="0"/>
          <w:w w:val="100"/>
          <w:position w:val="0"/>
        </w:rPr>
        <w:t>担保方提供的保证期间均为依照主合同而确定的债务履行期限届满之日起两年，截止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日，尚有</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日的</w:t>
      </w:r>
      <w:r>
        <w:rPr>
          <w:rFonts w:ascii="Times New Roman" w:eastAsia="Times New Roman" w:hAnsi="Times New Roman" w:cs="Times New Roman"/>
          <w:color w:val="000000"/>
          <w:spacing w:val="0"/>
          <w:w w:val="100"/>
          <w:position w:val="0"/>
        </w:rPr>
        <w:t>24,000</w:t>
      </w:r>
      <w:r>
        <w:rPr>
          <w:color w:val="000000"/>
          <w:spacing w:val="0"/>
          <w:w w:val="100"/>
          <w:position w:val="0"/>
        </w:rPr>
        <w:t>万元担保的主债务及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5,000</w:t>
      </w:r>
      <w:r>
        <w:rPr>
          <w:color w:val="000000"/>
          <w:spacing w:val="0"/>
          <w:w w:val="100"/>
          <w:position w:val="0"/>
        </w:rPr>
        <w:t>万元担保中</w:t>
      </w:r>
      <w:r>
        <w:rPr>
          <w:rFonts w:ascii="Times New Roman" w:eastAsia="Times New Roman" w:hAnsi="Times New Roman" w:cs="Times New Roman"/>
          <w:color w:val="000000"/>
          <w:spacing w:val="0"/>
          <w:w w:val="100"/>
          <w:position w:val="0"/>
        </w:rPr>
        <w:t>3,000</w:t>
      </w:r>
      <w:r>
        <w:rPr>
          <w:color w:val="000000"/>
          <w:spacing w:val="0"/>
          <w:w w:val="100"/>
          <w:position w:val="0"/>
        </w:rPr>
        <w:t>万元主债务未归 还，其他被担保的主债务均已归还。</w:t>
      </w:r>
    </w:p>
    <w:p>
      <w:pPr>
        <w:pStyle w:val="Style22"/>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九</w:t>
      </w:r>
      <w:bookmarkEnd w:id="1017"/>
      <w:r>
        <w:rPr>
          <w:color w:val="000000"/>
          <w:spacing w:val="0"/>
          <w:w w:val="100"/>
          <w:position w:val="0"/>
        </w:rPr>
        <w:t>、或有事项</w:t>
      </w:r>
      <w:bookmarkEnd w:id="1015"/>
      <w:bookmarkEnd w:id="1016"/>
      <w:bookmarkEnd w:id="1018"/>
    </w:p>
    <w:p>
      <w:pPr>
        <w:pStyle w:val="Style36"/>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r>
        <w:rPr>
          <w:color w:val="000000"/>
          <w:spacing w:val="0"/>
          <w:w w:val="100"/>
          <w:position w:val="0"/>
        </w:rPr>
        <w:t>、为其他单位提供债务担保形成的或有负债及其财务影响</w:t>
      </w:r>
      <w:bookmarkEnd w:id="1019"/>
      <w:bookmarkEnd w:id="1020"/>
      <w:bookmarkEnd w:id="1021"/>
    </w:p>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，公司尚有未到期的由银行为公司提供的保函担保，明细见下表:</w:t>
      </w:r>
    </w:p>
    <w:tbl>
      <w:tblPr>
        <w:tblOverlap w:val="never"/>
        <w:jc w:val="center"/>
        <w:tblLayout w:type="fixed"/>
      </w:tblPr>
      <w:tblGrid>
        <w:gridCol w:w="2986"/>
        <w:gridCol w:w="994"/>
        <w:gridCol w:w="1272"/>
        <w:gridCol w:w="1277"/>
        <w:gridCol w:w="994"/>
        <w:gridCol w:w="1925"/>
      </w:tblGrid>
      <w:tr>
        <w:trPr>
          <w:trHeight w:val="52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担保银行</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币种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担保事由</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担保合同编号</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2016-3-25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201210190035</w:t>
            </w:r>
          </w:p>
        </w:tc>
      </w:tr>
      <w:tr>
        <w:trPr>
          <w:trHeight w:val="4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201211070170</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2014-7-24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201212210092</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784,600.00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201212200192</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61,900.00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2014-7-31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201301230088</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201301100077</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201303040154</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招商银行大运村支行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1,164,005.80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2017-3-30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年大保字第</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号</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102,415.00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2018-4-21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201304180182</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2015-2-16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201305150095</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2015-2-16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201305150098</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2016-5-20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201305170095</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201306040015</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2,896,484.00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2018-7-14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201307120049</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平安银行三元桥支行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20130719-001</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201307250167</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201307250165</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2015-2-13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201308210187</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94,460.00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2014-2-25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201309110100</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2015-11-20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201311050233</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201311120157</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201311140048</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201311180082</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201311190301</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201300280044</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138,901.10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201312020112</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北京银行中关村科技园区支行</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201312090253</w:t>
            </w:r>
          </w:p>
        </w:tc>
      </w:tr>
    </w:tbl>
    <w:p>
      <w:pPr>
        <w:widowControl w:val="0"/>
        <w:spacing w:line="1" w:lineRule="exact"/>
      </w:pPr>
    </w:p>
    <w:tbl>
      <w:tblPr>
        <w:tblOverlap w:val="never"/>
        <w:jc w:val="center"/>
        <w:tblLayout w:type="fixed"/>
      </w:tblPr>
      <w:tblGrid>
        <w:gridCol w:w="2986"/>
        <w:gridCol w:w="994"/>
        <w:gridCol w:w="1272"/>
        <w:gridCol w:w="1277"/>
        <w:gridCol w:w="994"/>
        <w:gridCol w:w="1925"/>
      </w:tblGrid>
      <w:tr>
        <w:trPr>
          <w:trHeight w:val="43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201312120070</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201312100259</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201312110120</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388,360.00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2015-12-17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201312160053</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4,037,500.00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2015-12-17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201312160178</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2018-12-22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201312240056</w:t>
            </w:r>
          </w:p>
        </w:tc>
      </w:tr>
      <w:tr>
        <w:trPr>
          <w:trHeight w:val="4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北京银行中关村科技园区支行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201312230073</w:t>
            </w:r>
          </w:p>
        </w:tc>
      </w:tr>
      <w:tr>
        <w:trPr>
          <w:trHeight w:val="44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28,682,225.90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140" w:line="240" w:lineRule="auto"/>
        <w:ind w:left="0" w:right="0" w:firstLine="0"/>
        <w:jc w:val="left"/>
      </w:pPr>
      <w:bookmarkStart w:id="1022" w:name="bookmark1022"/>
      <w:bookmarkStart w:id="1023" w:name="bookmark1023"/>
      <w:bookmarkStart w:id="1024" w:name="bookmark1024"/>
      <w:r>
        <w:rPr>
          <w:color w:val="000000"/>
          <w:spacing w:val="0"/>
          <w:w w:val="100"/>
          <w:position w:val="0"/>
        </w:rPr>
        <w:t>十、承诺事项</w:t>
      </w:r>
      <w:bookmarkEnd w:id="1022"/>
      <w:bookmarkEnd w:id="1023"/>
      <w:bookmarkEnd w:id="1024"/>
    </w:p>
    <w:p>
      <w:pPr>
        <w:pStyle w:val="Style36"/>
        <w:keepNext/>
        <w:keepLines/>
        <w:widowControl w:val="0"/>
        <w:shd w:val="clear" w:color="auto" w:fill="auto"/>
        <w:bidi w:val="0"/>
        <w:spacing w:before="0" w:after="180" w:line="469" w:lineRule="exact"/>
        <w:ind w:left="0" w:right="0" w:firstLine="0"/>
        <w:jc w:val="left"/>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025"/>
      <w:bookmarkEnd w:id="1026"/>
      <w:bookmarkEnd w:id="1027"/>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20</w:t>
      </w:r>
      <w:r>
        <w:rPr>
          <w:color w:val="000000"/>
          <w:spacing w:val="0"/>
          <w:w w:val="100"/>
          <w:position w:val="0"/>
        </w:rPr>
        <w:t>日，公司与北京蓟门首享物业管理有限公司（以下简称“首享物业”</w:t>
      </w:r>
      <w:r>
        <w:rPr>
          <w:color w:val="000000"/>
          <w:spacing w:val="0"/>
          <w:w w:val="100"/>
          <w:position w:val="0"/>
        </w:rPr>
        <w:t>）</w:t>
      </w:r>
      <w:r>
        <w:rPr>
          <w:color w:val="000000"/>
          <w:spacing w:val="0"/>
          <w:w w:val="100"/>
          <w:position w:val="0"/>
        </w:rPr>
        <w:t>签定房屋租赁合 同，承租首享物业拥有的北京市海淀区学院路</w:t>
      </w:r>
      <w:r>
        <w:rPr>
          <w:color w:val="000000"/>
          <w:spacing w:val="0"/>
          <w:w w:val="100"/>
          <w:position w:val="0"/>
        </w:rPr>
        <w:t>51</w:t>
      </w:r>
      <w:r>
        <w:rPr>
          <w:color w:val="000000"/>
          <w:spacing w:val="0"/>
          <w:w w:val="100"/>
          <w:position w:val="0"/>
        </w:rPr>
        <w:t>号“首享科技大厦”第六层的物业为公司办公场所。租赁 建筑面积为</w:t>
      </w:r>
      <w:r>
        <w:rPr>
          <w:color w:val="000000"/>
          <w:spacing w:val="0"/>
          <w:w w:val="100"/>
          <w:position w:val="0"/>
        </w:rPr>
        <w:t>1,816.5m2,</w:t>
      </w:r>
      <w:r>
        <w:rPr>
          <w:color w:val="000000"/>
          <w:spacing w:val="0"/>
          <w:w w:val="100"/>
          <w:position w:val="0"/>
        </w:rPr>
        <w:t>租金标准为</w:t>
      </w:r>
      <w:r>
        <w:rPr>
          <w:color w:val="000000"/>
          <w:spacing w:val="0"/>
          <w:w w:val="100"/>
          <w:position w:val="0"/>
        </w:rPr>
        <w:t>4.4</w:t>
      </w:r>
      <w:r>
        <w:rPr>
          <w:color w:val="000000"/>
          <w:spacing w:val="0"/>
          <w:w w:val="100"/>
          <w:position w:val="0"/>
        </w:rPr>
        <w:t>元人民币</w:t>
      </w:r>
      <w:r>
        <w:rPr>
          <w:color w:val="000000"/>
          <w:spacing w:val="0"/>
          <w:w w:val="100"/>
          <w:position w:val="0"/>
        </w:rPr>
        <w:t>/</w:t>
      </w:r>
      <w:r>
        <w:rPr>
          <w:color w:val="000000"/>
          <w:spacing w:val="0"/>
          <w:w w:val="100"/>
          <w:position w:val="0"/>
        </w:rPr>
        <w:t>建筑平方米</w:t>
      </w:r>
      <w:r>
        <w:rPr>
          <w:color w:val="000000"/>
          <w:spacing w:val="0"/>
          <w:w w:val="100"/>
          <w:position w:val="0"/>
        </w:rPr>
        <w:t>/</w:t>
      </w:r>
      <w:r>
        <w:rPr>
          <w:color w:val="000000"/>
          <w:spacing w:val="0"/>
          <w:w w:val="100"/>
          <w:position w:val="0"/>
        </w:rPr>
        <w:t>日。合同约定租期自</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 xml:space="preserve">2014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 xml:space="preserve">日，公司与北京唯实酒店管理有限公司（以下简称：“唯实酒店”）签定编号 </w:t>
      </w:r>
      <w:r>
        <w:rPr>
          <w:color w:val="000000"/>
          <w:spacing w:val="0"/>
          <w:w w:val="100"/>
          <w:position w:val="0"/>
        </w:rPr>
        <w:t>BUAA-WSHT-2012001</w:t>
      </w:r>
      <w:r>
        <w:rPr>
          <w:color w:val="000000"/>
          <w:spacing w:val="0"/>
          <w:w w:val="100"/>
          <w:position w:val="0"/>
        </w:rPr>
        <w:t>号房屋租赁合同，承租唯实酒店拥有的北京市海淀区学院路</w:t>
      </w:r>
      <w:r>
        <w:rPr>
          <w:color w:val="000000"/>
          <w:spacing w:val="0"/>
          <w:w w:val="100"/>
          <w:position w:val="0"/>
        </w:rPr>
        <w:t>39</w:t>
      </w:r>
      <w:r>
        <w:rPr>
          <w:color w:val="000000"/>
          <w:spacing w:val="0"/>
          <w:w w:val="100"/>
          <w:position w:val="0"/>
        </w:rPr>
        <w:t>号“唯实大厦”十层的 物业为公司总部办公场所。合同约定租期自</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7</w:t>
      </w:r>
      <w:r>
        <w:rPr>
          <w:color w:val="000000"/>
          <w:spacing w:val="0"/>
          <w:w w:val="100"/>
          <w:position w:val="0"/>
        </w:rPr>
        <w:t>日起至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 xml:space="preserve">日。租赁建筑面积为 </w:t>
      </w:r>
      <w:r>
        <w:rPr>
          <w:color w:val="000000"/>
          <w:spacing w:val="0"/>
          <w:w w:val="100"/>
          <w:position w:val="0"/>
        </w:rPr>
        <w:t>2,655. 41m2,</w:t>
      </w:r>
      <w:r>
        <w:rPr>
          <w:color w:val="000000"/>
          <w:spacing w:val="0"/>
          <w:w w:val="100"/>
          <w:position w:val="0"/>
        </w:rPr>
        <w:t>租金标准为</w:t>
      </w:r>
      <w:r>
        <w:rPr>
          <w:color w:val="000000"/>
          <w:spacing w:val="0"/>
          <w:w w:val="100"/>
          <w:position w:val="0"/>
        </w:rPr>
        <w:t>4.5</w:t>
      </w:r>
      <w:r>
        <w:rPr>
          <w:color w:val="000000"/>
          <w:spacing w:val="0"/>
          <w:w w:val="100"/>
          <w:position w:val="0"/>
        </w:rPr>
        <w:t>元人民币</w:t>
      </w:r>
      <w:r>
        <w:rPr>
          <w:color w:val="000000"/>
          <w:spacing w:val="0"/>
          <w:w w:val="100"/>
          <w:position w:val="0"/>
        </w:rPr>
        <w:t>/</w:t>
      </w:r>
      <w:r>
        <w:rPr>
          <w:color w:val="000000"/>
          <w:spacing w:val="0"/>
          <w:w w:val="100"/>
          <w:position w:val="0"/>
        </w:rPr>
        <w:t>建筑平方米</w:t>
      </w:r>
      <w:r>
        <w:rPr>
          <w:color w:val="000000"/>
          <w:spacing w:val="0"/>
          <w:w w:val="100"/>
          <w:position w:val="0"/>
        </w:rPr>
        <w:t>/</w:t>
      </w:r>
      <w:r>
        <w:rPr>
          <w:color w:val="000000"/>
          <w:spacing w:val="0"/>
          <w:w w:val="100"/>
          <w:position w:val="0"/>
        </w:rPr>
        <w:t>日，物业管理费收费标准为</w:t>
      </w:r>
      <w:r>
        <w:rPr>
          <w:color w:val="000000"/>
          <w:spacing w:val="0"/>
          <w:w w:val="100"/>
          <w:position w:val="0"/>
        </w:rPr>
        <w:t>1.0</w:t>
      </w:r>
      <w:r>
        <w:rPr>
          <w:color w:val="000000"/>
          <w:spacing w:val="0"/>
          <w:w w:val="100"/>
          <w:position w:val="0"/>
        </w:rPr>
        <w:t>元人民币</w:t>
      </w:r>
      <w:r>
        <w:rPr>
          <w:color w:val="000000"/>
          <w:spacing w:val="0"/>
          <w:w w:val="100"/>
          <w:position w:val="0"/>
        </w:rPr>
        <w:t>/</w:t>
      </w:r>
      <w:r>
        <w:rPr>
          <w:color w:val="000000"/>
          <w:spacing w:val="0"/>
          <w:w w:val="100"/>
          <w:position w:val="0"/>
        </w:rPr>
        <w:t>建筑平方米</w:t>
      </w:r>
      <w:r>
        <w:rPr>
          <w:color w:val="000000"/>
          <w:spacing w:val="0"/>
          <w:w w:val="100"/>
          <w:position w:val="0"/>
        </w:rPr>
        <w:t xml:space="preserve">/ </w:t>
      </w:r>
      <w:r>
        <w:rPr>
          <w:color w:val="000000"/>
          <w:spacing w:val="0"/>
          <w:w w:val="100"/>
          <w:position w:val="0"/>
        </w:rPr>
        <w:t>日。公司已于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日续租，延长租期自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日止，租金及租赁面积不变。</w:t>
      </w:r>
    </w:p>
    <w:p>
      <w:pPr>
        <w:pStyle w:val="Style33"/>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日，公司与北京北航科技园有限公司签定编号</w:t>
      </w:r>
      <w:r>
        <w:rPr>
          <w:color w:val="000000"/>
          <w:spacing w:val="0"/>
          <w:w w:val="100"/>
          <w:position w:val="0"/>
        </w:rPr>
        <w:t>KJWSHT-2013005</w:t>
      </w:r>
      <w:r>
        <w:rPr>
          <w:color w:val="000000"/>
          <w:spacing w:val="0"/>
          <w:w w:val="100"/>
          <w:position w:val="0"/>
        </w:rPr>
        <w:t>号房屋租赁合同，承租北京 北航科技园有限公司拥有的北京市海淀区学院路</w:t>
      </w:r>
      <w:r>
        <w:rPr>
          <w:color w:val="000000"/>
          <w:spacing w:val="0"/>
          <w:w w:val="100"/>
          <w:position w:val="0"/>
        </w:rPr>
        <w:t>39</w:t>
      </w:r>
      <w:r>
        <w:rPr>
          <w:color w:val="000000"/>
          <w:spacing w:val="0"/>
          <w:w w:val="100"/>
          <w:position w:val="0"/>
        </w:rPr>
        <w:t>号“唯实大厦”地下一层的物业为公司办公用房。合同 约定租期自</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日止。租赁建筑面积为</w:t>
      </w:r>
      <w:r>
        <w:rPr>
          <w:color w:val="000000"/>
          <w:spacing w:val="0"/>
          <w:w w:val="100"/>
          <w:position w:val="0"/>
        </w:rPr>
        <w:t>426m2</w:t>
      </w:r>
      <w:r>
        <w:rPr>
          <w:color w:val="000000"/>
          <w:spacing w:val="0"/>
          <w:w w:val="100"/>
          <w:position w:val="0"/>
        </w:rPr>
        <w:t>，自</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 xml:space="preserve">月 </w:t>
      </w:r>
      <w:r>
        <w:rPr>
          <w:color w:val="000000"/>
          <w:spacing w:val="0"/>
          <w:w w:val="100"/>
          <w:position w:val="0"/>
        </w:rPr>
        <w:t>31</w:t>
      </w:r>
      <w:r>
        <w:rPr>
          <w:color w:val="000000"/>
          <w:spacing w:val="0"/>
          <w:w w:val="100"/>
          <w:position w:val="0"/>
        </w:rPr>
        <w:t>日租金标准为</w:t>
      </w:r>
      <w:r>
        <w:rPr>
          <w:color w:val="000000"/>
          <w:spacing w:val="0"/>
          <w:w w:val="100"/>
          <w:position w:val="0"/>
        </w:rPr>
        <w:t>1.8</w:t>
      </w:r>
      <w:r>
        <w:rPr>
          <w:color w:val="000000"/>
          <w:spacing w:val="0"/>
          <w:w w:val="100"/>
          <w:position w:val="0"/>
        </w:rPr>
        <w:t>元人民币</w:t>
      </w:r>
      <w:r>
        <w:rPr>
          <w:color w:val="000000"/>
          <w:spacing w:val="0"/>
          <w:w w:val="100"/>
          <w:position w:val="0"/>
        </w:rPr>
        <w:t>/</w:t>
      </w:r>
      <w:r>
        <w:rPr>
          <w:color w:val="000000"/>
          <w:spacing w:val="0"/>
          <w:w w:val="100"/>
          <w:position w:val="0"/>
        </w:rPr>
        <w:t>使用平方米</w:t>
      </w:r>
      <w:r>
        <w:rPr>
          <w:color w:val="000000"/>
          <w:spacing w:val="0"/>
          <w:w w:val="100"/>
          <w:position w:val="0"/>
        </w:rPr>
        <w:t>/</w:t>
      </w:r>
      <w:r>
        <w:rPr>
          <w:color w:val="000000"/>
          <w:spacing w:val="0"/>
          <w:w w:val="100"/>
          <w:position w:val="0"/>
        </w:rPr>
        <w:t>日，</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日为</w:t>
      </w:r>
      <w:r>
        <w:rPr>
          <w:color w:val="000000"/>
          <w:spacing w:val="0"/>
          <w:w w:val="100"/>
          <w:position w:val="0"/>
        </w:rPr>
        <w:t>2.2</w:t>
      </w:r>
      <w:r>
        <w:rPr>
          <w:color w:val="000000"/>
          <w:spacing w:val="0"/>
          <w:w w:val="100"/>
          <w:position w:val="0"/>
        </w:rPr>
        <w:t>元人民币</w:t>
      </w:r>
      <w:r>
        <w:rPr>
          <w:color w:val="000000"/>
          <w:spacing w:val="0"/>
          <w:w w:val="100"/>
          <w:position w:val="0"/>
        </w:rPr>
        <w:t>/</w:t>
      </w:r>
      <w:r>
        <w:rPr>
          <w:color w:val="000000"/>
          <w:spacing w:val="0"/>
          <w:w w:val="100"/>
          <w:position w:val="0"/>
        </w:rPr>
        <w:t>使用平方 米/日。</w:t>
      </w:r>
    </w:p>
    <w:p>
      <w:pPr>
        <w:pStyle w:val="Style22"/>
        <w:keepNext/>
        <w:keepLines/>
        <w:widowControl w:val="0"/>
        <w:shd w:val="clear" w:color="auto" w:fill="auto"/>
        <w:bidi w:val="0"/>
        <w:spacing w:before="0" w:after="140" w:line="240" w:lineRule="auto"/>
        <w:ind w:left="0" w:right="0" w:firstLine="0"/>
        <w:jc w:val="left"/>
      </w:pPr>
      <w:bookmarkStart w:id="1028" w:name="bookmark1028"/>
      <w:bookmarkStart w:id="1029" w:name="bookmark1029"/>
      <w:bookmarkStart w:id="1030" w:name="bookmark1030"/>
      <w:r>
        <w:rPr>
          <w:color w:val="000000"/>
          <w:spacing w:val="0"/>
          <w:w w:val="100"/>
          <w:position w:val="0"/>
        </w:rPr>
        <w:t>十^一、资产负债表日后事项</w:t>
      </w:r>
      <w:bookmarkEnd w:id="1028"/>
      <w:bookmarkEnd w:id="1029"/>
      <w:bookmarkEnd w:id="1030"/>
    </w:p>
    <w:p>
      <w:pPr>
        <w:pStyle w:val="Style36"/>
        <w:keepNext/>
        <w:keepLines/>
        <w:widowControl w:val="0"/>
        <w:shd w:val="clear" w:color="auto" w:fill="auto"/>
        <w:bidi w:val="0"/>
        <w:spacing w:before="0" w:after="380" w:line="469" w:lineRule="exact"/>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031"/>
      <w:bookmarkEnd w:id="1032"/>
      <w:bookmarkEnd w:id="10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7,328,741.07</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left"/>
      </w:pPr>
      <w:r>
        <mc:AlternateContent>
          <mc:Choice Requires="wps">
            <w:drawing>
              <wp:anchor distT="0" distB="0" distL="114300" distR="114300" simplePos="0" relativeHeight="125829432" behindDoc="0" locked="0" layoutInCell="1" allowOverlap="1">
                <wp:simplePos x="0" y="0"/>
                <wp:positionH relativeFrom="page">
                  <wp:posOffset>6164580</wp:posOffset>
                </wp:positionH>
                <wp:positionV relativeFrom="paragraph">
                  <wp:posOffset>12700</wp:posOffset>
                </wp:positionV>
                <wp:extent cx="628015" cy="143510"/>
                <wp:wrapSquare wrapText="left"/>
                <wp:docPr id="905" name="Shape 905"/>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7,328,741.07</w:t>
                            </w:r>
                          </w:p>
                        </w:txbxContent>
                      </wps:txbx>
                      <wps:bodyPr wrap="none" lIns="0" tIns="0" rIns="0" bIns="0">
                        <a:noAutoFit/>
                      </wps:bodyPr>
                    </wps:wsp>
                  </a:graphicData>
                </a:graphic>
              </wp:anchor>
            </w:drawing>
          </mc:Choice>
          <mc:Fallback>
            <w:pict>
              <v:shape id="_x0000_s1931" type="#_x0000_t202" style="position:absolute;margin-left:485.40000000000003pt;margin-top:1.pt;width:49.450000000000003pt;height:11.300000000000001pt;z-index:-125829321;mso-wrap-distance-left:9.pt;mso-wrap-distance-right:9.pt;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7,328,741.07</w:t>
                      </w:r>
                    </w:p>
                  </w:txbxContent>
                </v:textbox>
                <w10:wrap type="square" side="left" anchorx="page"/>
              </v:shape>
            </w:pict>
          </mc:Fallback>
        </mc:AlternateContent>
      </w:r>
      <w:r>
        <w:rPr>
          <w:color w:val="000000"/>
          <w:spacing w:val="0"/>
          <w:w w:val="100"/>
          <w:position w:val="0"/>
        </w:rPr>
        <w:t>经审议批准宣告发放的利润或股利</w:t>
      </w:r>
    </w:p>
    <w:p>
      <w:pPr>
        <w:pStyle w:val="Style36"/>
        <w:keepNext/>
        <w:keepLines/>
        <w:widowControl w:val="0"/>
        <w:shd w:val="clear" w:color="auto" w:fill="auto"/>
        <w:bidi w:val="0"/>
        <w:spacing w:before="0" w:after="200" w:line="468" w:lineRule="exact"/>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034"/>
      <w:bookmarkEnd w:id="1035"/>
      <w:bookmarkEnd w:id="1036"/>
    </w:p>
    <w:p>
      <w:pPr>
        <w:pStyle w:val="Style33"/>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公司第三届董事会第五次会议于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日通过</w:t>
      </w:r>
      <w:r>
        <w:rPr>
          <w:color w:val="000000"/>
          <w:spacing w:val="0"/>
          <w:w w:val="100"/>
          <w:position w:val="0"/>
        </w:rPr>
        <w:t>2013</w:t>
      </w:r>
      <w:r>
        <w:rPr>
          <w:color w:val="000000"/>
          <w:spacing w:val="0"/>
          <w:w w:val="100"/>
          <w:position w:val="0"/>
        </w:rPr>
        <w:t>年度利润分配方案：以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日总股本</w:t>
      </w:r>
      <w:r>
        <w:rPr>
          <w:color w:val="000000"/>
          <w:spacing w:val="0"/>
          <w:w w:val="100"/>
          <w:position w:val="0"/>
        </w:rPr>
        <w:t>104, 696, 301</w:t>
      </w:r>
      <w:r>
        <w:rPr>
          <w:color w:val="000000"/>
          <w:spacing w:val="0"/>
          <w:w w:val="100"/>
          <w:position w:val="0"/>
        </w:rPr>
        <w:t>股为基数，向全体股东按每</w:t>
      </w:r>
      <w:r>
        <w:rPr>
          <w:color w:val="000000"/>
          <w:spacing w:val="0"/>
          <w:w w:val="100"/>
          <w:position w:val="0"/>
        </w:rPr>
        <w:t>10</w:t>
      </w:r>
      <w:r>
        <w:rPr>
          <w:color w:val="000000"/>
          <w:spacing w:val="0"/>
          <w:w w:val="100"/>
          <w:position w:val="0"/>
        </w:rPr>
        <w:t>股派发现金红利</w:t>
      </w:r>
      <w:r>
        <w:rPr>
          <w:color w:val="000000"/>
          <w:spacing w:val="0"/>
          <w:w w:val="100"/>
          <w:position w:val="0"/>
        </w:rPr>
        <w:t>0.70</w:t>
      </w:r>
      <w:r>
        <w:rPr>
          <w:color w:val="000000"/>
          <w:spacing w:val="0"/>
          <w:w w:val="100"/>
          <w:position w:val="0"/>
        </w:rPr>
        <w:t>元(含税)。本次利润分配合 计派发现金股利</w:t>
      </w:r>
      <w:r>
        <w:rPr>
          <w:color w:val="000000"/>
          <w:spacing w:val="0"/>
          <w:w w:val="100"/>
          <w:position w:val="0"/>
        </w:rPr>
        <w:t>7,328,741.07</w:t>
      </w:r>
      <w:r>
        <w:rPr>
          <w:color w:val="000000"/>
          <w:spacing w:val="0"/>
          <w:w w:val="100"/>
          <w:position w:val="0"/>
        </w:rPr>
        <w:t>元，本次股利分配后剩余未分配利润滚存至下一年度。</w:t>
      </w:r>
    </w:p>
    <w:p>
      <w:pPr>
        <w:pStyle w:val="Style33"/>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上述利润分配方案尚需股东大会审议批准。</w:t>
      </w:r>
    </w:p>
    <w:p>
      <w:pPr>
        <w:pStyle w:val="Style22"/>
        <w:keepNext/>
        <w:keepLines/>
        <w:widowControl w:val="0"/>
        <w:shd w:val="clear" w:color="auto" w:fill="auto"/>
        <w:bidi w:val="0"/>
        <w:spacing w:before="0" w:after="140" w:line="240" w:lineRule="auto"/>
        <w:ind w:left="0" w:right="0" w:firstLine="0"/>
        <w:jc w:val="left"/>
      </w:pPr>
      <w:bookmarkStart w:id="1037" w:name="bookmark1037"/>
      <w:bookmarkStart w:id="1038" w:name="bookmark1038"/>
      <w:bookmarkStart w:id="1039" w:name="bookmark1039"/>
      <w:r>
        <w:rPr>
          <w:color w:val="000000"/>
          <w:spacing w:val="0"/>
          <w:w w:val="100"/>
          <w:position w:val="0"/>
        </w:rPr>
        <w:t>十二、母公司财务报表主要项目注释</w:t>
      </w:r>
      <w:bookmarkEnd w:id="1037"/>
      <w:bookmarkEnd w:id="1038"/>
      <w:bookmarkEnd w:id="1039"/>
    </w:p>
    <w:p>
      <w:pPr>
        <w:pStyle w:val="Style36"/>
        <w:keepNext/>
        <w:keepLines/>
        <w:widowControl w:val="0"/>
        <w:shd w:val="clear" w:color="auto" w:fill="auto"/>
        <w:bidi w:val="0"/>
        <w:spacing w:before="0" w:after="140" w:line="468" w:lineRule="exact"/>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40"/>
      <w:bookmarkEnd w:id="1041"/>
      <w:bookmarkEnd w:id="1042"/>
    </w:p>
    <w:p>
      <w:pPr>
        <w:pStyle w:val="Style36"/>
        <w:keepNext/>
        <w:keepLines/>
        <w:widowControl w:val="0"/>
        <w:shd w:val="clear" w:color="auto" w:fill="auto"/>
        <w:bidi w:val="0"/>
        <w:spacing w:before="0" w:line="468" w:lineRule="exact"/>
        <w:ind w:left="0" w:right="0" w:firstLine="0"/>
        <w:jc w:val="left"/>
      </w:pPr>
      <w:bookmarkStart w:id="1040" w:name="bookmark1040"/>
      <w:bookmarkStart w:id="1041" w:name="bookmark1041"/>
      <w:bookmarkStart w:id="1043" w:name="bookmark10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40"/>
      <w:bookmarkEnd w:id="1041"/>
      <w:bookmarkEnd w:id="10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37,441,299.63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2,878,541.90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44,557,717.24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2,693,259.60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37,441,299.63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2,878,541.90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44,557,717.24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2,693,259.60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37,441,299.63</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2,878,541.90</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44,557,717.24</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2,693,259.60</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组合中，采用账龄分析法计提坏账准备的应收账款</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28,194,561.23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1,409,728.06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36,184,914.33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1,809,245.72</w:t>
            </w:r>
          </w:p>
        </w:tc>
      </w:tr>
    </w:tbl>
    <w:p>
      <w:pPr>
        <w:widowControl w:val="0"/>
        <w:spacing w:line="1" w:lineRule="exact"/>
        <w:sectPr>
          <w:headerReference w:type="default" r:id="rId321"/>
          <w:footerReference w:type="default" r:id="rId322"/>
          <w:headerReference w:type="even" r:id="rId323"/>
          <w:footerReference w:type="even" r:id="rId324"/>
          <w:headerReference w:type="first" r:id="rId325"/>
          <w:footerReference w:type="first" r:id="rId326"/>
          <w:footnotePr>
            <w:pos w:val="pageBottom"/>
            <w:numFmt w:val="decimal"/>
            <w:numRestart w:val="continuous"/>
          </w:footnotePr>
          <w:pgSz w:w="11909" w:h="17415"/>
          <w:pgMar w:top="1594" w:right="1056" w:bottom="1724" w:left="1056" w:header="0" w:footer="3" w:gutter="0"/>
          <w:cols w:space="720"/>
          <w:noEndnote/>
          <w:titlePg/>
          <w:rtlGutter w:val="0"/>
          <w:docGrid w:linePitch="360"/>
        </w:sectPr>
      </w:pPr>
    </w:p>
    <w:tbl>
      <w:tblPr>
        <w:tblOverlap w:val="never"/>
        <w:jc w:val="center"/>
        <w:tblLayout w:type="fixed"/>
      </w:tblPr>
      <w:tblGrid>
        <w:gridCol w:w="1075"/>
        <w:gridCol w:w="1992"/>
        <w:gridCol w:w="662"/>
        <w:gridCol w:w="1464"/>
        <w:gridCol w:w="2126"/>
        <w:gridCol w:w="662"/>
        <w:gridCol w:w="1603"/>
      </w:tblGrid>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28,194,561.23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1,409,728.06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36,184,914.33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1,809,245.72</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3,805,338.40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380,533.84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7,905,467.00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790,546.70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1,088,280.00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467,335.91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93,467.18</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37,441,299.63</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2,878,541.90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44,557,717.24</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2,693,259.60</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044"/>
      <w:bookmarkEnd w:id="1045"/>
      <w:bookmarkEnd w:id="10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神华物资集团有限公司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8,778,700.00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中国电信集团系统集成 有限责任公司新疆分公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中国人寿保险股份有限 公司上海数据中心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6,277,520.58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陕西通信信息技术有限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5,259,900.00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唐山中厚板材有限公司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30,036,120.58</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47"/>
      <w:bookmarkEnd w:id="1048"/>
      <w:bookmarkEnd w:id="1049"/>
    </w:p>
    <w:p>
      <w:pPr>
        <w:pStyle w:val="Style36"/>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50" w:name="bookmark1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47"/>
      <w:bookmarkEnd w:id="1048"/>
      <w:bookmarkEnd w:id="10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bottom w:val="single" w:sz="4"/>
            </w:tcBorders>
            <w:shd w:val="clear" w:color="auto" w:fill="FFFFFF"/>
            <w:vAlign w:val="center"/>
          </w:tcPr>
          <w:p>
            <w:pPr>
              <w:pStyle w:val="Style9"/>
              <w:keepNext w:val="0"/>
              <w:keepLines w:val="0"/>
              <w:widowControl w:val="0"/>
              <w:shd w:val="clear" w:color="auto" w:fill="auto"/>
              <w:tabs>
                <w:tab w:pos="1384" w:val="left"/>
              </w:tabs>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31,169,012.57</w:t>
              <w:tab/>
            </w:r>
            <w:r>
              <w:rPr>
                <w:rFonts w:ascii="Times New Roman" w:eastAsia="Times New Roman" w:hAnsi="Times New Roman" w:cs="Times New Roman"/>
                <w:color w:val="000000"/>
                <w:spacing w:val="0"/>
                <w:w w:val="100"/>
                <w:position w:val="0"/>
                <w:sz w:val="18"/>
                <w:szCs w:val="18"/>
              </w:rPr>
              <w:t>99.90%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1,878,382.67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31,778,733.32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2,232,460.79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bl>
    <w:p>
      <w:pPr>
        <w:widowControl w:val="0"/>
        <w:spacing w:line="1" w:lineRule="exact"/>
      </w:pPr>
      <w:r>
        <w:br w:type="page"/>
      </w:r>
    </w:p>
    <w:tbl>
      <w:tblPr>
        <w:tblOverlap w:val="never"/>
        <w:jc w:val="center"/>
        <w:tblLayout w:type="fixed"/>
      </w:tblPr>
      <w:tblGrid>
        <w:gridCol w:w="2179"/>
        <w:gridCol w:w="1234"/>
        <w:gridCol w:w="749"/>
        <w:gridCol w:w="1320"/>
        <w:gridCol w:w="528"/>
        <w:gridCol w:w="1320"/>
        <w:gridCol w:w="528"/>
        <w:gridCol w:w="1190"/>
        <w:gridCol w:w="538"/>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31,199,429.57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1,878,382.67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31,778,733.32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2,232,460.79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31,199,429.57</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1,878,382.67</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31,778,733.32</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2,232,460.79</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gridSpan w:val="7"/>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27,143,254.82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1,357,162.74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25,433,010.82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1,271,650.54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27,143,254.82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1,357,162.74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25,433,010.82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1,271,650.54</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2,839,316.25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283,931.63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3,451,391.50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345,139.15</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1,186,441.50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237,288.30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2,771,648.00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554,329.60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61,341.50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61,341.50</w:t>
            </w:r>
          </w:p>
        </w:tc>
      </w:tr>
      <w:tr>
        <w:trPr>
          <w:trHeight w:val="408"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31,169,012.57</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1,878,382.67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31,778,733.32</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2,232,460.79</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051"/>
      <w:bookmarkEnd w:id="1052"/>
      <w:bookmarkEnd w:id="10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中科软科技股份有限公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11,678,842.68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中国教育电视台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北京敬保盛业装饰装修</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北京北航科技园有限公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1,321,142.00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中捷通信有限公司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17,860,484.68</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w:t>
            </w:r>
          </w:p>
        </w:tc>
      </w:tr>
    </w:tbl>
    <w:p>
      <w:pPr>
        <w:widowControl w:val="0"/>
        <w:spacing w:after="339" w:line="1" w:lineRule="exact"/>
      </w:pPr>
    </w:p>
    <w:p>
      <w:pPr>
        <w:pStyle w:val="Style36"/>
        <w:keepNext/>
        <w:keepLines/>
        <w:widowControl w:val="0"/>
        <w:numPr>
          <w:ilvl w:val="0"/>
          <w:numId w:val="39"/>
        </w:numPr>
        <w:shd w:val="clear" w:color="auto" w:fill="auto"/>
        <w:bidi w:val="0"/>
        <w:spacing w:before="0" w:after="34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其他应收关联方账款情况</w:t>
      </w:r>
      <w:bookmarkEnd w:id="1054"/>
      <w:bookmarkEnd w:id="1055"/>
      <w:bookmarkEnd w:id="10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北京中科金财软件技术有限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16,729.50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北京中科金财信息技术有限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13,687.50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30,417.00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color w:val="000000"/>
          <w:spacing w:val="0"/>
          <w:w w:val="100"/>
          <w:position w:val="0"/>
        </w:rPr>
        <w:t>、长期股权投资</w:t>
      </w:r>
      <w:bookmarkEnd w:id="1058"/>
      <w:bookmarkEnd w:id="1059"/>
      <w:bookmarkEnd w:id="10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北京中科 金财电子 商务有限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107,474,4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107,474,4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107,474,4</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北京中科 金财信息 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北京中科 金财电子 产品有限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w:t>
            </w:r>
          </w:p>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w:t>
            </w:r>
          </w:p>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北京中科 金财软件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327"/>
          <w:footerReference w:type="default" r:id="rId328"/>
          <w:headerReference w:type="even" r:id="rId329"/>
          <w:footerReference w:type="even" r:id="rId330"/>
          <w:footnotePr>
            <w:pos w:val="pageBottom"/>
            <w:numFmt w:val="decimal"/>
            <w:numRestart w:val="continuous"/>
          </w:footnotePr>
          <w:pgSz w:w="11909" w:h="17415"/>
          <w:pgMar w:top="1594" w:right="1056" w:bottom="1724" w:left="1056"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123,554,4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107,474,4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123,554,4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w:t>
      </w:r>
      <w:bookmarkEnd w:id="1064"/>
      <w:r>
        <w:rPr>
          <w:color w:val="000000"/>
          <w:spacing w:val="0"/>
          <w:w w:val="100"/>
          <w:position w:val="0"/>
        </w:rPr>
        <w:t>、营业收入和营业成本</w:t>
      </w:r>
      <w:bookmarkEnd w:id="1062"/>
      <w:bookmarkEnd w:id="1063"/>
      <w:bookmarkEnd w:id="1065"/>
    </w:p>
    <w:p>
      <w:pPr>
        <w:pStyle w:val="Style36"/>
        <w:keepNext/>
        <w:keepLines/>
        <w:widowControl w:val="0"/>
        <w:shd w:val="clear" w:color="auto" w:fill="auto"/>
        <w:bidi w:val="0"/>
        <w:spacing w:before="0" w:after="340" w:line="240" w:lineRule="auto"/>
        <w:ind w:left="0" w:right="0" w:firstLine="0"/>
        <w:jc w:val="left"/>
      </w:pPr>
      <w:bookmarkStart w:id="1062" w:name="bookmark1062"/>
      <w:bookmarkStart w:id="1063" w:name="bookmark1063"/>
      <w:bookmarkStart w:id="1066" w:name="bookmark10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062"/>
      <w:bookmarkEnd w:id="1063"/>
      <w:bookmarkEnd w:id="10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902,529,271.52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491,883,755.74</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1,281,496.38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3,125,060.05</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903,810,767.90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495,008,815.79</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650,348,140.42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287,868,258.31</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67"/>
      <w:bookmarkEnd w:id="1068"/>
      <w:bookmarkEnd w:id="10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583,781,301.67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391,728,385.44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291,419,010.12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124,948,705.17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143,694,229.96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110,744,456.70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109,223,530.89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84,211,596.05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144,003,818.45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117,901,557.73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71,249,502.72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57,033,897.87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31,049,921.44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29,357,697.93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19,991,712.01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18,918,978.92</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902,529,271.52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649,732,097.80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491,883,755.74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285,113,178.01</w:t>
            </w:r>
          </w:p>
        </w:tc>
      </w:tr>
    </w:tbl>
    <w:p>
      <w:pPr>
        <w:widowControl w:val="0"/>
        <w:spacing w:after="339" w:line="1" w:lineRule="exact"/>
      </w:pPr>
    </w:p>
    <w:p>
      <w:pPr>
        <w:pStyle w:val="Style36"/>
        <w:keepNext/>
        <w:keepLines/>
        <w:widowControl w:val="0"/>
        <w:numPr>
          <w:ilvl w:val="0"/>
          <w:numId w:val="41"/>
        </w:numPr>
        <w:shd w:val="clear" w:color="auto" w:fill="auto"/>
        <w:bidi w:val="0"/>
        <w:spacing w:before="0" w:after="34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主营业务(分产品)</w:t>
      </w:r>
      <w:bookmarkEnd w:id="1070"/>
      <w:bookmarkEnd w:id="1071"/>
      <w:bookmarkEnd w:id="10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服务管理解决方案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155,447,702.09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4,076,278.10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141,665,610.38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25,743,687.95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数据中心综合建设解决方案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641,443,685.07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570,940,359.26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281,758,648.61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226,532,395.28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银行影像解决方案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105,637,884.36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74,715,460.44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68,459,496.75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32,837,094.78</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902,529,271.52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649,732,097.80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491,883,755.74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285,113,178.01</w:t>
            </w:r>
          </w:p>
        </w:tc>
      </w:tr>
    </w:tbl>
    <w:p>
      <w:pPr>
        <w:sectPr>
          <w:headerReference w:type="default" r:id="rId331"/>
          <w:footerReference w:type="default" r:id="rId332"/>
          <w:headerReference w:type="even" r:id="rId333"/>
          <w:footerReference w:type="even" r:id="rId334"/>
          <w:footnotePr>
            <w:pos w:val="pageBottom"/>
            <w:numFmt w:val="decimal"/>
            <w:numRestart w:val="continuous"/>
          </w:footnotePr>
          <w:pgSz w:w="11909" w:h="17415"/>
          <w:pgMar w:top="1594" w:right="1056" w:bottom="1724" w:left="1056" w:header="0" w:footer="3" w:gutter="0"/>
          <w:cols w:space="720"/>
          <w:noEndnote/>
          <w:rtlGutter w:val="0"/>
          <w:docGrid w:linePitch="360"/>
        </w:sectPr>
      </w:pPr>
    </w:p>
    <w:p>
      <w:pPr>
        <w:pStyle w:val="Style36"/>
        <w:keepNext/>
        <w:keepLines/>
        <w:widowControl w:val="0"/>
        <w:numPr>
          <w:ilvl w:val="0"/>
          <w:numId w:val="41"/>
        </w:numPr>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主营业务(分地区)</w:t>
      </w:r>
      <w:bookmarkEnd w:id="1074"/>
      <w:bookmarkEnd w:id="1075"/>
      <w:bookmarkEnd w:id="10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1,592,649.22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861,213.66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6,199,927.55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5,955,661.43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722,068,340.62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525,704,361.28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409,642,719.35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221,994,631.54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88,081,396.97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69,737,565.76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32,420,735.13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25,803,468.57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11,391,186.50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9,732,498.19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6,321,023.59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4,529,122.92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3,902,585.01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2,780,346.93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11,374,762.19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11,215,646.16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67,984,135.92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37,330,460.22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24,536,216.89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14,857,386.56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7,508,977.28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3,585,651.76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1,361,956.87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751,768.35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26,414.17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5,492.48</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902,529,271.52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649,732,097.80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491,883,755.74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285,113,178.01</w:t>
            </w:r>
          </w:p>
        </w:tc>
      </w:tr>
    </w:tbl>
    <w:p>
      <w:pPr>
        <w:widowControl w:val="0"/>
        <w:spacing w:after="359" w:line="1" w:lineRule="exact"/>
      </w:pPr>
    </w:p>
    <w:p>
      <w:pPr>
        <w:pStyle w:val="Style36"/>
        <w:keepNext/>
        <w:keepLines/>
        <w:widowControl w:val="0"/>
        <w:numPr>
          <w:ilvl w:val="0"/>
          <w:numId w:val="41"/>
        </w:numPr>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公司来自前五名客户的营业收入情况</w:t>
      </w:r>
      <w:bookmarkEnd w:id="1078"/>
      <w:bookmarkEnd w:id="1079"/>
      <w:bookmarkEnd w:id="10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中经网(北京)数据科技发展有限公司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84,231,196.64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中科软科技股份有限公司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51,338,066.76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中国人寿保险股份有限公司上海数据中心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49,512,547.22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北京中天智捷商贸有限公司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44,278,819.64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北京高信达通信科技股份有限公司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37,843,649.57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267,204,279.83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5</w:t>
      </w:r>
      <w:bookmarkEnd w:id="1084"/>
      <w:r>
        <w:rPr>
          <w:color w:val="000000"/>
          <w:spacing w:val="0"/>
          <w:w w:val="100"/>
          <w:position w:val="0"/>
        </w:rPr>
        <w:t>、投资收益</w:t>
      </w:r>
      <w:bookmarkEnd w:id="1082"/>
      <w:bookmarkEnd w:id="1083"/>
      <w:bookmarkEnd w:id="1085"/>
    </w:p>
    <w:p>
      <w:pPr>
        <w:pStyle w:val="Style36"/>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6" w:name="bookmark10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082"/>
      <w:bookmarkEnd w:id="1083"/>
      <w:bookmarkEnd w:id="10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857,134.51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widowControl w:val="0"/>
        <w:jc w:val="center"/>
        <w:rPr>
          <w:sz w:val="2"/>
          <w:szCs w:val="2"/>
        </w:rPr>
        <w:sectPr>
          <w:footnotePr>
            <w:pos w:val="pageBottom"/>
            <w:numFmt w:val="decimal"/>
            <w:numRestart w:val="continuous"/>
          </w:footnotePr>
          <w:pgSz w:w="11909" w:h="17415"/>
          <w:pgMar w:top="1757" w:right="1113" w:bottom="288" w:left="1123" w:header="0" w:footer="3" w:gutter="0"/>
          <w:cols w:space="720"/>
          <w:noEndnote/>
          <w:rtlGutter w:val="0"/>
          <w:docGrid w:linePitch="360"/>
        </w:sectPr>
      </w:pPr>
      <w:r>
        <w:drawing>
          <wp:inline>
            <wp:extent cx="1718945" cy="981710"/>
            <wp:docPr id="952" name="Picutre 952"/>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335"/>
                    <a:stretch/>
                  </pic:blipFill>
                  <pic:spPr>
                    <a:xfrm>
                      <a:ext cx="1718945" cy="981710"/>
                    </a:xfrm>
                    <a:prstGeom prst="rect"/>
                  </pic:spPr>
                </pic:pic>
              </a:graphicData>
            </a:graphic>
          </wp:inline>
        </w:drawing>
      </w:r>
    </w:p>
    <w:p>
      <w:pPr>
        <w:pStyle w:val="Style36"/>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6</w:t>
      </w:r>
      <w:bookmarkEnd w:id="1089"/>
      <w:r>
        <w:rPr>
          <w:color w:val="000000"/>
          <w:spacing w:val="0"/>
          <w:w w:val="100"/>
          <w:position w:val="0"/>
        </w:rPr>
        <w:t>、现金流量表补充资料</w:t>
      </w:r>
      <w:bookmarkEnd w:id="1087"/>
      <w:bookmarkEnd w:id="1088"/>
      <w:bookmarkEnd w:id="10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73,279,536.34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59,600,051.30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-168,795.82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842,182.40</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24,169,928.73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20,253,299.22</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9,424,922.11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5,722,453.47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2,975,436.63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813,154.04</w:t>
            </w: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147,863.49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17,477,662.82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-48,079.70</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-857,134.51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-817,225.14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-2,147,267.77</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-56,384,395.55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-226,496,462.59</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-178,004.60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-20,681,367.36</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91,062,830.25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149,910,768.83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160,132,624.75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-12,231,268.16</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454,691,581.63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322,346,338.83</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322,346,338.83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146,366,658.01</w:t>
            </w: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132,345,242.80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175,979,680.82</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r>
        <w:rPr>
          <w:color w:val="000000"/>
          <w:spacing w:val="0"/>
          <w:w w:val="100"/>
          <w:position w:val="0"/>
        </w:rPr>
        <w:t>十三、补充资料</w:t>
      </w:r>
      <w:bookmarkEnd w:id="1091"/>
      <w:bookmarkEnd w:id="1092"/>
      <w:bookmarkEnd w:id="1093"/>
    </w:p>
    <w:p>
      <w:pPr>
        <w:pStyle w:val="Style36"/>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094"/>
      <w:bookmarkEnd w:id="1095"/>
      <w:bookmarkEnd w:id="10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-158,533.87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10,922,466.67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1,230,850.42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32,169.96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10,414,700.33</w:t>
            </w:r>
          </w:p>
        </w:tc>
        <w:tc>
          <w:tcPr>
            <w:tcBorders>
              <w:top w:val="single" w:sz="4"/>
              <w:left w:val="single" w:sz="4"/>
              <w:bottom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24,887,274.53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该项政府补助系与公司正常经营业务密切相关，符合国家政策规 定、按照一定标准定额或定量持续享受的政府补助。</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097"/>
      <w:bookmarkEnd w:id="1098"/>
      <w:bookmarkEnd w:id="10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725" w:hRule="exact"/>
        </w:trPr>
        <w:tc>
          <w:tcPr>
            <w:tcBorders>
              <w:top w:val="single" w:sz="4"/>
              <w:left w:val="single" w:sz="4"/>
              <w:bottom w:val="single" w:sz="4"/>
            </w:tcBorders>
            <w:shd w:val="clear" w:color="auto" w:fill="D4D4D4"/>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color w:val="000000"/>
          <w:spacing w:val="0"/>
          <w:w w:val="100"/>
          <w:position w:val="0"/>
        </w:rPr>
        <w:t>、公司主要会计报表项目的异常情况及原因的说明</w:t>
      </w:r>
      <w:bookmarkEnd w:id="1100"/>
      <w:bookmarkEnd w:id="1101"/>
      <w:bookmarkEnd w:id="1103"/>
    </w:p>
    <w:tbl>
      <w:tblPr>
        <w:tblOverlap w:val="never"/>
        <w:jc w:val="center"/>
        <w:tblLayout w:type="fixed"/>
      </w:tblPr>
      <w:tblGrid>
        <w:gridCol w:w="1824"/>
        <w:gridCol w:w="1838"/>
        <w:gridCol w:w="1694"/>
        <w:gridCol w:w="1176"/>
        <w:gridCol w:w="3024"/>
      </w:tblGrid>
      <w:tr>
        <w:trPr>
          <w:trHeight w:val="667" w:hRule="exact"/>
        </w:trPr>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报表项目</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期末余额</w:t>
            </w:r>
          </w:p>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（或本期金额）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年初余额</w:t>
            </w:r>
          </w:p>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（或上期金额）</w:t>
            </w:r>
          </w:p>
        </w:tc>
        <w:tc>
          <w:tcPr>
            <w:tcBorders>
              <w:top w:val="single" w:sz="4"/>
              <w:lef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变动比率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540,241,217.39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409,779,804.29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主要系发行企业债券收到现金及货款 结算现金增加所致。</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15,921,161.85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主要系银行承兑汇票结算未到兑付期 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53,017,869.51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32,923,116.44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产品分销及系统集成业务销 售规模扩大，增加备货预付款所致。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主要系公司购买保本型理财产品所致。</w:t>
            </w:r>
          </w:p>
        </w:tc>
      </w:tr>
      <w:tr>
        <w:trPr>
          <w:trHeight w:val="97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110,494,943.54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77,698,419.12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主要系部分自主研发项目完成结转至 无形资产科目及配合研发购入所需工 具软件所致。</w:t>
            </w: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59,128,183.32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38,357,921.28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主要系原有及新增包括募投项目在内 的多个项目开发工作继续进行，其支出 在开发支出科目中归集所致。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2,033,354.29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3,912,140.92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主要系部分办公用房退租，相应的装修 费用一次性转入当期损益所致。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118,739,665.00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主要系归还银行借款所致。</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8,723,200.00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主要系付货款开出银行承兑汇票 尚未到期承兑所致。</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198,871,173.10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132,527,544.46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主要系收到客户预付合同款，而相应的</w:t>
            </w:r>
          </w:p>
        </w:tc>
      </w:tr>
    </w:tbl>
    <w:p>
      <w:pPr>
        <w:spacing w:lineRule="exact" w:line="1"/>
        <w:rPr>
          <w:sz w:val="2"/>
          <w:szCs w:val="2"/>
        </w:rPr>
      </w:pPr>
      <w:r>
        <w:br w:type="page"/>
      </w:r>
    </w:p>
    <w:tbl>
      <w:tblPr>
        <w:tblOverlap w:val="never"/>
        <w:jc w:val="center"/>
        <w:tblLayout w:type="fixed"/>
      </w:tblPr>
      <w:tblGrid>
        <w:gridCol w:w="1824"/>
        <w:gridCol w:w="1838"/>
        <w:gridCol w:w="1694"/>
        <w:gridCol w:w="1176"/>
        <w:gridCol w:w="302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6"/>
                <w:szCs w:val="16"/>
              </w:rPr>
              <w:t>项目尚未验收完成所致</w:t>
            </w:r>
            <w:r>
              <w:rPr>
                <w:color w:val="000000"/>
                <w:spacing w:val="0"/>
                <w:w w:val="100"/>
                <w:position w:val="0"/>
                <w:sz w:val="19"/>
                <w:szCs w:val="19"/>
              </w:rPr>
              <w:t>。</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-39,838,758.21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-21,760,903.64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主要系采购增加致增值税进项税额增 加所致。</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应付利息</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主要系报告期内公司发行企业债 券计提利息所致。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54,368,512.69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7,882,562.81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主要系向合作单位收取项目保证金增 加所致。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237,960,000.00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主要系公司新发行企业债券所致。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40,932,033.33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16,550,200.00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主要系报告期内收到多个项目的政府 支持资金所致。</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实收资本</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104,696,301.00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69,797,534.00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主要系报告期内公司以每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 的比例，将资本公积转增股本所致。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1,022,822,674.03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521,676,656.99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主要系公司扩大系统集成业务、开展</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产品分销业务所致。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755,401,977.94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288,296,990.59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主要系扩大的系统集成、</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产品分销业 务毛利水平较低所致。</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180,114,157.44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137,328,900.26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主要系公司资产的折旧及摊销增大及 人员成本增加所致。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16,410,063.72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-609,120.49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主要系公司发行债券相关费用及计提 应付债券利息所致。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-130,277.74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934,506.06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主要系加速应收款项的回收，期末应收 帐款降低，计提的坏账准备下降所致。</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主要系本年购买保本型理财产品取得 收益所致。</w:t>
            </w: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35,814,571.23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17,044,401.75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主要系收到即征即退增值税退税款及 多个政府补助项目于本期确认完成所 致。</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主要系固定资产清理损失所致。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少数股东损益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101,035.66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-3,072,612.63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主要系中科商务少数股东股权比例降 低及新设子公司盈利所致。</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销售商品、提供劳务收 到的现金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1,245,418,515.63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743,576,050.56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主要系公司扩大销售规模收到货款增 加所致。</w:t>
            </w:r>
          </w:p>
        </w:tc>
      </w:tr>
      <w:tr>
        <w:trPr>
          <w:trHeight w:val="970"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24,887,274.53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14,358,867.56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主要系公司销售自有软件产品享受增 值税即征即退政策收到的退税增加所 致。</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收到其他与经营活动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250,936,724.35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70,449,935.99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主要系公司收回和收取的项目保证金 增加所致。</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购买商品、接受劳务支 付的现金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975,016,009.33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582,036,044.59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产品分销及系统集成业务销 售规模扩大，存货、预付账款增加所致。</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支付给职工以及为职</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工支付的现金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96,981,668.17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70,327,665.14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both"/>
            </w:pPr>
            <w:r>
              <w:rPr>
                <w:color w:val="000000"/>
                <w:spacing w:val="0"/>
                <w:w w:val="100"/>
                <w:position w:val="0"/>
              </w:rPr>
              <w:t>主要系公司增加人员成本所致。</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250,587,021.56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142,321,058.52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主要系公司支付及退还的项目保证金</w:t>
            </w:r>
          </w:p>
        </w:tc>
      </w:tr>
    </w:tbl>
    <w:p>
      <w:pPr>
        <w:sectPr>
          <w:headerReference w:type="default" r:id="rId337"/>
          <w:footerReference w:type="default" r:id="rId338"/>
          <w:headerReference w:type="even" r:id="rId339"/>
          <w:footerReference w:type="even" r:id="rId340"/>
          <w:headerReference w:type="first" r:id="rId341"/>
          <w:footerReference w:type="first" r:id="rId342"/>
          <w:footnotePr>
            <w:pos w:val="pageBottom"/>
            <w:numFmt w:val="decimal"/>
            <w:numRestart w:val="continuous"/>
          </w:footnotePr>
          <w:pgSz w:w="11909" w:h="17415"/>
          <w:pgMar w:top="1728" w:right="1149" w:bottom="1743" w:left="1088" w:header="0" w:footer="3" w:gutter="0"/>
          <w:cols w:space="720"/>
          <w:noEndnote/>
          <w:titlePg/>
          <w:rtlGutter w:val="0"/>
          <w:docGrid w:linePitch="360"/>
        </w:sectPr>
      </w:pPr>
    </w:p>
    <w:tbl>
      <w:tblPr>
        <w:tblOverlap w:val="never"/>
        <w:jc w:val="center"/>
        <w:tblLayout w:type="fixed"/>
      </w:tblPr>
      <w:tblGrid>
        <w:gridCol w:w="1824"/>
        <w:gridCol w:w="1838"/>
        <w:gridCol w:w="1694"/>
        <w:gridCol w:w="1176"/>
        <w:gridCol w:w="3024"/>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和各项费用增加所致。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收回投资收到的现金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主要系公司购买的保本型理财产品赎 回所致。</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取得投资收益所收到</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974,371.91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主要系公司购买的保本型理财产品取 得投资收益所致。</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 产和其他长期资产收 回的现金净额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380,538.45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主要系报告期内公司处置固定资产所 致。</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购建固定资产、无形资 产和其他长期资产支 付的现金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75,347,886.13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132,695,853.81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主要系公司较上年同期减少了固定资 产和无形资产的资金投入。</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322,600,000.00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主要系公司购买理财产品所致。</w:t>
            </w:r>
          </w:p>
        </w:tc>
      </w:tr>
      <w:tr>
        <w:trPr>
          <w:trHeight w:val="974"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12,420,000.00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344,188,000.00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本期金额系投资设立子公司所致，上期 金额系公司首次公开发行股票筹集资 金所致。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80,499,344.98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120,739,665.00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主要系公司减少向银行的借款金额所 致。</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发行债券收到的现金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主要系报告期内公司发行企业债券所 致。</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169,239,009.98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主要系公司偿还银行借款增加所致。</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分配股利、利润或偿付 利息支付的现金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16,530,772.17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2,910,373.47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主要系公司向股东支付现金股利及支 付银行借款利息所致。</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支付其他与筹资活动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有关的现金</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3,712,240.00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5,924,482.76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主要系募集资金的利息收入增加所致。</w:t>
            </w:r>
          </w:p>
        </w:tc>
      </w:tr>
      <w:tr>
        <w:trPr>
          <w:trHeight w:val="67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汇率变动对现金及现 金等价物的影响</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主要系公司信息技术子公司的香港子 公司合并时产生的汇兑损益所致。</w:t>
            </w:r>
          </w:p>
        </w:tc>
      </w:tr>
    </w:tbl>
    <w:p>
      <w:pPr>
        <w:widowControl w:val="0"/>
        <w:spacing w:after="5259" w:line="1" w:lineRule="exact"/>
      </w:pPr>
    </w:p>
    <w:p>
      <w:pPr>
        <w:widowControl w:val="0"/>
        <w:jc w:val="center"/>
        <w:rPr>
          <w:sz w:val="2"/>
          <w:szCs w:val="2"/>
        </w:rPr>
        <w:sectPr>
          <w:headerReference w:type="default" r:id="rId343"/>
          <w:footerReference w:type="default" r:id="rId344"/>
          <w:headerReference w:type="even" r:id="rId345"/>
          <w:footerReference w:type="even" r:id="rId346"/>
          <w:footnotePr>
            <w:pos w:val="pageBottom"/>
            <w:numFmt w:val="decimal"/>
            <w:numRestart w:val="continuous"/>
          </w:footnotePr>
          <w:pgSz w:w="11909" w:h="17415"/>
          <w:pgMar w:top="1728" w:right="1229" w:bottom="288" w:left="1123" w:header="0" w:footer="3" w:gutter="0"/>
          <w:cols w:space="720"/>
          <w:noEndnote/>
          <w:rtlGutter w:val="0"/>
          <w:docGrid w:linePitch="360"/>
        </w:sectPr>
      </w:pPr>
      <w:r>
        <w:drawing>
          <wp:inline>
            <wp:extent cx="1718945" cy="981710"/>
            <wp:docPr id="984" name="Picutre 984"/>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347"/>
                    <a:stretch/>
                  </pic:blipFill>
                  <pic:spPr>
                    <a:xfrm>
                      <a:ext cx="1718945" cy="981710"/>
                    </a:xfrm>
                    <a:prstGeom prst="rect"/>
                  </pic:spPr>
                </pic:pic>
              </a:graphicData>
            </a:graphic>
          </wp:inline>
        </w:drawing>
      </w:r>
    </w:p>
    <w:p>
      <w:pPr>
        <w:pStyle w:val="Style6"/>
        <w:keepNext/>
        <w:keepLines/>
        <w:widowControl w:val="0"/>
        <w:shd w:val="clear" w:color="auto" w:fill="auto"/>
        <w:bidi w:val="0"/>
        <w:spacing w:before="0" w:after="660" w:line="240" w:lineRule="auto"/>
        <w:ind w:left="0" w:right="0" w:firstLine="0"/>
        <w:jc w:val="center"/>
      </w:pPr>
      <w:bookmarkStart w:id="1104" w:name="bookmark1104"/>
      <w:bookmarkStart w:id="1105" w:name="bookmark1105"/>
      <w:bookmarkStart w:id="1106" w:name="bookmark1106"/>
      <w:r>
        <w:rPr>
          <w:color w:val="000000"/>
          <w:spacing w:val="0"/>
          <w:w w:val="100"/>
          <w:position w:val="0"/>
        </w:rPr>
        <w:t>第十一节备查文件目录</w:t>
      </w:r>
      <w:bookmarkEnd w:id="1104"/>
      <w:bookmarkEnd w:id="1105"/>
      <w:bookmarkEnd w:id="1106"/>
    </w:p>
    <w:p>
      <w:pPr>
        <w:pStyle w:val="Style33"/>
        <w:keepNext w:val="0"/>
        <w:keepLines w:val="0"/>
        <w:widowControl w:val="0"/>
        <w:numPr>
          <w:ilvl w:val="0"/>
          <w:numId w:val="43"/>
        </w:numPr>
        <w:shd w:val="clear" w:color="auto" w:fill="auto"/>
        <w:tabs>
          <w:tab w:pos="320" w:val="left"/>
        </w:tabs>
        <w:bidi w:val="0"/>
        <w:spacing w:before="0" w:after="220" w:line="240" w:lineRule="auto"/>
        <w:ind w:left="0" w:right="0" w:firstLine="0"/>
        <w:jc w:val="left"/>
      </w:pPr>
      <w:bookmarkStart w:id="1107" w:name="bookmark1107"/>
      <w:bookmarkEnd w:id="1107"/>
      <w:r>
        <w:rPr>
          <w:color w:val="000000"/>
          <w:spacing w:val="0"/>
          <w:w w:val="100"/>
          <w:position w:val="0"/>
        </w:rPr>
        <w:t>载有法定代表人、财务负责人、会计机构负责人签名并盖章的财务报表。</w:t>
      </w:r>
    </w:p>
    <w:p>
      <w:pPr>
        <w:pStyle w:val="Style33"/>
        <w:keepNext w:val="0"/>
        <w:keepLines w:val="0"/>
        <w:widowControl w:val="0"/>
        <w:numPr>
          <w:ilvl w:val="0"/>
          <w:numId w:val="43"/>
        </w:numPr>
        <w:shd w:val="clear" w:color="auto" w:fill="auto"/>
        <w:tabs>
          <w:tab w:pos="334" w:val="left"/>
        </w:tabs>
        <w:bidi w:val="0"/>
        <w:spacing w:before="0" w:after="220" w:line="240" w:lineRule="auto"/>
        <w:ind w:left="0" w:right="0" w:firstLine="0"/>
        <w:jc w:val="left"/>
      </w:pPr>
      <w:bookmarkStart w:id="1108" w:name="bookmark1108"/>
      <w:bookmarkEnd w:id="1108"/>
      <w:r>
        <w:rPr>
          <w:color w:val="000000"/>
          <w:spacing w:val="0"/>
          <w:w w:val="100"/>
          <w:position w:val="0"/>
        </w:rPr>
        <w:t>载有会计师事务所盖章、注册会计师签名并盖章的审计报告原件。</w:t>
      </w:r>
    </w:p>
    <w:p>
      <w:pPr>
        <w:pStyle w:val="Style33"/>
        <w:keepNext w:val="0"/>
        <w:keepLines w:val="0"/>
        <w:widowControl w:val="0"/>
        <w:numPr>
          <w:ilvl w:val="0"/>
          <w:numId w:val="43"/>
        </w:numPr>
        <w:shd w:val="clear" w:color="auto" w:fill="auto"/>
        <w:tabs>
          <w:tab w:pos="334" w:val="left"/>
        </w:tabs>
        <w:bidi w:val="0"/>
        <w:spacing w:before="0" w:after="220" w:line="240" w:lineRule="auto"/>
        <w:ind w:left="0" w:right="0" w:firstLine="0"/>
        <w:jc w:val="left"/>
      </w:pPr>
      <w:bookmarkStart w:id="1109" w:name="bookmark1109"/>
      <w:bookmarkEnd w:id="1109"/>
      <w:r>
        <w:rPr>
          <w:color w:val="000000"/>
          <w:spacing w:val="0"/>
          <w:w w:val="100"/>
          <w:position w:val="0"/>
        </w:rPr>
        <w:t>报告期内在中国证监会指定报纸上公开披露过的所有公司文件的正本及公告原稿。</w:t>
      </w:r>
    </w:p>
    <w:p>
      <w:pPr>
        <w:pStyle w:val="Style33"/>
        <w:keepNext w:val="0"/>
        <w:keepLines w:val="0"/>
        <w:widowControl w:val="0"/>
        <w:numPr>
          <w:ilvl w:val="0"/>
          <w:numId w:val="43"/>
        </w:numPr>
        <w:shd w:val="clear" w:color="auto" w:fill="auto"/>
        <w:tabs>
          <w:tab w:pos="334" w:val="left"/>
        </w:tabs>
        <w:bidi w:val="0"/>
        <w:spacing w:before="0" w:after="220" w:line="240" w:lineRule="auto"/>
        <w:ind w:left="0" w:right="0" w:firstLine="0"/>
        <w:jc w:val="left"/>
      </w:pPr>
      <w:bookmarkStart w:id="1110" w:name="bookmark1110"/>
      <w:bookmarkEnd w:id="1110"/>
      <w:r>
        <w:rPr>
          <w:color w:val="000000"/>
          <w:spacing w:val="0"/>
          <w:w w:val="100"/>
          <w:position w:val="0"/>
        </w:rPr>
        <w:t>载有董事长签名的</w:t>
      </w:r>
      <w:r>
        <w:rPr>
          <w:color w:val="000000"/>
          <w:spacing w:val="0"/>
          <w:w w:val="100"/>
          <w:position w:val="0"/>
        </w:rPr>
        <w:t>2013</w:t>
      </w:r>
      <w:r>
        <w:rPr>
          <w:color w:val="000000"/>
          <w:spacing w:val="0"/>
          <w:w w:val="100"/>
          <w:position w:val="0"/>
        </w:rPr>
        <w:t>年年度报告文本原件。</w:t>
      </w:r>
    </w:p>
    <w:p>
      <w:pPr>
        <w:pStyle w:val="Style33"/>
        <w:keepNext w:val="0"/>
        <w:keepLines w:val="0"/>
        <w:widowControl w:val="0"/>
        <w:numPr>
          <w:ilvl w:val="0"/>
          <w:numId w:val="43"/>
        </w:numPr>
        <w:shd w:val="clear" w:color="auto" w:fill="auto"/>
        <w:tabs>
          <w:tab w:pos="334" w:val="left"/>
        </w:tabs>
        <w:bidi w:val="0"/>
        <w:spacing w:before="0" w:after="10200" w:line="240" w:lineRule="auto"/>
        <w:ind w:left="0" w:right="0" w:firstLine="0"/>
        <w:jc w:val="left"/>
      </w:pPr>
      <w:bookmarkStart w:id="1111" w:name="bookmark1111"/>
      <w:bookmarkEnd w:id="1111"/>
      <w:r>
        <w:rPr>
          <w:color w:val="000000"/>
          <w:spacing w:val="0"/>
          <w:w w:val="100"/>
          <w:position w:val="0"/>
        </w:rPr>
        <w:t>以上备查文件的备置地点：公司董事会办公室。</w:t>
      </w:r>
    </w:p>
    <w:p>
      <w:pPr>
        <w:widowControl w:val="0"/>
        <w:jc w:val="center"/>
        <w:rPr>
          <w:sz w:val="2"/>
          <w:szCs w:val="2"/>
        </w:rPr>
      </w:pPr>
      <w:r>
        <w:drawing>
          <wp:inline>
            <wp:extent cx="1718945" cy="981710"/>
            <wp:docPr id="985" name="Picutre 985"/>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349"/>
                    <a:stretch/>
                  </pic:blipFill>
                  <pic:spPr>
                    <a:xfrm>
                      <a:ext cx="1718945" cy="981710"/>
                    </a:xfrm>
                    <a:prstGeom prst="rect"/>
                  </pic:spPr>
                </pic:pic>
              </a:graphicData>
            </a:graphic>
          </wp:inline>
        </w:drawing>
      </w:r>
    </w:p>
    <w:sectPr>
      <w:footnotePr>
        <w:pos w:val="pageBottom"/>
        <w:numFmt w:val="decimal"/>
        <w:numRestart w:val="continuous"/>
      </w:footnotePr>
      <w:pgSz w:w="11909" w:h="17415"/>
      <w:pgMar w:top="2218" w:right="2554" w:bottom="289" w:left="154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3733800</wp:posOffset>
              </wp:positionH>
              <wp:positionV relativeFrom="page">
                <wp:posOffset>10225405</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294.pt;margin-top:805.14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3757930</wp:posOffset>
              </wp:positionH>
              <wp:positionV relativeFrom="page">
                <wp:posOffset>10113645</wp:posOffset>
              </wp:positionV>
              <wp:extent cx="42545" cy="79375"/>
              <wp:wrapNone/>
              <wp:docPr id="74" name="Shape 74"/>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295.90000000000003pt;margin-top:796.35000000000002pt;width:3.3500000000000001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6894830</wp:posOffset>
              </wp:positionH>
              <wp:positionV relativeFrom="page">
                <wp:posOffset>10619105</wp:posOffset>
              </wp:positionV>
              <wp:extent cx="42545" cy="97790"/>
              <wp:wrapNone/>
              <wp:docPr id="76" name="Shape 7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542.89999999999998pt;margin-top:836.14999999999998pt;width:3.3500000000000001pt;height:7.7000000000000002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3696970</wp:posOffset>
              </wp:positionH>
              <wp:positionV relativeFrom="page">
                <wp:posOffset>10123170</wp:posOffset>
              </wp:positionV>
              <wp:extent cx="155575" cy="79375"/>
              <wp:wrapNone/>
              <wp:docPr id="687" name="Shape 6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3" type="#_x0000_t202" style="position:absolute;margin-left:291.10000000000002pt;margin-top:797.10000000000002pt;width:12.25pt;height:6.25pt;z-index:-18874355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6964045</wp:posOffset>
              </wp:positionH>
              <wp:positionV relativeFrom="page">
                <wp:posOffset>10628630</wp:posOffset>
              </wp:positionV>
              <wp:extent cx="45720" cy="97790"/>
              <wp:wrapNone/>
              <wp:docPr id="689" name="Shape 6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5" type="#_x0000_t202" style="position:absolute;margin-left:548.35000000000002pt;margin-top:836.89999999999998pt;width:3.6000000000000001pt;height:7.7000000000000002pt;z-index:-1887435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3712210</wp:posOffset>
              </wp:positionH>
              <wp:positionV relativeFrom="page">
                <wp:posOffset>10113645</wp:posOffset>
              </wp:positionV>
              <wp:extent cx="155575" cy="79375"/>
              <wp:wrapNone/>
              <wp:docPr id="694" name="Shape 6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0" type="#_x0000_t202" style="position:absolute;margin-left:292.30000000000001pt;margin-top:796.35000000000002pt;width:12.25pt;height:6.25pt;z-index:-1887435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6900545</wp:posOffset>
              </wp:positionH>
              <wp:positionV relativeFrom="page">
                <wp:posOffset>10619105</wp:posOffset>
              </wp:positionV>
              <wp:extent cx="42545" cy="97790"/>
              <wp:wrapNone/>
              <wp:docPr id="696" name="Shape 69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2" type="#_x0000_t202" style="position:absolute;margin-left:543.35000000000002pt;margin-top:836.14999999999998pt;width:3.3500000000000001pt;height:7.7000000000000002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3730625</wp:posOffset>
              </wp:positionH>
              <wp:positionV relativeFrom="page">
                <wp:posOffset>10113645</wp:posOffset>
              </wp:positionV>
              <wp:extent cx="146050" cy="79375"/>
              <wp:wrapNone/>
              <wp:docPr id="701" name="Shape 70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7" type="#_x0000_t202" style="position:absolute;margin-left:293.75pt;margin-top:796.35000000000002pt;width:11.5pt;height:6.25pt;z-index:-1887435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5869940</wp:posOffset>
              </wp:positionH>
              <wp:positionV relativeFrom="page">
                <wp:posOffset>10619105</wp:posOffset>
              </wp:positionV>
              <wp:extent cx="133985" cy="103505"/>
              <wp:wrapNone/>
              <wp:docPr id="703" name="Shape 7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9" type="#_x0000_t202" style="position:absolute;margin-left:462.19999999999999pt;margin-top:836.14999999999998pt;width:10.550000000000001pt;height:8.1500000000000004pt;z-index:-1887435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3733800</wp:posOffset>
              </wp:positionH>
              <wp:positionV relativeFrom="page">
                <wp:posOffset>10225405</wp:posOffset>
              </wp:positionV>
              <wp:extent cx="97790" cy="79375"/>
              <wp:wrapNone/>
              <wp:docPr id="708" name="Shape 7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4" type="#_x0000_t202" style="position:absolute;margin-left:294.pt;margin-top:805.14999999999998pt;width:7.7000000000000002pt;height:6.25pt;z-index:-1887435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3733800</wp:posOffset>
              </wp:positionH>
              <wp:positionV relativeFrom="page">
                <wp:posOffset>10225405</wp:posOffset>
              </wp:positionV>
              <wp:extent cx="97790" cy="79375"/>
              <wp:wrapNone/>
              <wp:docPr id="713" name="Shape 7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9" type="#_x0000_t202" style="position:absolute;margin-left:294.pt;margin-top:805.14999999999998pt;width:7.7000000000000002pt;height:6.25pt;z-index:-1887435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3733800</wp:posOffset>
              </wp:positionH>
              <wp:positionV relativeFrom="page">
                <wp:posOffset>10225405</wp:posOffset>
              </wp:positionV>
              <wp:extent cx="97790" cy="79375"/>
              <wp:wrapNone/>
              <wp:docPr id="726" name="Shape 7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2" type="#_x0000_t202" style="position:absolute;margin-left:294.pt;margin-top:805.14999999999998pt;width:7.7000000000000002pt;height:6.25pt;z-index:-1887435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3733800</wp:posOffset>
              </wp:positionH>
              <wp:positionV relativeFrom="page">
                <wp:posOffset>10225405</wp:posOffset>
              </wp:positionV>
              <wp:extent cx="97790" cy="79375"/>
              <wp:wrapNone/>
              <wp:docPr id="731" name="Shape 7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7" type="#_x0000_t202" style="position:absolute;margin-left:294.pt;margin-top:805.14999999999998pt;width:7.7000000000000002pt;height:6.25pt;z-index:-1887435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3706495</wp:posOffset>
              </wp:positionH>
              <wp:positionV relativeFrom="page">
                <wp:posOffset>10113010</wp:posOffset>
              </wp:positionV>
              <wp:extent cx="155575" cy="79375"/>
              <wp:wrapNone/>
              <wp:docPr id="737" name="Shape 7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3" type="#_x0000_t202" style="position:absolute;margin-left:291.85000000000002pt;margin-top:796.30000000000007pt;width:12.25pt;height:6.25pt;z-index:-18874351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2" behindDoc="1" locked="0" layoutInCell="1" allowOverlap="1">
              <wp:simplePos x="0" y="0"/>
              <wp:positionH relativeFrom="page">
                <wp:posOffset>5846445</wp:posOffset>
              </wp:positionH>
              <wp:positionV relativeFrom="page">
                <wp:posOffset>10619105</wp:posOffset>
              </wp:positionV>
              <wp:extent cx="133985" cy="103505"/>
              <wp:wrapNone/>
              <wp:docPr id="739" name="Shape 7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5" type="#_x0000_t202" style="position:absolute;margin-left:460.35000000000002pt;margin-top:836.14999999999998pt;width:10.550000000000001pt;height:8.1500000000000004pt;z-index:-1887435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3753485</wp:posOffset>
              </wp:positionH>
              <wp:positionV relativeFrom="page">
                <wp:posOffset>10137140</wp:posOffset>
              </wp:positionV>
              <wp:extent cx="94615" cy="79375"/>
              <wp:wrapNone/>
              <wp:docPr id="81" name="Shape 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5.55000000000001pt;margin-top:798.20000000000005pt;width:7.4500000000000002pt;height:6.25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6993255</wp:posOffset>
              </wp:positionH>
              <wp:positionV relativeFrom="page">
                <wp:posOffset>10643235</wp:posOffset>
              </wp:positionV>
              <wp:extent cx="45720" cy="97790"/>
              <wp:wrapNone/>
              <wp:docPr id="83" name="Shape 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9" type="#_x0000_t202" style="position:absolute;margin-left:550.64999999999998pt;margin-top:838.05000000000007pt;width:3.6000000000000001pt;height:7.7000000000000002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3706495</wp:posOffset>
              </wp:positionH>
              <wp:positionV relativeFrom="page">
                <wp:posOffset>10113010</wp:posOffset>
              </wp:positionV>
              <wp:extent cx="155575" cy="79375"/>
              <wp:wrapNone/>
              <wp:docPr id="744" name="Shape 7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0" type="#_x0000_t202" style="position:absolute;margin-left:291.85000000000002pt;margin-top:796.30000000000007pt;width:12.25pt;height:6.25pt;z-index:-1887435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5846445</wp:posOffset>
              </wp:positionH>
              <wp:positionV relativeFrom="page">
                <wp:posOffset>10619105</wp:posOffset>
              </wp:positionV>
              <wp:extent cx="133985" cy="103505"/>
              <wp:wrapNone/>
              <wp:docPr id="746" name="Shape 7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2" type="#_x0000_t202" style="position:absolute;margin-left:460.35000000000002pt;margin-top:836.14999999999998pt;width:10.550000000000001pt;height:8.1500000000000004pt;z-index:-1887435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3733800</wp:posOffset>
              </wp:positionH>
              <wp:positionV relativeFrom="page">
                <wp:posOffset>10225405</wp:posOffset>
              </wp:positionV>
              <wp:extent cx="97790" cy="79375"/>
              <wp:wrapNone/>
              <wp:docPr id="751" name="Shape 7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7" type="#_x0000_t202" style="position:absolute;margin-left:294.pt;margin-top:805.14999999999998pt;width:7.7000000000000002pt;height:6.25pt;z-index:-1887435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3733800</wp:posOffset>
              </wp:positionH>
              <wp:positionV relativeFrom="page">
                <wp:posOffset>10225405</wp:posOffset>
              </wp:positionV>
              <wp:extent cx="97790" cy="79375"/>
              <wp:wrapNone/>
              <wp:docPr id="756" name="Shape 7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2" type="#_x0000_t202" style="position:absolute;margin-left:294.pt;margin-top:805.14999999999998pt;width:7.7000000000000002pt;height:6.25pt;z-index:-1887434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3709670</wp:posOffset>
              </wp:positionH>
              <wp:positionV relativeFrom="page">
                <wp:posOffset>10113010</wp:posOffset>
              </wp:positionV>
              <wp:extent cx="137160" cy="79375"/>
              <wp:wrapNone/>
              <wp:docPr id="761" name="Shape 76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7" type="#_x0000_t202" style="position:absolute;margin-left:292.10000000000002pt;margin-top:796.30000000000007pt;width:10.800000000000001pt;height:6.25pt;z-index:-18874349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6974205</wp:posOffset>
              </wp:positionH>
              <wp:positionV relativeFrom="page">
                <wp:posOffset>10619105</wp:posOffset>
              </wp:positionV>
              <wp:extent cx="45720" cy="97790"/>
              <wp:wrapNone/>
              <wp:docPr id="763" name="Shape 7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9" type="#_x0000_t202" style="position:absolute;margin-left:549.14999999999998pt;margin-top:836.14999999999998pt;width:3.6000000000000001pt;height:7.7000000000000002pt;z-index:-1887434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3709670</wp:posOffset>
              </wp:positionH>
              <wp:positionV relativeFrom="page">
                <wp:posOffset>10113010</wp:posOffset>
              </wp:positionV>
              <wp:extent cx="146050" cy="79375"/>
              <wp:wrapNone/>
              <wp:docPr id="768" name="Shape 76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4" type="#_x0000_t202" style="position:absolute;margin-left:292.10000000000002pt;margin-top:796.30000000000007pt;width:11.5pt;height:6.25pt;z-index:-18874348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6894830</wp:posOffset>
              </wp:positionH>
              <wp:positionV relativeFrom="page">
                <wp:posOffset>10619105</wp:posOffset>
              </wp:positionV>
              <wp:extent cx="42545" cy="97790"/>
              <wp:wrapNone/>
              <wp:docPr id="770" name="Shape 77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6" type="#_x0000_t202" style="position:absolute;margin-left:542.89999999999998pt;margin-top:836.14999999999998pt;width:3.3500000000000001pt;height:7.7000000000000002pt;z-index:-1887434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3709670</wp:posOffset>
              </wp:positionH>
              <wp:positionV relativeFrom="page">
                <wp:posOffset>10113010</wp:posOffset>
              </wp:positionV>
              <wp:extent cx="137160" cy="79375"/>
              <wp:wrapNone/>
              <wp:docPr id="775" name="Shape 77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1" type="#_x0000_t202" style="position:absolute;margin-left:292.10000000000002pt;margin-top:796.30000000000007pt;width:10.800000000000001pt;height:6.25pt;z-index:-18874348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4" behindDoc="1" locked="0" layoutInCell="1" allowOverlap="1">
              <wp:simplePos x="0" y="0"/>
              <wp:positionH relativeFrom="page">
                <wp:posOffset>6974205</wp:posOffset>
              </wp:positionH>
              <wp:positionV relativeFrom="page">
                <wp:posOffset>10619105</wp:posOffset>
              </wp:positionV>
              <wp:extent cx="45720" cy="97790"/>
              <wp:wrapNone/>
              <wp:docPr id="777" name="Shape 77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3" type="#_x0000_t202" style="position:absolute;margin-left:549.14999999999998pt;margin-top:836.14999999999998pt;width:3.6000000000000001pt;height:7.7000000000000002pt;z-index:-1887434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3709670</wp:posOffset>
              </wp:positionH>
              <wp:positionV relativeFrom="page">
                <wp:posOffset>10113010</wp:posOffset>
              </wp:positionV>
              <wp:extent cx="146050" cy="79375"/>
              <wp:wrapNone/>
              <wp:docPr id="782" name="Shape 78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8" type="#_x0000_t202" style="position:absolute;margin-left:292.10000000000002pt;margin-top:796.30000000000007pt;width:11.5pt;height:6.25pt;z-index:-18874347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6894830</wp:posOffset>
              </wp:positionH>
              <wp:positionV relativeFrom="page">
                <wp:posOffset>10619105</wp:posOffset>
              </wp:positionV>
              <wp:extent cx="42545" cy="97790"/>
              <wp:wrapNone/>
              <wp:docPr id="784" name="Shape 7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0" type="#_x0000_t202" style="position:absolute;margin-left:542.89999999999998pt;margin-top:836.14999999999998pt;width:3.3500000000000001pt;height:7.7000000000000002pt;z-index:-1887434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3709670</wp:posOffset>
              </wp:positionH>
              <wp:positionV relativeFrom="page">
                <wp:posOffset>10113010</wp:posOffset>
              </wp:positionV>
              <wp:extent cx="146050" cy="79375"/>
              <wp:wrapNone/>
              <wp:docPr id="789" name="Shape 78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5" type="#_x0000_t202" style="position:absolute;margin-left:292.10000000000002pt;margin-top:796.30000000000007pt;width:11.5pt;height:6.25pt;z-index:-18874346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6" behindDoc="1" locked="0" layoutInCell="1" allowOverlap="1">
              <wp:simplePos x="0" y="0"/>
              <wp:positionH relativeFrom="page">
                <wp:posOffset>6894830</wp:posOffset>
              </wp:positionH>
              <wp:positionV relativeFrom="page">
                <wp:posOffset>10619105</wp:posOffset>
              </wp:positionV>
              <wp:extent cx="42545" cy="97790"/>
              <wp:wrapNone/>
              <wp:docPr id="791" name="Shape 7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7" type="#_x0000_t202" style="position:absolute;margin-left:542.89999999999998pt;margin-top:836.14999999999998pt;width:3.3500000000000001pt;height:7.7000000000000002pt;z-index:-1887434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3684905</wp:posOffset>
              </wp:positionH>
              <wp:positionV relativeFrom="page">
                <wp:posOffset>10113645</wp:posOffset>
              </wp:positionV>
              <wp:extent cx="149225" cy="79375"/>
              <wp:wrapNone/>
              <wp:docPr id="796" name="Shape 79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2" type="#_x0000_t202" style="position:absolute;margin-left:290.15000000000003pt;margin-top:796.35000000000002pt;width:11.75pt;height:6.25pt;z-index:-18874346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5821680</wp:posOffset>
              </wp:positionH>
              <wp:positionV relativeFrom="page">
                <wp:posOffset>10619105</wp:posOffset>
              </wp:positionV>
              <wp:extent cx="133985" cy="103505"/>
              <wp:wrapNone/>
              <wp:docPr id="798" name="Shape 7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4" type="#_x0000_t202" style="position:absolute;margin-left:458.40000000000003pt;margin-top:836.14999999999998pt;width:10.550000000000001pt;height:8.1500000000000004pt;z-index:-1887434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3684905</wp:posOffset>
              </wp:positionH>
              <wp:positionV relativeFrom="page">
                <wp:posOffset>10113645</wp:posOffset>
              </wp:positionV>
              <wp:extent cx="149225" cy="79375"/>
              <wp:wrapNone/>
              <wp:docPr id="803" name="Shape 80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9" type="#_x0000_t202" style="position:absolute;margin-left:290.15000000000003pt;margin-top:796.35000000000002pt;width:11.75pt;height:6.25pt;z-index:-18874345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5821680</wp:posOffset>
              </wp:positionH>
              <wp:positionV relativeFrom="page">
                <wp:posOffset>10619105</wp:posOffset>
              </wp:positionV>
              <wp:extent cx="133985" cy="103505"/>
              <wp:wrapNone/>
              <wp:docPr id="805" name="Shape 8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1" type="#_x0000_t202" style="position:absolute;margin-left:458.40000000000003pt;margin-top:836.14999999999998pt;width:10.550000000000001pt;height:8.1500000000000004pt;z-index:-1887434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3753485</wp:posOffset>
              </wp:positionH>
              <wp:positionV relativeFrom="page">
                <wp:posOffset>10137140</wp:posOffset>
              </wp:positionV>
              <wp:extent cx="94615" cy="79375"/>
              <wp:wrapNone/>
              <wp:docPr id="88" name="Shape 8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5.55000000000001pt;margin-top:798.20000000000005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6993255</wp:posOffset>
              </wp:positionH>
              <wp:positionV relativeFrom="page">
                <wp:posOffset>10643235</wp:posOffset>
              </wp:positionV>
              <wp:extent cx="45720" cy="97790"/>
              <wp:wrapNone/>
              <wp:docPr id="90" name="Shape 9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6" type="#_x0000_t202" style="position:absolute;margin-left:550.64999999999998pt;margin-top:838.05000000000007pt;width:3.6000000000000001pt;height:7.7000000000000002pt;z-index:-1887439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3676015</wp:posOffset>
              </wp:positionH>
              <wp:positionV relativeFrom="page">
                <wp:posOffset>10027285</wp:posOffset>
              </wp:positionV>
              <wp:extent cx="3148330" cy="189230"/>
              <wp:wrapNone/>
              <wp:docPr id="810" name="Shape 810"/>
              <a:graphic xmlns:a="http://schemas.openxmlformats.org/drawingml/2006/main">
                <a:graphicData uri="http://schemas.microsoft.com/office/word/2010/wordprocessingShape">
                  <wps:wsp>
                    <wps:cNvSpPr txBox="1"/>
                    <wps:spPr>
                      <a:xfrm>
                        <a:ext cx="3148330" cy="189230"/>
                      </a:xfrm>
                      <a:prstGeom prst="rect"/>
                      <a:noFill/>
                    </wps:spPr>
                    <wps:txbx>
                      <w:txbxContent>
                        <w:p>
                          <w:pPr>
                            <w:pStyle w:val="Style52"/>
                            <w:keepNext w:val="0"/>
                            <w:keepLines w:val="0"/>
                            <w:widowControl w:val="0"/>
                            <w:shd w:val="clear" w:color="auto" w:fill="auto"/>
                            <w:tabs>
                              <w:tab w:pos="4958"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836" type="#_x0000_t202" style="position:absolute;margin-left:289.44999999999999pt;margin-top:789.55000000000007pt;width:247.90000000000001pt;height:14.9pt;z-index:-188743451;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58"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3707765</wp:posOffset>
              </wp:positionH>
              <wp:positionV relativeFrom="page">
                <wp:posOffset>10113010</wp:posOffset>
              </wp:positionV>
              <wp:extent cx="152400" cy="79375"/>
              <wp:wrapNone/>
              <wp:docPr id="815" name="Shape 81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1" type="#_x0000_t202" style="position:absolute;margin-left:291.94999999999999pt;margin-top:796.30000000000007pt;width:12.pt;height:6.25pt;z-index:-1887434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8" behindDoc="1" locked="0" layoutInCell="1" allowOverlap="1">
              <wp:simplePos x="0" y="0"/>
              <wp:positionH relativeFrom="page">
                <wp:posOffset>6975475</wp:posOffset>
              </wp:positionH>
              <wp:positionV relativeFrom="page">
                <wp:posOffset>10619105</wp:posOffset>
              </wp:positionV>
              <wp:extent cx="45720" cy="97790"/>
              <wp:wrapNone/>
              <wp:docPr id="817" name="Shape 8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3" type="#_x0000_t202" style="position:absolute;margin-left:549.25pt;margin-top:836.14999999999998pt;width:3.6000000000000001pt;height:7.7000000000000002pt;z-index:-1887434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3707765</wp:posOffset>
              </wp:positionH>
              <wp:positionV relativeFrom="page">
                <wp:posOffset>10113010</wp:posOffset>
              </wp:positionV>
              <wp:extent cx="152400" cy="79375"/>
              <wp:wrapNone/>
              <wp:docPr id="822" name="Shape 82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8" type="#_x0000_t202" style="position:absolute;margin-left:291.94999999999999pt;margin-top:796.30000000000007pt;width:12.pt;height:6.25pt;z-index:-1887434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4" behindDoc="1" locked="0" layoutInCell="1" allowOverlap="1">
              <wp:simplePos x="0" y="0"/>
              <wp:positionH relativeFrom="page">
                <wp:posOffset>6975475</wp:posOffset>
              </wp:positionH>
              <wp:positionV relativeFrom="page">
                <wp:posOffset>10619105</wp:posOffset>
              </wp:positionV>
              <wp:extent cx="45720" cy="97790"/>
              <wp:wrapNone/>
              <wp:docPr id="824" name="Shape 8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0" type="#_x0000_t202" style="position:absolute;margin-left:549.25pt;margin-top:836.14999999999998pt;width:3.6000000000000001pt;height:7.7000000000000002pt;z-index:-1887434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3676015</wp:posOffset>
              </wp:positionH>
              <wp:positionV relativeFrom="page">
                <wp:posOffset>10027285</wp:posOffset>
              </wp:positionV>
              <wp:extent cx="3148330" cy="189230"/>
              <wp:wrapNone/>
              <wp:docPr id="829" name="Shape 829"/>
              <a:graphic xmlns:a="http://schemas.openxmlformats.org/drawingml/2006/main">
                <a:graphicData uri="http://schemas.microsoft.com/office/word/2010/wordprocessingShape">
                  <wps:wsp>
                    <wps:cNvSpPr txBox="1"/>
                    <wps:spPr>
                      <a:xfrm>
                        <a:ext cx="3148330" cy="189230"/>
                      </a:xfrm>
                      <a:prstGeom prst="rect"/>
                      <a:noFill/>
                    </wps:spPr>
                    <wps:txbx>
                      <w:txbxContent>
                        <w:p>
                          <w:pPr>
                            <w:pStyle w:val="Style52"/>
                            <w:keepNext w:val="0"/>
                            <w:keepLines w:val="0"/>
                            <w:widowControl w:val="0"/>
                            <w:shd w:val="clear" w:color="auto" w:fill="auto"/>
                            <w:tabs>
                              <w:tab w:pos="4958"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855" type="#_x0000_t202" style="position:absolute;margin-left:289.44999999999999pt;margin-top:789.55000000000007pt;width:247.90000000000001pt;height:14.9pt;z-index:-188743435;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58"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3684905</wp:posOffset>
              </wp:positionH>
              <wp:positionV relativeFrom="page">
                <wp:posOffset>10113645</wp:posOffset>
              </wp:positionV>
              <wp:extent cx="149225" cy="79375"/>
              <wp:wrapNone/>
              <wp:docPr id="834" name="Shape 83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0" type="#_x0000_t202" style="position:absolute;margin-left:290.15000000000003pt;margin-top:796.35000000000002pt;width:11.75pt;height:6.25pt;z-index:-1887434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4" behindDoc="1" locked="0" layoutInCell="1" allowOverlap="1">
              <wp:simplePos x="0" y="0"/>
              <wp:positionH relativeFrom="page">
                <wp:posOffset>5821680</wp:posOffset>
              </wp:positionH>
              <wp:positionV relativeFrom="page">
                <wp:posOffset>10619105</wp:posOffset>
              </wp:positionV>
              <wp:extent cx="133985" cy="103505"/>
              <wp:wrapNone/>
              <wp:docPr id="836" name="Shape 8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2" type="#_x0000_t202" style="position:absolute;margin-left:458.40000000000003pt;margin-top:836.14999999999998pt;width:10.550000000000001pt;height:8.1500000000000004pt;z-index:-1887434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3684905</wp:posOffset>
              </wp:positionH>
              <wp:positionV relativeFrom="page">
                <wp:posOffset>10113645</wp:posOffset>
              </wp:positionV>
              <wp:extent cx="149225" cy="79375"/>
              <wp:wrapNone/>
              <wp:docPr id="841" name="Shape 84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7" type="#_x0000_t202" style="position:absolute;margin-left:290.15000000000003pt;margin-top:796.35000000000002pt;width:11.75pt;height:6.25pt;z-index:-1887434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5821680</wp:posOffset>
              </wp:positionH>
              <wp:positionV relativeFrom="page">
                <wp:posOffset>10619105</wp:posOffset>
              </wp:positionV>
              <wp:extent cx="133985" cy="103505"/>
              <wp:wrapNone/>
              <wp:docPr id="843" name="Shape 8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9" type="#_x0000_t202" style="position:absolute;margin-left:458.40000000000003pt;margin-top:836.14999999999998pt;width:10.550000000000001pt;height:8.1500000000000004pt;z-index:-1887434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3689985</wp:posOffset>
              </wp:positionH>
              <wp:positionV relativeFrom="page">
                <wp:posOffset>10113010</wp:posOffset>
              </wp:positionV>
              <wp:extent cx="155575" cy="79375"/>
              <wp:wrapNone/>
              <wp:docPr id="848" name="Shape 8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4" type="#_x0000_t202" style="position:absolute;margin-left:290.55000000000001pt;margin-top:796.30000000000007pt;width:12.25pt;height:6.25pt;z-index:-18874341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6" behindDoc="1" locked="0" layoutInCell="1" allowOverlap="1">
              <wp:simplePos x="0" y="0"/>
              <wp:positionH relativeFrom="page">
                <wp:posOffset>6877685</wp:posOffset>
              </wp:positionH>
              <wp:positionV relativeFrom="page">
                <wp:posOffset>10619105</wp:posOffset>
              </wp:positionV>
              <wp:extent cx="42545" cy="97790"/>
              <wp:wrapNone/>
              <wp:docPr id="850" name="Shape 85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6" type="#_x0000_t202" style="position:absolute;margin-left:541.54999999999995pt;margin-top:836.14999999999998pt;width:3.3500000000000001pt;height:7.7000000000000002pt;z-index:-1887434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9" behindDoc="1" locked="0" layoutInCell="1" allowOverlap="1">
              <wp:simplePos x="0" y="0"/>
              <wp:positionH relativeFrom="page">
                <wp:posOffset>3733800</wp:posOffset>
              </wp:positionH>
              <wp:positionV relativeFrom="page">
                <wp:posOffset>10225405</wp:posOffset>
              </wp:positionV>
              <wp:extent cx="97790" cy="79375"/>
              <wp:wrapNone/>
              <wp:docPr id="879" name="Shape 8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5" type="#_x0000_t202" style="position:absolute;margin-left:294.pt;margin-top:805.14999999999998pt;width:7.7000000000000002pt;height:6.25pt;z-index:-1887433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3733800</wp:posOffset>
              </wp:positionH>
              <wp:positionV relativeFrom="page">
                <wp:posOffset>10225405</wp:posOffset>
              </wp:positionV>
              <wp:extent cx="97790" cy="79375"/>
              <wp:wrapNone/>
              <wp:docPr id="884" name="Shape 8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0" type="#_x0000_t202" style="position:absolute;margin-left:294.pt;margin-top:805.14999999999998pt;width:7.7000000000000002pt;height:6.25pt;z-index:-1887433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7" behindDoc="1" locked="0" layoutInCell="1" allowOverlap="1">
              <wp:simplePos x="0" y="0"/>
              <wp:positionH relativeFrom="page">
                <wp:posOffset>3672840</wp:posOffset>
              </wp:positionH>
              <wp:positionV relativeFrom="page">
                <wp:posOffset>10027285</wp:posOffset>
              </wp:positionV>
              <wp:extent cx="3166745" cy="189230"/>
              <wp:wrapNone/>
              <wp:docPr id="889" name="Shape 889"/>
              <a:graphic xmlns:a="http://schemas.openxmlformats.org/drawingml/2006/main">
                <a:graphicData uri="http://schemas.microsoft.com/office/word/2010/wordprocessingShape">
                  <wps:wsp>
                    <wps:cNvSpPr txBox="1"/>
                    <wps:spPr>
                      <a:xfrm>
                        <a:ext cx="3166745" cy="189230"/>
                      </a:xfrm>
                      <a:prstGeom prst="rect"/>
                      <a:noFill/>
                    </wps:spPr>
                    <wps:txbx>
                      <w:txbxContent>
                        <w:p>
                          <w:pPr>
                            <w:pStyle w:val="Style52"/>
                            <w:keepNext w:val="0"/>
                            <w:keepLines w:val="0"/>
                            <w:widowControl w:val="0"/>
                            <w:shd w:val="clear" w:color="auto" w:fill="auto"/>
                            <w:tabs>
                              <w:tab w:pos="498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915" type="#_x0000_t202" style="position:absolute;margin-left:289.19999999999999pt;margin-top:789.55000000000007pt;width:249.34999999999999pt;height:14.9pt;z-index:-188743386;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8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3733800</wp:posOffset>
              </wp:positionH>
              <wp:positionV relativeFrom="page">
                <wp:posOffset>10225405</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294.pt;margin-top:805.14999999999998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3707765</wp:posOffset>
              </wp:positionH>
              <wp:positionV relativeFrom="page">
                <wp:posOffset>10113010</wp:posOffset>
              </wp:positionV>
              <wp:extent cx="152400" cy="79375"/>
              <wp:wrapNone/>
              <wp:docPr id="894" name="Shape 89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0" type="#_x0000_t202" style="position:absolute;margin-left:291.94999999999999pt;margin-top:796.30000000000007pt;width:12.pt;height:6.25pt;z-index:-18874338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3" behindDoc="1" locked="0" layoutInCell="1" allowOverlap="1">
              <wp:simplePos x="0" y="0"/>
              <wp:positionH relativeFrom="page">
                <wp:posOffset>6896100</wp:posOffset>
              </wp:positionH>
              <wp:positionV relativeFrom="page">
                <wp:posOffset>10619105</wp:posOffset>
              </wp:positionV>
              <wp:extent cx="42545" cy="97790"/>
              <wp:wrapNone/>
              <wp:docPr id="896" name="Shape 89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22" type="#_x0000_t202" style="position:absolute;margin-left:543.pt;margin-top:836.14999999999998pt;width:3.3500000000000001pt;height:7.7000000000000002pt;z-index:-1887433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3684905</wp:posOffset>
              </wp:positionH>
              <wp:positionV relativeFrom="page">
                <wp:posOffset>10113645</wp:posOffset>
              </wp:positionV>
              <wp:extent cx="149225" cy="79375"/>
              <wp:wrapNone/>
              <wp:docPr id="901" name="Shape 90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7" type="#_x0000_t202" style="position:absolute;margin-left:290.15000000000003pt;margin-top:796.35000000000002pt;width:11.75pt;height:6.25pt;z-index:-18874337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9" behindDoc="1" locked="0" layoutInCell="1" allowOverlap="1">
              <wp:simplePos x="0" y="0"/>
              <wp:positionH relativeFrom="page">
                <wp:posOffset>5821680</wp:posOffset>
              </wp:positionH>
              <wp:positionV relativeFrom="page">
                <wp:posOffset>10619105</wp:posOffset>
              </wp:positionV>
              <wp:extent cx="133985" cy="103505"/>
              <wp:wrapNone/>
              <wp:docPr id="903" name="Shape 9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9" type="#_x0000_t202" style="position:absolute;margin-left:458.40000000000003pt;margin-top:836.14999999999998pt;width:10.550000000000001pt;height:8.1500000000000004pt;z-index:-1887433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3707765</wp:posOffset>
              </wp:positionH>
              <wp:positionV relativeFrom="page">
                <wp:posOffset>10113010</wp:posOffset>
              </wp:positionV>
              <wp:extent cx="152400" cy="79375"/>
              <wp:wrapNone/>
              <wp:docPr id="910" name="Shape 9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6" type="#_x0000_t202" style="position:absolute;margin-left:291.94999999999999pt;margin-top:796.30000000000007pt;width:12.pt;height:6.25pt;z-index:-1887433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5" behindDoc="1" locked="0" layoutInCell="1" allowOverlap="1">
              <wp:simplePos x="0" y="0"/>
              <wp:positionH relativeFrom="page">
                <wp:posOffset>6896100</wp:posOffset>
              </wp:positionH>
              <wp:positionV relativeFrom="page">
                <wp:posOffset>10619105</wp:posOffset>
              </wp:positionV>
              <wp:extent cx="42545" cy="97790"/>
              <wp:wrapNone/>
              <wp:docPr id="912" name="Shape 9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8" type="#_x0000_t202" style="position:absolute;margin-left:543.pt;margin-top:836.14999999999998pt;width:3.3500000000000001pt;height:7.7000000000000002pt;z-index:-1887433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3707765</wp:posOffset>
              </wp:positionH>
              <wp:positionV relativeFrom="page">
                <wp:posOffset>10113010</wp:posOffset>
              </wp:positionV>
              <wp:extent cx="152400" cy="79375"/>
              <wp:wrapNone/>
              <wp:docPr id="917" name="Shape 91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3" type="#_x0000_t202" style="position:absolute;margin-left:291.94999999999999pt;margin-top:796.30000000000007pt;width:12.pt;height:6.25pt;z-index:-18874336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1" behindDoc="1" locked="0" layoutInCell="1" allowOverlap="1">
              <wp:simplePos x="0" y="0"/>
              <wp:positionH relativeFrom="page">
                <wp:posOffset>6896100</wp:posOffset>
              </wp:positionH>
              <wp:positionV relativeFrom="page">
                <wp:posOffset>10619105</wp:posOffset>
              </wp:positionV>
              <wp:extent cx="42545" cy="97790"/>
              <wp:wrapNone/>
              <wp:docPr id="919" name="Shape 9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5" type="#_x0000_t202" style="position:absolute;margin-left:543.pt;margin-top:836.14999999999998pt;width:3.3500000000000001pt;height:7.7000000000000002pt;z-index:-1887433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3707765</wp:posOffset>
              </wp:positionH>
              <wp:positionV relativeFrom="page">
                <wp:posOffset>10113010</wp:posOffset>
              </wp:positionV>
              <wp:extent cx="158750" cy="79375"/>
              <wp:wrapNone/>
              <wp:docPr id="924" name="Shape 92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0" type="#_x0000_t202" style="position:absolute;margin-left:291.94999999999999pt;margin-top:796.30000000000007pt;width:12.5pt;height:6.25pt;z-index:-18874335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7" behindDoc="1" locked="0" layoutInCell="1" allowOverlap="1">
              <wp:simplePos x="0" y="0"/>
              <wp:positionH relativeFrom="page">
                <wp:posOffset>6975475</wp:posOffset>
              </wp:positionH>
              <wp:positionV relativeFrom="page">
                <wp:posOffset>10619105</wp:posOffset>
              </wp:positionV>
              <wp:extent cx="45720" cy="97790"/>
              <wp:wrapNone/>
              <wp:docPr id="926" name="Shape 92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2" type="#_x0000_t202" style="position:absolute;margin-left:549.25pt;margin-top:836.14999999999998pt;width:3.6000000000000001pt;height:7.7000000000000002pt;z-index:-1887433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3684905</wp:posOffset>
              </wp:positionH>
              <wp:positionV relativeFrom="page">
                <wp:posOffset>10113645</wp:posOffset>
              </wp:positionV>
              <wp:extent cx="149225" cy="79375"/>
              <wp:wrapNone/>
              <wp:docPr id="931" name="Shape 93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7" type="#_x0000_t202" style="position:absolute;margin-left:290.15000000000003pt;margin-top:796.35000000000002pt;width:11.75pt;height:6.25pt;z-index:-18874335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3" behindDoc="1" locked="0" layoutInCell="1" allowOverlap="1">
              <wp:simplePos x="0" y="0"/>
              <wp:positionH relativeFrom="page">
                <wp:posOffset>5821680</wp:posOffset>
              </wp:positionH>
              <wp:positionV relativeFrom="page">
                <wp:posOffset>10619105</wp:posOffset>
              </wp:positionV>
              <wp:extent cx="133985" cy="103505"/>
              <wp:wrapNone/>
              <wp:docPr id="933" name="Shape 9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59" type="#_x0000_t202" style="position:absolute;margin-left:458.40000000000003pt;margin-top:836.14999999999998pt;width:10.550000000000001pt;height:8.1500000000000004pt;z-index:-1887433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7" behindDoc="1" locked="0" layoutInCell="1" allowOverlap="1">
              <wp:simplePos x="0" y="0"/>
              <wp:positionH relativeFrom="page">
                <wp:posOffset>3684905</wp:posOffset>
              </wp:positionH>
              <wp:positionV relativeFrom="page">
                <wp:posOffset>10113645</wp:posOffset>
              </wp:positionV>
              <wp:extent cx="149225" cy="79375"/>
              <wp:wrapNone/>
              <wp:docPr id="938" name="Shape 93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4" type="#_x0000_t202" style="position:absolute;margin-left:290.15000000000003pt;margin-top:796.35000000000002pt;width:11.75pt;height:6.25pt;z-index:-18874334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9" behindDoc="1" locked="0" layoutInCell="1" allowOverlap="1">
              <wp:simplePos x="0" y="0"/>
              <wp:positionH relativeFrom="page">
                <wp:posOffset>5821680</wp:posOffset>
              </wp:positionH>
              <wp:positionV relativeFrom="page">
                <wp:posOffset>10619105</wp:posOffset>
              </wp:positionV>
              <wp:extent cx="133985" cy="103505"/>
              <wp:wrapNone/>
              <wp:docPr id="940" name="Shape 9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6" type="#_x0000_t202" style="position:absolute;margin-left:458.40000000000003pt;margin-top:836.14999999999998pt;width:10.550000000000001pt;height:8.1500000000000004pt;z-index:-1887433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3" behindDoc="1" locked="0" layoutInCell="1" allowOverlap="1">
              <wp:simplePos x="0" y="0"/>
              <wp:positionH relativeFrom="page">
                <wp:posOffset>3733800</wp:posOffset>
              </wp:positionH>
              <wp:positionV relativeFrom="page">
                <wp:posOffset>10225405</wp:posOffset>
              </wp:positionV>
              <wp:extent cx="97790" cy="79375"/>
              <wp:wrapNone/>
              <wp:docPr id="945" name="Shape 9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1" type="#_x0000_t202" style="position:absolute;margin-left:294.pt;margin-top:805.14999999999998pt;width:7.7000000000000002pt;height:6.25pt;z-index:-1887433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3733800</wp:posOffset>
              </wp:positionH>
              <wp:positionV relativeFrom="page">
                <wp:posOffset>10225405</wp:posOffset>
              </wp:positionV>
              <wp:extent cx="97790" cy="79375"/>
              <wp:wrapNone/>
              <wp:docPr id="950" name="Shape 9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6" type="#_x0000_t202" style="position:absolute;margin-left:294.pt;margin-top:805.14999999999998pt;width:7.7000000000000002pt;height:6.25pt;z-index:-1887433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1" behindDoc="1" locked="0" layoutInCell="1" allowOverlap="1">
              <wp:simplePos x="0" y="0"/>
              <wp:positionH relativeFrom="page">
                <wp:posOffset>3720465</wp:posOffset>
              </wp:positionH>
              <wp:positionV relativeFrom="page">
                <wp:posOffset>10113645</wp:posOffset>
              </wp:positionV>
              <wp:extent cx="158750" cy="79375"/>
              <wp:wrapNone/>
              <wp:docPr id="956" name="Shape 95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2" type="#_x0000_t202" style="position:absolute;margin-left:292.94999999999999pt;margin-top:796.35000000000002pt;width:12.5pt;height:6.25pt;z-index:-18874333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3" behindDoc="1" locked="0" layoutInCell="1" allowOverlap="1">
              <wp:simplePos x="0" y="0"/>
              <wp:positionH relativeFrom="page">
                <wp:posOffset>6988175</wp:posOffset>
              </wp:positionH>
              <wp:positionV relativeFrom="page">
                <wp:posOffset>10619105</wp:posOffset>
              </wp:positionV>
              <wp:extent cx="45720" cy="97790"/>
              <wp:wrapNone/>
              <wp:docPr id="958" name="Shape 9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4" type="#_x0000_t202" style="position:absolute;margin-left:550.25pt;margin-top:836.14999999999998pt;width:3.6000000000000001pt;height:7.7000000000000002pt;z-index:-1887433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3733800</wp:posOffset>
              </wp:positionH>
              <wp:positionV relativeFrom="page">
                <wp:posOffset>10225405</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4.pt;margin-top:805.14999999999998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7" behindDoc="1" locked="0" layoutInCell="1" allowOverlap="1">
              <wp:simplePos x="0" y="0"/>
              <wp:positionH relativeFrom="page">
                <wp:posOffset>3720465</wp:posOffset>
              </wp:positionH>
              <wp:positionV relativeFrom="page">
                <wp:posOffset>10113645</wp:posOffset>
              </wp:positionV>
              <wp:extent cx="158750" cy="79375"/>
              <wp:wrapNone/>
              <wp:docPr id="963" name="Shape 96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9" type="#_x0000_t202" style="position:absolute;margin-left:292.94999999999999pt;margin-top:796.35000000000002pt;width:12.5pt;height:6.25pt;z-index:-1887433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9" behindDoc="1" locked="0" layoutInCell="1" allowOverlap="1">
              <wp:simplePos x="0" y="0"/>
              <wp:positionH relativeFrom="page">
                <wp:posOffset>6988175</wp:posOffset>
              </wp:positionH>
              <wp:positionV relativeFrom="page">
                <wp:posOffset>10619105</wp:posOffset>
              </wp:positionV>
              <wp:extent cx="45720" cy="97790"/>
              <wp:wrapNone/>
              <wp:docPr id="965" name="Shape 96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1" type="#_x0000_t202" style="position:absolute;margin-left:550.25pt;margin-top:836.14999999999998pt;width:3.6000000000000001pt;height:7.7000000000000002pt;z-index:-1887433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3" behindDoc="1" locked="0" layoutInCell="1" allowOverlap="1">
              <wp:simplePos x="0" y="0"/>
              <wp:positionH relativeFrom="page">
                <wp:posOffset>3684905</wp:posOffset>
              </wp:positionH>
              <wp:positionV relativeFrom="page">
                <wp:posOffset>10113645</wp:posOffset>
              </wp:positionV>
              <wp:extent cx="149225" cy="79375"/>
              <wp:wrapNone/>
              <wp:docPr id="970" name="Shape 97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96" type="#_x0000_t202" style="position:absolute;margin-left:290.15000000000003pt;margin-top:796.35000000000002pt;width:11.75pt;height:6.25pt;z-index:-1887433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5" behindDoc="1" locked="0" layoutInCell="1" allowOverlap="1">
              <wp:simplePos x="0" y="0"/>
              <wp:positionH relativeFrom="page">
                <wp:posOffset>5821680</wp:posOffset>
              </wp:positionH>
              <wp:positionV relativeFrom="page">
                <wp:posOffset>10619105</wp:posOffset>
              </wp:positionV>
              <wp:extent cx="133985" cy="103505"/>
              <wp:wrapNone/>
              <wp:docPr id="972" name="Shape 9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8" type="#_x0000_t202" style="position:absolute;margin-left:458.40000000000003pt;margin-top:836.14999999999998pt;width:10.550000000000001pt;height:8.1500000000000004pt;z-index:-1887433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9" behindDoc="1" locked="0" layoutInCell="1" allowOverlap="1">
              <wp:simplePos x="0" y="0"/>
              <wp:positionH relativeFrom="page">
                <wp:posOffset>3733800</wp:posOffset>
              </wp:positionH>
              <wp:positionV relativeFrom="page">
                <wp:posOffset>10225405</wp:posOffset>
              </wp:positionV>
              <wp:extent cx="97790" cy="79375"/>
              <wp:wrapNone/>
              <wp:docPr id="977" name="Shape 9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03" type="#_x0000_t202" style="position:absolute;margin-left:294.pt;margin-top:805.14999999999998pt;width:7.7000000000000002pt;height:6.25pt;z-index:-1887433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3" behindDoc="1" locked="0" layoutInCell="1" allowOverlap="1">
              <wp:simplePos x="0" y="0"/>
              <wp:positionH relativeFrom="page">
                <wp:posOffset>3733800</wp:posOffset>
              </wp:positionH>
              <wp:positionV relativeFrom="page">
                <wp:posOffset>10225405</wp:posOffset>
              </wp:positionV>
              <wp:extent cx="97790" cy="79375"/>
              <wp:wrapNone/>
              <wp:docPr id="982" name="Shape 9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08" type="#_x0000_t202" style="position:absolute;margin-left:294.pt;margin-top:805.14999999999998pt;width:7.7000000000000002pt;height:6.25pt;z-index:-1887433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3696970</wp:posOffset>
              </wp:positionH>
              <wp:positionV relativeFrom="page">
                <wp:posOffset>10137140</wp:posOffset>
              </wp:positionV>
              <wp:extent cx="97790" cy="79375"/>
              <wp:wrapNone/>
              <wp:docPr id="106" name="Shape 1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1.10000000000002pt;margin-top:798.20000000000005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5809615</wp:posOffset>
              </wp:positionH>
              <wp:positionV relativeFrom="page">
                <wp:posOffset>10643235</wp:posOffset>
              </wp:positionV>
              <wp:extent cx="133985" cy="103505"/>
              <wp:wrapNone/>
              <wp:docPr id="108" name="Shape 1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4" type="#_x0000_t202" style="position:absolute;margin-left:457.44999999999999pt;margin-top:838.05000000000007pt;width:10.550000000000001pt;height:8.1500000000000004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3696970</wp:posOffset>
              </wp:positionH>
              <wp:positionV relativeFrom="page">
                <wp:posOffset>10137140</wp:posOffset>
              </wp:positionV>
              <wp:extent cx="97790" cy="79375"/>
              <wp:wrapNone/>
              <wp:docPr id="113" name="Shape 1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291.10000000000002pt;margin-top:798.20000000000005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5809615</wp:posOffset>
              </wp:positionH>
              <wp:positionV relativeFrom="page">
                <wp:posOffset>10643235</wp:posOffset>
              </wp:positionV>
              <wp:extent cx="133985" cy="103505"/>
              <wp:wrapNone/>
              <wp:docPr id="115" name="Shape 1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1" type="#_x0000_t202" style="position:absolute;margin-left:457.44999999999999pt;margin-top:838.05000000000007pt;width:10.550000000000001pt;height:8.1500000000000004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3696970</wp:posOffset>
              </wp:positionH>
              <wp:positionV relativeFrom="page">
                <wp:posOffset>10137140</wp:posOffset>
              </wp:positionV>
              <wp:extent cx="97790" cy="79375"/>
              <wp:wrapNone/>
              <wp:docPr id="120" name="Shape 1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291.10000000000002pt;margin-top:798.20000000000005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5809615</wp:posOffset>
              </wp:positionH>
              <wp:positionV relativeFrom="page">
                <wp:posOffset>10643235</wp:posOffset>
              </wp:positionV>
              <wp:extent cx="133985" cy="103505"/>
              <wp:wrapNone/>
              <wp:docPr id="122" name="Shape 1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8" type="#_x0000_t202" style="position:absolute;margin-left:457.44999999999999pt;margin-top:838.05000000000007pt;width:10.550000000000001pt;height:8.1500000000000004pt;z-index:-1887439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3753485</wp:posOffset>
              </wp:positionH>
              <wp:positionV relativeFrom="page">
                <wp:posOffset>10137140</wp:posOffset>
              </wp:positionV>
              <wp:extent cx="94615" cy="79375"/>
              <wp:wrapNone/>
              <wp:docPr id="127" name="Shape 12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295.55000000000001pt;margin-top:798.20000000000005pt;width:7.4500000000000002pt;height:6.25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6993255</wp:posOffset>
              </wp:positionH>
              <wp:positionV relativeFrom="page">
                <wp:posOffset>10643235</wp:posOffset>
              </wp:positionV>
              <wp:extent cx="45720" cy="97790"/>
              <wp:wrapNone/>
              <wp:docPr id="129" name="Shape 1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5" type="#_x0000_t202" style="position:absolute;margin-left:550.64999999999998pt;margin-top:838.05000000000007pt;width:3.6000000000000001pt;height:7.7000000000000002pt;z-index:-1887439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3733800</wp:posOffset>
              </wp:positionH>
              <wp:positionV relativeFrom="page">
                <wp:posOffset>10225405</wp:posOffset>
              </wp:positionV>
              <wp:extent cx="97790" cy="79375"/>
              <wp:wrapNone/>
              <wp:docPr id="17" name="Shape 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294.pt;margin-top:805.14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3696970</wp:posOffset>
              </wp:positionH>
              <wp:positionV relativeFrom="page">
                <wp:posOffset>10137140</wp:posOffset>
              </wp:positionV>
              <wp:extent cx="97790" cy="79375"/>
              <wp:wrapNone/>
              <wp:docPr id="140" name="Shape 1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291.10000000000002pt;margin-top:798.20000000000005pt;width:7.7000000000000002pt;height:6.25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5809615</wp:posOffset>
              </wp:positionH>
              <wp:positionV relativeFrom="page">
                <wp:posOffset>10643235</wp:posOffset>
              </wp:positionV>
              <wp:extent cx="133985" cy="103505"/>
              <wp:wrapNone/>
              <wp:docPr id="142" name="Shape 1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8" type="#_x0000_t202" style="position:absolute;margin-left:457.44999999999999pt;margin-top:838.05000000000007pt;width:10.550000000000001pt;height:8.1500000000000004pt;z-index:-1887439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3753485</wp:posOffset>
              </wp:positionH>
              <wp:positionV relativeFrom="page">
                <wp:posOffset>10137140</wp:posOffset>
              </wp:positionV>
              <wp:extent cx="94615" cy="79375"/>
              <wp:wrapNone/>
              <wp:docPr id="147" name="Shape 14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295.55000000000001pt;margin-top:798.20000000000005pt;width:7.4500000000000002pt;height:6.25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6993255</wp:posOffset>
              </wp:positionH>
              <wp:positionV relativeFrom="page">
                <wp:posOffset>10643235</wp:posOffset>
              </wp:positionV>
              <wp:extent cx="45720" cy="97790"/>
              <wp:wrapNone/>
              <wp:docPr id="149" name="Shape 1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5" type="#_x0000_t202" style="position:absolute;margin-left:550.64999999999998pt;margin-top:838.05000000000007pt;width:3.6000000000000001pt;height:7.7000000000000002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3753485</wp:posOffset>
              </wp:positionH>
              <wp:positionV relativeFrom="page">
                <wp:posOffset>10137140</wp:posOffset>
              </wp:positionV>
              <wp:extent cx="94615" cy="79375"/>
              <wp:wrapNone/>
              <wp:docPr id="154" name="Shape 15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295.55000000000001pt;margin-top:798.20000000000005pt;width:7.4500000000000002pt;height:6.25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6993255</wp:posOffset>
              </wp:positionH>
              <wp:positionV relativeFrom="page">
                <wp:posOffset>10643235</wp:posOffset>
              </wp:positionV>
              <wp:extent cx="45720" cy="97790"/>
              <wp:wrapNone/>
              <wp:docPr id="156" name="Shape 15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2" type="#_x0000_t202" style="position:absolute;margin-left:550.64999999999998pt;margin-top:838.05000000000007pt;width:3.6000000000000001pt;height:7.7000000000000002pt;z-index:-1887439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3753485</wp:posOffset>
              </wp:positionH>
              <wp:positionV relativeFrom="page">
                <wp:posOffset>10137140</wp:posOffset>
              </wp:positionV>
              <wp:extent cx="94615" cy="79375"/>
              <wp:wrapNone/>
              <wp:docPr id="161" name="Shape 16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295.55000000000001pt;margin-top:798.20000000000005pt;width:7.4500000000000002pt;height:6.2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6993255</wp:posOffset>
              </wp:positionH>
              <wp:positionV relativeFrom="page">
                <wp:posOffset>10643235</wp:posOffset>
              </wp:positionV>
              <wp:extent cx="45720" cy="97790"/>
              <wp:wrapNone/>
              <wp:docPr id="163" name="Shape 1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9" type="#_x0000_t202" style="position:absolute;margin-left:550.64999999999998pt;margin-top:838.05000000000007pt;width:3.6000000000000001pt;height:7.7000000000000002pt;z-index:-1887439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3696970</wp:posOffset>
              </wp:positionH>
              <wp:positionV relativeFrom="page">
                <wp:posOffset>10137140</wp:posOffset>
              </wp:positionV>
              <wp:extent cx="97790" cy="79375"/>
              <wp:wrapNone/>
              <wp:docPr id="168" name="Shape 1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291.10000000000002pt;margin-top:798.20000000000005pt;width:7.7000000000000002pt;height:6.25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5809615</wp:posOffset>
              </wp:positionH>
              <wp:positionV relativeFrom="page">
                <wp:posOffset>10643235</wp:posOffset>
              </wp:positionV>
              <wp:extent cx="133985" cy="103505"/>
              <wp:wrapNone/>
              <wp:docPr id="170" name="Shape 1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96" type="#_x0000_t202" style="position:absolute;margin-left:457.44999999999999pt;margin-top:838.05000000000007pt;width:10.550000000000001pt;height:8.1500000000000004pt;z-index:-1887439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3696970</wp:posOffset>
              </wp:positionH>
              <wp:positionV relativeFrom="page">
                <wp:posOffset>10137140</wp:posOffset>
              </wp:positionV>
              <wp:extent cx="97790" cy="79375"/>
              <wp:wrapNone/>
              <wp:docPr id="175" name="Shape 1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291.10000000000002pt;margin-top:798.20000000000005pt;width:7.7000000000000002pt;height:6.25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5809615</wp:posOffset>
              </wp:positionH>
              <wp:positionV relativeFrom="page">
                <wp:posOffset>10643235</wp:posOffset>
              </wp:positionV>
              <wp:extent cx="133985" cy="103505"/>
              <wp:wrapNone/>
              <wp:docPr id="177" name="Shape 1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3" type="#_x0000_t202" style="position:absolute;margin-left:457.44999999999999pt;margin-top:838.05000000000007pt;width:10.550000000000001pt;height:8.1500000000000004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3727450</wp:posOffset>
              </wp:positionH>
              <wp:positionV relativeFrom="page">
                <wp:posOffset>10024745</wp:posOffset>
              </wp:positionV>
              <wp:extent cx="3145790" cy="189230"/>
              <wp:wrapNone/>
              <wp:docPr id="182" name="Shape 182"/>
              <a:graphic xmlns:a="http://schemas.openxmlformats.org/drawingml/2006/main">
                <a:graphicData uri="http://schemas.microsoft.com/office/word/2010/wordprocessingShape">
                  <wps:wsp>
                    <wps:cNvSpPr txBox="1"/>
                    <wps:spPr>
                      <a:xfrm>
                        <a:ext cx="3145790" cy="189230"/>
                      </a:xfrm>
                      <a:prstGeom prst="rect"/>
                      <a:noFill/>
                    </wps:spPr>
                    <wps:txbx>
                      <w:txbxContent>
                        <w:p>
                          <w:pPr>
                            <w:pStyle w:val="Style52"/>
                            <w:keepNext w:val="0"/>
                            <w:keepLines w:val="0"/>
                            <w:widowControl w:val="0"/>
                            <w:shd w:val="clear" w:color="auto" w:fill="auto"/>
                            <w:tabs>
                              <w:tab w:pos="49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208" type="#_x0000_t202" style="position:absolute;margin-left:293.5pt;margin-top:789.35000000000002pt;width:247.70000000000002pt;height:14.9pt;z-index:-188743919;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3733800</wp:posOffset>
              </wp:positionH>
              <wp:positionV relativeFrom="page">
                <wp:posOffset>10225405</wp:posOffset>
              </wp:positionV>
              <wp:extent cx="97790" cy="79375"/>
              <wp:wrapNone/>
              <wp:docPr id="187" name="Shape 1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294.pt;margin-top:805.14999999999998pt;width:7.7000000000000002pt;height:6.25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3733800</wp:posOffset>
              </wp:positionH>
              <wp:positionV relativeFrom="page">
                <wp:posOffset>10225405</wp:posOffset>
              </wp:positionV>
              <wp:extent cx="97790" cy="79375"/>
              <wp:wrapNone/>
              <wp:docPr id="192" name="Shape 1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294.pt;margin-top:805.14999999999998pt;width:7.7000000000000002pt;height:6.25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3763010</wp:posOffset>
              </wp:positionH>
              <wp:positionV relativeFrom="page">
                <wp:posOffset>10225405</wp:posOffset>
              </wp:positionV>
              <wp:extent cx="30480" cy="79375"/>
              <wp:wrapNone/>
              <wp:docPr id="22" name="Shape 22"/>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296.30000000000001pt;margin-top:805.14999999999998pt;width:2.3999999999999999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6972300</wp:posOffset>
              </wp:positionH>
              <wp:positionV relativeFrom="page">
                <wp:posOffset>10731500</wp:posOffset>
              </wp:positionV>
              <wp:extent cx="45720" cy="97790"/>
              <wp:wrapNone/>
              <wp:docPr id="24" name="Shape 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0" type="#_x0000_t202" style="position:absolute;margin-left:549.pt;margin-top:845.pt;width:3.6000000000000001pt;height:7.7000000000000002pt;z-index:-1887440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3753485</wp:posOffset>
              </wp:positionH>
              <wp:positionV relativeFrom="page">
                <wp:posOffset>10137140</wp:posOffset>
              </wp:positionV>
              <wp:extent cx="94615" cy="79375"/>
              <wp:wrapNone/>
              <wp:docPr id="198" name="Shape 19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295.55000000000001pt;margin-top:798.20000000000005pt;width:7.4500000000000002pt;height:6.25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6993255</wp:posOffset>
              </wp:positionH>
              <wp:positionV relativeFrom="page">
                <wp:posOffset>10643235</wp:posOffset>
              </wp:positionV>
              <wp:extent cx="45720" cy="97790"/>
              <wp:wrapNone/>
              <wp:docPr id="200" name="Shape 20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6" type="#_x0000_t202" style="position:absolute;margin-left:550.64999999999998pt;margin-top:838.05000000000007pt;width:3.6000000000000001pt;height:7.7000000000000002pt;z-index:-1887439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3696970</wp:posOffset>
              </wp:positionH>
              <wp:positionV relativeFrom="page">
                <wp:posOffset>10137140</wp:posOffset>
              </wp:positionV>
              <wp:extent cx="97790" cy="79375"/>
              <wp:wrapNone/>
              <wp:docPr id="205" name="Shape 2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291.10000000000002pt;margin-top:798.20000000000005pt;width:7.7000000000000002pt;height:6.25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5809615</wp:posOffset>
              </wp:positionH>
              <wp:positionV relativeFrom="page">
                <wp:posOffset>10643235</wp:posOffset>
              </wp:positionV>
              <wp:extent cx="133985" cy="103505"/>
              <wp:wrapNone/>
              <wp:docPr id="207" name="Shape 2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3" type="#_x0000_t202" style="position:absolute;margin-left:457.44999999999999pt;margin-top:838.05000000000007pt;width:10.550000000000001pt;height:8.1500000000000004pt;z-index:-1887438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3735705</wp:posOffset>
              </wp:positionH>
              <wp:positionV relativeFrom="page">
                <wp:posOffset>10113645</wp:posOffset>
              </wp:positionV>
              <wp:extent cx="100330" cy="79375"/>
              <wp:wrapNone/>
              <wp:docPr id="212" name="Shape 21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8" type="#_x0000_t202" style="position:absolute;margin-left:294.15000000000003pt;margin-top:796.35000000000002pt;width:7.9000000000000004pt;height:6.25pt;z-index:-1887438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6903085</wp:posOffset>
              </wp:positionH>
              <wp:positionV relativeFrom="page">
                <wp:posOffset>10619105</wp:posOffset>
              </wp:positionV>
              <wp:extent cx="42545" cy="97790"/>
              <wp:wrapNone/>
              <wp:docPr id="214" name="Shape 21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0" type="#_x0000_t202" style="position:absolute;margin-left:543.54999999999995pt;margin-top:836.14999999999998pt;width:3.3500000000000001pt;height:7.7000000000000002pt;z-index:-1887438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3696970</wp:posOffset>
              </wp:positionH>
              <wp:positionV relativeFrom="page">
                <wp:posOffset>10137140</wp:posOffset>
              </wp:positionV>
              <wp:extent cx="97790" cy="79375"/>
              <wp:wrapNone/>
              <wp:docPr id="219" name="Shape 2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291.10000000000002pt;margin-top:798.20000000000005pt;width:7.7000000000000002pt;height:6.25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5809615</wp:posOffset>
              </wp:positionH>
              <wp:positionV relativeFrom="page">
                <wp:posOffset>10643235</wp:posOffset>
              </wp:positionV>
              <wp:extent cx="133985" cy="103505"/>
              <wp:wrapNone/>
              <wp:docPr id="221" name="Shape 2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7" type="#_x0000_t202" style="position:absolute;margin-left:457.44999999999999pt;margin-top:838.05000000000007pt;width:10.550000000000001pt;height:8.1500000000000004pt;z-index:-1887438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3696970</wp:posOffset>
              </wp:positionH>
              <wp:positionV relativeFrom="page">
                <wp:posOffset>10137140</wp:posOffset>
              </wp:positionV>
              <wp:extent cx="97790" cy="79375"/>
              <wp:wrapNone/>
              <wp:docPr id="226" name="Shape 2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291.10000000000002pt;margin-top:798.20000000000005pt;width:7.7000000000000002pt;height:6.25pt;z-index:-1887438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5809615</wp:posOffset>
              </wp:positionH>
              <wp:positionV relativeFrom="page">
                <wp:posOffset>10643235</wp:posOffset>
              </wp:positionV>
              <wp:extent cx="133985" cy="103505"/>
              <wp:wrapNone/>
              <wp:docPr id="228" name="Shape 2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4" type="#_x0000_t202" style="position:absolute;margin-left:457.44999999999999pt;margin-top:838.05000000000007pt;width:10.550000000000001pt;height:8.1500000000000004pt;z-index:-1887438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3733800</wp:posOffset>
              </wp:positionH>
              <wp:positionV relativeFrom="page">
                <wp:posOffset>10225405</wp:posOffset>
              </wp:positionV>
              <wp:extent cx="97790" cy="79375"/>
              <wp:wrapNone/>
              <wp:docPr id="233" name="Shape 2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294.pt;margin-top:805.14999999999998pt;width:7.7000000000000002pt;height:6.25pt;z-index:-1887438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3733800</wp:posOffset>
              </wp:positionH>
              <wp:positionV relativeFrom="page">
                <wp:posOffset>10225405</wp:posOffset>
              </wp:positionV>
              <wp:extent cx="97790" cy="79375"/>
              <wp:wrapNone/>
              <wp:docPr id="238" name="Shape 2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294.pt;margin-top:805.14999999999998pt;width:7.7000000000000002pt;height:6.25pt;z-index:-1887438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3753485</wp:posOffset>
              </wp:positionH>
              <wp:positionV relativeFrom="page">
                <wp:posOffset>10137140</wp:posOffset>
              </wp:positionV>
              <wp:extent cx="94615" cy="79375"/>
              <wp:wrapNone/>
              <wp:docPr id="244" name="Shape 24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0" type="#_x0000_t202" style="position:absolute;margin-left:295.55000000000001pt;margin-top:798.20000000000005pt;width:7.4500000000000002pt;height:6.25pt;z-index:-1887438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6993255</wp:posOffset>
              </wp:positionH>
              <wp:positionV relativeFrom="page">
                <wp:posOffset>10643235</wp:posOffset>
              </wp:positionV>
              <wp:extent cx="45720" cy="97790"/>
              <wp:wrapNone/>
              <wp:docPr id="246" name="Shape 2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2" type="#_x0000_t202" style="position:absolute;margin-left:550.64999999999998pt;margin-top:838.05000000000007pt;width:3.6000000000000001pt;height:7.7000000000000002pt;z-index:-1887438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3753485</wp:posOffset>
              </wp:positionH>
              <wp:positionV relativeFrom="page">
                <wp:posOffset>10137140</wp:posOffset>
              </wp:positionV>
              <wp:extent cx="94615" cy="79375"/>
              <wp:wrapNone/>
              <wp:docPr id="251" name="Shape 25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295.55000000000001pt;margin-top:798.20000000000005pt;width:7.4500000000000002pt;height:6.25pt;z-index:-1887438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6993255</wp:posOffset>
              </wp:positionH>
              <wp:positionV relativeFrom="page">
                <wp:posOffset>10643235</wp:posOffset>
              </wp:positionV>
              <wp:extent cx="45720" cy="97790"/>
              <wp:wrapNone/>
              <wp:docPr id="253" name="Shape 25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9" type="#_x0000_t202" style="position:absolute;margin-left:550.64999999999998pt;margin-top:838.05000000000007pt;width:3.6000000000000001pt;height:7.7000000000000002pt;z-index:-1887438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3724910</wp:posOffset>
              </wp:positionH>
              <wp:positionV relativeFrom="page">
                <wp:posOffset>10024745</wp:posOffset>
              </wp:positionV>
              <wp:extent cx="3127375" cy="189230"/>
              <wp:wrapNone/>
              <wp:docPr id="258" name="Shape 258"/>
              <a:graphic xmlns:a="http://schemas.openxmlformats.org/drawingml/2006/main">
                <a:graphicData uri="http://schemas.microsoft.com/office/word/2010/wordprocessingShape">
                  <wps:wsp>
                    <wps:cNvSpPr txBox="1"/>
                    <wps:spPr>
                      <a:xfrm>
                        <a:ext cx="3127375" cy="189230"/>
                      </a:xfrm>
                      <a:prstGeom prst="rect"/>
                      <a:noFill/>
                    </wps:spPr>
                    <wps:txbx>
                      <w:txbxContent>
                        <w:p>
                          <w:pPr>
                            <w:pStyle w:val="Style52"/>
                            <w:keepNext w:val="0"/>
                            <w:keepLines w:val="0"/>
                            <w:widowControl w:val="0"/>
                            <w:shd w:val="clear" w:color="auto" w:fill="auto"/>
                            <w:tabs>
                              <w:tab w:pos="4925"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284" type="#_x0000_t202" style="position:absolute;margin-left:293.30000000000001pt;margin-top:789.35000000000002pt;width:246.25pt;height:14.9pt;z-index:-188743857;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25"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3757930</wp:posOffset>
              </wp:positionH>
              <wp:positionV relativeFrom="page">
                <wp:posOffset>10113645</wp:posOffset>
              </wp:positionV>
              <wp:extent cx="42545" cy="79375"/>
              <wp:wrapNone/>
              <wp:docPr id="32" name="Shape 32"/>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295.90000000000003pt;margin-top:796.35000000000002pt;width:3.3500000000000001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6894830</wp:posOffset>
              </wp:positionH>
              <wp:positionV relativeFrom="page">
                <wp:posOffset>10619105</wp:posOffset>
              </wp:positionV>
              <wp:extent cx="42545" cy="97790"/>
              <wp:wrapNone/>
              <wp:docPr id="34" name="Shape 3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0" type="#_x0000_t202" style="position:absolute;margin-left:542.89999999999998pt;margin-top:836.14999999999998pt;width:3.3500000000000001pt;height:7.7000000000000002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3724910</wp:posOffset>
              </wp:positionH>
              <wp:positionV relativeFrom="page">
                <wp:posOffset>10139045</wp:posOffset>
              </wp:positionV>
              <wp:extent cx="100330" cy="79375"/>
              <wp:wrapNone/>
              <wp:docPr id="263" name="Shape 26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9" type="#_x0000_t202" style="position:absolute;margin-left:293.30000000000001pt;margin-top:798.35000000000002pt;width:7.9000000000000004pt;height:6.25pt;z-index:-1887438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6898005</wp:posOffset>
              </wp:positionH>
              <wp:positionV relativeFrom="page">
                <wp:posOffset>10645140</wp:posOffset>
              </wp:positionV>
              <wp:extent cx="42545" cy="97790"/>
              <wp:wrapNone/>
              <wp:docPr id="265" name="Shape 2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1" type="#_x0000_t202" style="position:absolute;margin-left:543.14999999999998pt;margin-top:838.20000000000005pt;width:3.3500000000000001pt;height:7.7000000000000002pt;z-index:-1887438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3724910</wp:posOffset>
              </wp:positionH>
              <wp:positionV relativeFrom="page">
                <wp:posOffset>10139045</wp:posOffset>
              </wp:positionV>
              <wp:extent cx="100330" cy="79375"/>
              <wp:wrapNone/>
              <wp:docPr id="270" name="Shape 27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293.30000000000001pt;margin-top:798.35000000000002pt;width:7.9000000000000004pt;height:6.25pt;z-index:-1887438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6898005</wp:posOffset>
              </wp:positionH>
              <wp:positionV relativeFrom="page">
                <wp:posOffset>10645140</wp:posOffset>
              </wp:positionV>
              <wp:extent cx="42545" cy="97790"/>
              <wp:wrapNone/>
              <wp:docPr id="272" name="Shape 2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8" type="#_x0000_t202" style="position:absolute;margin-left:543.14999999999998pt;margin-top:838.20000000000005pt;width:3.3500000000000001pt;height:7.7000000000000002pt;z-index:-1887438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3733800</wp:posOffset>
              </wp:positionH>
              <wp:positionV relativeFrom="page">
                <wp:posOffset>10225405</wp:posOffset>
              </wp:positionV>
              <wp:extent cx="97790" cy="79375"/>
              <wp:wrapNone/>
              <wp:docPr id="278" name="Shape 2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4" type="#_x0000_t202" style="position:absolute;margin-left:294.pt;margin-top:805.14999999999998pt;width:7.7000000000000002pt;height:6.25pt;z-index:-1887438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3733800</wp:posOffset>
              </wp:positionH>
              <wp:positionV relativeFrom="page">
                <wp:posOffset>10225405</wp:posOffset>
              </wp:positionV>
              <wp:extent cx="97790" cy="79375"/>
              <wp:wrapNone/>
              <wp:docPr id="283" name="Shape 2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294.pt;margin-top:805.14999999999998pt;width:7.7000000000000002pt;height:6.25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3720465</wp:posOffset>
              </wp:positionH>
              <wp:positionV relativeFrom="page">
                <wp:posOffset>10139045</wp:posOffset>
              </wp:positionV>
              <wp:extent cx="106680" cy="79375"/>
              <wp:wrapNone/>
              <wp:docPr id="289" name="Shape 28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292.94999999999999pt;margin-top:798.35000000000002pt;width:8.4000000000000004pt;height:6.25pt;z-index:-1887438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5844540</wp:posOffset>
              </wp:positionH>
              <wp:positionV relativeFrom="page">
                <wp:posOffset>10645140</wp:posOffset>
              </wp:positionV>
              <wp:extent cx="133985" cy="103505"/>
              <wp:wrapNone/>
              <wp:docPr id="291" name="Shape 29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17" type="#_x0000_t202" style="position:absolute;margin-left:460.19999999999999pt;margin-top:838.20000000000005pt;width:10.550000000000001pt;height:8.1500000000000004pt;z-index:-1887438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3720465</wp:posOffset>
              </wp:positionH>
              <wp:positionV relativeFrom="page">
                <wp:posOffset>10139045</wp:posOffset>
              </wp:positionV>
              <wp:extent cx="106680" cy="79375"/>
              <wp:wrapNone/>
              <wp:docPr id="296" name="Shape 2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292.94999999999999pt;margin-top:798.35000000000002pt;width:8.4000000000000004pt;height:6.25pt;z-index:-1887438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5844540</wp:posOffset>
              </wp:positionH>
              <wp:positionV relativeFrom="page">
                <wp:posOffset>10645140</wp:posOffset>
              </wp:positionV>
              <wp:extent cx="133985" cy="103505"/>
              <wp:wrapNone/>
              <wp:docPr id="298" name="Shape 2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4" type="#_x0000_t202" style="position:absolute;margin-left:460.19999999999999pt;margin-top:838.20000000000005pt;width:10.550000000000001pt;height:8.1500000000000004pt;z-index:-1887438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3724910</wp:posOffset>
              </wp:positionH>
              <wp:positionV relativeFrom="page">
                <wp:posOffset>10139045</wp:posOffset>
              </wp:positionV>
              <wp:extent cx="100330" cy="79375"/>
              <wp:wrapNone/>
              <wp:docPr id="303" name="Shape 30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293.30000000000001pt;margin-top:798.35000000000002pt;width:7.9000000000000004pt;height:6.25pt;z-index:-1887438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6898005</wp:posOffset>
              </wp:positionH>
              <wp:positionV relativeFrom="page">
                <wp:posOffset>10645140</wp:posOffset>
              </wp:positionV>
              <wp:extent cx="42545" cy="97790"/>
              <wp:wrapNone/>
              <wp:docPr id="305" name="Shape 30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1" type="#_x0000_t202" style="position:absolute;margin-left:543.14999999999998pt;margin-top:838.20000000000005pt;width:3.3500000000000001pt;height:7.7000000000000002pt;z-index:-1887438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3720465</wp:posOffset>
              </wp:positionH>
              <wp:positionV relativeFrom="page">
                <wp:posOffset>10139045</wp:posOffset>
              </wp:positionV>
              <wp:extent cx="109855" cy="79375"/>
              <wp:wrapNone/>
              <wp:docPr id="316" name="Shape 31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2" type="#_x0000_t202" style="position:absolute;margin-left:292.94999999999999pt;margin-top:798.35000000000002pt;width:8.6500000000000004pt;height:6.25pt;z-index:-1887438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6972300</wp:posOffset>
              </wp:positionH>
              <wp:positionV relativeFrom="page">
                <wp:posOffset>10645140</wp:posOffset>
              </wp:positionV>
              <wp:extent cx="45720" cy="97790"/>
              <wp:wrapNone/>
              <wp:docPr id="318" name="Shape 31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4" type="#_x0000_t202" style="position:absolute;margin-left:549.pt;margin-top:838.20000000000005pt;width:3.6000000000000001pt;height:7.7000000000000002pt;z-index:-1887438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3757930</wp:posOffset>
              </wp:positionH>
              <wp:positionV relativeFrom="page">
                <wp:posOffset>10113645</wp:posOffset>
              </wp:positionV>
              <wp:extent cx="42545" cy="79375"/>
              <wp:wrapNone/>
              <wp:docPr id="39" name="Shape 39"/>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5.90000000000003pt;margin-top:796.35000000000002pt;width:3.3500000000000001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6894830</wp:posOffset>
              </wp:positionH>
              <wp:positionV relativeFrom="page">
                <wp:posOffset>10619105</wp:posOffset>
              </wp:positionV>
              <wp:extent cx="42545" cy="97790"/>
              <wp:wrapNone/>
              <wp:docPr id="41" name="Shape 4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7" type="#_x0000_t202" style="position:absolute;margin-left:542.89999999999998pt;margin-top:836.14999999999998pt;width:3.3500000000000001pt;height:7.7000000000000002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3720465</wp:posOffset>
              </wp:positionH>
              <wp:positionV relativeFrom="page">
                <wp:posOffset>10139045</wp:posOffset>
              </wp:positionV>
              <wp:extent cx="109855" cy="79375"/>
              <wp:wrapNone/>
              <wp:docPr id="323" name="Shape 32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292.94999999999999pt;margin-top:798.35000000000002pt;width:8.6500000000000004pt;height:6.25pt;z-index:-1887438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6972300</wp:posOffset>
              </wp:positionH>
              <wp:positionV relativeFrom="page">
                <wp:posOffset>10645140</wp:posOffset>
              </wp:positionV>
              <wp:extent cx="45720" cy="97790"/>
              <wp:wrapNone/>
              <wp:docPr id="325" name="Shape 32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1" type="#_x0000_t202" style="position:absolute;margin-left:549.pt;margin-top:838.20000000000005pt;width:3.6000000000000001pt;height:7.7000000000000002pt;z-index:-1887438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3724910</wp:posOffset>
              </wp:positionH>
              <wp:positionV relativeFrom="page">
                <wp:posOffset>10139045</wp:posOffset>
              </wp:positionV>
              <wp:extent cx="100330" cy="79375"/>
              <wp:wrapNone/>
              <wp:docPr id="330" name="Shape 33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6" type="#_x0000_t202" style="position:absolute;margin-left:293.30000000000001pt;margin-top:798.35000000000002pt;width:7.9000000000000004pt;height:6.25pt;z-index:-18874379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6898005</wp:posOffset>
              </wp:positionH>
              <wp:positionV relativeFrom="page">
                <wp:posOffset>10645140</wp:posOffset>
              </wp:positionV>
              <wp:extent cx="42545" cy="97790"/>
              <wp:wrapNone/>
              <wp:docPr id="332" name="Shape 33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8" type="#_x0000_t202" style="position:absolute;margin-left:543.14999999999998pt;margin-top:838.20000000000005pt;width:3.3500000000000001pt;height:7.7000000000000002pt;z-index:-1887437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3733800</wp:posOffset>
              </wp:positionH>
              <wp:positionV relativeFrom="page">
                <wp:posOffset>10225405</wp:posOffset>
              </wp:positionV>
              <wp:extent cx="97790" cy="79375"/>
              <wp:wrapNone/>
              <wp:docPr id="350" name="Shape 3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6" type="#_x0000_t202" style="position:absolute;margin-left:294.pt;margin-top:805.14999999999998pt;width:7.7000000000000002pt;height:6.25pt;z-index:-1887437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3733800</wp:posOffset>
              </wp:positionH>
              <wp:positionV relativeFrom="page">
                <wp:posOffset>10225405</wp:posOffset>
              </wp:positionV>
              <wp:extent cx="97790" cy="79375"/>
              <wp:wrapNone/>
              <wp:docPr id="355" name="Shape 3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1" type="#_x0000_t202" style="position:absolute;margin-left:294.pt;margin-top:805.14999999999998pt;width:7.7000000000000002pt;height:6.25pt;z-index:-1887437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3712210</wp:posOffset>
              </wp:positionH>
              <wp:positionV relativeFrom="page">
                <wp:posOffset>10189845</wp:posOffset>
              </wp:positionV>
              <wp:extent cx="103505" cy="79375"/>
              <wp:wrapNone/>
              <wp:docPr id="363" name="Shape 3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9" type="#_x0000_t202" style="position:absolute;margin-left:292.30000000000001pt;margin-top:802.35000000000002pt;width:8.1500000000000004pt;height:6.25pt;z-index:-1887437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1" behindDoc="1" locked="0" layoutInCell="1" allowOverlap="1">
              <wp:simplePos x="0" y="0"/>
              <wp:positionH relativeFrom="page">
                <wp:posOffset>5830570</wp:posOffset>
              </wp:positionH>
              <wp:positionV relativeFrom="page">
                <wp:posOffset>10695940</wp:posOffset>
              </wp:positionV>
              <wp:extent cx="133985" cy="103505"/>
              <wp:wrapNone/>
              <wp:docPr id="365" name="Shape 36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91" type="#_x0000_t202" style="position:absolute;margin-left:459.10000000000002pt;margin-top:842.20000000000005pt;width:10.550000000000001pt;height:8.1500000000000004pt;z-index:-1887437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3712210</wp:posOffset>
              </wp:positionH>
              <wp:positionV relativeFrom="page">
                <wp:posOffset>10189845</wp:posOffset>
              </wp:positionV>
              <wp:extent cx="103505" cy="79375"/>
              <wp:wrapNone/>
              <wp:docPr id="370" name="Shape 37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6" type="#_x0000_t202" style="position:absolute;margin-left:292.30000000000001pt;margin-top:802.35000000000002pt;width:8.1500000000000004pt;height:6.25pt;z-index:-18874377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7" behindDoc="1" locked="0" layoutInCell="1" allowOverlap="1">
              <wp:simplePos x="0" y="0"/>
              <wp:positionH relativeFrom="page">
                <wp:posOffset>5830570</wp:posOffset>
              </wp:positionH>
              <wp:positionV relativeFrom="page">
                <wp:posOffset>10695940</wp:posOffset>
              </wp:positionV>
              <wp:extent cx="133985" cy="103505"/>
              <wp:wrapNone/>
              <wp:docPr id="372" name="Shape 3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98" type="#_x0000_t202" style="position:absolute;margin-left:459.10000000000002pt;margin-top:842.20000000000005pt;width:10.550000000000001pt;height:8.1500000000000004pt;z-index:-1887437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3712210</wp:posOffset>
              </wp:positionH>
              <wp:positionV relativeFrom="page">
                <wp:posOffset>10189845</wp:posOffset>
              </wp:positionV>
              <wp:extent cx="103505" cy="79375"/>
              <wp:wrapNone/>
              <wp:docPr id="383" name="Shape 3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292.30000000000001pt;margin-top:802.35000000000002pt;width:8.1500000000000004pt;height:6.25pt;z-index:-1887437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5830570</wp:posOffset>
              </wp:positionH>
              <wp:positionV relativeFrom="page">
                <wp:posOffset>10695940</wp:posOffset>
              </wp:positionV>
              <wp:extent cx="133985" cy="103505"/>
              <wp:wrapNone/>
              <wp:docPr id="385" name="Shape 3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1" type="#_x0000_t202" style="position:absolute;margin-left:459.10000000000002pt;margin-top:842.20000000000005pt;width:10.550000000000001pt;height:8.1500000000000004pt;z-index:-1887437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3712210</wp:posOffset>
              </wp:positionH>
              <wp:positionV relativeFrom="page">
                <wp:posOffset>10189845</wp:posOffset>
              </wp:positionV>
              <wp:extent cx="103505" cy="79375"/>
              <wp:wrapNone/>
              <wp:docPr id="390" name="Shape 3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292.30000000000001pt;margin-top:802.35000000000002pt;width:8.1500000000000004pt;height:6.25pt;z-index:-1887437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3" behindDoc="1" locked="0" layoutInCell="1" allowOverlap="1">
              <wp:simplePos x="0" y="0"/>
              <wp:positionH relativeFrom="page">
                <wp:posOffset>5830570</wp:posOffset>
              </wp:positionH>
              <wp:positionV relativeFrom="page">
                <wp:posOffset>10695940</wp:posOffset>
              </wp:positionV>
              <wp:extent cx="133985" cy="103505"/>
              <wp:wrapNone/>
              <wp:docPr id="392" name="Shape 3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8" type="#_x0000_t202" style="position:absolute;margin-left:459.10000000000002pt;margin-top:842.20000000000005pt;width:10.550000000000001pt;height:8.1500000000000004pt;z-index:-1887437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3696970</wp:posOffset>
              </wp:positionH>
              <wp:positionV relativeFrom="page">
                <wp:posOffset>10137140</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1.10000000000002pt;margin-top:798.20000000000005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5809615</wp:posOffset>
              </wp:positionH>
              <wp:positionV relativeFrom="page">
                <wp:posOffset>10643235</wp:posOffset>
              </wp:positionV>
              <wp:extent cx="133985" cy="103505"/>
              <wp:wrapNone/>
              <wp:docPr id="48" name="Shape 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4" type="#_x0000_t202" style="position:absolute;margin-left:457.44999999999999pt;margin-top:838.05000000000007pt;width:10.550000000000001pt;height:8.1500000000000004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3733800</wp:posOffset>
              </wp:positionH>
              <wp:positionV relativeFrom="page">
                <wp:posOffset>10225405</wp:posOffset>
              </wp:positionV>
              <wp:extent cx="97790" cy="79375"/>
              <wp:wrapNone/>
              <wp:docPr id="403" name="Shape 4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9" type="#_x0000_t202" style="position:absolute;margin-left:294.pt;margin-top:805.14999999999998pt;width:7.7000000000000002pt;height:6.25pt;z-index:-1887437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3712210</wp:posOffset>
              </wp:positionH>
              <wp:positionV relativeFrom="page">
                <wp:posOffset>10189845</wp:posOffset>
              </wp:positionV>
              <wp:extent cx="103505" cy="79375"/>
              <wp:wrapNone/>
              <wp:docPr id="408" name="Shape 4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292.30000000000001pt;margin-top:802.35000000000002pt;width:8.1500000000000004pt;height:6.25pt;z-index:-1887437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5830570</wp:posOffset>
              </wp:positionH>
              <wp:positionV relativeFrom="page">
                <wp:posOffset>10695940</wp:posOffset>
              </wp:positionV>
              <wp:extent cx="133985" cy="103505"/>
              <wp:wrapNone/>
              <wp:docPr id="410" name="Shape 4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6" type="#_x0000_t202" style="position:absolute;margin-left:459.10000000000002pt;margin-top:842.20000000000005pt;width:10.550000000000001pt;height:8.1500000000000004pt;z-index:-1887437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3712210</wp:posOffset>
              </wp:positionH>
              <wp:positionV relativeFrom="page">
                <wp:posOffset>10189845</wp:posOffset>
              </wp:positionV>
              <wp:extent cx="103505" cy="79375"/>
              <wp:wrapNone/>
              <wp:docPr id="417" name="Shape 4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3" type="#_x0000_t202" style="position:absolute;margin-left:292.30000000000001pt;margin-top:802.35000000000002pt;width:8.1500000000000004pt;height:6.25pt;z-index:-18874374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5830570</wp:posOffset>
              </wp:positionH>
              <wp:positionV relativeFrom="page">
                <wp:posOffset>10695940</wp:posOffset>
              </wp:positionV>
              <wp:extent cx="133985" cy="103505"/>
              <wp:wrapNone/>
              <wp:docPr id="419" name="Shape 4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5" type="#_x0000_t202" style="position:absolute;margin-left:459.10000000000002pt;margin-top:842.20000000000005pt;width:10.550000000000001pt;height:8.1500000000000004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3712210</wp:posOffset>
              </wp:positionH>
              <wp:positionV relativeFrom="page">
                <wp:posOffset>10189845</wp:posOffset>
              </wp:positionV>
              <wp:extent cx="103505" cy="79375"/>
              <wp:wrapNone/>
              <wp:docPr id="424" name="Shape 4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0" type="#_x0000_t202" style="position:absolute;margin-left:292.30000000000001pt;margin-top:802.35000000000002pt;width:8.1500000000000004pt;height:6.25pt;z-index:-18874373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9" behindDoc="1" locked="0" layoutInCell="1" allowOverlap="1">
              <wp:simplePos x="0" y="0"/>
              <wp:positionH relativeFrom="page">
                <wp:posOffset>5830570</wp:posOffset>
              </wp:positionH>
              <wp:positionV relativeFrom="page">
                <wp:posOffset>10695940</wp:posOffset>
              </wp:positionV>
              <wp:extent cx="133985" cy="103505"/>
              <wp:wrapNone/>
              <wp:docPr id="426" name="Shape 4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2" type="#_x0000_t202" style="position:absolute;margin-left:459.10000000000002pt;margin-top:842.20000000000005pt;width:10.550000000000001pt;height:8.1500000000000004pt;z-index:-1887437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3710940</wp:posOffset>
              </wp:positionH>
              <wp:positionV relativeFrom="page">
                <wp:posOffset>10113645</wp:posOffset>
              </wp:positionV>
              <wp:extent cx="106680" cy="79375"/>
              <wp:wrapNone/>
              <wp:docPr id="431" name="Shape 43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7" type="#_x0000_t202" style="position:absolute;margin-left:292.19999999999999pt;margin-top:796.35000000000002pt;width:8.4000000000000004pt;height:6.25pt;z-index:-18874373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6880860</wp:posOffset>
              </wp:positionH>
              <wp:positionV relativeFrom="page">
                <wp:posOffset>10619105</wp:posOffset>
              </wp:positionV>
              <wp:extent cx="42545" cy="97790"/>
              <wp:wrapNone/>
              <wp:docPr id="433" name="Shape 43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9" type="#_x0000_t202" style="position:absolute;margin-left:541.79999999999995pt;margin-top:836.14999999999998pt;width:3.3500000000000001pt;height:7.7000000000000002pt;z-index:-1887437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3733800</wp:posOffset>
              </wp:positionH>
              <wp:positionV relativeFrom="page">
                <wp:posOffset>10225405</wp:posOffset>
              </wp:positionV>
              <wp:extent cx="97790" cy="79375"/>
              <wp:wrapNone/>
              <wp:docPr id="438" name="Shape 4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4" type="#_x0000_t202" style="position:absolute;margin-left:294.pt;margin-top:805.14999999999998pt;width:7.7000000000000002pt;height:6.25pt;z-index:-1887437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3735070</wp:posOffset>
              </wp:positionH>
              <wp:positionV relativeFrom="page">
                <wp:posOffset>10113645</wp:posOffset>
              </wp:positionV>
              <wp:extent cx="106680" cy="79375"/>
              <wp:wrapNone/>
              <wp:docPr id="443" name="Shape 4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9" type="#_x0000_t202" style="position:absolute;margin-left:294.10000000000002pt;margin-top:796.35000000000002pt;width:8.4000000000000004pt;height:6.25pt;z-index:-1887437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6984365</wp:posOffset>
              </wp:positionH>
              <wp:positionV relativeFrom="page">
                <wp:posOffset>10619105</wp:posOffset>
              </wp:positionV>
              <wp:extent cx="45720" cy="97790"/>
              <wp:wrapNone/>
              <wp:docPr id="445" name="Shape 44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1" type="#_x0000_t202" style="position:absolute;margin-left:549.95000000000005pt;margin-top:836.14999999999998pt;width:3.6000000000000001pt;height:7.7000000000000002pt;z-index:-1887437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3712210</wp:posOffset>
              </wp:positionH>
              <wp:positionV relativeFrom="page">
                <wp:posOffset>10189845</wp:posOffset>
              </wp:positionV>
              <wp:extent cx="103505" cy="79375"/>
              <wp:wrapNone/>
              <wp:docPr id="464" name="Shape 4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0" type="#_x0000_t202" style="position:absolute;margin-left:292.30000000000001pt;margin-top:802.35000000000002pt;width:8.1500000000000004pt;height:6.25pt;z-index:-1887437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5830570</wp:posOffset>
              </wp:positionH>
              <wp:positionV relativeFrom="page">
                <wp:posOffset>10695940</wp:posOffset>
              </wp:positionV>
              <wp:extent cx="133985" cy="103505"/>
              <wp:wrapNone/>
              <wp:docPr id="466" name="Shape 4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2" type="#_x0000_t202" style="position:absolute;margin-left:459.10000000000002pt;margin-top:842.20000000000005pt;width:10.550000000000001pt;height:8.1500000000000004pt;z-index:-1887437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3733800</wp:posOffset>
              </wp:positionH>
              <wp:positionV relativeFrom="page">
                <wp:posOffset>10225405</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4.pt;margin-top:805.14999999999998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3712210</wp:posOffset>
              </wp:positionH>
              <wp:positionV relativeFrom="page">
                <wp:posOffset>10189845</wp:posOffset>
              </wp:positionV>
              <wp:extent cx="103505" cy="79375"/>
              <wp:wrapNone/>
              <wp:docPr id="471" name="Shape 4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7" type="#_x0000_t202" style="position:absolute;margin-left:292.30000000000001pt;margin-top:802.35000000000002pt;width:8.1500000000000004pt;height:6.25pt;z-index:-1887437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5830570</wp:posOffset>
              </wp:positionH>
              <wp:positionV relativeFrom="page">
                <wp:posOffset>10695940</wp:posOffset>
              </wp:positionV>
              <wp:extent cx="133985" cy="103505"/>
              <wp:wrapNone/>
              <wp:docPr id="473" name="Shape 4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9" type="#_x0000_t202" style="position:absolute;margin-left:459.10000000000002pt;margin-top:842.20000000000005pt;width:10.550000000000001pt;height:8.1500000000000004pt;z-index:-1887436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3721100</wp:posOffset>
              </wp:positionH>
              <wp:positionV relativeFrom="page">
                <wp:posOffset>10123170</wp:posOffset>
              </wp:positionV>
              <wp:extent cx="106680" cy="79375"/>
              <wp:wrapNone/>
              <wp:docPr id="484" name="Shape 48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0" type="#_x0000_t202" style="position:absolute;margin-left:293.pt;margin-top:797.10000000000002pt;width:8.4000000000000004pt;height:6.25pt;z-index:-1887436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6891020</wp:posOffset>
              </wp:positionH>
              <wp:positionV relativeFrom="page">
                <wp:posOffset>10628630</wp:posOffset>
              </wp:positionV>
              <wp:extent cx="42545" cy="97790"/>
              <wp:wrapNone/>
              <wp:docPr id="486" name="Shape 48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2" type="#_x0000_t202" style="position:absolute;margin-left:542.60000000000002pt;margin-top:836.89999999999998pt;width:3.3500000000000001pt;height:7.7000000000000002pt;z-index:-1887436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3712210</wp:posOffset>
              </wp:positionH>
              <wp:positionV relativeFrom="page">
                <wp:posOffset>10189845</wp:posOffset>
              </wp:positionV>
              <wp:extent cx="103505" cy="79375"/>
              <wp:wrapNone/>
              <wp:docPr id="491" name="Shape 49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7" type="#_x0000_t202" style="position:absolute;margin-left:292.30000000000001pt;margin-top:802.35000000000002pt;width:8.1500000000000004pt;height:6.25pt;z-index:-18874368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6" behindDoc="1" locked="0" layoutInCell="1" allowOverlap="1">
              <wp:simplePos x="0" y="0"/>
              <wp:positionH relativeFrom="page">
                <wp:posOffset>5830570</wp:posOffset>
              </wp:positionH>
              <wp:positionV relativeFrom="page">
                <wp:posOffset>10695940</wp:posOffset>
              </wp:positionV>
              <wp:extent cx="133985" cy="103505"/>
              <wp:wrapNone/>
              <wp:docPr id="493" name="Shape 4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9" type="#_x0000_t202" style="position:absolute;margin-left:459.10000000000002pt;margin-top:842.20000000000005pt;width:10.550000000000001pt;height:8.1500000000000004pt;z-index:-1887436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3712210</wp:posOffset>
              </wp:positionH>
              <wp:positionV relativeFrom="page">
                <wp:posOffset>10189845</wp:posOffset>
              </wp:positionV>
              <wp:extent cx="103505" cy="79375"/>
              <wp:wrapNone/>
              <wp:docPr id="516" name="Shape 5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292.30000000000001pt;margin-top:802.35000000000002pt;width:8.1500000000000004pt;height:6.25pt;z-index:-18874368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5830570</wp:posOffset>
              </wp:positionH>
              <wp:positionV relativeFrom="page">
                <wp:posOffset>10695940</wp:posOffset>
              </wp:positionV>
              <wp:extent cx="133985" cy="103505"/>
              <wp:wrapNone/>
              <wp:docPr id="518" name="Shape 51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4" type="#_x0000_t202" style="position:absolute;margin-left:459.10000000000002pt;margin-top:842.20000000000005pt;width:10.550000000000001pt;height:8.1500000000000004pt;z-index:-1887436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3712210</wp:posOffset>
              </wp:positionH>
              <wp:positionV relativeFrom="page">
                <wp:posOffset>10189845</wp:posOffset>
              </wp:positionV>
              <wp:extent cx="103505" cy="79375"/>
              <wp:wrapNone/>
              <wp:docPr id="523" name="Shape 5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292.30000000000001pt;margin-top:802.35000000000002pt;width:8.1500000000000004pt;height:6.25pt;z-index:-18874367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5830570</wp:posOffset>
              </wp:positionH>
              <wp:positionV relativeFrom="page">
                <wp:posOffset>10695940</wp:posOffset>
              </wp:positionV>
              <wp:extent cx="133985" cy="103505"/>
              <wp:wrapNone/>
              <wp:docPr id="525" name="Shape 5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1" type="#_x0000_t202" style="position:absolute;margin-left:459.10000000000002pt;margin-top:842.20000000000005pt;width:10.550000000000001pt;height:8.1500000000000004pt;z-index:-1887436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3721100</wp:posOffset>
              </wp:positionH>
              <wp:positionV relativeFrom="page">
                <wp:posOffset>10123170</wp:posOffset>
              </wp:positionV>
              <wp:extent cx="106680" cy="79375"/>
              <wp:wrapNone/>
              <wp:docPr id="542" name="Shape 54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8" type="#_x0000_t202" style="position:absolute;margin-left:293.pt;margin-top:797.10000000000002pt;width:8.4000000000000004pt;height:6.25pt;z-index:-18874367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6891020</wp:posOffset>
              </wp:positionH>
              <wp:positionV relativeFrom="page">
                <wp:posOffset>10628630</wp:posOffset>
              </wp:positionV>
              <wp:extent cx="42545" cy="97790"/>
              <wp:wrapNone/>
              <wp:docPr id="544" name="Shape 54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0" type="#_x0000_t202" style="position:absolute;margin-left:542.60000000000002pt;margin-top:836.89999999999998pt;width:3.3500000000000001pt;height:7.7000000000000002pt;z-index:-1887436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3733800</wp:posOffset>
              </wp:positionH>
              <wp:positionV relativeFrom="page">
                <wp:posOffset>10225405</wp:posOffset>
              </wp:positionV>
              <wp:extent cx="97790" cy="79375"/>
              <wp:wrapNone/>
              <wp:docPr id="549" name="Shape 5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5" type="#_x0000_t202" style="position:absolute;margin-left:294.pt;margin-top:805.14999999999998pt;width:7.7000000000000002pt;height:6.25pt;z-index:-1887436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3674110</wp:posOffset>
              </wp:positionH>
              <wp:positionV relativeFrom="page">
                <wp:posOffset>10078720</wp:posOffset>
              </wp:positionV>
              <wp:extent cx="3212465" cy="189230"/>
              <wp:wrapNone/>
              <wp:docPr id="554" name="Shape 554"/>
              <a:graphic xmlns:a="http://schemas.openxmlformats.org/drawingml/2006/main">
                <a:graphicData uri="http://schemas.microsoft.com/office/word/2010/wordprocessingShape">
                  <wps:wsp>
                    <wps:cNvSpPr txBox="1"/>
                    <wps:spPr>
                      <a:xfrm>
                        <a:ext cx="3212465" cy="189230"/>
                      </a:xfrm>
                      <a:prstGeom prst="rect"/>
                      <a:noFill/>
                    </wps:spPr>
                    <wps:txbx>
                      <w:txbxContent>
                        <w:p>
                          <w:pPr>
                            <w:pStyle w:val="Style52"/>
                            <w:keepNext w:val="0"/>
                            <w:keepLines w:val="0"/>
                            <w:widowControl w:val="0"/>
                            <w:shd w:val="clear" w:color="auto" w:fill="auto"/>
                            <w:tabs>
                              <w:tab w:pos="499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&lt;</w:t>
                          </w:r>
                        </w:p>
                      </w:txbxContent>
                    </wps:txbx>
                    <wps:bodyPr lIns="0" tIns="0" rIns="0" bIns="0">
                      <a:spAutoFit/>
                    </wps:bodyPr>
                  </wps:wsp>
                </a:graphicData>
              </a:graphic>
            </wp:anchor>
          </w:drawing>
        </mc:Choice>
        <mc:Fallback>
          <w:pict>
            <v:shape id="_x0000_s1580" type="#_x0000_t202" style="position:absolute;margin-left:289.30000000000001pt;margin-top:793.60000000000002pt;width:252.95000000000002pt;height:14.9pt;z-index:-188743661;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9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&lt;</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3674110</wp:posOffset>
              </wp:positionH>
              <wp:positionV relativeFrom="page">
                <wp:posOffset>10078720</wp:posOffset>
              </wp:positionV>
              <wp:extent cx="3212465" cy="189230"/>
              <wp:wrapNone/>
              <wp:docPr id="559" name="Shape 559"/>
              <a:graphic xmlns:a="http://schemas.openxmlformats.org/drawingml/2006/main">
                <a:graphicData uri="http://schemas.microsoft.com/office/word/2010/wordprocessingShape">
                  <wps:wsp>
                    <wps:cNvSpPr txBox="1"/>
                    <wps:spPr>
                      <a:xfrm>
                        <a:ext cx="3212465" cy="189230"/>
                      </a:xfrm>
                      <a:prstGeom prst="rect"/>
                      <a:noFill/>
                    </wps:spPr>
                    <wps:txbx>
                      <w:txbxContent>
                        <w:p>
                          <w:pPr>
                            <w:pStyle w:val="Style52"/>
                            <w:keepNext w:val="0"/>
                            <w:keepLines w:val="0"/>
                            <w:widowControl w:val="0"/>
                            <w:shd w:val="clear" w:color="auto" w:fill="auto"/>
                            <w:tabs>
                              <w:tab w:pos="499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&lt;</w:t>
                          </w:r>
                        </w:p>
                      </w:txbxContent>
                    </wps:txbx>
                    <wps:bodyPr lIns="0" tIns="0" rIns="0" bIns="0">
                      <a:spAutoFit/>
                    </wps:bodyPr>
                  </wps:wsp>
                </a:graphicData>
              </a:graphic>
            </wp:anchor>
          </w:drawing>
        </mc:Choice>
        <mc:Fallback>
          <w:pict>
            <v:shape id="_x0000_s1585" type="#_x0000_t202" style="position:absolute;margin-left:289.30000000000001pt;margin-top:793.60000000000002pt;width:252.95000000000002pt;height:14.9pt;z-index:-188743657;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9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&lt;</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3696970</wp:posOffset>
              </wp:positionH>
              <wp:positionV relativeFrom="page">
                <wp:posOffset>10123170</wp:posOffset>
              </wp:positionV>
              <wp:extent cx="155575" cy="79375"/>
              <wp:wrapNone/>
              <wp:docPr id="564" name="Shape 5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291.10000000000002pt;margin-top:797.10000000000002pt;width:12.25pt;height:6.25pt;z-index:-1887436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6964045</wp:posOffset>
              </wp:positionH>
              <wp:positionV relativeFrom="page">
                <wp:posOffset>10628630</wp:posOffset>
              </wp:positionV>
              <wp:extent cx="45720" cy="97790"/>
              <wp:wrapNone/>
              <wp:docPr id="566" name="Shape 5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2" type="#_x0000_t202" style="position:absolute;margin-left:548.35000000000002pt;margin-top:836.89999999999998pt;width:3.6000000000000001pt;height:7.7000000000000002pt;z-index:-1887436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3696970</wp:posOffset>
              </wp:positionH>
              <wp:positionV relativeFrom="page">
                <wp:posOffset>10137140</wp:posOffset>
              </wp:positionV>
              <wp:extent cx="97790" cy="79375"/>
              <wp:wrapNone/>
              <wp:docPr id="60" name="Shape 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1.10000000000002pt;margin-top:798.20000000000005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5809615</wp:posOffset>
              </wp:positionH>
              <wp:positionV relativeFrom="page">
                <wp:posOffset>10643235</wp:posOffset>
              </wp:positionV>
              <wp:extent cx="133985" cy="103505"/>
              <wp:wrapNone/>
              <wp:docPr id="62" name="Shape 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8" type="#_x0000_t202" style="position:absolute;margin-left:457.44999999999999pt;margin-top:838.05000000000007pt;width:10.550000000000001pt;height:8.1500000000000004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3721100</wp:posOffset>
              </wp:positionH>
              <wp:positionV relativeFrom="page">
                <wp:posOffset>10123170</wp:posOffset>
              </wp:positionV>
              <wp:extent cx="106680" cy="79375"/>
              <wp:wrapNone/>
              <wp:docPr id="577" name="Shape 57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3" type="#_x0000_t202" style="position:absolute;margin-left:293.pt;margin-top:797.10000000000002pt;width:8.4000000000000004pt;height:6.25pt;z-index:-1887436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6891020</wp:posOffset>
              </wp:positionH>
              <wp:positionV relativeFrom="page">
                <wp:posOffset>10628630</wp:posOffset>
              </wp:positionV>
              <wp:extent cx="42545" cy="97790"/>
              <wp:wrapNone/>
              <wp:docPr id="579" name="Shape 57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5" type="#_x0000_t202" style="position:absolute;margin-left:542.60000000000002pt;margin-top:836.89999999999998pt;width:3.3500000000000001pt;height:7.7000000000000002pt;z-index:-1887436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3721100</wp:posOffset>
              </wp:positionH>
              <wp:positionV relativeFrom="page">
                <wp:posOffset>10123170</wp:posOffset>
              </wp:positionV>
              <wp:extent cx="106680" cy="79375"/>
              <wp:wrapNone/>
              <wp:docPr id="584" name="Shape 58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0" type="#_x0000_t202" style="position:absolute;margin-left:293.pt;margin-top:797.10000000000002pt;width:8.4000000000000004pt;height:6.25pt;z-index:-1887436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6891020</wp:posOffset>
              </wp:positionH>
              <wp:positionV relativeFrom="page">
                <wp:posOffset>10628630</wp:posOffset>
              </wp:positionV>
              <wp:extent cx="42545" cy="97790"/>
              <wp:wrapNone/>
              <wp:docPr id="586" name="Shape 58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2" type="#_x0000_t202" style="position:absolute;margin-left:542.60000000000002pt;margin-top:836.89999999999998pt;width:3.3500000000000001pt;height:7.7000000000000002pt;z-index:-1887436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3674110</wp:posOffset>
              </wp:positionH>
              <wp:positionV relativeFrom="page">
                <wp:posOffset>10078720</wp:posOffset>
              </wp:positionV>
              <wp:extent cx="3212465" cy="189230"/>
              <wp:wrapNone/>
              <wp:docPr id="591" name="Shape 591"/>
              <a:graphic xmlns:a="http://schemas.openxmlformats.org/drawingml/2006/main">
                <a:graphicData uri="http://schemas.microsoft.com/office/word/2010/wordprocessingShape">
                  <wps:wsp>
                    <wps:cNvSpPr txBox="1"/>
                    <wps:spPr>
                      <a:xfrm>
                        <a:ext cx="3212465" cy="189230"/>
                      </a:xfrm>
                      <a:prstGeom prst="rect"/>
                      <a:noFill/>
                    </wps:spPr>
                    <wps:txbx>
                      <w:txbxContent>
                        <w:p>
                          <w:pPr>
                            <w:pStyle w:val="Style52"/>
                            <w:keepNext w:val="0"/>
                            <w:keepLines w:val="0"/>
                            <w:widowControl w:val="0"/>
                            <w:shd w:val="clear" w:color="auto" w:fill="auto"/>
                            <w:tabs>
                              <w:tab w:pos="499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&lt;</w:t>
                          </w:r>
                        </w:p>
                      </w:txbxContent>
                    </wps:txbx>
                    <wps:bodyPr lIns="0" tIns="0" rIns="0" bIns="0">
                      <a:spAutoFit/>
                    </wps:bodyPr>
                  </wps:wsp>
                </a:graphicData>
              </a:graphic>
            </wp:anchor>
          </w:drawing>
        </mc:Choice>
        <mc:Fallback>
          <w:pict>
            <v:shape id="_x0000_s1617" type="#_x0000_t202" style="position:absolute;margin-left:289.30000000000001pt;margin-top:793.60000000000002pt;width:252.95000000000002pt;height:14.9pt;z-index:-188743631;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499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 xml:space="preserve">cninf </w:t>
                    </w:r>
                    <w:r>
                      <w:rPr>
                        <w:rFonts w:ascii="Arial" w:eastAsia="Arial" w:hAnsi="Arial" w:cs="Arial"/>
                        <w:b/>
                        <w:bCs/>
                        <w:color w:val="D1D1D1"/>
                        <w:spacing w:val="0"/>
                        <w:w w:val="100"/>
                        <w:position w:val="0"/>
                        <w:sz w:val="38"/>
                        <w:szCs w:val="38"/>
                      </w:rPr>
                      <w:t>&lt;</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3696970</wp:posOffset>
              </wp:positionH>
              <wp:positionV relativeFrom="page">
                <wp:posOffset>10123170</wp:posOffset>
              </wp:positionV>
              <wp:extent cx="155575" cy="79375"/>
              <wp:wrapNone/>
              <wp:docPr id="596" name="Shape 59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291.10000000000002pt;margin-top:797.10000000000002pt;width:12.25pt;height:6.25pt;z-index:-1887436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6964045</wp:posOffset>
              </wp:positionH>
              <wp:positionV relativeFrom="page">
                <wp:posOffset>10628630</wp:posOffset>
              </wp:positionV>
              <wp:extent cx="45720" cy="97790"/>
              <wp:wrapNone/>
              <wp:docPr id="598" name="Shape 59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4" type="#_x0000_t202" style="position:absolute;margin-left:548.35000000000002pt;margin-top:836.89999999999998pt;width:3.6000000000000001pt;height:7.7000000000000002pt;z-index:-1887436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3696970</wp:posOffset>
              </wp:positionH>
              <wp:positionV relativeFrom="page">
                <wp:posOffset>10123170</wp:posOffset>
              </wp:positionV>
              <wp:extent cx="155575" cy="79375"/>
              <wp:wrapNone/>
              <wp:docPr id="603" name="Shape 6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9" type="#_x0000_t202" style="position:absolute;margin-left:291.10000000000002pt;margin-top:797.10000000000002pt;width:12.25pt;height:6.25pt;z-index:-1887436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6964045</wp:posOffset>
              </wp:positionH>
              <wp:positionV relativeFrom="page">
                <wp:posOffset>10628630</wp:posOffset>
              </wp:positionV>
              <wp:extent cx="45720" cy="97790"/>
              <wp:wrapNone/>
              <wp:docPr id="605" name="Shape 60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1" type="#_x0000_t202" style="position:absolute;margin-left:548.35000000000002pt;margin-top:836.89999999999998pt;width:3.6000000000000001pt;height:7.7000000000000002pt;z-index:-1887436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3758565</wp:posOffset>
              </wp:positionH>
              <wp:positionV relativeFrom="page">
                <wp:posOffset>10123170</wp:posOffset>
              </wp:positionV>
              <wp:extent cx="100330" cy="79375"/>
              <wp:wrapNone/>
              <wp:docPr id="610" name="Shape 6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295.94999999999999pt;margin-top:797.10000000000002pt;width:7.9000000000000004pt;height:6.25pt;z-index:-1887436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5876925</wp:posOffset>
              </wp:positionH>
              <wp:positionV relativeFrom="page">
                <wp:posOffset>10628630</wp:posOffset>
              </wp:positionV>
              <wp:extent cx="133985" cy="103505"/>
              <wp:wrapNone/>
              <wp:docPr id="612" name="Shape 61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8" type="#_x0000_t202" style="position:absolute;margin-left:462.75pt;margin-top:836.89999999999998pt;width:10.550000000000001pt;height:8.1500000000000004pt;z-index:-1887436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3696970</wp:posOffset>
              </wp:positionH>
              <wp:positionV relativeFrom="page">
                <wp:posOffset>10137140</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1.10000000000002pt;margin-top:798.2000000000000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5809615</wp:posOffset>
              </wp:positionH>
              <wp:positionV relativeFrom="page">
                <wp:posOffset>10643235</wp:posOffset>
              </wp:positionV>
              <wp:extent cx="133985" cy="103505"/>
              <wp:wrapNone/>
              <wp:docPr id="69" name="Shape 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5" type="#_x0000_t202" style="position:absolute;margin-left:457.44999999999999pt;margin-top:838.05000000000007pt;width:10.550000000000001pt;height:8.1500000000000004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3696970</wp:posOffset>
              </wp:positionH>
              <wp:positionV relativeFrom="page">
                <wp:posOffset>10123170</wp:posOffset>
              </wp:positionV>
              <wp:extent cx="155575" cy="79375"/>
              <wp:wrapNone/>
              <wp:docPr id="623" name="Shape 6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9" type="#_x0000_t202" style="position:absolute;margin-left:291.10000000000002pt;margin-top:797.10000000000002pt;width:12.25pt;height:6.25pt;z-index:-1887436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0" behindDoc="1" locked="0" layoutInCell="1" allowOverlap="1">
              <wp:simplePos x="0" y="0"/>
              <wp:positionH relativeFrom="page">
                <wp:posOffset>6964045</wp:posOffset>
              </wp:positionH>
              <wp:positionV relativeFrom="page">
                <wp:posOffset>10628630</wp:posOffset>
              </wp:positionV>
              <wp:extent cx="45720" cy="97790"/>
              <wp:wrapNone/>
              <wp:docPr id="625" name="Shape 62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51" type="#_x0000_t202" style="position:absolute;margin-left:548.35000000000002pt;margin-top:836.89999999999998pt;width:3.6000000000000001pt;height:7.7000000000000002pt;z-index:-1887436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3696970</wp:posOffset>
              </wp:positionH>
              <wp:positionV relativeFrom="page">
                <wp:posOffset>10123170</wp:posOffset>
              </wp:positionV>
              <wp:extent cx="155575" cy="79375"/>
              <wp:wrapNone/>
              <wp:docPr id="630" name="Shape 6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6" type="#_x0000_t202" style="position:absolute;margin-left:291.10000000000002pt;margin-top:797.10000000000002pt;width:12.25pt;height:6.25pt;z-index:-18874359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6" behindDoc="1" locked="0" layoutInCell="1" allowOverlap="1">
              <wp:simplePos x="0" y="0"/>
              <wp:positionH relativeFrom="page">
                <wp:posOffset>6964045</wp:posOffset>
              </wp:positionH>
              <wp:positionV relativeFrom="page">
                <wp:posOffset>10628630</wp:posOffset>
              </wp:positionV>
              <wp:extent cx="45720" cy="97790"/>
              <wp:wrapNone/>
              <wp:docPr id="632" name="Shape 63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58" type="#_x0000_t202" style="position:absolute;margin-left:548.35000000000002pt;margin-top:836.89999999999998pt;width:3.6000000000000001pt;height:7.7000000000000002pt;z-index:-1887435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3716655</wp:posOffset>
              </wp:positionH>
              <wp:positionV relativeFrom="page">
                <wp:posOffset>10113645</wp:posOffset>
              </wp:positionV>
              <wp:extent cx="100330" cy="79375"/>
              <wp:wrapNone/>
              <wp:docPr id="637" name="Shape 63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292.65000000000003pt;margin-top:796.35000000000002pt;width:7.9000000000000004pt;height:6.25pt;z-index:-18874359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2" behindDoc="1" locked="0" layoutInCell="1" allowOverlap="1">
              <wp:simplePos x="0" y="0"/>
              <wp:positionH relativeFrom="page">
                <wp:posOffset>5835015</wp:posOffset>
              </wp:positionH>
              <wp:positionV relativeFrom="page">
                <wp:posOffset>10619105</wp:posOffset>
              </wp:positionV>
              <wp:extent cx="133985" cy="103505"/>
              <wp:wrapNone/>
              <wp:docPr id="639" name="Shape 6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5" type="#_x0000_t202" style="position:absolute;margin-left:459.44999999999999pt;margin-top:836.14999999999998pt;width:10.550000000000001pt;height:8.1500000000000004pt;z-index:-1887435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3696970</wp:posOffset>
              </wp:positionH>
              <wp:positionV relativeFrom="page">
                <wp:posOffset>10123170</wp:posOffset>
              </wp:positionV>
              <wp:extent cx="155575" cy="79375"/>
              <wp:wrapNone/>
              <wp:docPr id="644" name="Shape 6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0" type="#_x0000_t202" style="position:absolute;margin-left:291.10000000000002pt;margin-top:797.10000000000002pt;width:12.25pt;height:6.25pt;z-index:-18874358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6964045</wp:posOffset>
              </wp:positionH>
              <wp:positionV relativeFrom="page">
                <wp:posOffset>10628630</wp:posOffset>
              </wp:positionV>
              <wp:extent cx="45720" cy="97790"/>
              <wp:wrapNone/>
              <wp:docPr id="646" name="Shape 6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2" type="#_x0000_t202" style="position:absolute;margin-left:548.35000000000002pt;margin-top:836.89999999999998pt;width:3.6000000000000001pt;height:7.7000000000000002pt;z-index:-1887435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3662045</wp:posOffset>
              </wp:positionH>
              <wp:positionV relativeFrom="page">
                <wp:posOffset>9973310</wp:posOffset>
              </wp:positionV>
              <wp:extent cx="3291840" cy="280670"/>
              <wp:wrapNone/>
              <wp:docPr id="651" name="Shape 651"/>
              <a:graphic xmlns:a="http://schemas.openxmlformats.org/drawingml/2006/main">
                <a:graphicData uri="http://schemas.microsoft.com/office/word/2010/wordprocessingShape">
                  <wps:wsp>
                    <wps:cNvSpPr txBox="1"/>
                    <wps:spPr>
                      <a:xfrm>
                        <a:ext cx="3291840" cy="280670"/>
                      </a:xfrm>
                      <a:prstGeom prst="rect"/>
                      <a:noFill/>
                    </wps:spPr>
                    <wps:txbx>
                      <w:txbxContent>
                        <w:p>
                          <w:pPr>
                            <w:pStyle w:val="Style52"/>
                            <w:keepNext w:val="0"/>
                            <w:keepLines w:val="0"/>
                            <w:widowControl w:val="0"/>
                            <w:shd w:val="clear" w:color="auto" w:fill="auto"/>
                            <w:tabs>
                              <w:tab w:pos="518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677" type="#_x0000_t202" style="position:absolute;margin-left:288.35000000000002pt;margin-top:785.30000000000007pt;width:259.19999999999999pt;height:22.100000000000001pt;z-index:-188743581;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518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3696970</wp:posOffset>
              </wp:positionH>
              <wp:positionV relativeFrom="page">
                <wp:posOffset>10123170</wp:posOffset>
              </wp:positionV>
              <wp:extent cx="155575" cy="79375"/>
              <wp:wrapNone/>
              <wp:docPr id="656" name="Shape 6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2" type="#_x0000_t202" style="position:absolute;margin-left:291.10000000000002pt;margin-top:797.10000000000002pt;width:12.25pt;height:6.25pt;z-index:-18874357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6964045</wp:posOffset>
              </wp:positionH>
              <wp:positionV relativeFrom="page">
                <wp:posOffset>10628630</wp:posOffset>
              </wp:positionV>
              <wp:extent cx="45720" cy="97790"/>
              <wp:wrapNone/>
              <wp:docPr id="658" name="Shape 6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4" type="#_x0000_t202" style="position:absolute;margin-left:548.35000000000002pt;margin-top:836.89999999999998pt;width:3.6000000000000001pt;height:7.7000000000000002pt;z-index:-1887435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3733800</wp:posOffset>
              </wp:positionH>
              <wp:positionV relativeFrom="page">
                <wp:posOffset>10225405</wp:posOffset>
              </wp:positionV>
              <wp:extent cx="97790" cy="79375"/>
              <wp:wrapNone/>
              <wp:docPr id="663" name="Shape 6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9" type="#_x0000_t202" style="position:absolute;margin-left:294.pt;margin-top:805.14999999999998pt;width:7.7000000000000002pt;height:6.25pt;z-index:-1887435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3696970</wp:posOffset>
              </wp:positionH>
              <wp:positionV relativeFrom="page">
                <wp:posOffset>10123170</wp:posOffset>
              </wp:positionV>
              <wp:extent cx="155575" cy="79375"/>
              <wp:wrapNone/>
              <wp:docPr id="668" name="Shape 6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291.10000000000002pt;margin-top:797.10000000000002pt;width:12.25pt;height:6.25pt;z-index:-18874356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8" behindDoc="1" locked="0" layoutInCell="1" allowOverlap="1">
              <wp:simplePos x="0" y="0"/>
              <wp:positionH relativeFrom="page">
                <wp:posOffset>6964045</wp:posOffset>
              </wp:positionH>
              <wp:positionV relativeFrom="page">
                <wp:posOffset>10628630</wp:posOffset>
              </wp:positionV>
              <wp:extent cx="45720" cy="97790"/>
              <wp:wrapNone/>
              <wp:docPr id="670" name="Shape 6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6" type="#_x0000_t202" style="position:absolute;margin-left:548.35000000000002pt;margin-top:836.89999999999998pt;width:3.6000000000000001pt;height:7.7000000000000002pt;z-index:-1887435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3696970</wp:posOffset>
              </wp:positionH>
              <wp:positionV relativeFrom="page">
                <wp:posOffset>10123170</wp:posOffset>
              </wp:positionV>
              <wp:extent cx="155575" cy="79375"/>
              <wp:wrapNone/>
              <wp:docPr id="675" name="Shape 6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291.10000000000002pt;margin-top:797.10000000000002pt;width:12.25pt;height:6.25pt;z-index:-18874356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6964045</wp:posOffset>
              </wp:positionH>
              <wp:positionV relativeFrom="page">
                <wp:posOffset>10628630</wp:posOffset>
              </wp:positionV>
              <wp:extent cx="45720" cy="97790"/>
              <wp:wrapNone/>
              <wp:docPr id="677" name="Shape 67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3" type="#_x0000_t202" style="position:absolute;margin-left:548.35000000000002pt;margin-top:836.89999999999998pt;width:3.6000000000000001pt;height:7.7000000000000002pt;z-index:-1887435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3662045</wp:posOffset>
              </wp:positionH>
              <wp:positionV relativeFrom="page">
                <wp:posOffset>9973310</wp:posOffset>
              </wp:positionV>
              <wp:extent cx="3291840" cy="280670"/>
              <wp:wrapNone/>
              <wp:docPr id="682" name="Shape 682"/>
              <a:graphic xmlns:a="http://schemas.openxmlformats.org/drawingml/2006/main">
                <a:graphicData uri="http://schemas.microsoft.com/office/word/2010/wordprocessingShape">
                  <wps:wsp>
                    <wps:cNvSpPr txBox="1"/>
                    <wps:spPr>
                      <a:xfrm>
                        <a:ext cx="3291840" cy="280670"/>
                      </a:xfrm>
                      <a:prstGeom prst="rect"/>
                      <a:noFill/>
                    </wps:spPr>
                    <wps:txbx>
                      <w:txbxContent>
                        <w:p>
                          <w:pPr>
                            <w:pStyle w:val="Style52"/>
                            <w:keepNext w:val="0"/>
                            <w:keepLines w:val="0"/>
                            <w:widowControl w:val="0"/>
                            <w:shd w:val="clear" w:color="auto" w:fill="auto"/>
                            <w:tabs>
                              <w:tab w:pos="5122"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708" type="#_x0000_t202" style="position:absolute;margin-left:288.35000000000002pt;margin-top:785.30000000000007pt;width:259.19999999999999pt;height:22.100000000000001pt;z-index:-188743555;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5122"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4274820</wp:posOffset>
              </wp:positionH>
              <wp:positionV relativeFrom="page">
                <wp:posOffset>142240</wp:posOffset>
              </wp:positionV>
              <wp:extent cx="2560320" cy="106680"/>
              <wp:wrapNone/>
              <wp:docPr id="2" name="Shape 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60000000000002pt;margin-top:11.200000000000001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4276090</wp:posOffset>
              </wp:positionH>
              <wp:positionV relativeFrom="page">
                <wp:posOffset>743585</wp:posOffset>
              </wp:positionV>
              <wp:extent cx="2560320" cy="106680"/>
              <wp:wrapNone/>
              <wp:docPr id="57" name="Shape 5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83" type="#_x0000_t202" style="position:absolute;margin-left:336.69999999999999pt;margin-top:58.550000000000004pt;width:201.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4298950</wp:posOffset>
              </wp:positionH>
              <wp:positionV relativeFrom="page">
                <wp:posOffset>743585</wp:posOffset>
              </wp:positionV>
              <wp:extent cx="2560320" cy="106680"/>
              <wp:wrapNone/>
              <wp:docPr id="672" name="Shape 67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8" type="#_x0000_t202" style="position:absolute;margin-left:338.5pt;margin-top:58.550000000000004pt;width:201.59999999999999pt;height:8.4000000000000004pt;z-index:-18874356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4210685</wp:posOffset>
              </wp:positionH>
              <wp:positionV relativeFrom="page">
                <wp:posOffset>743585</wp:posOffset>
              </wp:positionV>
              <wp:extent cx="2560320" cy="106680"/>
              <wp:wrapNone/>
              <wp:docPr id="679" name="Shape 67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5" type="#_x0000_t202" style="position:absolute;margin-left:331.55000000000001pt;margin-top:58.550000000000004pt;width:201.59999999999999pt;height:8.4000000000000004pt;z-index:-18874355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631825</wp:posOffset>
              </wp:positionH>
              <wp:positionV relativeFrom="page">
                <wp:posOffset>888365</wp:posOffset>
              </wp:positionV>
              <wp:extent cx="6163310" cy="0"/>
              <wp:wrapNone/>
              <wp:docPr id="681" name="Shape 6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5pt;margin-top:69.950000000000003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4298950</wp:posOffset>
              </wp:positionH>
              <wp:positionV relativeFrom="page">
                <wp:posOffset>743585</wp:posOffset>
              </wp:positionV>
              <wp:extent cx="2560320" cy="106680"/>
              <wp:wrapNone/>
              <wp:docPr id="684" name="Shape 68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0" type="#_x0000_t202" style="position:absolute;margin-left:338.5pt;margin-top:58.550000000000004pt;width:201.59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86" name="Shape 6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4281805</wp:posOffset>
              </wp:positionH>
              <wp:positionV relativeFrom="page">
                <wp:posOffset>743585</wp:posOffset>
              </wp:positionV>
              <wp:extent cx="2560320" cy="106680"/>
              <wp:wrapNone/>
              <wp:docPr id="691" name="Shape 69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7" type="#_x0000_t202" style="position:absolute;margin-left:337.15000000000003pt;margin-top:58.550000000000004pt;width:201.59999999999999pt;height:8.4000000000000004pt;z-index:-1887435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888365</wp:posOffset>
              </wp:positionV>
              <wp:extent cx="6163310" cy="0"/>
              <wp:wrapNone/>
              <wp:docPr id="693" name="Shape 6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69.950000000000003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4300220</wp:posOffset>
              </wp:positionH>
              <wp:positionV relativeFrom="page">
                <wp:posOffset>743585</wp:posOffset>
              </wp:positionV>
              <wp:extent cx="2560320" cy="106680"/>
              <wp:wrapNone/>
              <wp:docPr id="698" name="Shape 69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4" type="#_x0000_t202" style="position:absolute;margin-left:338.60000000000002pt;margin-top:58.550000000000004pt;width:201.59999999999999pt;height:8.4000000000000004pt;z-index:-1887435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888365</wp:posOffset>
              </wp:positionV>
              <wp:extent cx="6163310" cy="0"/>
              <wp:wrapNone/>
              <wp:docPr id="700" name="Shape 7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50000000000001pt;margin-top:69.950000000000003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4279265</wp:posOffset>
              </wp:positionH>
              <wp:positionV relativeFrom="page">
                <wp:posOffset>743585</wp:posOffset>
              </wp:positionV>
              <wp:extent cx="2560320" cy="106680"/>
              <wp:wrapNone/>
              <wp:docPr id="705" name="Shape 70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31" type="#_x0000_t202" style="position:absolute;margin-left:336.94999999999999pt;margin-top:58.550000000000004pt;width:201.59999999999999pt;height:8.4000000000000004pt;z-index:-1887435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707" name="Shape 7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4279265</wp:posOffset>
              </wp:positionH>
              <wp:positionV relativeFrom="page">
                <wp:posOffset>743585</wp:posOffset>
              </wp:positionV>
              <wp:extent cx="2560320" cy="106680"/>
              <wp:wrapNone/>
              <wp:docPr id="710" name="Shape 71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36" type="#_x0000_t202" style="position:absolute;margin-left:336.94999999999999pt;margin-top:58.550000000000004pt;width:201.59999999999999pt;height:8.4000000000000004pt;z-index:-1887435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712" name="Shape 7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4274820</wp:posOffset>
              </wp:positionH>
              <wp:positionV relativeFrom="page">
                <wp:posOffset>142240</wp:posOffset>
              </wp:positionV>
              <wp:extent cx="2560320" cy="106680"/>
              <wp:wrapNone/>
              <wp:docPr id="717" name="Shape 71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43" type="#_x0000_t202" style="position:absolute;margin-left:336.60000000000002pt;margin-top:11.200000000000001pt;width:201.59999999999999pt;height:8.4000000000000004pt;z-index:-1887435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719" name="Shape 7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4274820</wp:posOffset>
              </wp:positionH>
              <wp:positionV relativeFrom="page">
                <wp:posOffset>142240</wp:posOffset>
              </wp:positionV>
              <wp:extent cx="2560320" cy="106680"/>
              <wp:wrapNone/>
              <wp:docPr id="720" name="Shape 72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46" type="#_x0000_t202" style="position:absolute;margin-left:336.60000000000002pt;margin-top:11.200000000000001pt;width:201.59999999999999pt;height:8.4000000000000004pt;z-index:-1887435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722" name="Shape 7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4279265</wp:posOffset>
              </wp:positionH>
              <wp:positionV relativeFrom="page">
                <wp:posOffset>743585</wp:posOffset>
              </wp:positionV>
              <wp:extent cx="2560320" cy="106680"/>
              <wp:wrapNone/>
              <wp:docPr id="723" name="Shape 72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49" type="#_x0000_t202" style="position:absolute;margin-left:336.94999999999999pt;margin-top:58.550000000000004pt;width:201.59999999999999pt;height:8.4000000000000004pt;z-index:-1887435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725" name="Shape 7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4276090</wp:posOffset>
              </wp:positionH>
              <wp:positionV relativeFrom="page">
                <wp:posOffset>743585</wp:posOffset>
              </wp:positionV>
              <wp:extent cx="2560320" cy="106680"/>
              <wp:wrapNone/>
              <wp:docPr id="64" name="Shape 6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90" type="#_x0000_t202" style="position:absolute;margin-left:336.69999999999999pt;margin-top:58.550000000000004pt;width:201.59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4279265</wp:posOffset>
              </wp:positionH>
              <wp:positionV relativeFrom="page">
                <wp:posOffset>743585</wp:posOffset>
              </wp:positionV>
              <wp:extent cx="2560320" cy="106680"/>
              <wp:wrapNone/>
              <wp:docPr id="728" name="Shape 72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54" type="#_x0000_t202" style="position:absolute;margin-left:336.94999999999999pt;margin-top:58.550000000000004pt;width:201.59999999999999pt;height:8.4000000000000004pt;z-index:-1887435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730" name="Shape 7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4276725</wp:posOffset>
              </wp:positionH>
              <wp:positionV relativeFrom="page">
                <wp:posOffset>743585</wp:posOffset>
              </wp:positionV>
              <wp:extent cx="2560320" cy="106680"/>
              <wp:wrapNone/>
              <wp:docPr id="734" name="Shape 73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0" type="#_x0000_t202" style="position:absolute;margin-left:336.75pt;margin-top:58.550000000000004pt;width:201.59999999999999pt;height:8.4000000000000004pt;z-index:-1887435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36" name="Shape 7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4276725</wp:posOffset>
              </wp:positionH>
              <wp:positionV relativeFrom="page">
                <wp:posOffset>743585</wp:posOffset>
              </wp:positionV>
              <wp:extent cx="2560320" cy="106680"/>
              <wp:wrapNone/>
              <wp:docPr id="741" name="Shape 74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7" type="#_x0000_t202" style="position:absolute;margin-left:336.75pt;margin-top:58.550000000000004pt;width:201.59999999999999pt;height:8.4000000000000004pt;z-index:-18874350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43" name="Shape 7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4279265</wp:posOffset>
              </wp:positionH>
              <wp:positionV relativeFrom="page">
                <wp:posOffset>743585</wp:posOffset>
              </wp:positionV>
              <wp:extent cx="2560320" cy="106680"/>
              <wp:wrapNone/>
              <wp:docPr id="748" name="Shape 74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74" type="#_x0000_t202" style="position:absolute;margin-left:336.94999999999999pt;margin-top:58.550000000000004pt;width:201.59999999999999pt;height:8.4000000000000004pt;z-index:-1887435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750" name="Shape 7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4279265</wp:posOffset>
              </wp:positionH>
              <wp:positionV relativeFrom="page">
                <wp:posOffset>743585</wp:posOffset>
              </wp:positionV>
              <wp:extent cx="2560320" cy="106680"/>
              <wp:wrapNone/>
              <wp:docPr id="753" name="Shape 75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79" type="#_x0000_t202" style="position:absolute;margin-left:336.94999999999999pt;margin-top:58.550000000000004pt;width:201.59999999999999pt;height:8.4000000000000004pt;z-index:-1887434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755" name="Shape 7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4276725</wp:posOffset>
              </wp:positionH>
              <wp:positionV relativeFrom="page">
                <wp:posOffset>743585</wp:posOffset>
              </wp:positionV>
              <wp:extent cx="2560320" cy="106680"/>
              <wp:wrapNone/>
              <wp:docPr id="758" name="Shape 75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4" type="#_x0000_t202" style="position:absolute;margin-left:336.75pt;margin-top:58.550000000000004pt;width:201.59999999999999pt;height:8.4000000000000004pt;z-index:-1887434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60" name="Shape 7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4276725</wp:posOffset>
              </wp:positionH>
              <wp:positionV relativeFrom="page">
                <wp:posOffset>743585</wp:posOffset>
              </wp:positionV>
              <wp:extent cx="2560320" cy="106680"/>
              <wp:wrapNone/>
              <wp:docPr id="765" name="Shape 76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1" type="#_x0000_t202" style="position:absolute;margin-left:336.75pt;margin-top:58.550000000000004pt;width:201.59999999999999pt;height:8.4000000000000004pt;z-index:-18874348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67" name="Shape 7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4276725</wp:posOffset>
              </wp:positionH>
              <wp:positionV relativeFrom="page">
                <wp:posOffset>743585</wp:posOffset>
              </wp:positionV>
              <wp:extent cx="2560320" cy="106680"/>
              <wp:wrapNone/>
              <wp:docPr id="772" name="Shape 77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8" type="#_x0000_t202" style="position:absolute;margin-left:336.75pt;margin-top:58.550000000000004pt;width:201.59999999999999pt;height:8.4000000000000004pt;z-index:-18874348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74" name="Shape 7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4276725</wp:posOffset>
              </wp:positionH>
              <wp:positionV relativeFrom="page">
                <wp:posOffset>743585</wp:posOffset>
              </wp:positionV>
              <wp:extent cx="2560320" cy="106680"/>
              <wp:wrapNone/>
              <wp:docPr id="779" name="Shape 77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5" type="#_x0000_t202" style="position:absolute;margin-left:336.75pt;margin-top:58.550000000000004pt;width:201.59999999999999pt;height:8.4000000000000004pt;z-index:-18874347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81" name="Shape 7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4276725</wp:posOffset>
              </wp:positionH>
              <wp:positionV relativeFrom="page">
                <wp:posOffset>743585</wp:posOffset>
              </wp:positionV>
              <wp:extent cx="2560320" cy="106680"/>
              <wp:wrapNone/>
              <wp:docPr id="786" name="Shape 78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2" type="#_x0000_t202" style="position:absolute;margin-left:336.75pt;margin-top:58.550000000000004pt;width:201.59999999999999pt;height:8.4000000000000004pt;z-index:-18874347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88" name="Shape 7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4276090</wp:posOffset>
              </wp:positionH>
              <wp:positionV relativeFrom="page">
                <wp:posOffset>743585</wp:posOffset>
              </wp:positionV>
              <wp:extent cx="2560320" cy="106680"/>
              <wp:wrapNone/>
              <wp:docPr id="71" name="Shape 7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97" type="#_x0000_t202" style="position:absolute;margin-left:336.69999999999999pt;margin-top:58.550000000000004pt;width:201.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4251960</wp:posOffset>
              </wp:positionH>
              <wp:positionV relativeFrom="page">
                <wp:posOffset>743585</wp:posOffset>
              </wp:positionV>
              <wp:extent cx="2560320" cy="106680"/>
              <wp:wrapNone/>
              <wp:docPr id="793" name="Shape 79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9" type="#_x0000_t202" style="position:absolute;margin-left:334.80000000000001pt;margin-top:58.550000000000004pt;width:201.59999999999999pt;height:8.4000000000000004pt;z-index:-18874346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795" name="Shape 7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4251960</wp:posOffset>
              </wp:positionH>
              <wp:positionV relativeFrom="page">
                <wp:posOffset>743585</wp:posOffset>
              </wp:positionV>
              <wp:extent cx="2560320" cy="106680"/>
              <wp:wrapNone/>
              <wp:docPr id="800" name="Shape 80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6" type="#_x0000_t202" style="position:absolute;margin-left:334.80000000000001pt;margin-top:58.550000000000004pt;width:201.59999999999999pt;height:8.4000000000000004pt;z-index:-18874345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802" name="Shape 8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4243070</wp:posOffset>
              </wp:positionH>
              <wp:positionV relativeFrom="page">
                <wp:posOffset>746125</wp:posOffset>
              </wp:positionV>
              <wp:extent cx="2560320" cy="106680"/>
              <wp:wrapNone/>
              <wp:docPr id="807" name="Shape 80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3" type="#_x0000_t202" style="position:absolute;margin-left:334.10000000000002pt;margin-top:58.75pt;width:201.59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890905</wp:posOffset>
              </wp:positionV>
              <wp:extent cx="6163310" cy="0"/>
              <wp:wrapNone/>
              <wp:docPr id="809" name="Shape 8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70.150000000000006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4277995</wp:posOffset>
              </wp:positionH>
              <wp:positionV relativeFrom="page">
                <wp:posOffset>743585</wp:posOffset>
              </wp:positionV>
              <wp:extent cx="2560320" cy="106680"/>
              <wp:wrapNone/>
              <wp:docPr id="812" name="Shape 81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8" type="#_x0000_t202" style="position:absolute;margin-left:336.85000000000002pt;margin-top:58.550000000000004pt;width:201.59999999999999pt;height:8.4000000000000004pt;z-index:-1887434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888365</wp:posOffset>
              </wp:positionV>
              <wp:extent cx="6163310" cy="0"/>
              <wp:wrapNone/>
              <wp:docPr id="814" name="Shape 8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9.950000000000003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4277995</wp:posOffset>
              </wp:positionH>
              <wp:positionV relativeFrom="page">
                <wp:posOffset>743585</wp:posOffset>
              </wp:positionV>
              <wp:extent cx="2560320" cy="106680"/>
              <wp:wrapNone/>
              <wp:docPr id="819" name="Shape 81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5" type="#_x0000_t202" style="position:absolute;margin-left:336.85000000000002pt;margin-top:58.550000000000004pt;width:201.59999999999999pt;height:8.4000000000000004pt;z-index:-1887434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888365</wp:posOffset>
              </wp:positionV>
              <wp:extent cx="6163310" cy="0"/>
              <wp:wrapNone/>
              <wp:docPr id="821" name="Shape 8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9.950000000000003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4243070</wp:posOffset>
              </wp:positionH>
              <wp:positionV relativeFrom="page">
                <wp:posOffset>746125</wp:posOffset>
              </wp:positionV>
              <wp:extent cx="2560320" cy="106680"/>
              <wp:wrapNone/>
              <wp:docPr id="826" name="Shape 82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2" type="#_x0000_t202" style="position:absolute;margin-left:334.10000000000002pt;margin-top:58.75pt;width:201.59999999999999pt;height:8.4000000000000004pt;z-index:-1887434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890905</wp:posOffset>
              </wp:positionV>
              <wp:extent cx="6163310" cy="0"/>
              <wp:wrapNone/>
              <wp:docPr id="828" name="Shape 8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70.150000000000006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4251960</wp:posOffset>
              </wp:positionH>
              <wp:positionV relativeFrom="page">
                <wp:posOffset>743585</wp:posOffset>
              </wp:positionV>
              <wp:extent cx="2560320" cy="106680"/>
              <wp:wrapNone/>
              <wp:docPr id="831" name="Shape 83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7" type="#_x0000_t202" style="position:absolute;margin-left:334.80000000000001pt;margin-top:58.550000000000004pt;width:201.59999999999999pt;height:8.4000000000000004pt;z-index:-1887434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4251960</wp:posOffset>
              </wp:positionH>
              <wp:positionV relativeFrom="page">
                <wp:posOffset>743585</wp:posOffset>
              </wp:positionV>
              <wp:extent cx="2560320" cy="106680"/>
              <wp:wrapNone/>
              <wp:docPr id="838" name="Shape 83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4" type="#_x0000_t202" style="position:absolute;margin-left:334.80000000000001pt;margin-top:58.550000000000004pt;width:201.59999999999999pt;height:8.4000000000000004pt;z-index:-1887434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840" name="Shape 8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4259580</wp:posOffset>
              </wp:positionH>
              <wp:positionV relativeFrom="page">
                <wp:posOffset>743585</wp:posOffset>
              </wp:positionV>
              <wp:extent cx="2560320" cy="106680"/>
              <wp:wrapNone/>
              <wp:docPr id="845" name="Shape 84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1" type="#_x0000_t202" style="position:absolute;margin-left:335.40000000000003pt;margin-top:58.550000000000004pt;width:201.59999999999999pt;height:8.4000000000000004pt;z-index:-1887434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888365</wp:posOffset>
              </wp:positionV>
              <wp:extent cx="6163310" cy="0"/>
              <wp:wrapNone/>
              <wp:docPr id="847" name="Shape 8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69.950000000000003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7" behindDoc="1" locked="0" layoutInCell="1" allowOverlap="1">
              <wp:simplePos x="0" y="0"/>
              <wp:positionH relativeFrom="page">
                <wp:posOffset>4279265</wp:posOffset>
              </wp:positionH>
              <wp:positionV relativeFrom="page">
                <wp:posOffset>743585</wp:posOffset>
              </wp:positionV>
              <wp:extent cx="2560320" cy="106680"/>
              <wp:wrapNone/>
              <wp:docPr id="876" name="Shape 87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02" type="#_x0000_t202" style="position:absolute;margin-left:336.94999999999999pt;margin-top:58.550000000000004pt;width:201.59999999999999pt;height:8.4000000000000004pt;z-index:-1887433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878" name="Shape 8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4295775</wp:posOffset>
              </wp:positionH>
              <wp:positionV relativeFrom="page">
                <wp:posOffset>743585</wp:posOffset>
              </wp:positionV>
              <wp:extent cx="2560320" cy="106680"/>
              <wp:wrapNone/>
              <wp:docPr id="78" name="Shape 7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04" type="#_x0000_t202" style="position:absolute;margin-left:338.25pt;margin-top:58.550000000000004pt;width:201.5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4279265</wp:posOffset>
              </wp:positionH>
              <wp:positionV relativeFrom="page">
                <wp:posOffset>743585</wp:posOffset>
              </wp:positionV>
              <wp:extent cx="2560320" cy="106680"/>
              <wp:wrapNone/>
              <wp:docPr id="881" name="Shape 88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07" type="#_x0000_t202" style="position:absolute;margin-left:336.94999999999999pt;margin-top:58.550000000000004pt;width:201.59999999999999pt;height:8.4000000000000004pt;z-index:-1887433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883" name="Shape 8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4243070</wp:posOffset>
              </wp:positionH>
              <wp:positionV relativeFrom="page">
                <wp:posOffset>746125</wp:posOffset>
              </wp:positionV>
              <wp:extent cx="2560320" cy="106680"/>
              <wp:wrapNone/>
              <wp:docPr id="886" name="Shape 88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2" type="#_x0000_t202" style="position:absolute;margin-left:334.10000000000002pt;margin-top:58.75pt;width:201.59999999999999pt;height:8.4000000000000004pt;z-index:-18874338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890905</wp:posOffset>
              </wp:positionV>
              <wp:extent cx="6163310" cy="0"/>
              <wp:wrapNone/>
              <wp:docPr id="888" name="Shape 8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70.150000000000006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9" behindDoc="1" locked="0" layoutInCell="1" allowOverlap="1">
              <wp:simplePos x="0" y="0"/>
              <wp:positionH relativeFrom="page">
                <wp:posOffset>4277995</wp:posOffset>
              </wp:positionH>
              <wp:positionV relativeFrom="page">
                <wp:posOffset>743585</wp:posOffset>
              </wp:positionV>
              <wp:extent cx="2560320" cy="106680"/>
              <wp:wrapNone/>
              <wp:docPr id="891" name="Shape 89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7" type="#_x0000_t202" style="position:absolute;margin-left:336.85000000000002pt;margin-top:58.550000000000004pt;width:201.59999999999999pt;height:8.4000000000000004pt;z-index:-1887433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888365</wp:posOffset>
              </wp:positionV>
              <wp:extent cx="6163310" cy="0"/>
              <wp:wrapNone/>
              <wp:docPr id="893" name="Shape 8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9.950000000000003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5" behindDoc="1" locked="0" layoutInCell="1" allowOverlap="1">
              <wp:simplePos x="0" y="0"/>
              <wp:positionH relativeFrom="page">
                <wp:posOffset>4251960</wp:posOffset>
              </wp:positionH>
              <wp:positionV relativeFrom="page">
                <wp:posOffset>743585</wp:posOffset>
              </wp:positionV>
              <wp:extent cx="2560320" cy="106680"/>
              <wp:wrapNone/>
              <wp:docPr id="898" name="Shape 89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4" type="#_x0000_t202" style="position:absolute;margin-left:334.80000000000001pt;margin-top:58.550000000000004pt;width:201.59999999999999pt;height:8.4000000000000004pt;z-index:-18874337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900" name="Shape 9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1" behindDoc="1" locked="0" layoutInCell="1" allowOverlap="1">
              <wp:simplePos x="0" y="0"/>
              <wp:positionH relativeFrom="page">
                <wp:posOffset>4277995</wp:posOffset>
              </wp:positionH>
              <wp:positionV relativeFrom="page">
                <wp:posOffset>743585</wp:posOffset>
              </wp:positionV>
              <wp:extent cx="2560320" cy="106680"/>
              <wp:wrapNone/>
              <wp:docPr id="907" name="Shape 90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3" type="#_x0000_t202" style="position:absolute;margin-left:336.85000000000002pt;margin-top:58.550000000000004pt;width:201.59999999999999pt;height:8.4000000000000004pt;z-index:-1887433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888365</wp:posOffset>
              </wp:positionV>
              <wp:extent cx="6163310" cy="0"/>
              <wp:wrapNone/>
              <wp:docPr id="909" name="Shape 9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9.950000000000003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7" behindDoc="1" locked="0" layoutInCell="1" allowOverlap="1">
              <wp:simplePos x="0" y="0"/>
              <wp:positionH relativeFrom="page">
                <wp:posOffset>4277995</wp:posOffset>
              </wp:positionH>
              <wp:positionV relativeFrom="page">
                <wp:posOffset>743585</wp:posOffset>
              </wp:positionV>
              <wp:extent cx="2560320" cy="106680"/>
              <wp:wrapNone/>
              <wp:docPr id="914" name="Shape 91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0" type="#_x0000_t202" style="position:absolute;margin-left:336.85000000000002pt;margin-top:58.550000000000004pt;width:201.59999999999999pt;height:8.4000000000000004pt;z-index:-18874336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888365</wp:posOffset>
              </wp:positionV>
              <wp:extent cx="6163310" cy="0"/>
              <wp:wrapNone/>
              <wp:docPr id="916" name="Shape 9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9.950000000000003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4277995</wp:posOffset>
              </wp:positionH>
              <wp:positionV relativeFrom="page">
                <wp:posOffset>743585</wp:posOffset>
              </wp:positionV>
              <wp:extent cx="2560320" cy="106680"/>
              <wp:wrapNone/>
              <wp:docPr id="921" name="Shape 92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7" type="#_x0000_t202" style="position:absolute;margin-left:336.85000000000002pt;margin-top:58.550000000000004pt;width:201.59999999999999pt;height:8.4000000000000004pt;z-index:-18874336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888365</wp:posOffset>
              </wp:positionV>
              <wp:extent cx="6163310" cy="0"/>
              <wp:wrapNone/>
              <wp:docPr id="923" name="Shape 9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9.950000000000003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9" behindDoc="1" locked="0" layoutInCell="1" allowOverlap="1">
              <wp:simplePos x="0" y="0"/>
              <wp:positionH relativeFrom="page">
                <wp:posOffset>4251960</wp:posOffset>
              </wp:positionH>
              <wp:positionV relativeFrom="page">
                <wp:posOffset>743585</wp:posOffset>
              </wp:positionV>
              <wp:extent cx="2560320" cy="106680"/>
              <wp:wrapNone/>
              <wp:docPr id="928" name="Shape 92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4" type="#_x0000_t202" style="position:absolute;margin-left:334.80000000000001pt;margin-top:58.550000000000004pt;width:201.59999999999999pt;height:8.4000000000000004pt;z-index:-18874335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930" name="Shape 9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5" behindDoc="1" locked="0" layoutInCell="1" allowOverlap="1">
              <wp:simplePos x="0" y="0"/>
              <wp:positionH relativeFrom="page">
                <wp:posOffset>4251960</wp:posOffset>
              </wp:positionH>
              <wp:positionV relativeFrom="page">
                <wp:posOffset>743585</wp:posOffset>
              </wp:positionV>
              <wp:extent cx="2560320" cy="106680"/>
              <wp:wrapNone/>
              <wp:docPr id="935" name="Shape 93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1" type="#_x0000_t202" style="position:absolute;margin-left:334.80000000000001pt;margin-top:58.550000000000004pt;width:201.59999999999999pt;height:8.4000000000000004pt;z-index:-1887433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937" name="Shape 9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1" behindDoc="1" locked="0" layoutInCell="1" allowOverlap="1">
              <wp:simplePos x="0" y="0"/>
              <wp:positionH relativeFrom="page">
                <wp:posOffset>4279265</wp:posOffset>
              </wp:positionH>
              <wp:positionV relativeFrom="page">
                <wp:posOffset>743585</wp:posOffset>
              </wp:positionV>
              <wp:extent cx="2560320" cy="106680"/>
              <wp:wrapNone/>
              <wp:docPr id="942" name="Shape 94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68" type="#_x0000_t202" style="position:absolute;margin-left:336.94999999999999pt;margin-top:58.550000000000004pt;width:201.59999999999999pt;height:8.4000000000000004pt;z-index:-1887433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944" name="Shape 9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4295775</wp:posOffset>
              </wp:positionH>
              <wp:positionV relativeFrom="page">
                <wp:posOffset>743585</wp:posOffset>
              </wp:positionV>
              <wp:extent cx="2560320" cy="106680"/>
              <wp:wrapNone/>
              <wp:docPr id="85" name="Shape 8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11" type="#_x0000_t202" style="position:absolute;margin-left:338.25pt;margin-top:58.550000000000004pt;width:201.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5" behindDoc="1" locked="0" layoutInCell="1" allowOverlap="1">
              <wp:simplePos x="0" y="0"/>
              <wp:positionH relativeFrom="page">
                <wp:posOffset>4279265</wp:posOffset>
              </wp:positionH>
              <wp:positionV relativeFrom="page">
                <wp:posOffset>743585</wp:posOffset>
              </wp:positionV>
              <wp:extent cx="2560320" cy="106680"/>
              <wp:wrapNone/>
              <wp:docPr id="947" name="Shape 94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73" type="#_x0000_t202" style="position:absolute;margin-left:336.94999999999999pt;margin-top:58.550000000000004pt;width:201.59999999999999pt;height:8.4000000000000004pt;z-index:-1887433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949" name="Shape 9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4290695</wp:posOffset>
              </wp:positionH>
              <wp:positionV relativeFrom="page">
                <wp:posOffset>743585</wp:posOffset>
              </wp:positionV>
              <wp:extent cx="2560320" cy="106680"/>
              <wp:wrapNone/>
              <wp:docPr id="953" name="Shape 95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9" type="#_x0000_t202" style="position:absolute;margin-left:337.85000000000002pt;margin-top:58.550000000000004pt;width:201.59999999999999pt;height:8.4000000000000004pt;z-index:-18874333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888365</wp:posOffset>
              </wp:positionV>
              <wp:extent cx="6163310" cy="0"/>
              <wp:wrapNone/>
              <wp:docPr id="955" name="Shape 9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69.950000000000003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4290695</wp:posOffset>
              </wp:positionH>
              <wp:positionV relativeFrom="page">
                <wp:posOffset>743585</wp:posOffset>
              </wp:positionV>
              <wp:extent cx="2560320" cy="106680"/>
              <wp:wrapNone/>
              <wp:docPr id="960" name="Shape 96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6" type="#_x0000_t202" style="position:absolute;margin-left:337.85000000000002pt;margin-top:58.550000000000004pt;width:201.59999999999999pt;height:8.4000000000000004pt;z-index:-18874332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888365</wp:posOffset>
              </wp:positionV>
              <wp:extent cx="6163310" cy="0"/>
              <wp:wrapNone/>
              <wp:docPr id="962" name="Shape 9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69.950000000000003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1" behindDoc="1" locked="0" layoutInCell="1" allowOverlap="1">
              <wp:simplePos x="0" y="0"/>
              <wp:positionH relativeFrom="page">
                <wp:posOffset>4251960</wp:posOffset>
              </wp:positionH>
              <wp:positionV relativeFrom="page">
                <wp:posOffset>743585</wp:posOffset>
              </wp:positionV>
              <wp:extent cx="2560320" cy="106680"/>
              <wp:wrapNone/>
              <wp:docPr id="967" name="Shape 96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3" type="#_x0000_t202" style="position:absolute;margin-left:334.80000000000001pt;margin-top:58.550000000000004pt;width:201.59999999999999pt;height:8.4000000000000004pt;z-index:-1887433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888365</wp:posOffset>
              </wp:positionV>
              <wp:extent cx="6163310" cy="0"/>
              <wp:wrapNone/>
              <wp:docPr id="969" name="Shape 9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69.950000000000003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7" behindDoc="1" locked="0" layoutInCell="1" allowOverlap="1">
              <wp:simplePos x="0" y="0"/>
              <wp:positionH relativeFrom="page">
                <wp:posOffset>4279265</wp:posOffset>
              </wp:positionH>
              <wp:positionV relativeFrom="page">
                <wp:posOffset>743585</wp:posOffset>
              </wp:positionV>
              <wp:extent cx="2560320" cy="106680"/>
              <wp:wrapNone/>
              <wp:docPr id="974" name="Shape 97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00" type="#_x0000_t202" style="position:absolute;margin-left:336.94999999999999pt;margin-top:58.550000000000004pt;width:201.59999999999999pt;height:8.4000000000000004pt;z-index:-1887433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976" name="Shape 9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1" behindDoc="1" locked="0" layoutInCell="1" allowOverlap="1">
              <wp:simplePos x="0" y="0"/>
              <wp:positionH relativeFrom="page">
                <wp:posOffset>4279265</wp:posOffset>
              </wp:positionH>
              <wp:positionV relativeFrom="page">
                <wp:posOffset>743585</wp:posOffset>
              </wp:positionV>
              <wp:extent cx="2560320" cy="106680"/>
              <wp:wrapNone/>
              <wp:docPr id="979" name="Shape 97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05" type="#_x0000_t202" style="position:absolute;margin-left:336.94999999999999pt;margin-top:58.550000000000004pt;width:201.59999999999999pt;height:8.4000000000000004pt;z-index:-1887433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981" name="Shape 9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4279265</wp:posOffset>
              </wp:positionH>
              <wp:positionV relativeFrom="page">
                <wp:posOffset>743585</wp:posOffset>
              </wp:positionV>
              <wp:extent cx="2560320" cy="106680"/>
              <wp:wrapNone/>
              <wp:docPr id="92" name="Shape 9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18" type="#_x0000_t202" style="position:absolute;margin-left:336.94999999999999pt;margin-top:58.550000000000004pt;width:201.5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4279265</wp:posOffset>
              </wp:positionH>
              <wp:positionV relativeFrom="page">
                <wp:posOffset>743585</wp:posOffset>
              </wp:positionV>
              <wp:extent cx="2560320" cy="106680"/>
              <wp:wrapNone/>
              <wp:docPr id="97" name="Shape 9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23" type="#_x0000_t202" style="position:absolute;margin-left:336.94999999999999pt;margin-top:58.550000000000004pt;width:201.59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4276090</wp:posOffset>
              </wp:positionH>
              <wp:positionV relativeFrom="page">
                <wp:posOffset>743585</wp:posOffset>
              </wp:positionV>
              <wp:extent cx="2560320" cy="106680"/>
              <wp:wrapNone/>
              <wp:docPr id="103" name="Shape 10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29" type="#_x0000_t202" style="position:absolute;margin-left:336.69999999999999pt;margin-top:58.550000000000004pt;width:201.59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4276090</wp:posOffset>
              </wp:positionH>
              <wp:positionV relativeFrom="page">
                <wp:posOffset>743585</wp:posOffset>
              </wp:positionV>
              <wp:extent cx="2560320" cy="106680"/>
              <wp:wrapNone/>
              <wp:docPr id="110" name="Shape 11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36" type="#_x0000_t202" style="position:absolute;margin-left:336.69999999999999pt;margin-top:58.550000000000004pt;width:201.59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4276090</wp:posOffset>
              </wp:positionH>
              <wp:positionV relativeFrom="page">
                <wp:posOffset>743585</wp:posOffset>
              </wp:positionV>
              <wp:extent cx="2560320" cy="106680"/>
              <wp:wrapNone/>
              <wp:docPr id="117" name="Shape 11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43" type="#_x0000_t202" style="position:absolute;margin-left:336.69999999999999pt;margin-top:58.550000000000004pt;width:201.59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4274820</wp:posOffset>
              </wp:positionH>
              <wp:positionV relativeFrom="page">
                <wp:posOffset>142240</wp:posOffset>
              </wp:positionV>
              <wp:extent cx="2560320" cy="106680"/>
              <wp:wrapNone/>
              <wp:docPr id="5" name="Shape 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1" type="#_x0000_t202" style="position:absolute;margin-left:336.60000000000002pt;margin-top:11.200000000000001pt;width:201.59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4295775</wp:posOffset>
              </wp:positionH>
              <wp:positionV relativeFrom="page">
                <wp:posOffset>743585</wp:posOffset>
              </wp:positionV>
              <wp:extent cx="2560320" cy="106680"/>
              <wp:wrapNone/>
              <wp:docPr id="124" name="Shape 12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50" type="#_x0000_t202" style="position:absolute;margin-left:338.25pt;margin-top:58.550000000000004pt;width:201.59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4274820</wp:posOffset>
              </wp:positionH>
              <wp:positionV relativeFrom="page">
                <wp:posOffset>142240</wp:posOffset>
              </wp:positionV>
              <wp:extent cx="2560320" cy="106680"/>
              <wp:wrapNone/>
              <wp:docPr id="131" name="Shape 13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57" type="#_x0000_t202" style="position:absolute;margin-left:336.60000000000002pt;margin-top:11.200000000000001pt;width:201.59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4274820</wp:posOffset>
              </wp:positionH>
              <wp:positionV relativeFrom="page">
                <wp:posOffset>142240</wp:posOffset>
              </wp:positionV>
              <wp:extent cx="2560320" cy="106680"/>
              <wp:wrapNone/>
              <wp:docPr id="134" name="Shape 13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60" type="#_x0000_t202" style="position:absolute;margin-left:336.60000000000002pt;margin-top:11.200000000000001pt;width:201.59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4276090</wp:posOffset>
              </wp:positionH>
              <wp:positionV relativeFrom="page">
                <wp:posOffset>743585</wp:posOffset>
              </wp:positionV>
              <wp:extent cx="2560320" cy="106680"/>
              <wp:wrapNone/>
              <wp:docPr id="137" name="Shape 13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63" type="#_x0000_t202" style="position:absolute;margin-left:336.69999999999999pt;margin-top:58.550000000000004pt;width:201.59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4295775</wp:posOffset>
              </wp:positionH>
              <wp:positionV relativeFrom="page">
                <wp:posOffset>743585</wp:posOffset>
              </wp:positionV>
              <wp:extent cx="2560320" cy="106680"/>
              <wp:wrapNone/>
              <wp:docPr id="144" name="Shape 14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70" type="#_x0000_t202" style="position:absolute;margin-left:338.25pt;margin-top:58.550000000000004pt;width:201.59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146" name="Shape 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4295775</wp:posOffset>
              </wp:positionH>
              <wp:positionV relativeFrom="page">
                <wp:posOffset>743585</wp:posOffset>
              </wp:positionV>
              <wp:extent cx="2560320" cy="106680"/>
              <wp:wrapNone/>
              <wp:docPr id="151" name="Shape 15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77" type="#_x0000_t202" style="position:absolute;margin-left:338.25pt;margin-top:58.550000000000004pt;width:201.59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153" name="Shape 1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4295775</wp:posOffset>
              </wp:positionH>
              <wp:positionV relativeFrom="page">
                <wp:posOffset>743585</wp:posOffset>
              </wp:positionV>
              <wp:extent cx="2560320" cy="106680"/>
              <wp:wrapNone/>
              <wp:docPr id="158" name="Shape 15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84" type="#_x0000_t202" style="position:absolute;margin-left:338.25pt;margin-top:58.550000000000004pt;width:201.59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4276090</wp:posOffset>
              </wp:positionH>
              <wp:positionV relativeFrom="page">
                <wp:posOffset>743585</wp:posOffset>
              </wp:positionV>
              <wp:extent cx="2560320" cy="106680"/>
              <wp:wrapNone/>
              <wp:docPr id="165" name="Shape 16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91" type="#_x0000_t202" style="position:absolute;margin-left:336.69999999999999pt;margin-top:58.550000000000004pt;width:201.59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4276090</wp:posOffset>
              </wp:positionH>
              <wp:positionV relativeFrom="page">
                <wp:posOffset>743585</wp:posOffset>
              </wp:positionV>
              <wp:extent cx="2560320" cy="106680"/>
              <wp:wrapNone/>
              <wp:docPr id="172" name="Shape 17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98" type="#_x0000_t202" style="position:absolute;margin-left:336.69999999999999pt;margin-top:58.550000000000004pt;width:201.59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4276090</wp:posOffset>
              </wp:positionH>
              <wp:positionV relativeFrom="page">
                <wp:posOffset>743585</wp:posOffset>
              </wp:positionV>
              <wp:extent cx="2560320" cy="106680"/>
              <wp:wrapNone/>
              <wp:docPr id="179" name="Shape 17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5" type="#_x0000_t202" style="position:absolute;margin-left:336.69999999999999pt;margin-top:58.550000000000004pt;width:201.59999999999999pt;height:8.4000000000000004pt;z-index:-1887439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4279265</wp:posOffset>
              </wp:positionH>
              <wp:positionV relativeFrom="page">
                <wp:posOffset>743585</wp:posOffset>
              </wp:positionV>
              <wp:extent cx="2560320" cy="106680"/>
              <wp:wrapNone/>
              <wp:docPr id="9" name="Shape 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5" type="#_x0000_t202" style="position:absolute;margin-left:336.94999999999999pt;margin-top:58.550000000000004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4279265</wp:posOffset>
              </wp:positionH>
              <wp:positionV relativeFrom="page">
                <wp:posOffset>743585</wp:posOffset>
              </wp:positionV>
              <wp:extent cx="2560320" cy="106680"/>
              <wp:wrapNone/>
              <wp:docPr id="184" name="Shape 18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10" type="#_x0000_t202" style="position:absolute;margin-left:336.94999999999999pt;margin-top:58.550000000000004pt;width:201.59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4279265</wp:posOffset>
              </wp:positionH>
              <wp:positionV relativeFrom="page">
                <wp:posOffset>743585</wp:posOffset>
              </wp:positionV>
              <wp:extent cx="2560320" cy="106680"/>
              <wp:wrapNone/>
              <wp:docPr id="189" name="Shape 18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15" type="#_x0000_t202" style="position:absolute;margin-left:336.94999999999999pt;margin-top:58.550000000000004pt;width:201.59999999999999pt;height:8.4000000000000004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191" name="Shape 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4295775</wp:posOffset>
              </wp:positionH>
              <wp:positionV relativeFrom="page">
                <wp:posOffset>743585</wp:posOffset>
              </wp:positionV>
              <wp:extent cx="2560320" cy="106680"/>
              <wp:wrapNone/>
              <wp:docPr id="195" name="Shape 19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21" type="#_x0000_t202" style="position:absolute;margin-left:338.25pt;margin-top:58.550000000000004pt;width:201.59999999999999pt;height:8.4000000000000004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4276090</wp:posOffset>
              </wp:positionH>
              <wp:positionV relativeFrom="page">
                <wp:posOffset>743585</wp:posOffset>
              </wp:positionV>
              <wp:extent cx="2560320" cy="106680"/>
              <wp:wrapNone/>
              <wp:docPr id="202" name="Shape 20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28" type="#_x0000_t202" style="position:absolute;margin-left:336.69999999999999pt;margin-top:58.550000000000004pt;width:201.59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4284345</wp:posOffset>
              </wp:positionH>
              <wp:positionV relativeFrom="page">
                <wp:posOffset>743585</wp:posOffset>
              </wp:positionV>
              <wp:extent cx="2560320" cy="106680"/>
              <wp:wrapNone/>
              <wp:docPr id="209" name="Shape 20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5" type="#_x0000_t202" style="position:absolute;margin-left:337.35000000000002pt;margin-top:58.550000000000004pt;width:201.59999999999999pt;height:8.4000000000000004pt;z-index:-18874389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888365</wp:posOffset>
              </wp:positionV>
              <wp:extent cx="6163310" cy="0"/>
              <wp:wrapNone/>
              <wp:docPr id="211" name="Shape 2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69.950000000000003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4276090</wp:posOffset>
              </wp:positionH>
              <wp:positionV relativeFrom="page">
                <wp:posOffset>743585</wp:posOffset>
              </wp:positionV>
              <wp:extent cx="2560320" cy="106680"/>
              <wp:wrapNone/>
              <wp:docPr id="216" name="Shape 21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42" type="#_x0000_t202" style="position:absolute;margin-left:336.69999999999999pt;margin-top:58.550000000000004pt;width:201.59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218" name="Shape 2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4276090</wp:posOffset>
              </wp:positionH>
              <wp:positionV relativeFrom="page">
                <wp:posOffset>743585</wp:posOffset>
              </wp:positionV>
              <wp:extent cx="2560320" cy="106680"/>
              <wp:wrapNone/>
              <wp:docPr id="223" name="Shape 22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49" type="#_x0000_t202" style="position:absolute;margin-left:336.69999999999999pt;margin-top:58.550000000000004pt;width:201.59999999999999pt;height:8.4000000000000004pt;z-index:-1887438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225" name="Shape 2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4279265</wp:posOffset>
              </wp:positionH>
              <wp:positionV relativeFrom="page">
                <wp:posOffset>743585</wp:posOffset>
              </wp:positionV>
              <wp:extent cx="2560320" cy="106680"/>
              <wp:wrapNone/>
              <wp:docPr id="230" name="Shape 23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56" type="#_x0000_t202" style="position:absolute;margin-left:336.94999999999999pt;margin-top:58.550000000000004pt;width:201.59999999999999pt;height:8.4000000000000004pt;z-index:-1887438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4279265</wp:posOffset>
              </wp:positionH>
              <wp:positionV relativeFrom="page">
                <wp:posOffset>743585</wp:posOffset>
              </wp:positionV>
              <wp:extent cx="2560320" cy="106680"/>
              <wp:wrapNone/>
              <wp:docPr id="235" name="Shape 23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61" type="#_x0000_t202" style="position:absolute;margin-left:336.94999999999999pt;margin-top:58.550000000000004pt;width:201.59999999999999pt;height:8.4000000000000004pt;z-index:-1887438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4295775</wp:posOffset>
              </wp:positionH>
              <wp:positionV relativeFrom="page">
                <wp:posOffset>743585</wp:posOffset>
              </wp:positionV>
              <wp:extent cx="2560320" cy="106680"/>
              <wp:wrapNone/>
              <wp:docPr id="241" name="Shape 24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67" type="#_x0000_t202" style="position:absolute;margin-left:338.25pt;margin-top:58.550000000000004pt;width:201.59999999999999pt;height:8.4000000000000004pt;z-index:-1887438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243" name="Shape 2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4279265</wp:posOffset>
              </wp:positionH>
              <wp:positionV relativeFrom="page">
                <wp:posOffset>743585</wp:posOffset>
              </wp:positionV>
              <wp:extent cx="2560320" cy="106680"/>
              <wp:wrapNone/>
              <wp:docPr id="14" name="Shape 1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40" type="#_x0000_t202" style="position:absolute;margin-left:336.94999999999999pt;margin-top:58.550000000000004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4295775</wp:posOffset>
              </wp:positionH>
              <wp:positionV relativeFrom="page">
                <wp:posOffset>743585</wp:posOffset>
              </wp:positionV>
              <wp:extent cx="2560320" cy="106680"/>
              <wp:wrapNone/>
              <wp:docPr id="248" name="Shape 24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74" type="#_x0000_t202" style="position:absolute;margin-left:338.25pt;margin-top:58.550000000000004pt;width:201.59999999999999pt;height:8.4000000000000004pt;z-index:-1887438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888365</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69.950000000000003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4273550</wp:posOffset>
              </wp:positionH>
              <wp:positionV relativeFrom="page">
                <wp:posOffset>743585</wp:posOffset>
              </wp:positionV>
              <wp:extent cx="2560320" cy="106680"/>
              <wp:wrapNone/>
              <wp:docPr id="255" name="Shape 25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1" type="#_x0000_t202" style="position:absolute;margin-left:336.5pt;margin-top:58.550000000000004pt;width:201.59999999999999pt;height:8.4000000000000004pt;z-index:-18874385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888365</wp:posOffset>
              </wp:positionV>
              <wp:extent cx="6163310" cy="0"/>
              <wp:wrapNone/>
              <wp:docPr id="257" name="Shape 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9.950000000000003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4279900</wp:posOffset>
              </wp:positionH>
              <wp:positionV relativeFrom="page">
                <wp:posOffset>743585</wp:posOffset>
              </wp:positionV>
              <wp:extent cx="2560320" cy="106680"/>
              <wp:wrapNone/>
              <wp:docPr id="260" name="Shape 26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6" type="#_x0000_t202" style="position:absolute;margin-left:337.pt;margin-top:58.550000000000004pt;width:201.59999999999999pt;height:8.4000000000000004pt;z-index:-18874385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888365</wp:posOffset>
              </wp:positionV>
              <wp:extent cx="6163310" cy="0"/>
              <wp:wrapNone/>
              <wp:docPr id="262" name="Shape 2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9.950000000000003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4279900</wp:posOffset>
              </wp:positionH>
              <wp:positionV relativeFrom="page">
                <wp:posOffset>743585</wp:posOffset>
              </wp:positionV>
              <wp:extent cx="2560320" cy="106680"/>
              <wp:wrapNone/>
              <wp:docPr id="267" name="Shape 26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3" type="#_x0000_t202" style="position:absolute;margin-left:337.pt;margin-top:58.550000000000004pt;width:201.59999999999999pt;height:8.4000000000000004pt;z-index:-1887438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888365</wp:posOffset>
              </wp:positionV>
              <wp:extent cx="6163310" cy="0"/>
              <wp:wrapNone/>
              <wp:docPr id="269" name="Shape 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9.950000000000003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4279265</wp:posOffset>
              </wp:positionH>
              <wp:positionV relativeFrom="page">
                <wp:posOffset>743585</wp:posOffset>
              </wp:positionV>
              <wp:extent cx="2560320" cy="106680"/>
              <wp:wrapNone/>
              <wp:docPr id="275" name="Shape 27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01" type="#_x0000_t202" style="position:absolute;margin-left:336.94999999999999pt;margin-top:58.550000000000004pt;width:201.59999999999999pt;height:8.4000000000000004pt;z-index:-1887438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277" name="Shape 2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4279265</wp:posOffset>
              </wp:positionH>
              <wp:positionV relativeFrom="page">
                <wp:posOffset>743585</wp:posOffset>
              </wp:positionV>
              <wp:extent cx="2560320" cy="106680"/>
              <wp:wrapNone/>
              <wp:docPr id="280" name="Shape 28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06" type="#_x0000_t202" style="position:absolute;margin-left:336.94999999999999pt;margin-top:58.550000000000004pt;width:201.59999999999999pt;height:8.4000000000000004pt;z-index:-1887438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282" name="Shape 2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4274820</wp:posOffset>
              </wp:positionH>
              <wp:positionV relativeFrom="page">
                <wp:posOffset>769620</wp:posOffset>
              </wp:positionV>
              <wp:extent cx="2560320" cy="106680"/>
              <wp:wrapNone/>
              <wp:docPr id="286" name="Shape 28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2" type="#_x0000_t202" style="position:absolute;margin-left:336.60000000000002pt;margin-top:60.600000000000001pt;width:201.59999999999999pt;height:8.4000000000000004pt;z-index:-1887438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913765</wp:posOffset>
              </wp:positionV>
              <wp:extent cx="6163310" cy="0"/>
              <wp:wrapNone/>
              <wp:docPr id="288" name="Shape 2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1.950000000000003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4274820</wp:posOffset>
              </wp:positionH>
              <wp:positionV relativeFrom="page">
                <wp:posOffset>769620</wp:posOffset>
              </wp:positionV>
              <wp:extent cx="2560320" cy="106680"/>
              <wp:wrapNone/>
              <wp:docPr id="293" name="Shape 29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9" type="#_x0000_t202" style="position:absolute;margin-left:336.60000000000002pt;margin-top:60.600000000000001pt;width:201.59999999999999pt;height:8.4000000000000004pt;z-index:-1887438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913765</wp:posOffset>
              </wp:positionV>
              <wp:extent cx="6163310" cy="0"/>
              <wp:wrapNone/>
              <wp:docPr id="295" name="Shape 2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1.950000000000003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4279900</wp:posOffset>
              </wp:positionH>
              <wp:positionV relativeFrom="page">
                <wp:posOffset>743585</wp:posOffset>
              </wp:positionV>
              <wp:extent cx="2560320" cy="106680"/>
              <wp:wrapNone/>
              <wp:docPr id="300" name="Shape 30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6" type="#_x0000_t202" style="position:absolute;margin-left:337.pt;margin-top:58.550000000000004pt;width:201.59999999999999pt;height:8.4000000000000004pt;z-index:-1887438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888365</wp:posOffset>
              </wp:positionV>
              <wp:extent cx="6163310" cy="0"/>
              <wp:wrapNone/>
              <wp:docPr id="302" name="Shape 3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9.950000000000003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4274820</wp:posOffset>
              </wp:positionH>
              <wp:positionV relativeFrom="page">
                <wp:posOffset>142240</wp:posOffset>
              </wp:positionV>
              <wp:extent cx="2560320" cy="106680"/>
              <wp:wrapNone/>
              <wp:docPr id="307" name="Shape 30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33" type="#_x0000_t202" style="position:absolute;margin-left:336.60000000000002pt;margin-top:11.200000000000001pt;width:201.59999999999999pt;height:8.4000000000000004pt;z-index:-1887438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309" name="Shape 3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4274820</wp:posOffset>
              </wp:positionH>
              <wp:positionV relativeFrom="page">
                <wp:posOffset>855980</wp:posOffset>
              </wp:positionV>
              <wp:extent cx="2560320" cy="106680"/>
              <wp:wrapNone/>
              <wp:docPr id="19" name="Shape 1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45" type="#_x0000_t202" style="position:absolute;margin-left:336.60000000000002pt;margin-top:67.400000000000006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1000125</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8.75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4274820</wp:posOffset>
              </wp:positionH>
              <wp:positionV relativeFrom="page">
                <wp:posOffset>142240</wp:posOffset>
              </wp:positionV>
              <wp:extent cx="2560320" cy="106680"/>
              <wp:wrapNone/>
              <wp:docPr id="310" name="Shape 31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36" type="#_x0000_t202" style="position:absolute;margin-left:336.60000000000002pt;margin-top:11.200000000000001pt;width:201.59999999999999pt;height:8.4000000000000004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312" name="Shape 3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4274820</wp:posOffset>
              </wp:positionH>
              <wp:positionV relativeFrom="page">
                <wp:posOffset>769620</wp:posOffset>
              </wp:positionV>
              <wp:extent cx="2560320" cy="106680"/>
              <wp:wrapNone/>
              <wp:docPr id="313" name="Shape 31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9" type="#_x0000_t202" style="position:absolute;margin-left:336.60000000000002pt;margin-top:60.600000000000001pt;width:201.59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913765</wp:posOffset>
              </wp:positionV>
              <wp:extent cx="6163310" cy="0"/>
              <wp:wrapNone/>
              <wp:docPr id="315" name="Shape 3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1.950000000000003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4274820</wp:posOffset>
              </wp:positionH>
              <wp:positionV relativeFrom="page">
                <wp:posOffset>769620</wp:posOffset>
              </wp:positionV>
              <wp:extent cx="2560320" cy="106680"/>
              <wp:wrapNone/>
              <wp:docPr id="320" name="Shape 32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6" type="#_x0000_t202" style="position:absolute;margin-left:336.60000000000002pt;margin-top:60.600000000000001pt;width:201.59999999999999pt;height:8.4000000000000004pt;z-index:-1887438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913765</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1.950000000000003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4279900</wp:posOffset>
              </wp:positionH>
              <wp:positionV relativeFrom="page">
                <wp:posOffset>743585</wp:posOffset>
              </wp:positionV>
              <wp:extent cx="2560320" cy="106680"/>
              <wp:wrapNone/>
              <wp:docPr id="327" name="Shape 32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3" type="#_x0000_t202" style="position:absolute;margin-left:337.pt;margin-top:58.550000000000004pt;width:201.59999999999999pt;height:8.4000000000000004pt;z-index:-1887438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888365</wp:posOffset>
              </wp:positionV>
              <wp:extent cx="6163310" cy="0"/>
              <wp:wrapNone/>
              <wp:docPr id="329" name="Shape 3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69.950000000000003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4279265</wp:posOffset>
              </wp:positionH>
              <wp:positionV relativeFrom="page">
                <wp:posOffset>743585</wp:posOffset>
              </wp:positionV>
              <wp:extent cx="2560320" cy="106680"/>
              <wp:wrapNone/>
              <wp:docPr id="347" name="Shape 34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73" type="#_x0000_t202" style="position:absolute;margin-left:336.94999999999999pt;margin-top:58.550000000000004pt;width:201.59999999999999pt;height:8.4000000000000004pt;z-index:-1887437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349" name="Shape 3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4279265</wp:posOffset>
              </wp:positionH>
              <wp:positionV relativeFrom="page">
                <wp:posOffset>743585</wp:posOffset>
              </wp:positionV>
              <wp:extent cx="2560320" cy="106680"/>
              <wp:wrapNone/>
              <wp:docPr id="352" name="Shape 35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78" type="#_x0000_t202" style="position:absolute;margin-left:336.94999999999999pt;margin-top:58.550000000000004pt;width:201.59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354" name="Shape 3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4260850</wp:posOffset>
              </wp:positionH>
              <wp:positionV relativeFrom="page">
                <wp:posOffset>743585</wp:posOffset>
              </wp:positionV>
              <wp:extent cx="2560320" cy="106680"/>
              <wp:wrapNone/>
              <wp:docPr id="360" name="Shape 36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6" type="#_x0000_t202" style="position:absolute;margin-left:335.5pt;margin-top:58.550000000000004pt;width:201.59999999999999pt;height:8.4000000000000004pt;z-index:-1887437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362" name="Shape 3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4260850</wp:posOffset>
              </wp:positionH>
              <wp:positionV relativeFrom="page">
                <wp:posOffset>743585</wp:posOffset>
              </wp:positionV>
              <wp:extent cx="2560320" cy="106680"/>
              <wp:wrapNone/>
              <wp:docPr id="367" name="Shape 36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3" type="#_x0000_t202" style="position:absolute;margin-left:335.5pt;margin-top:58.550000000000004pt;width:201.59999999999999pt;height:8.4000000000000004pt;z-index:-1887437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369" name="Shape 3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4274820</wp:posOffset>
              </wp:positionH>
              <wp:positionV relativeFrom="page">
                <wp:posOffset>142240</wp:posOffset>
              </wp:positionV>
              <wp:extent cx="2560320" cy="106680"/>
              <wp:wrapNone/>
              <wp:docPr id="374" name="Shape 37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00" type="#_x0000_t202" style="position:absolute;margin-left:336.60000000000002pt;margin-top:11.200000000000001pt;width:201.59999999999999pt;height:8.4000000000000004pt;z-index:-1887437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376" name="Shape 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4274820</wp:posOffset>
              </wp:positionH>
              <wp:positionV relativeFrom="page">
                <wp:posOffset>142240</wp:posOffset>
              </wp:positionV>
              <wp:extent cx="2560320" cy="106680"/>
              <wp:wrapNone/>
              <wp:docPr id="377" name="Shape 37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03" type="#_x0000_t202" style="position:absolute;margin-left:336.60000000000002pt;margin-top:11.200000000000001pt;width:201.59999999999999pt;height:8.4000000000000004pt;z-index:-1887437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4276090</wp:posOffset>
              </wp:positionH>
              <wp:positionV relativeFrom="page">
                <wp:posOffset>743585</wp:posOffset>
              </wp:positionV>
              <wp:extent cx="2560320" cy="106680"/>
              <wp:wrapNone/>
              <wp:docPr id="29" name="Shape 2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55" type="#_x0000_t202" style="position:absolute;margin-left:336.69999999999999pt;margin-top:58.550000000000004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4260850</wp:posOffset>
              </wp:positionH>
              <wp:positionV relativeFrom="page">
                <wp:posOffset>743585</wp:posOffset>
              </wp:positionV>
              <wp:extent cx="2560320" cy="106680"/>
              <wp:wrapNone/>
              <wp:docPr id="380" name="Shape 38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6" type="#_x0000_t202" style="position:absolute;margin-left:335.5pt;margin-top:58.550000000000004pt;width:201.59999999999999pt;height:8.4000000000000004pt;z-index:-1887437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382" name="Shape 3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4260850</wp:posOffset>
              </wp:positionH>
              <wp:positionV relativeFrom="page">
                <wp:posOffset>743585</wp:posOffset>
              </wp:positionV>
              <wp:extent cx="2560320" cy="106680"/>
              <wp:wrapNone/>
              <wp:docPr id="387" name="Shape 38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3" type="#_x0000_t202" style="position:absolute;margin-left:335.5pt;margin-top:58.550000000000004pt;width:201.59999999999999pt;height:8.4000000000000004pt;z-index:-18874376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389" name="Shape 3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4274820</wp:posOffset>
              </wp:positionH>
              <wp:positionV relativeFrom="page">
                <wp:posOffset>142240</wp:posOffset>
              </wp:positionV>
              <wp:extent cx="2560320" cy="106680"/>
              <wp:wrapNone/>
              <wp:docPr id="394" name="Shape 39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20" type="#_x0000_t202" style="position:absolute;margin-left:336.60000000000002pt;margin-top:11.200000000000001pt;width:201.59999999999999pt;height:8.4000000000000004pt;z-index:-1887437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396" name="Shape 3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4274820</wp:posOffset>
              </wp:positionH>
              <wp:positionV relativeFrom="page">
                <wp:posOffset>142240</wp:posOffset>
              </wp:positionV>
              <wp:extent cx="2560320" cy="106680"/>
              <wp:wrapNone/>
              <wp:docPr id="397" name="Shape 39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23" type="#_x0000_t202" style="position:absolute;margin-left:336.60000000000002pt;margin-top:11.200000000000001pt;width:201.59999999999999pt;height:8.4000000000000004pt;z-index:-1887437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399" name="Shape 3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4279265</wp:posOffset>
              </wp:positionH>
              <wp:positionV relativeFrom="page">
                <wp:posOffset>743585</wp:posOffset>
              </wp:positionV>
              <wp:extent cx="2560320" cy="106680"/>
              <wp:wrapNone/>
              <wp:docPr id="400" name="Shape 40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26" type="#_x0000_t202" style="position:absolute;margin-left:336.94999999999999pt;margin-top:58.550000000000004pt;width:201.59999999999999pt;height:8.4000000000000004pt;z-index:-1887437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402" name="Shape 4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4260850</wp:posOffset>
              </wp:positionH>
              <wp:positionV relativeFrom="page">
                <wp:posOffset>743585</wp:posOffset>
              </wp:positionV>
              <wp:extent cx="2560320" cy="106680"/>
              <wp:wrapNone/>
              <wp:docPr id="405" name="Shape 40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1" type="#_x0000_t202" style="position:absolute;margin-left:335.5pt;margin-top:58.550000000000004pt;width:201.59999999999999pt;height:8.4000000000000004pt;z-index:-18874375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407" name="Shape 4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4260850</wp:posOffset>
              </wp:positionH>
              <wp:positionV relativeFrom="page">
                <wp:posOffset>743585</wp:posOffset>
              </wp:positionV>
              <wp:extent cx="2560320" cy="106680"/>
              <wp:wrapNone/>
              <wp:docPr id="414" name="Shape 41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0" type="#_x0000_t202" style="position:absolute;margin-left:335.5pt;margin-top:58.550000000000004pt;width:201.59999999999999pt;height:8.4000000000000004pt;z-index:-18874374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416" name="Shape 4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4260850</wp:posOffset>
              </wp:positionH>
              <wp:positionV relativeFrom="page">
                <wp:posOffset>743585</wp:posOffset>
              </wp:positionV>
              <wp:extent cx="2560320" cy="106680"/>
              <wp:wrapNone/>
              <wp:docPr id="421" name="Shape 42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7" type="#_x0000_t202" style="position:absolute;margin-left:335.5pt;margin-top:58.550000000000004pt;width:201.59999999999999pt;height:8.4000000000000004pt;z-index:-18874373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423" name="Shape 4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4262755</wp:posOffset>
              </wp:positionH>
              <wp:positionV relativeFrom="page">
                <wp:posOffset>743585</wp:posOffset>
              </wp:positionV>
              <wp:extent cx="2560320" cy="106680"/>
              <wp:wrapNone/>
              <wp:docPr id="428" name="Shape 42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4" type="#_x0000_t202" style="position:absolute;margin-left:335.65000000000003pt;margin-top:58.550000000000004pt;width:201.59999999999999pt;height:8.4000000000000004pt;z-index:-18874373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888365</wp:posOffset>
              </wp:positionV>
              <wp:extent cx="6163310" cy="0"/>
              <wp:wrapNone/>
              <wp:docPr id="430" name="Shape 4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69.950000000000003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4279265</wp:posOffset>
              </wp:positionH>
              <wp:positionV relativeFrom="page">
                <wp:posOffset>743585</wp:posOffset>
              </wp:positionV>
              <wp:extent cx="2560320" cy="106680"/>
              <wp:wrapNone/>
              <wp:docPr id="435" name="Shape 43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61" type="#_x0000_t202" style="position:absolute;margin-left:336.94999999999999pt;margin-top:58.550000000000004pt;width:201.59999999999999pt;height:8.4000000000000004pt;z-index:-1887437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437" name="Shape 4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4276090</wp:posOffset>
              </wp:positionH>
              <wp:positionV relativeFrom="page">
                <wp:posOffset>743585</wp:posOffset>
              </wp:positionV>
              <wp:extent cx="2560320" cy="106680"/>
              <wp:wrapNone/>
              <wp:docPr id="36" name="Shape 3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62" type="#_x0000_t202" style="position:absolute;margin-left:336.69999999999999pt;margin-top:58.550000000000004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4286885</wp:posOffset>
              </wp:positionH>
              <wp:positionV relativeFrom="page">
                <wp:posOffset>743585</wp:posOffset>
              </wp:positionV>
              <wp:extent cx="2560320" cy="106680"/>
              <wp:wrapNone/>
              <wp:docPr id="440" name="Shape 44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6" type="#_x0000_t202" style="position:absolute;margin-left:337.55000000000001pt;margin-top:58.550000000000004pt;width:201.59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888365</wp:posOffset>
              </wp:positionV>
              <wp:extent cx="6163310" cy="0"/>
              <wp:wrapNone/>
              <wp:docPr id="442" name="Shape 4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69.950000000000003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4260850</wp:posOffset>
              </wp:positionH>
              <wp:positionV relativeFrom="page">
                <wp:posOffset>743585</wp:posOffset>
              </wp:positionV>
              <wp:extent cx="2560320" cy="106680"/>
              <wp:wrapNone/>
              <wp:docPr id="461" name="Shape 46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7" type="#_x0000_t202" style="position:absolute;margin-left:335.5pt;margin-top:58.550000000000004pt;width:201.59999999999999pt;height:8.4000000000000004pt;z-index:-18874370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463" name="Shape 4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4260850</wp:posOffset>
              </wp:positionH>
              <wp:positionV relativeFrom="page">
                <wp:posOffset>743585</wp:posOffset>
              </wp:positionV>
              <wp:extent cx="2560320" cy="106680"/>
              <wp:wrapNone/>
              <wp:docPr id="468" name="Shape 46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4" type="#_x0000_t202" style="position:absolute;margin-left:335.5pt;margin-top:58.550000000000004pt;width:201.59999999999999pt;height:8.4000000000000004pt;z-index:-18874370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470" name="Shape 4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4272915</wp:posOffset>
              </wp:positionH>
              <wp:positionV relativeFrom="page">
                <wp:posOffset>750570</wp:posOffset>
              </wp:positionV>
              <wp:extent cx="2560320" cy="106680"/>
              <wp:wrapNone/>
              <wp:docPr id="481" name="Shape 48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7" type="#_x0000_t202" style="position:absolute;margin-left:336.44999999999999pt;margin-top:59.100000000000001pt;width:201.59999999999999pt;height:8.4000000000000004pt;z-index:-18874369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895350</wp:posOffset>
              </wp:positionV>
              <wp:extent cx="6163310" cy="0"/>
              <wp:wrapNone/>
              <wp:docPr id="483" name="Shape 4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70.5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4260850</wp:posOffset>
              </wp:positionH>
              <wp:positionV relativeFrom="page">
                <wp:posOffset>743585</wp:posOffset>
              </wp:positionV>
              <wp:extent cx="2560320" cy="106680"/>
              <wp:wrapNone/>
              <wp:docPr id="488" name="Shape 48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4" type="#_x0000_t202" style="position:absolute;margin-left:335.5pt;margin-top:58.550000000000004pt;width:201.59999999999999pt;height:8.4000000000000004pt;z-index:-18874369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490" name="Shape 4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4260850</wp:posOffset>
              </wp:positionH>
              <wp:positionV relativeFrom="page">
                <wp:posOffset>743585</wp:posOffset>
              </wp:positionV>
              <wp:extent cx="2560320" cy="106680"/>
              <wp:wrapNone/>
              <wp:docPr id="513" name="Shape 51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9" type="#_x0000_t202" style="position:absolute;margin-left:335.5pt;margin-top:58.550000000000004pt;width:201.59999999999999pt;height:8.4000000000000004pt;z-index:-18874368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515" name="Shape 5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4260850</wp:posOffset>
              </wp:positionH>
              <wp:positionV relativeFrom="page">
                <wp:posOffset>743585</wp:posOffset>
              </wp:positionV>
              <wp:extent cx="2560320" cy="106680"/>
              <wp:wrapNone/>
              <wp:docPr id="520" name="Shape 52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6" type="#_x0000_t202" style="position:absolute;margin-left:335.5pt;margin-top:58.550000000000004pt;width:201.59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888365</wp:posOffset>
              </wp:positionV>
              <wp:extent cx="6163310" cy="0"/>
              <wp:wrapNone/>
              <wp:docPr id="522" name="Shape 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950000000000003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4272915</wp:posOffset>
              </wp:positionH>
              <wp:positionV relativeFrom="page">
                <wp:posOffset>750570</wp:posOffset>
              </wp:positionV>
              <wp:extent cx="2560320" cy="106680"/>
              <wp:wrapNone/>
              <wp:docPr id="539" name="Shape 53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5" type="#_x0000_t202" style="position:absolute;margin-left:336.44999999999999pt;margin-top:59.100000000000001pt;width:201.59999999999999pt;height:8.4000000000000004pt;z-index:-18874367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895350</wp:posOffset>
              </wp:positionV>
              <wp:extent cx="6163310" cy="0"/>
              <wp:wrapNone/>
              <wp:docPr id="541" name="Shape 5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70.5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4279265</wp:posOffset>
              </wp:positionH>
              <wp:positionV relativeFrom="page">
                <wp:posOffset>743585</wp:posOffset>
              </wp:positionV>
              <wp:extent cx="2560320" cy="106680"/>
              <wp:wrapNone/>
              <wp:docPr id="546" name="Shape 54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72" type="#_x0000_t202" style="position:absolute;margin-left:336.94999999999999pt;margin-top:58.550000000000004pt;width:201.59999999999999pt;height:8.4000000000000004pt;z-index:-1887436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548" name="Shape 5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4225925</wp:posOffset>
              </wp:positionH>
              <wp:positionV relativeFrom="page">
                <wp:posOffset>794385</wp:posOffset>
              </wp:positionV>
              <wp:extent cx="2560320" cy="106680"/>
              <wp:wrapNone/>
              <wp:docPr id="551" name="Shape 55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7" type="#_x0000_t202" style="position:absolute;margin-left:332.75pt;margin-top:62.550000000000004pt;width:201.59999999999999pt;height:8.4000000000000004pt;z-index:-18874366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939165</wp:posOffset>
              </wp:positionV>
              <wp:extent cx="6163310" cy="0"/>
              <wp:wrapNone/>
              <wp:docPr id="553" name="Shape 5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73.9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4276090</wp:posOffset>
              </wp:positionH>
              <wp:positionV relativeFrom="page">
                <wp:posOffset>743585</wp:posOffset>
              </wp:positionV>
              <wp:extent cx="2560320" cy="106680"/>
              <wp:wrapNone/>
              <wp:docPr id="43" name="Shape 4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69" type="#_x0000_t202" style="position:absolute;margin-left:336.69999999999999pt;margin-top:58.550000000000004pt;width:201.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888365</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9.950000000000003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4225925</wp:posOffset>
              </wp:positionH>
              <wp:positionV relativeFrom="page">
                <wp:posOffset>794385</wp:posOffset>
              </wp:positionV>
              <wp:extent cx="2560320" cy="106680"/>
              <wp:wrapNone/>
              <wp:docPr id="556" name="Shape 55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2" type="#_x0000_t202" style="position:absolute;margin-left:332.75pt;margin-top:62.550000000000004pt;width:201.59999999999999pt;height:8.4000000000000004pt;z-index:-18874365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939165</wp:posOffset>
              </wp:positionV>
              <wp:extent cx="6163310" cy="0"/>
              <wp:wrapNone/>
              <wp:docPr id="558" name="Shape 5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73.95000000000000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4298950</wp:posOffset>
              </wp:positionH>
              <wp:positionV relativeFrom="page">
                <wp:posOffset>743585</wp:posOffset>
              </wp:positionV>
              <wp:extent cx="2560320" cy="106680"/>
              <wp:wrapNone/>
              <wp:docPr id="561" name="Shape 56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7" type="#_x0000_t202" style="position:absolute;margin-left:338.5pt;margin-top:58.550000000000004pt;width:201.59999999999999pt;height:8.4000000000000004pt;z-index:-18874365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563" name="Shape 5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4274820</wp:posOffset>
              </wp:positionH>
              <wp:positionV relativeFrom="page">
                <wp:posOffset>142240</wp:posOffset>
              </wp:positionV>
              <wp:extent cx="2560320" cy="106680"/>
              <wp:wrapNone/>
              <wp:docPr id="568" name="Shape 56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94" type="#_x0000_t202" style="position:absolute;margin-left:336.60000000000002pt;margin-top:11.200000000000001pt;width:201.59999999999999pt;height:8.4000000000000004pt;z-index:-1887436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570" name="Shape 5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4274820</wp:posOffset>
              </wp:positionH>
              <wp:positionV relativeFrom="page">
                <wp:posOffset>142240</wp:posOffset>
              </wp:positionV>
              <wp:extent cx="2560320" cy="106680"/>
              <wp:wrapNone/>
              <wp:docPr id="571" name="Shape 57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97" type="#_x0000_t202" style="position:absolute;margin-left:336.60000000000002pt;margin-top:11.200000000000001pt;width:201.59999999999999pt;height:8.4000000000000004pt;z-index:-1887436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573" name="Shape 5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4272915</wp:posOffset>
              </wp:positionH>
              <wp:positionV relativeFrom="page">
                <wp:posOffset>750570</wp:posOffset>
              </wp:positionV>
              <wp:extent cx="2560320" cy="106680"/>
              <wp:wrapNone/>
              <wp:docPr id="574" name="Shape 57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0" type="#_x0000_t202" style="position:absolute;margin-left:336.44999999999999pt;margin-top:59.100000000000001pt;width:201.59999999999999pt;height:8.4000000000000004pt;z-index:-1887436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895350</wp:posOffset>
              </wp:positionV>
              <wp:extent cx="6163310" cy="0"/>
              <wp:wrapNone/>
              <wp:docPr id="576" name="Shape 5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70.5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4272915</wp:posOffset>
              </wp:positionH>
              <wp:positionV relativeFrom="page">
                <wp:posOffset>750570</wp:posOffset>
              </wp:positionV>
              <wp:extent cx="2560320" cy="106680"/>
              <wp:wrapNone/>
              <wp:docPr id="581" name="Shape 58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7" type="#_x0000_t202" style="position:absolute;margin-left:336.44999999999999pt;margin-top:59.100000000000001pt;width:201.59999999999999pt;height:8.4000000000000004pt;z-index:-1887436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895350</wp:posOffset>
              </wp:positionV>
              <wp:extent cx="6163310" cy="0"/>
              <wp:wrapNone/>
              <wp:docPr id="583" name="Shape 5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70.5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4225925</wp:posOffset>
              </wp:positionH>
              <wp:positionV relativeFrom="page">
                <wp:posOffset>794385</wp:posOffset>
              </wp:positionV>
              <wp:extent cx="2560320" cy="106680"/>
              <wp:wrapNone/>
              <wp:docPr id="588" name="Shape 58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4" type="#_x0000_t202" style="position:absolute;margin-left:332.75pt;margin-top:62.550000000000004pt;width:201.59999999999999pt;height:8.4000000000000004pt;z-index:-1887436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939165</wp:posOffset>
              </wp:positionV>
              <wp:extent cx="6163310" cy="0"/>
              <wp:wrapNone/>
              <wp:docPr id="590" name="Shape 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73.950000000000003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4298950</wp:posOffset>
              </wp:positionH>
              <wp:positionV relativeFrom="page">
                <wp:posOffset>743585</wp:posOffset>
              </wp:positionV>
              <wp:extent cx="2560320" cy="106680"/>
              <wp:wrapNone/>
              <wp:docPr id="593" name="Shape 59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9" type="#_x0000_t202" style="position:absolute;margin-left:338.5pt;margin-top:58.550000000000004pt;width:201.59999999999999pt;height:8.4000000000000004pt;z-index:-1887436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595" name="Shape 5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4298950</wp:posOffset>
              </wp:positionH>
              <wp:positionV relativeFrom="page">
                <wp:posOffset>743585</wp:posOffset>
              </wp:positionV>
              <wp:extent cx="2560320" cy="106680"/>
              <wp:wrapNone/>
              <wp:docPr id="600" name="Shape 60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6" type="#_x0000_t202" style="position:absolute;margin-left:338.5pt;margin-top:58.550000000000004pt;width:201.59999999999999pt;height:8.4000000000000004pt;z-index:-1887436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02" name="Shape 6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4307205</wp:posOffset>
              </wp:positionH>
              <wp:positionV relativeFrom="page">
                <wp:posOffset>753110</wp:posOffset>
              </wp:positionV>
              <wp:extent cx="2560320" cy="106680"/>
              <wp:wrapNone/>
              <wp:docPr id="607" name="Shape 60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3" type="#_x0000_t202" style="position:absolute;margin-left:339.15000000000003pt;margin-top:59.300000000000004pt;width:201.59999999999999pt;height:8.4000000000000004pt;z-index:-18874361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897890</wp:posOffset>
              </wp:positionV>
              <wp:extent cx="6163310" cy="0"/>
              <wp:wrapNone/>
              <wp:docPr id="609" name="Shape 6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70.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4279265</wp:posOffset>
              </wp:positionH>
              <wp:positionV relativeFrom="page">
                <wp:posOffset>743585</wp:posOffset>
              </wp:positionV>
              <wp:extent cx="2560320" cy="106680"/>
              <wp:wrapNone/>
              <wp:docPr id="50" name="Shape 5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76" type="#_x0000_t202" style="position:absolute;margin-left:336.94999999999999pt;margin-top:58.550000000000004pt;width:201.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4274820</wp:posOffset>
              </wp:positionH>
              <wp:positionV relativeFrom="page">
                <wp:posOffset>142240</wp:posOffset>
              </wp:positionV>
              <wp:extent cx="2560320" cy="106680"/>
              <wp:wrapNone/>
              <wp:docPr id="614" name="Shape 61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40" type="#_x0000_t202" style="position:absolute;margin-left:336.60000000000002pt;margin-top:11.200000000000001pt;width:201.59999999999999pt;height:8.4000000000000004pt;z-index:-1887436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616" name="Shape 6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4274820</wp:posOffset>
              </wp:positionH>
              <wp:positionV relativeFrom="page">
                <wp:posOffset>142240</wp:posOffset>
              </wp:positionV>
              <wp:extent cx="2560320" cy="106680"/>
              <wp:wrapNone/>
              <wp:docPr id="617" name="Shape 61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43" type="#_x0000_t202" style="position:absolute;margin-left:336.60000000000002pt;margin-top:11.200000000000001pt;width:201.59999999999999pt;height:8.4000000000000004pt;z-index:-1887436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287020</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22.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4298950</wp:posOffset>
              </wp:positionH>
              <wp:positionV relativeFrom="page">
                <wp:posOffset>743585</wp:posOffset>
              </wp:positionV>
              <wp:extent cx="2560320" cy="106680"/>
              <wp:wrapNone/>
              <wp:docPr id="620" name="Shape 62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6" type="#_x0000_t202" style="position:absolute;margin-left:338.5pt;margin-top:58.550000000000004pt;width:201.59999999999999pt;height:8.4000000000000004pt;z-index:-1887436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22" name="Shape 6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4298950</wp:posOffset>
              </wp:positionH>
              <wp:positionV relativeFrom="page">
                <wp:posOffset>743585</wp:posOffset>
              </wp:positionV>
              <wp:extent cx="2560320" cy="106680"/>
              <wp:wrapNone/>
              <wp:docPr id="627" name="Shape 62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3" type="#_x0000_t202" style="position:absolute;margin-left:338.5pt;margin-top:58.550000000000004pt;width:201.59999999999999pt;height:8.4000000000000004pt;z-index:-1887436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29" name="Shape 6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4265295</wp:posOffset>
              </wp:positionH>
              <wp:positionV relativeFrom="page">
                <wp:posOffset>743585</wp:posOffset>
              </wp:positionV>
              <wp:extent cx="2560320" cy="106680"/>
              <wp:wrapNone/>
              <wp:docPr id="634" name="Shape 63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0" type="#_x0000_t202" style="position:absolute;margin-left:335.85000000000002pt;margin-top:58.550000000000004pt;width:201.59999999999999pt;height:8.4000000000000004pt;z-index:-1887435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888365</wp:posOffset>
              </wp:positionV>
              <wp:extent cx="6163310" cy="0"/>
              <wp:wrapNone/>
              <wp:docPr id="636" name="Shape 6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69.950000000000003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4298950</wp:posOffset>
              </wp:positionH>
              <wp:positionV relativeFrom="page">
                <wp:posOffset>743585</wp:posOffset>
              </wp:positionV>
              <wp:extent cx="2560320" cy="106680"/>
              <wp:wrapNone/>
              <wp:docPr id="641" name="Shape 64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7" type="#_x0000_t202" style="position:absolute;margin-left:338.5pt;margin-top:58.550000000000004pt;width:201.59999999999999pt;height:8.4000000000000004pt;z-index:-18874358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43" name="Shape 6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4210685</wp:posOffset>
              </wp:positionH>
              <wp:positionV relativeFrom="page">
                <wp:posOffset>743585</wp:posOffset>
              </wp:positionV>
              <wp:extent cx="2560320" cy="106680"/>
              <wp:wrapNone/>
              <wp:docPr id="648" name="Shape 64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4" type="#_x0000_t202" style="position:absolute;margin-left:331.55000000000001pt;margin-top:58.550000000000004pt;width:201.59999999999999pt;height:8.4000000000000004pt;z-index:-18874358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631825</wp:posOffset>
              </wp:positionH>
              <wp:positionV relativeFrom="page">
                <wp:posOffset>888365</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5pt;margin-top:69.950000000000003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4298950</wp:posOffset>
              </wp:positionH>
              <wp:positionV relativeFrom="page">
                <wp:posOffset>743585</wp:posOffset>
              </wp:positionV>
              <wp:extent cx="2560320" cy="106680"/>
              <wp:wrapNone/>
              <wp:docPr id="653" name="Shape 65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9" type="#_x0000_t202" style="position:absolute;margin-left:338.5pt;margin-top:58.550000000000004pt;width:201.59999999999999pt;height:8.4000000000000004pt;z-index:-18874357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55" name="Shape 6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4279265</wp:posOffset>
              </wp:positionH>
              <wp:positionV relativeFrom="page">
                <wp:posOffset>743585</wp:posOffset>
              </wp:positionV>
              <wp:extent cx="2560320" cy="106680"/>
              <wp:wrapNone/>
              <wp:docPr id="660" name="Shape 66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86" type="#_x0000_t202" style="position:absolute;margin-left:336.94999999999999pt;margin-top:58.550000000000004pt;width:201.59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1000125</wp:posOffset>
              </wp:positionV>
              <wp:extent cx="6163310" cy="0"/>
              <wp:wrapNone/>
              <wp:docPr id="662" name="Shape 6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78.75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4298950</wp:posOffset>
              </wp:positionH>
              <wp:positionV relativeFrom="page">
                <wp:posOffset>743585</wp:posOffset>
              </wp:positionV>
              <wp:extent cx="2560320" cy="106680"/>
              <wp:wrapNone/>
              <wp:docPr id="665" name="Shape 66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1" type="#_x0000_t202" style="position:absolute;margin-left:338.5pt;margin-top:58.550000000000004pt;width:201.59999999999999pt;height:8.4000000000000004pt;z-index:-18874356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895350</wp:posOffset>
              </wp:positionV>
              <wp:extent cx="6163310" cy="0"/>
              <wp:wrapNone/>
              <wp:docPr id="667" name="Shape 6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70.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其他_"/>
    <w:basedOn w:val="DefaultParagraphFont"/>
    <w:link w:val="Style9"/>
    <w:rPr>
      <w:rFonts w:ascii="SimSun" w:eastAsia="SimSun" w:hAnsi="SimSun" w:cs="SimSun"/>
      <w:b w:val="0"/>
      <w:bCs w:val="0"/>
      <w:i w:val="0"/>
      <w:iCs w:val="0"/>
      <w:smallCaps w:val="0"/>
      <w:strike w:val="0"/>
      <w:sz w:val="16"/>
      <w:szCs w:val="16"/>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3">
    <w:name w:val="页眉或页脚_"/>
    <w:basedOn w:val="DefaultParagraphFont"/>
    <w:link w:val="Style52"/>
    <w:rPr>
      <w:rFonts w:ascii="SimSun" w:eastAsia="SimSun" w:hAnsi="SimSun" w:cs="SimSun"/>
      <w:b w:val="0"/>
      <w:bCs w:val="0"/>
      <w:i w:val="0"/>
      <w:iCs w:val="0"/>
      <w:smallCaps w:val="0"/>
      <w:strike w:val="0"/>
      <w:sz w:val="16"/>
      <w:szCs w:val="16"/>
      <w:u w:val="none"/>
      <w:shd w:val="clear" w:color="auto" w:fill="auto"/>
    </w:rPr>
  </w:style>
  <w:style w:type="character" w:customStyle="1" w:styleId="CharStyle59">
    <w:name w:val="正文文本 (6)_"/>
    <w:basedOn w:val="DefaultParagraphFont"/>
    <w:link w:val="Style58"/>
    <w:rPr>
      <w:rFonts w:ascii="Arial" w:eastAsia="Arial" w:hAnsi="Arial" w:cs="Arial"/>
      <w:b/>
      <w:bCs/>
      <w:i w:val="0"/>
      <w:iCs w:val="0"/>
      <w:smallCaps w:val="0"/>
      <w:strike w:val="0"/>
      <w:color w:val="D1D1D1"/>
      <w:sz w:val="38"/>
      <w:szCs w:val="38"/>
      <w:u w:val="none"/>
      <w:shd w:val="clear" w:color="auto" w:fill="auto"/>
    </w:rPr>
  </w:style>
  <w:style w:type="character" w:customStyle="1" w:styleId="CharStyle66">
    <w:name w:val="图片标题_"/>
    <w:basedOn w:val="DefaultParagraphFont"/>
    <w:link w:val="Style65"/>
    <w:rPr>
      <w:rFonts w:ascii="SimSun" w:eastAsia="SimSun" w:hAnsi="SimSun" w:cs="SimSun"/>
      <w:b/>
      <w:bCs/>
      <w:i w:val="0"/>
      <w:iCs w:val="0"/>
      <w:smallCaps w:val="0"/>
      <w:strike w:val="0"/>
      <w:sz w:val="16"/>
      <w:szCs w:val="16"/>
      <w:u w:val="none"/>
      <w:shd w:val="clear" w:color="auto" w:fill="auto"/>
    </w:rPr>
  </w:style>
  <w:style w:type="character" w:customStyle="1" w:styleId="CharStyle78">
    <w:name w:val="正文文本 (8)_"/>
    <w:basedOn w:val="DefaultParagraphFont"/>
    <w:link w:val="Style77"/>
    <w:rPr>
      <w:rFonts w:ascii="SimHei" w:eastAsia="SimHei" w:hAnsi="SimHei" w:cs="SimHei"/>
      <w:b w:val="0"/>
      <w:bCs w:val="0"/>
      <w:i w:val="0"/>
      <w:iCs w:val="0"/>
      <w:smallCaps w:val="0"/>
      <w:strike w:val="0"/>
      <w:color w:val="D1D1D1"/>
      <w:sz w:val="26"/>
      <w:szCs w:val="26"/>
      <w:u w:val="none"/>
      <w:shd w:val="clear" w:color="auto" w:fill="auto"/>
    </w:rPr>
  </w:style>
  <w:style w:type="character" w:customStyle="1" w:styleId="CharStyle80">
    <w:name w:val="正文文本 (7)_"/>
    <w:basedOn w:val="DefaultParagraphFont"/>
    <w:link w:val="Style79"/>
    <w:rPr>
      <w:rFonts w:ascii="Times New Roman" w:eastAsia="Times New Roman" w:hAnsi="Times New Roman" w:cs="Times New Roman"/>
      <w:b w:val="0"/>
      <w:bCs w:val="0"/>
      <w:i w:val="0"/>
      <w:iCs w:val="0"/>
      <w:smallCaps w:val="0"/>
      <w:strike w:val="0"/>
      <w:color w:val="D1D1D1"/>
      <w:sz w:val="20"/>
      <w:szCs w:val="20"/>
      <w:u w:val="none"/>
      <w:shd w:val="clear" w:color="auto" w:fill="FFFFFF"/>
    </w:rPr>
  </w:style>
  <w:style w:type="character" w:customStyle="1" w:styleId="CharStyle92">
    <w:name w:val="正文文本 (9)_"/>
    <w:basedOn w:val="DefaultParagraphFont"/>
    <w:link w:val="Style91"/>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9">
    <w:name w:val="其他"/>
    <w:basedOn w:val="Normal"/>
    <w:link w:val="CharStyle1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6">
    <w:name w:val="正文文本 (3)"/>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标题 #2"/>
    <w:basedOn w:val="Normal"/>
    <w:link w:val="CharStyle23"/>
    <w:pPr>
      <w:widowControl w:val="0"/>
      <w:shd w:val="clear" w:color="auto" w:fill="auto"/>
      <w:spacing w:after="33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表格标题"/>
    <w:basedOn w:val="Normal"/>
    <w:link w:val="CharStyle26"/>
    <w:pPr>
      <w:widowControl w:val="0"/>
      <w:shd w:val="clear" w:color="auto" w:fill="auto"/>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正文文本 (2)"/>
    <w:basedOn w:val="Normal"/>
    <w:link w:val="CharStyle28"/>
    <w:pPr>
      <w:widowControl w:val="0"/>
      <w:shd w:val="clear" w:color="auto" w:fill="auto"/>
      <w:spacing w:after="140"/>
    </w:pPr>
    <w:rPr>
      <w:rFonts w:ascii="SimSun" w:eastAsia="SimSun" w:hAnsi="SimSun" w:cs="SimSun"/>
      <w:b w:val="0"/>
      <w:bCs w:val="0"/>
      <w:i w:val="0"/>
      <w:iCs w:val="0"/>
      <w:smallCaps w:val="0"/>
      <w:strike w:val="0"/>
      <w:sz w:val="16"/>
      <w:szCs w:val="16"/>
      <w:u w:val="none"/>
      <w:shd w:val="clear" w:color="auto" w:fill="auto"/>
    </w:rPr>
  </w:style>
  <w:style w:type="paragraph" w:customStyle="1" w:styleId="Style33">
    <w:name w:val="正文文本"/>
    <w:basedOn w:val="Normal"/>
    <w:link w:val="CharStyle34"/>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2">
    <w:name w:val="页眉或页脚"/>
    <w:basedOn w:val="Normal"/>
    <w:link w:val="CharStyle5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58">
    <w:name w:val="正文文本 (6)"/>
    <w:basedOn w:val="Normal"/>
    <w:link w:val="CharStyle59"/>
    <w:pPr>
      <w:widowControl w:val="0"/>
      <w:shd w:val="clear" w:color="auto" w:fill="auto"/>
      <w:spacing w:after="80"/>
      <w:jc w:val="right"/>
    </w:pPr>
    <w:rPr>
      <w:rFonts w:ascii="Arial" w:eastAsia="Arial" w:hAnsi="Arial" w:cs="Arial"/>
      <w:b/>
      <w:bCs/>
      <w:i w:val="0"/>
      <w:iCs w:val="0"/>
      <w:smallCaps w:val="0"/>
      <w:strike w:val="0"/>
      <w:color w:val="D1D1D1"/>
      <w:sz w:val="38"/>
      <w:szCs w:val="38"/>
      <w:u w:val="none"/>
      <w:shd w:val="clear" w:color="auto" w:fill="auto"/>
    </w:rPr>
  </w:style>
  <w:style w:type="paragraph" w:customStyle="1" w:styleId="Style65">
    <w:name w:val="图片标题"/>
    <w:basedOn w:val="Normal"/>
    <w:link w:val="CharStyle66"/>
    <w:pPr>
      <w:widowControl w:val="0"/>
      <w:shd w:val="clear" w:color="auto" w:fill="auto"/>
      <w:jc w:val="center"/>
    </w:pPr>
    <w:rPr>
      <w:rFonts w:ascii="SimSun" w:eastAsia="SimSun" w:hAnsi="SimSun" w:cs="SimSun"/>
      <w:b/>
      <w:bCs/>
      <w:i w:val="0"/>
      <w:iCs w:val="0"/>
      <w:smallCaps w:val="0"/>
      <w:strike w:val="0"/>
      <w:sz w:val="16"/>
      <w:szCs w:val="16"/>
      <w:u w:val="none"/>
      <w:shd w:val="clear" w:color="auto" w:fill="auto"/>
    </w:rPr>
  </w:style>
  <w:style w:type="paragraph" w:customStyle="1" w:styleId="Style77">
    <w:name w:val="正文文本 (8)"/>
    <w:basedOn w:val="Normal"/>
    <w:link w:val="CharStyle78"/>
    <w:pPr>
      <w:widowControl w:val="0"/>
      <w:shd w:val="clear" w:color="auto" w:fill="auto"/>
      <w:jc w:val="center"/>
    </w:pPr>
    <w:rPr>
      <w:rFonts w:ascii="SimHei" w:eastAsia="SimHei" w:hAnsi="SimHei" w:cs="SimHei"/>
      <w:b w:val="0"/>
      <w:bCs w:val="0"/>
      <w:i w:val="0"/>
      <w:iCs w:val="0"/>
      <w:smallCaps w:val="0"/>
      <w:strike w:val="0"/>
      <w:color w:val="D1D1D1"/>
      <w:sz w:val="26"/>
      <w:szCs w:val="26"/>
      <w:u w:val="none"/>
      <w:shd w:val="clear" w:color="auto" w:fill="auto"/>
    </w:rPr>
  </w:style>
  <w:style w:type="paragraph" w:customStyle="1" w:styleId="Style79">
    <w:name w:val="正文文本 (7)"/>
    <w:basedOn w:val="Normal"/>
    <w:link w:val="CharStyle80"/>
    <w:pPr>
      <w:widowControl w:val="0"/>
      <w:shd w:val="clear" w:color="auto" w:fill="auto"/>
      <w:spacing w:line="283" w:lineRule="exact"/>
      <w:ind w:right="500"/>
      <w:jc w:val="right"/>
    </w:pPr>
    <w:rPr>
      <w:rFonts w:ascii="Times New Roman" w:eastAsia="Times New Roman" w:hAnsi="Times New Roman" w:cs="Times New Roman"/>
      <w:b w:val="0"/>
      <w:bCs w:val="0"/>
      <w:i w:val="0"/>
      <w:iCs w:val="0"/>
      <w:smallCaps w:val="0"/>
      <w:strike w:val="0"/>
      <w:color w:val="D1D1D1"/>
      <w:sz w:val="20"/>
      <w:szCs w:val="20"/>
      <w:u w:val="none"/>
      <w:shd w:val="clear" w:color="auto" w:fill="FFFFFF"/>
    </w:rPr>
  </w:style>
  <w:style w:type="paragraph" w:customStyle="1" w:styleId="Style91">
    <w:name w:val="正文文本 (9)"/>
    <w:basedOn w:val="Normal"/>
    <w:link w:val="CharStyle92"/>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header" Target="header7.xml"/><Relationship Id="rId26" Type="http://schemas.openxmlformats.org/officeDocument/2006/relationships/footer" Target="footer5.xml"/><Relationship Id="rId27" Type="http://schemas.openxmlformats.org/officeDocument/2006/relationships/header" Target="header8.xml"/><Relationship Id="rId28" Type="http://schemas.openxmlformats.org/officeDocument/2006/relationships/footer" Target="footer6.xml"/><Relationship Id="rId29" Type="http://schemas.openxmlformats.org/officeDocument/2006/relationships/header" Target="header9.xml"/><Relationship Id="rId30" Type="http://schemas.openxmlformats.org/officeDocument/2006/relationships/footer" Target="footer7.xm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image" Target="media/image7.jpeg"/><Relationship Id="rId34" Type="http://schemas.openxmlformats.org/officeDocument/2006/relationships/image" Target="media/image7.jpeg" TargetMode="External"/><Relationship Id="rId35" Type="http://schemas.openxmlformats.org/officeDocument/2006/relationships/header" Target="header10.xml"/><Relationship Id="rId36" Type="http://schemas.openxmlformats.org/officeDocument/2006/relationships/footer" Target="footer8.xml"/><Relationship Id="rId37" Type="http://schemas.openxmlformats.org/officeDocument/2006/relationships/header" Target="header11.xml"/><Relationship Id="rId38" Type="http://schemas.openxmlformats.org/officeDocument/2006/relationships/footer" Target="footer9.xml"/><Relationship Id="rId39" Type="http://schemas.openxmlformats.org/officeDocument/2006/relationships/header" Target="header12.xml"/><Relationship Id="rId40" Type="http://schemas.openxmlformats.org/officeDocument/2006/relationships/footer" Target="footer10.xml"/><Relationship Id="rId41" Type="http://schemas.openxmlformats.org/officeDocument/2006/relationships/header" Target="header13.xml"/><Relationship Id="rId42" Type="http://schemas.openxmlformats.org/officeDocument/2006/relationships/footer" Target="footer11.xml"/><Relationship Id="rId43" Type="http://schemas.openxmlformats.org/officeDocument/2006/relationships/header" Target="header14.xml"/><Relationship Id="rId44" Type="http://schemas.openxmlformats.org/officeDocument/2006/relationships/footer" Target="footer12.xml"/><Relationship Id="rId45" Type="http://schemas.openxmlformats.org/officeDocument/2006/relationships/header" Target="header15.xml"/><Relationship Id="rId46" Type="http://schemas.openxmlformats.org/officeDocument/2006/relationships/footer" Target="footer13.xml"/><Relationship Id="rId47" Type="http://schemas.openxmlformats.org/officeDocument/2006/relationships/header" Target="header16.xml"/><Relationship Id="rId48" Type="http://schemas.openxmlformats.org/officeDocument/2006/relationships/footer" Target="footer14.xml"/><Relationship Id="rId49" Type="http://schemas.openxmlformats.org/officeDocument/2006/relationships/image" Target="media/image8.jpeg"/><Relationship Id="rId50" Type="http://schemas.openxmlformats.org/officeDocument/2006/relationships/image" Target="media/image8.jpeg" TargetMode="External"/><Relationship Id="rId51" Type="http://schemas.openxmlformats.org/officeDocument/2006/relationships/header" Target="header17.xml"/><Relationship Id="rId52" Type="http://schemas.openxmlformats.org/officeDocument/2006/relationships/footer" Target="footer15.xml"/><Relationship Id="rId53" Type="http://schemas.openxmlformats.org/officeDocument/2006/relationships/header" Target="header18.xml"/><Relationship Id="rId54" Type="http://schemas.openxmlformats.org/officeDocument/2006/relationships/footer" Target="footer16.xml"/><Relationship Id="rId55" Type="http://schemas.openxmlformats.org/officeDocument/2006/relationships/header" Target="header19.xml"/><Relationship Id="rId56" Type="http://schemas.openxmlformats.org/officeDocument/2006/relationships/footer" Target="footer17.xml"/><Relationship Id="rId57" Type="http://schemas.openxmlformats.org/officeDocument/2006/relationships/header" Target="header20.xml"/><Relationship Id="rId58" Type="http://schemas.openxmlformats.org/officeDocument/2006/relationships/footer" Target="footer18.xml"/><Relationship Id="rId59" Type="http://schemas.openxmlformats.org/officeDocument/2006/relationships/header" Target="header21.xml"/><Relationship Id="rId60" Type="http://schemas.openxmlformats.org/officeDocument/2006/relationships/footer" Target="footer19.xml"/><Relationship Id="rId61" Type="http://schemas.openxmlformats.org/officeDocument/2006/relationships/header" Target="header22.xml"/><Relationship Id="rId62" Type="http://schemas.openxmlformats.org/officeDocument/2006/relationships/footer" Target="footer20.xml"/><Relationship Id="rId63" Type="http://schemas.openxmlformats.org/officeDocument/2006/relationships/header" Target="header23.xml"/><Relationship Id="rId64" Type="http://schemas.openxmlformats.org/officeDocument/2006/relationships/footer" Target="footer21.xml"/><Relationship Id="rId65" Type="http://schemas.openxmlformats.org/officeDocument/2006/relationships/header" Target="header24.xml"/><Relationship Id="rId66" Type="http://schemas.openxmlformats.org/officeDocument/2006/relationships/footer" Target="footer22.xml"/><Relationship Id="rId67" Type="http://schemas.openxmlformats.org/officeDocument/2006/relationships/header" Target="header25.xml"/><Relationship Id="rId68" Type="http://schemas.openxmlformats.org/officeDocument/2006/relationships/footer" Target="footer23.xml"/><Relationship Id="rId69" Type="http://schemas.openxmlformats.org/officeDocument/2006/relationships/header" Target="header26.xml"/><Relationship Id="rId70" Type="http://schemas.openxmlformats.org/officeDocument/2006/relationships/footer" Target="footer24.xml"/><Relationship Id="rId71" Type="http://schemas.openxmlformats.org/officeDocument/2006/relationships/header" Target="header27.xml"/><Relationship Id="rId72" Type="http://schemas.openxmlformats.org/officeDocument/2006/relationships/footer" Target="footer25.xml"/><Relationship Id="rId73" Type="http://schemas.openxmlformats.org/officeDocument/2006/relationships/header" Target="header28.xml"/><Relationship Id="rId74" Type="http://schemas.openxmlformats.org/officeDocument/2006/relationships/footer" Target="footer26.xml"/><Relationship Id="rId75" Type="http://schemas.openxmlformats.org/officeDocument/2006/relationships/header" Target="header29.xml"/><Relationship Id="rId76" Type="http://schemas.openxmlformats.org/officeDocument/2006/relationships/footer" Target="footer27.xml"/><Relationship Id="rId77" Type="http://schemas.openxmlformats.org/officeDocument/2006/relationships/header" Target="header30.xml"/><Relationship Id="rId78" Type="http://schemas.openxmlformats.org/officeDocument/2006/relationships/footer" Target="footer28.xml"/><Relationship Id="rId79" Type="http://schemas.openxmlformats.org/officeDocument/2006/relationships/header" Target="header31.xml"/><Relationship Id="rId80" Type="http://schemas.openxmlformats.org/officeDocument/2006/relationships/footer" Target="footer29.xml"/><Relationship Id="rId81" Type="http://schemas.openxmlformats.org/officeDocument/2006/relationships/image" Target="media/image9.jpeg"/><Relationship Id="rId82" Type="http://schemas.openxmlformats.org/officeDocument/2006/relationships/image" Target="media/image9.jpeg" TargetMode="External"/><Relationship Id="rId83" Type="http://schemas.openxmlformats.org/officeDocument/2006/relationships/header" Target="header32.xml"/><Relationship Id="rId84" Type="http://schemas.openxmlformats.org/officeDocument/2006/relationships/footer" Target="footer30.xml"/><Relationship Id="rId85" Type="http://schemas.openxmlformats.org/officeDocument/2006/relationships/header" Target="header33.xml"/><Relationship Id="rId86" Type="http://schemas.openxmlformats.org/officeDocument/2006/relationships/footer" Target="footer31.xml"/><Relationship Id="rId87" Type="http://schemas.openxmlformats.org/officeDocument/2006/relationships/header" Target="header34.xml"/><Relationship Id="rId88" Type="http://schemas.openxmlformats.org/officeDocument/2006/relationships/footer" Target="footer32.xml"/><Relationship Id="rId89" Type="http://schemas.openxmlformats.org/officeDocument/2006/relationships/header" Target="header35.xml"/><Relationship Id="rId90" Type="http://schemas.openxmlformats.org/officeDocument/2006/relationships/footer" Target="footer33.xml"/><Relationship Id="rId91" Type="http://schemas.openxmlformats.org/officeDocument/2006/relationships/header" Target="header36.xml"/><Relationship Id="rId92" Type="http://schemas.openxmlformats.org/officeDocument/2006/relationships/footer" Target="footer34.xml"/><Relationship Id="rId93" Type="http://schemas.openxmlformats.org/officeDocument/2006/relationships/header" Target="header37.xml"/><Relationship Id="rId94" Type="http://schemas.openxmlformats.org/officeDocument/2006/relationships/footer" Target="footer35.xml"/><Relationship Id="rId95" Type="http://schemas.openxmlformats.org/officeDocument/2006/relationships/header" Target="header38.xml"/><Relationship Id="rId96" Type="http://schemas.openxmlformats.org/officeDocument/2006/relationships/footer" Target="footer36.xml"/><Relationship Id="rId97" Type="http://schemas.openxmlformats.org/officeDocument/2006/relationships/image" Target="media/image10.jpeg"/><Relationship Id="rId98" Type="http://schemas.openxmlformats.org/officeDocument/2006/relationships/image" Target="media/image10.jpeg" TargetMode="External"/><Relationship Id="rId99" Type="http://schemas.openxmlformats.org/officeDocument/2006/relationships/header" Target="header39.xml"/><Relationship Id="rId100" Type="http://schemas.openxmlformats.org/officeDocument/2006/relationships/footer" Target="footer37.xml"/><Relationship Id="rId101" Type="http://schemas.openxmlformats.org/officeDocument/2006/relationships/header" Target="header40.xml"/><Relationship Id="rId102" Type="http://schemas.openxmlformats.org/officeDocument/2006/relationships/footer" Target="footer38.xml"/><Relationship Id="rId103" Type="http://schemas.openxmlformats.org/officeDocument/2006/relationships/header" Target="header41.xml"/><Relationship Id="rId104" Type="http://schemas.openxmlformats.org/officeDocument/2006/relationships/footer" Target="footer39.xml"/><Relationship Id="rId105" Type="http://schemas.openxmlformats.org/officeDocument/2006/relationships/header" Target="header42.xml"/><Relationship Id="rId106" Type="http://schemas.openxmlformats.org/officeDocument/2006/relationships/footer" Target="footer40.xml"/><Relationship Id="rId107" Type="http://schemas.openxmlformats.org/officeDocument/2006/relationships/header" Target="header43.xml"/><Relationship Id="rId108" Type="http://schemas.openxmlformats.org/officeDocument/2006/relationships/footer" Target="footer41.xml"/><Relationship Id="rId109" Type="http://schemas.openxmlformats.org/officeDocument/2006/relationships/image" Target="media/image11.jpeg"/><Relationship Id="rId110" Type="http://schemas.openxmlformats.org/officeDocument/2006/relationships/image" Target="media/image11.jpeg" TargetMode="External"/><Relationship Id="rId111" Type="http://schemas.openxmlformats.org/officeDocument/2006/relationships/header" Target="header44.xml"/><Relationship Id="rId112" Type="http://schemas.openxmlformats.org/officeDocument/2006/relationships/footer" Target="footer42.xml"/><Relationship Id="rId113" Type="http://schemas.openxmlformats.org/officeDocument/2006/relationships/header" Target="header45.xml"/><Relationship Id="rId114" Type="http://schemas.openxmlformats.org/officeDocument/2006/relationships/footer" Target="footer43.xml"/><Relationship Id="rId115" Type="http://schemas.openxmlformats.org/officeDocument/2006/relationships/image" Target="media/image12.jpeg"/><Relationship Id="rId116" Type="http://schemas.openxmlformats.org/officeDocument/2006/relationships/image" Target="media/image12.jpeg" TargetMode="External"/><Relationship Id="rId117" Type="http://schemas.openxmlformats.org/officeDocument/2006/relationships/header" Target="header46.xml"/><Relationship Id="rId118" Type="http://schemas.openxmlformats.org/officeDocument/2006/relationships/footer" Target="footer44.xml"/><Relationship Id="rId119" Type="http://schemas.openxmlformats.org/officeDocument/2006/relationships/header" Target="header47.xml"/><Relationship Id="rId120" Type="http://schemas.openxmlformats.org/officeDocument/2006/relationships/footer" Target="footer45.xml"/><Relationship Id="rId121" Type="http://schemas.openxmlformats.org/officeDocument/2006/relationships/header" Target="header48.xml"/><Relationship Id="rId122" Type="http://schemas.openxmlformats.org/officeDocument/2006/relationships/footer" Target="footer46.xml"/><Relationship Id="rId123" Type="http://schemas.openxmlformats.org/officeDocument/2006/relationships/header" Target="header49.xml"/><Relationship Id="rId124" Type="http://schemas.openxmlformats.org/officeDocument/2006/relationships/footer" Target="footer47.xml"/><Relationship Id="rId125" Type="http://schemas.openxmlformats.org/officeDocument/2006/relationships/header" Target="header50.xml"/><Relationship Id="rId126" Type="http://schemas.openxmlformats.org/officeDocument/2006/relationships/footer" Target="footer48.xml"/><Relationship Id="rId127" Type="http://schemas.openxmlformats.org/officeDocument/2006/relationships/header" Target="header51.xml"/><Relationship Id="rId128" Type="http://schemas.openxmlformats.org/officeDocument/2006/relationships/footer" Target="footer49.xml"/><Relationship Id="rId129" Type="http://schemas.openxmlformats.org/officeDocument/2006/relationships/header" Target="header52.xml"/><Relationship Id="rId130" Type="http://schemas.openxmlformats.org/officeDocument/2006/relationships/footer" Target="footer50.xml"/><Relationship Id="rId131" Type="http://schemas.openxmlformats.org/officeDocument/2006/relationships/header" Target="header53.xml"/><Relationship Id="rId132" Type="http://schemas.openxmlformats.org/officeDocument/2006/relationships/footer" Target="footer51.xml"/><Relationship Id="rId133" Type="http://schemas.openxmlformats.org/officeDocument/2006/relationships/image" Target="media/image13.jpeg"/><Relationship Id="rId134" Type="http://schemas.openxmlformats.org/officeDocument/2006/relationships/image" Target="media/image13.jpeg" TargetMode="External"/><Relationship Id="rId135" Type="http://schemas.openxmlformats.org/officeDocument/2006/relationships/header" Target="header54.xml"/><Relationship Id="rId136" Type="http://schemas.openxmlformats.org/officeDocument/2006/relationships/footer" Target="footer52.xml"/><Relationship Id="rId137" Type="http://schemas.openxmlformats.org/officeDocument/2006/relationships/header" Target="header55.xml"/><Relationship Id="rId138" Type="http://schemas.openxmlformats.org/officeDocument/2006/relationships/footer" Target="footer53.xml"/><Relationship Id="rId139" Type="http://schemas.openxmlformats.org/officeDocument/2006/relationships/image" Target="media/image14.jpeg"/><Relationship Id="rId140" Type="http://schemas.openxmlformats.org/officeDocument/2006/relationships/image" Target="media/image14.jpeg" TargetMode="External"/><Relationship Id="rId141" Type="http://schemas.openxmlformats.org/officeDocument/2006/relationships/image" Target="media/image15.jpeg"/><Relationship Id="rId142" Type="http://schemas.openxmlformats.org/officeDocument/2006/relationships/image" Target="media/image15.jpeg" TargetMode="External"/><Relationship Id="rId143" Type="http://schemas.openxmlformats.org/officeDocument/2006/relationships/header" Target="header56.xml"/><Relationship Id="rId144" Type="http://schemas.openxmlformats.org/officeDocument/2006/relationships/footer" Target="footer54.xml"/><Relationship Id="rId145" Type="http://schemas.openxmlformats.org/officeDocument/2006/relationships/header" Target="header57.xml"/><Relationship Id="rId146" Type="http://schemas.openxmlformats.org/officeDocument/2006/relationships/footer" Target="footer55.xml"/><Relationship Id="rId147" Type="http://schemas.openxmlformats.org/officeDocument/2006/relationships/header" Target="header58.xml"/><Relationship Id="rId148" Type="http://schemas.openxmlformats.org/officeDocument/2006/relationships/footer" Target="footer56.xml"/><Relationship Id="rId149" Type="http://schemas.openxmlformats.org/officeDocument/2006/relationships/header" Target="header59.xml"/><Relationship Id="rId150" Type="http://schemas.openxmlformats.org/officeDocument/2006/relationships/footer" Target="footer57.xml"/><Relationship Id="rId151" Type="http://schemas.openxmlformats.org/officeDocument/2006/relationships/header" Target="header60.xml"/><Relationship Id="rId152" Type="http://schemas.openxmlformats.org/officeDocument/2006/relationships/footer" Target="footer58.xml"/><Relationship Id="rId153" Type="http://schemas.openxmlformats.org/officeDocument/2006/relationships/header" Target="header61.xml"/><Relationship Id="rId154" Type="http://schemas.openxmlformats.org/officeDocument/2006/relationships/footer" Target="footer59.xml"/><Relationship Id="rId155" Type="http://schemas.openxmlformats.org/officeDocument/2006/relationships/header" Target="header62.xml"/><Relationship Id="rId156" Type="http://schemas.openxmlformats.org/officeDocument/2006/relationships/footer" Target="footer60.xml"/><Relationship Id="rId157" Type="http://schemas.openxmlformats.org/officeDocument/2006/relationships/header" Target="header63.xml"/><Relationship Id="rId158" Type="http://schemas.openxmlformats.org/officeDocument/2006/relationships/footer" Target="footer61.xml"/><Relationship Id="rId159" Type="http://schemas.openxmlformats.org/officeDocument/2006/relationships/header" Target="header64.xml"/><Relationship Id="rId160" Type="http://schemas.openxmlformats.org/officeDocument/2006/relationships/footer" Target="footer62.xml"/><Relationship Id="rId161" Type="http://schemas.openxmlformats.org/officeDocument/2006/relationships/header" Target="header65.xml"/><Relationship Id="rId162" Type="http://schemas.openxmlformats.org/officeDocument/2006/relationships/footer" Target="footer63.xml"/><Relationship Id="rId163" Type="http://schemas.openxmlformats.org/officeDocument/2006/relationships/image" Target="media/image16.jpeg"/><Relationship Id="rId164" Type="http://schemas.openxmlformats.org/officeDocument/2006/relationships/image" Target="media/image16.jpeg" TargetMode="External"/><Relationship Id="rId165" Type="http://schemas.openxmlformats.org/officeDocument/2006/relationships/image" Target="media/image17.jpeg"/><Relationship Id="rId166" Type="http://schemas.openxmlformats.org/officeDocument/2006/relationships/image" Target="media/image17.jpeg" TargetMode="External"/><Relationship Id="rId167" Type="http://schemas.openxmlformats.org/officeDocument/2006/relationships/header" Target="header66.xml"/><Relationship Id="rId168" Type="http://schemas.openxmlformats.org/officeDocument/2006/relationships/footer" Target="footer64.xml"/><Relationship Id="rId169" Type="http://schemas.openxmlformats.org/officeDocument/2006/relationships/header" Target="header67.xml"/><Relationship Id="rId170" Type="http://schemas.openxmlformats.org/officeDocument/2006/relationships/footer" Target="footer65.xml"/><Relationship Id="rId171" Type="http://schemas.openxmlformats.org/officeDocument/2006/relationships/header" Target="header68.xml"/><Relationship Id="rId172" Type="http://schemas.openxmlformats.org/officeDocument/2006/relationships/footer" Target="footer66.xml"/><Relationship Id="rId173" Type="http://schemas.openxmlformats.org/officeDocument/2006/relationships/header" Target="header69.xml"/><Relationship Id="rId174" Type="http://schemas.openxmlformats.org/officeDocument/2006/relationships/footer" Target="footer67.xml"/><Relationship Id="rId175" Type="http://schemas.openxmlformats.org/officeDocument/2006/relationships/header" Target="header70.xml"/><Relationship Id="rId176" Type="http://schemas.openxmlformats.org/officeDocument/2006/relationships/footer" Target="footer68.xml"/><Relationship Id="rId177" Type="http://schemas.openxmlformats.org/officeDocument/2006/relationships/image" Target="media/image18.jpeg"/><Relationship Id="rId178" Type="http://schemas.openxmlformats.org/officeDocument/2006/relationships/image" Target="media/image18.jpeg" TargetMode="External"/><Relationship Id="rId179" Type="http://schemas.openxmlformats.org/officeDocument/2006/relationships/header" Target="header71.xml"/><Relationship Id="rId180" Type="http://schemas.openxmlformats.org/officeDocument/2006/relationships/footer" Target="footer69.xml"/><Relationship Id="rId181" Type="http://schemas.openxmlformats.org/officeDocument/2006/relationships/header" Target="header72.xml"/><Relationship Id="rId182" Type="http://schemas.openxmlformats.org/officeDocument/2006/relationships/footer" Target="footer70.xml"/><Relationship Id="rId183" Type="http://schemas.openxmlformats.org/officeDocument/2006/relationships/header" Target="header73.xml"/><Relationship Id="rId184" Type="http://schemas.openxmlformats.org/officeDocument/2006/relationships/footer" Target="footer71.xml"/><Relationship Id="rId185" Type="http://schemas.openxmlformats.org/officeDocument/2006/relationships/header" Target="header74.xml"/><Relationship Id="rId186" Type="http://schemas.openxmlformats.org/officeDocument/2006/relationships/footer" Target="footer72.xml"/><Relationship Id="rId187" Type="http://schemas.openxmlformats.org/officeDocument/2006/relationships/header" Target="header75.xml"/><Relationship Id="rId188" Type="http://schemas.openxmlformats.org/officeDocument/2006/relationships/footer" Target="footer73.xml"/><Relationship Id="rId189" Type="http://schemas.openxmlformats.org/officeDocument/2006/relationships/header" Target="header76.xml"/><Relationship Id="rId190" Type="http://schemas.openxmlformats.org/officeDocument/2006/relationships/footer" Target="footer74.xml"/><Relationship Id="rId191" Type="http://schemas.openxmlformats.org/officeDocument/2006/relationships/header" Target="header77.xml"/><Relationship Id="rId192" Type="http://schemas.openxmlformats.org/officeDocument/2006/relationships/footer" Target="footer75.xml"/><Relationship Id="rId193" Type="http://schemas.openxmlformats.org/officeDocument/2006/relationships/header" Target="header78.xml"/><Relationship Id="rId194" Type="http://schemas.openxmlformats.org/officeDocument/2006/relationships/footer" Target="footer76.xml"/><Relationship Id="rId195" Type="http://schemas.openxmlformats.org/officeDocument/2006/relationships/header" Target="header79.xml"/><Relationship Id="rId196" Type="http://schemas.openxmlformats.org/officeDocument/2006/relationships/footer" Target="footer77.xml"/><Relationship Id="rId197" Type="http://schemas.openxmlformats.org/officeDocument/2006/relationships/header" Target="header80.xml"/><Relationship Id="rId198" Type="http://schemas.openxmlformats.org/officeDocument/2006/relationships/footer" Target="footer78.xml"/><Relationship Id="rId199" Type="http://schemas.openxmlformats.org/officeDocument/2006/relationships/header" Target="header81.xml"/><Relationship Id="rId200" Type="http://schemas.openxmlformats.org/officeDocument/2006/relationships/footer" Target="footer79.xml"/><Relationship Id="rId201" Type="http://schemas.openxmlformats.org/officeDocument/2006/relationships/header" Target="header82.xml"/><Relationship Id="rId202" Type="http://schemas.openxmlformats.org/officeDocument/2006/relationships/footer" Target="footer80.xml"/><Relationship Id="rId203" Type="http://schemas.openxmlformats.org/officeDocument/2006/relationships/header" Target="header83.xml"/><Relationship Id="rId204" Type="http://schemas.openxmlformats.org/officeDocument/2006/relationships/footer" Target="footer81.xml"/><Relationship Id="rId205" Type="http://schemas.openxmlformats.org/officeDocument/2006/relationships/header" Target="header84.xml"/><Relationship Id="rId206" Type="http://schemas.openxmlformats.org/officeDocument/2006/relationships/footer" Target="footer82.xml"/><Relationship Id="rId207" Type="http://schemas.openxmlformats.org/officeDocument/2006/relationships/header" Target="header85.xml"/><Relationship Id="rId208" Type="http://schemas.openxmlformats.org/officeDocument/2006/relationships/footer" Target="footer83.xml"/><Relationship Id="rId209" Type="http://schemas.openxmlformats.org/officeDocument/2006/relationships/header" Target="header86.xml"/><Relationship Id="rId210" Type="http://schemas.openxmlformats.org/officeDocument/2006/relationships/footer" Target="footer84.xml"/><Relationship Id="rId211" Type="http://schemas.openxmlformats.org/officeDocument/2006/relationships/header" Target="header87.xml"/><Relationship Id="rId212" Type="http://schemas.openxmlformats.org/officeDocument/2006/relationships/footer" Target="footer85.xml"/><Relationship Id="rId213" Type="http://schemas.openxmlformats.org/officeDocument/2006/relationships/header" Target="header88.xml"/><Relationship Id="rId214" Type="http://schemas.openxmlformats.org/officeDocument/2006/relationships/footer" Target="footer86.xml"/><Relationship Id="rId215" Type="http://schemas.openxmlformats.org/officeDocument/2006/relationships/header" Target="header89.xml"/><Relationship Id="rId216" Type="http://schemas.openxmlformats.org/officeDocument/2006/relationships/footer" Target="footer87.xml"/><Relationship Id="rId217" Type="http://schemas.openxmlformats.org/officeDocument/2006/relationships/header" Target="header90.xml"/><Relationship Id="rId218" Type="http://schemas.openxmlformats.org/officeDocument/2006/relationships/footer" Target="footer88.xml"/><Relationship Id="rId219" Type="http://schemas.openxmlformats.org/officeDocument/2006/relationships/header" Target="header91.xml"/><Relationship Id="rId220" Type="http://schemas.openxmlformats.org/officeDocument/2006/relationships/footer" Target="footer89.xml"/><Relationship Id="rId221" Type="http://schemas.openxmlformats.org/officeDocument/2006/relationships/header" Target="header92.xml"/><Relationship Id="rId222" Type="http://schemas.openxmlformats.org/officeDocument/2006/relationships/footer" Target="footer90.xml"/><Relationship Id="rId223" Type="http://schemas.openxmlformats.org/officeDocument/2006/relationships/header" Target="header93.xml"/><Relationship Id="rId224" Type="http://schemas.openxmlformats.org/officeDocument/2006/relationships/footer" Target="footer91.xml"/><Relationship Id="rId225" Type="http://schemas.openxmlformats.org/officeDocument/2006/relationships/header" Target="header94.xml"/><Relationship Id="rId226" Type="http://schemas.openxmlformats.org/officeDocument/2006/relationships/footer" Target="footer92.xml"/><Relationship Id="rId227" Type="http://schemas.openxmlformats.org/officeDocument/2006/relationships/header" Target="header95.xml"/><Relationship Id="rId228" Type="http://schemas.openxmlformats.org/officeDocument/2006/relationships/footer" Target="footer93.xml"/><Relationship Id="rId229" Type="http://schemas.openxmlformats.org/officeDocument/2006/relationships/header" Target="header96.xml"/><Relationship Id="rId230" Type="http://schemas.openxmlformats.org/officeDocument/2006/relationships/footer" Target="footer94.xml"/><Relationship Id="rId231" Type="http://schemas.openxmlformats.org/officeDocument/2006/relationships/header" Target="header97.xml"/><Relationship Id="rId232" Type="http://schemas.openxmlformats.org/officeDocument/2006/relationships/footer" Target="footer95.xml"/><Relationship Id="rId233" Type="http://schemas.openxmlformats.org/officeDocument/2006/relationships/header" Target="header98.xml"/><Relationship Id="rId234" Type="http://schemas.openxmlformats.org/officeDocument/2006/relationships/footer" Target="footer96.xml"/><Relationship Id="rId235" Type="http://schemas.openxmlformats.org/officeDocument/2006/relationships/header" Target="header99.xml"/><Relationship Id="rId236" Type="http://schemas.openxmlformats.org/officeDocument/2006/relationships/footer" Target="footer97.xml"/><Relationship Id="rId237" Type="http://schemas.openxmlformats.org/officeDocument/2006/relationships/header" Target="header100.xml"/><Relationship Id="rId238" Type="http://schemas.openxmlformats.org/officeDocument/2006/relationships/footer" Target="footer98.xml"/><Relationship Id="rId239" Type="http://schemas.openxmlformats.org/officeDocument/2006/relationships/header" Target="header101.xml"/><Relationship Id="rId240" Type="http://schemas.openxmlformats.org/officeDocument/2006/relationships/footer" Target="footer99.xml"/><Relationship Id="rId241" Type="http://schemas.openxmlformats.org/officeDocument/2006/relationships/header" Target="header102.xml"/><Relationship Id="rId242" Type="http://schemas.openxmlformats.org/officeDocument/2006/relationships/footer" Target="footer100.xml"/><Relationship Id="rId243" Type="http://schemas.openxmlformats.org/officeDocument/2006/relationships/header" Target="header103.xml"/><Relationship Id="rId244" Type="http://schemas.openxmlformats.org/officeDocument/2006/relationships/footer" Target="footer101.xml"/><Relationship Id="rId245" Type="http://schemas.openxmlformats.org/officeDocument/2006/relationships/header" Target="header104.xml"/><Relationship Id="rId246" Type="http://schemas.openxmlformats.org/officeDocument/2006/relationships/footer" Target="footer102.xml"/><Relationship Id="rId247" Type="http://schemas.openxmlformats.org/officeDocument/2006/relationships/header" Target="header105.xml"/><Relationship Id="rId248" Type="http://schemas.openxmlformats.org/officeDocument/2006/relationships/footer" Target="footer103.xml"/><Relationship Id="rId249" Type="http://schemas.openxmlformats.org/officeDocument/2006/relationships/header" Target="header106.xml"/><Relationship Id="rId250" Type="http://schemas.openxmlformats.org/officeDocument/2006/relationships/footer" Target="footer104.xml"/><Relationship Id="rId251" Type="http://schemas.openxmlformats.org/officeDocument/2006/relationships/image" Target="media/image19.jpeg"/><Relationship Id="rId252" Type="http://schemas.openxmlformats.org/officeDocument/2006/relationships/image" Target="media/image19.jpeg" TargetMode="External"/><Relationship Id="rId253" Type="http://schemas.openxmlformats.org/officeDocument/2006/relationships/image" Target="media/image20.jpeg"/><Relationship Id="rId254" Type="http://schemas.openxmlformats.org/officeDocument/2006/relationships/image" Target="media/image20.jpeg" TargetMode="External"/><Relationship Id="rId255" Type="http://schemas.openxmlformats.org/officeDocument/2006/relationships/header" Target="header107.xml"/><Relationship Id="rId256" Type="http://schemas.openxmlformats.org/officeDocument/2006/relationships/footer" Target="footer105.xml"/><Relationship Id="rId257" Type="http://schemas.openxmlformats.org/officeDocument/2006/relationships/header" Target="header108.xml"/><Relationship Id="rId258" Type="http://schemas.openxmlformats.org/officeDocument/2006/relationships/footer" Target="footer106.xml"/><Relationship Id="rId259" Type="http://schemas.openxmlformats.org/officeDocument/2006/relationships/header" Target="header109.xml"/><Relationship Id="rId260" Type="http://schemas.openxmlformats.org/officeDocument/2006/relationships/footer" Target="footer107.xml"/><Relationship Id="rId261" Type="http://schemas.openxmlformats.org/officeDocument/2006/relationships/header" Target="header110.xml"/><Relationship Id="rId262" Type="http://schemas.openxmlformats.org/officeDocument/2006/relationships/footer" Target="footer108.xml"/><Relationship Id="rId263" Type="http://schemas.openxmlformats.org/officeDocument/2006/relationships/image" Target="media/image21.jpeg"/><Relationship Id="rId264" Type="http://schemas.openxmlformats.org/officeDocument/2006/relationships/image" Target="media/image21.jpeg" TargetMode="External"/><Relationship Id="rId265" Type="http://schemas.openxmlformats.org/officeDocument/2006/relationships/header" Target="header111.xml"/><Relationship Id="rId266" Type="http://schemas.openxmlformats.org/officeDocument/2006/relationships/footer" Target="footer109.xml"/><Relationship Id="rId267" Type="http://schemas.openxmlformats.org/officeDocument/2006/relationships/header" Target="header112.xml"/><Relationship Id="rId268" Type="http://schemas.openxmlformats.org/officeDocument/2006/relationships/footer" Target="footer110.xml"/><Relationship Id="rId269" Type="http://schemas.openxmlformats.org/officeDocument/2006/relationships/header" Target="header113.xml"/><Relationship Id="rId270" Type="http://schemas.openxmlformats.org/officeDocument/2006/relationships/footer" Target="footer111.xml"/><Relationship Id="rId271" Type="http://schemas.openxmlformats.org/officeDocument/2006/relationships/header" Target="header114.xml"/><Relationship Id="rId272" Type="http://schemas.openxmlformats.org/officeDocument/2006/relationships/footer" Target="footer112.xml"/><Relationship Id="rId273" Type="http://schemas.openxmlformats.org/officeDocument/2006/relationships/header" Target="header115.xml"/><Relationship Id="rId274" Type="http://schemas.openxmlformats.org/officeDocument/2006/relationships/footer" Target="footer113.xml"/><Relationship Id="rId275" Type="http://schemas.openxmlformats.org/officeDocument/2006/relationships/header" Target="header116.xml"/><Relationship Id="rId276" Type="http://schemas.openxmlformats.org/officeDocument/2006/relationships/footer" Target="footer114.xml"/><Relationship Id="rId277" Type="http://schemas.openxmlformats.org/officeDocument/2006/relationships/header" Target="header117.xml"/><Relationship Id="rId278" Type="http://schemas.openxmlformats.org/officeDocument/2006/relationships/footer" Target="footer115.xml"/><Relationship Id="rId279" Type="http://schemas.openxmlformats.org/officeDocument/2006/relationships/header" Target="header118.xml"/><Relationship Id="rId280" Type="http://schemas.openxmlformats.org/officeDocument/2006/relationships/footer" Target="footer116.xml"/><Relationship Id="rId281" Type="http://schemas.openxmlformats.org/officeDocument/2006/relationships/header" Target="header119.xml"/><Relationship Id="rId282" Type="http://schemas.openxmlformats.org/officeDocument/2006/relationships/footer" Target="footer117.xml"/><Relationship Id="rId283" Type="http://schemas.openxmlformats.org/officeDocument/2006/relationships/header" Target="header120.xml"/><Relationship Id="rId284" Type="http://schemas.openxmlformats.org/officeDocument/2006/relationships/footer" Target="footer118.xml"/><Relationship Id="rId285" Type="http://schemas.openxmlformats.org/officeDocument/2006/relationships/header" Target="header121.xml"/><Relationship Id="rId286" Type="http://schemas.openxmlformats.org/officeDocument/2006/relationships/footer" Target="footer119.xml"/><Relationship Id="rId287" Type="http://schemas.openxmlformats.org/officeDocument/2006/relationships/header" Target="header122.xml"/><Relationship Id="rId288" Type="http://schemas.openxmlformats.org/officeDocument/2006/relationships/footer" Target="footer120.xml"/><Relationship Id="rId289" Type="http://schemas.openxmlformats.org/officeDocument/2006/relationships/header" Target="header123.xml"/><Relationship Id="rId290" Type="http://schemas.openxmlformats.org/officeDocument/2006/relationships/footer" Target="footer121.xml"/><Relationship Id="rId291" Type="http://schemas.openxmlformats.org/officeDocument/2006/relationships/header" Target="header124.xml"/><Relationship Id="rId292" Type="http://schemas.openxmlformats.org/officeDocument/2006/relationships/footer" Target="footer122.xml"/><Relationship Id="rId293" Type="http://schemas.openxmlformats.org/officeDocument/2006/relationships/header" Target="header125.xml"/><Relationship Id="rId294" Type="http://schemas.openxmlformats.org/officeDocument/2006/relationships/footer" Target="footer123.xml"/><Relationship Id="rId295" Type="http://schemas.openxmlformats.org/officeDocument/2006/relationships/header" Target="header126.xml"/><Relationship Id="rId296" Type="http://schemas.openxmlformats.org/officeDocument/2006/relationships/footer" Target="footer124.xml"/><Relationship Id="rId297" Type="http://schemas.openxmlformats.org/officeDocument/2006/relationships/header" Target="header127.xml"/><Relationship Id="rId298" Type="http://schemas.openxmlformats.org/officeDocument/2006/relationships/footer" Target="footer125.xml"/><Relationship Id="rId299" Type="http://schemas.openxmlformats.org/officeDocument/2006/relationships/header" Target="header128.xml"/><Relationship Id="rId300" Type="http://schemas.openxmlformats.org/officeDocument/2006/relationships/footer" Target="footer126.xml"/><Relationship Id="rId301" Type="http://schemas.openxmlformats.org/officeDocument/2006/relationships/image" Target="media/image22.png"/><Relationship Id="rId302" Type="http://schemas.openxmlformats.org/officeDocument/2006/relationships/image" Target="media/image22.png" TargetMode="External"/><Relationship Id="rId303" Type="http://schemas.openxmlformats.org/officeDocument/2006/relationships/image" Target="media/image23.png"/><Relationship Id="rId304" Type="http://schemas.openxmlformats.org/officeDocument/2006/relationships/image" Target="media/image23.png" TargetMode="External"/><Relationship Id="rId305" Type="http://schemas.openxmlformats.org/officeDocument/2006/relationships/image" Target="media/image24.png"/><Relationship Id="rId306" Type="http://schemas.openxmlformats.org/officeDocument/2006/relationships/image" Target="media/image24.png" TargetMode="External"/><Relationship Id="rId307" Type="http://schemas.openxmlformats.org/officeDocument/2006/relationships/image" Target="media/image25.png"/><Relationship Id="rId308" Type="http://schemas.openxmlformats.org/officeDocument/2006/relationships/image" Target="media/image25.png" TargetMode="External"/><Relationship Id="rId309" Type="http://schemas.openxmlformats.org/officeDocument/2006/relationships/image" Target="media/image26.jpeg"/><Relationship Id="rId310" Type="http://schemas.openxmlformats.org/officeDocument/2006/relationships/image" Target="media/image26.jpeg" TargetMode="External"/><Relationship Id="rId311" Type="http://schemas.openxmlformats.org/officeDocument/2006/relationships/header" Target="header129.xml"/><Relationship Id="rId312" Type="http://schemas.openxmlformats.org/officeDocument/2006/relationships/footer" Target="footer127.xml"/><Relationship Id="rId313" Type="http://schemas.openxmlformats.org/officeDocument/2006/relationships/header" Target="header130.xml"/><Relationship Id="rId314" Type="http://schemas.openxmlformats.org/officeDocument/2006/relationships/footer" Target="footer128.xml"/><Relationship Id="rId315" Type="http://schemas.openxmlformats.org/officeDocument/2006/relationships/header" Target="header131.xml"/><Relationship Id="rId316" Type="http://schemas.openxmlformats.org/officeDocument/2006/relationships/footer" Target="footer129.xml"/><Relationship Id="rId317" Type="http://schemas.openxmlformats.org/officeDocument/2006/relationships/header" Target="header132.xml"/><Relationship Id="rId318" Type="http://schemas.openxmlformats.org/officeDocument/2006/relationships/footer" Target="footer130.xml"/><Relationship Id="rId319" Type="http://schemas.openxmlformats.org/officeDocument/2006/relationships/header" Target="header133.xml"/><Relationship Id="rId320" Type="http://schemas.openxmlformats.org/officeDocument/2006/relationships/footer" Target="footer131.xml"/><Relationship Id="rId321" Type="http://schemas.openxmlformats.org/officeDocument/2006/relationships/header" Target="header134.xml"/><Relationship Id="rId322" Type="http://schemas.openxmlformats.org/officeDocument/2006/relationships/footer" Target="footer132.xml"/><Relationship Id="rId323" Type="http://schemas.openxmlformats.org/officeDocument/2006/relationships/header" Target="header135.xml"/><Relationship Id="rId324" Type="http://schemas.openxmlformats.org/officeDocument/2006/relationships/footer" Target="footer133.xml"/><Relationship Id="rId325" Type="http://schemas.openxmlformats.org/officeDocument/2006/relationships/header" Target="header136.xml"/><Relationship Id="rId326" Type="http://schemas.openxmlformats.org/officeDocument/2006/relationships/footer" Target="footer134.xml"/><Relationship Id="rId327" Type="http://schemas.openxmlformats.org/officeDocument/2006/relationships/header" Target="header137.xml"/><Relationship Id="rId328" Type="http://schemas.openxmlformats.org/officeDocument/2006/relationships/footer" Target="footer135.xml"/><Relationship Id="rId329" Type="http://schemas.openxmlformats.org/officeDocument/2006/relationships/header" Target="header138.xml"/><Relationship Id="rId330" Type="http://schemas.openxmlformats.org/officeDocument/2006/relationships/footer" Target="footer136.xml"/><Relationship Id="rId331" Type="http://schemas.openxmlformats.org/officeDocument/2006/relationships/header" Target="header139.xml"/><Relationship Id="rId332" Type="http://schemas.openxmlformats.org/officeDocument/2006/relationships/footer" Target="footer137.xml"/><Relationship Id="rId333" Type="http://schemas.openxmlformats.org/officeDocument/2006/relationships/header" Target="header140.xml"/><Relationship Id="rId334" Type="http://schemas.openxmlformats.org/officeDocument/2006/relationships/footer" Target="footer138.xml"/><Relationship Id="rId335" Type="http://schemas.openxmlformats.org/officeDocument/2006/relationships/image" Target="media/image27.jpeg"/><Relationship Id="rId336" Type="http://schemas.openxmlformats.org/officeDocument/2006/relationships/image" Target="media/image27.jpeg" TargetMode="External"/><Relationship Id="rId337" Type="http://schemas.openxmlformats.org/officeDocument/2006/relationships/header" Target="header141.xml"/><Relationship Id="rId338" Type="http://schemas.openxmlformats.org/officeDocument/2006/relationships/footer" Target="footer139.xml"/><Relationship Id="rId339" Type="http://schemas.openxmlformats.org/officeDocument/2006/relationships/header" Target="header142.xml"/><Relationship Id="rId340" Type="http://schemas.openxmlformats.org/officeDocument/2006/relationships/footer" Target="footer140.xml"/><Relationship Id="rId341" Type="http://schemas.openxmlformats.org/officeDocument/2006/relationships/header" Target="header143.xml"/><Relationship Id="rId342" Type="http://schemas.openxmlformats.org/officeDocument/2006/relationships/footer" Target="footer141.xml"/><Relationship Id="rId343" Type="http://schemas.openxmlformats.org/officeDocument/2006/relationships/header" Target="header144.xml"/><Relationship Id="rId344" Type="http://schemas.openxmlformats.org/officeDocument/2006/relationships/footer" Target="footer142.xml"/><Relationship Id="rId345" Type="http://schemas.openxmlformats.org/officeDocument/2006/relationships/header" Target="header145.xml"/><Relationship Id="rId346" Type="http://schemas.openxmlformats.org/officeDocument/2006/relationships/footer" Target="footer143.xml"/><Relationship Id="rId347" Type="http://schemas.openxmlformats.org/officeDocument/2006/relationships/image" Target="media/image28.jpeg"/><Relationship Id="rId348" Type="http://schemas.openxmlformats.org/officeDocument/2006/relationships/image" Target="media/image28.jpeg" TargetMode="External"/><Relationship Id="rId349" Type="http://schemas.openxmlformats.org/officeDocument/2006/relationships/image" Target="media/image29.jpeg"/><Relationship Id="rId350" Type="http://schemas.openxmlformats.org/officeDocument/2006/relationships/image" Target="media/image29.jpeg" TargetMode="External"/></Relationships>
</file>