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71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409510" cy="10858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510" cy="1085850"/>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424" w:right="3401" w:firstLine="0"/>
        <w:jc w:val="center"/>
        <w:rPr>
          <w:rFonts w:ascii="宋体" w:hAnsi="宋体" w:cs="宋体" w:eastAsia="宋体" w:hint="default"/>
          <w:sz w:val="36"/>
          <w:szCs w:val="36"/>
        </w:rPr>
      </w:pPr>
      <w:r>
        <w:rPr>
          <w:rFonts w:ascii="宋体" w:hAnsi="宋体" w:cs="宋体" w:eastAsia="宋体" w:hint="default"/>
          <w:b/>
          <w:bCs/>
          <w:sz w:val="36"/>
          <w:szCs w:val="36"/>
        </w:rPr>
        <w:t>北京中科金财科技股份有限公司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340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424" w:right="340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158,489,551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0.60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1"/>
          <w:w w:val="99"/>
          <w:sz w:val="28"/>
          <w:szCs w:val="28"/>
        </w:rPr>
        <w:t> </w:t>
      </w:r>
      <w:r>
        <w:rPr>
          <w:rFonts w:ascii="宋体" w:hAnsi="宋体" w:cs="宋体" w:eastAsia="宋体" w:hint="default"/>
          <w:b/>
          <w:bCs/>
          <w:w w:val="95"/>
          <w:sz w:val="28"/>
          <w:szCs w:val="28"/>
        </w:rPr>
        <w:t>公司负责人朱烨东、主管会计工作负责人赵学荣及会计机构负责人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尹亚楠声明：保证年度报告中财务报告的真实、准确、完整。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4" w:right="340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43"/>
          <w:szCs w:val="43"/>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424" w:right="3400"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北京中科金财电子商务有限公司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中科商务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北京中科金财信息技术有限公司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中科信息</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北京中科金财软件技术有限公司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中科软件</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北京中科金财投资管理有限公司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中科投资</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北京中科金财电子产品有限公司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中科电子</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中科环嘉</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424" w:right="340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398" w:lineRule="auto" w:before="0"/>
        <w:ind w:left="153"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公司存在的风险因素主要有市场竞争风险、行业技术风险、人力资源风险</w:t>
      </w:r>
      <w:r>
        <w:rPr>
          <w:rFonts w:ascii="宋体" w:hAnsi="宋体" w:cs="宋体" w:eastAsia="宋体" w:hint="default"/>
          <w:b/>
          <w:bCs/>
          <w:w w:val="99"/>
          <w:sz w:val="28"/>
          <w:szCs w:val="28"/>
        </w:rPr>
        <w:t> </w:t>
      </w:r>
      <w:r>
        <w:rPr>
          <w:rFonts w:ascii="宋体" w:hAnsi="宋体" w:cs="宋体" w:eastAsia="宋体" w:hint="default"/>
          <w:b/>
          <w:bCs/>
          <w:spacing w:val="-1"/>
          <w:w w:val="95"/>
          <w:sz w:val="28"/>
          <w:szCs w:val="28"/>
        </w:rPr>
        <w:t>等，有关主要风险因素及公司应对措施已在本报告第四节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董事会报告</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中</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公司</w:t>
      </w:r>
      <w:r>
        <w:rPr>
          <w:rFonts w:ascii="宋体" w:hAnsi="宋体" w:cs="宋体" w:eastAsia="宋体" w:hint="default"/>
          <w:b/>
          <w:bCs/>
          <w:spacing w:val="39"/>
          <w:w w:val="95"/>
          <w:sz w:val="28"/>
          <w:szCs w:val="28"/>
        </w:rPr>
        <w:t> </w:t>
      </w:r>
      <w:r>
        <w:rPr>
          <w:rFonts w:ascii="宋体" w:hAnsi="宋体" w:cs="宋体" w:eastAsia="宋体" w:hint="default"/>
          <w:b/>
          <w:bCs/>
          <w:sz w:val="28"/>
          <w:szCs w:val="28"/>
        </w:rPr>
        <w:t>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详细阐述。</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1004632"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401"/>
        <w:jc w:val="center"/>
        <w:rPr>
          <w:b w:val="0"/>
          <w:bCs w:val="0"/>
        </w:rPr>
      </w:pPr>
      <w:bookmarkStart w:name="_TOC_250010" w:id="3"/>
      <w:bookmarkStart w:name="第二节 公司简介" w:id="4"/>
      <w:r>
        <w:rPr>
          <w:b w:val="0"/>
          <w:bCs w:val="0"/>
        </w:rPr>
      </w:r>
      <w:r>
        <w:rPr/>
        <w:t>第二节</w:t>
      </w:r>
      <w:r>
        <w:rPr>
          <w:spacing w:val="-5"/>
        </w:rPr>
        <w:t> </w:t>
      </w:r>
      <w:r>
        <w:rPr/>
        <w:t>公司简介</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002657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5"/>
                <w:sz w:val="18"/>
              </w:rPr>
              <w:t>SINODATA </w:t>
            </w:r>
            <w:r>
              <w:rPr>
                <w:rFonts w:ascii="Times New Roman"/>
                <w:sz w:val="18"/>
              </w:rPr>
              <w:t>CO.,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5"/>
                <w:sz w:val="18"/>
              </w:rPr>
              <w:t>SINODATA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朱烨东</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www.sinodata.net.cn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李燕</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号唯实大厦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010-62309595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010-62309595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zkjc@sinodata.net.cn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1101081633302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110108757740123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75774012-3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北京市工商行政管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110108006333023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110108757740123</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75774012-3</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公司自上市以来主营业务未发生变化。</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公司控股股东未发生变更。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公司聘请的会计师事务所</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王云成、汪沛</w:t>
            </w:r>
          </w:p>
        </w:tc>
      </w:tr>
    </w:tbl>
    <w:p>
      <w:pPr>
        <w:spacing w:before="35"/>
        <w:ind w:left="154" w:right="0" w:firstLine="0"/>
        <w:jc w:val="left"/>
        <w:rPr>
          <w:rFonts w:ascii="宋体" w:hAnsi="宋体" w:cs="宋体" w:eastAsia="宋体" w:hint="default"/>
          <w:sz w:val="20"/>
          <w:szCs w:val="20"/>
        </w:rPr>
      </w:pPr>
      <w:r>
        <w:rPr>
          <w:rFonts w:ascii="宋体" w:hAnsi="宋体" w:cs="宋体" w:eastAsia="宋体" w:hint="default"/>
          <w:sz w:val="20"/>
          <w:szCs w:val="20"/>
        </w:rPr>
        <w:t>公司聘请的报告期内履行持续督导职责的保荐机构</w:t>
      </w:r>
    </w:p>
    <w:p>
      <w:pPr>
        <w:spacing w:before="91"/>
        <w:ind w:left="153"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适用 </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9"/>
          <w:sz w:val="20"/>
          <w:szCs w:val="20"/>
        </w:rPr>
        <w:t> </w:t>
      </w:r>
      <w:r>
        <w:rPr>
          <w:rFonts w:ascii="宋体" w:hAnsi="宋体" w:cs="宋体" w:eastAsia="宋体" w:hint="default"/>
          <w:sz w:val="20"/>
          <w:szCs w:val="20"/>
        </w:rPr>
        <w:t>不适用</w:t>
      </w:r>
    </w:p>
    <w:p>
      <w:pPr>
        <w:spacing w:line="240" w:lineRule="auto" w:before="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北京市西城区锦什坊街</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田树春、郭兆强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35"/>
        <w:ind w:left="154" w:right="0" w:firstLine="0"/>
        <w:jc w:val="left"/>
        <w:rPr>
          <w:rFonts w:ascii="宋体" w:hAnsi="宋体" w:cs="宋体" w:eastAsia="宋体" w:hint="default"/>
          <w:sz w:val="20"/>
          <w:szCs w:val="20"/>
        </w:rPr>
      </w:pPr>
      <w:r>
        <w:rPr>
          <w:rFonts w:ascii="宋体" w:hAnsi="宋体" w:cs="宋体" w:eastAsia="宋体" w:hint="default"/>
          <w:sz w:val="20"/>
          <w:szCs w:val="20"/>
        </w:rPr>
        <w:t>公司聘请的报告期内履行持续督导职责的财务顾问</w:t>
      </w:r>
    </w:p>
    <w:p>
      <w:pPr>
        <w:spacing w:before="91"/>
        <w:ind w:left="153" w:right="0" w:firstLine="0"/>
        <w:jc w:val="left"/>
        <w:rPr>
          <w:rFonts w:ascii="宋体" w:hAnsi="宋体" w:cs="宋体" w:eastAsia="宋体" w:hint="default"/>
          <w:sz w:val="20"/>
          <w:szCs w:val="20"/>
        </w:rPr>
      </w:pPr>
      <w:r>
        <w:rPr>
          <w:rFonts w:ascii="宋体" w:hAnsi="宋体" w:cs="宋体" w:eastAsia="宋体" w:hint="default"/>
          <w:sz w:val="20"/>
          <w:szCs w:val="20"/>
        </w:rPr>
        <w:t>√ 适用 □</w:t>
      </w:r>
      <w:r>
        <w:rPr>
          <w:rFonts w:ascii="宋体" w:hAnsi="宋体" w:cs="宋体" w:eastAsia="宋体" w:hint="default"/>
          <w:spacing w:val="-1"/>
          <w:sz w:val="20"/>
          <w:szCs w:val="20"/>
        </w:rPr>
        <w:t> </w:t>
      </w:r>
      <w:r>
        <w:rPr>
          <w:rFonts w:ascii="宋体" w:hAnsi="宋体" w:cs="宋体" w:eastAsia="宋体" w:hint="default"/>
          <w:sz w:val="20"/>
          <w:szCs w:val="20"/>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黄新炎、王明希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1,098,367,226.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1,022,822,674.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1,022,822,674.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7.39%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521,676,656.99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521,676,656.99</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77,702,908.86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56,021,607.58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56,021,607.58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63,372,945.76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63,372,945.76</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63,533,371.77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45,606,907.25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45,606,907.25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61,090,241.70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61,090,241.70</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242,420,412.30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149,966,809.23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149,966,809.23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-9,874,664.84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-9,874,664.84</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11.06%</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2,337,012,951.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1,368,366,255.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1,411,332,945.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65.59%</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1,018,573,636.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1,046,060,133.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1,501,107,899.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704,174,127.30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704,174,127.30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658,621,558.18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658,621,558.18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-542,327.86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-158,533.87</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13,079,766.67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10,922,466.67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2,685,534.19</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3,221,645.29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974,371.91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-60,584.00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1,565,777.74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1,230,850.42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402,830.13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11,962.66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32,169.96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14,169,537.09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10,414,700.33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2,282,704.06</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8" w:right="0"/>
              <w:jc w:val="left"/>
              <w:rPr>
                <w:rFonts w:ascii="Times New Roman" w:hAnsi="Times New Roman" w:cs="Times New Roman" w:eastAsia="Times New Roman" w:hint="default"/>
                <w:sz w:val="18"/>
                <w:szCs w:val="18"/>
              </w:rPr>
            </w:pPr>
            <w:r>
              <w:rPr>
                <w:rFonts w:ascii="Times New Roman"/>
                <w:sz w:val="18"/>
              </w:rPr>
              <w:t>14,457,215.09</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02"/>
              <w:jc w:val="left"/>
              <w:rPr>
                <w:rFonts w:ascii="宋体" w:hAnsi="宋体" w:cs="宋体" w:eastAsia="宋体" w:hint="default"/>
                <w:sz w:val="18"/>
                <w:szCs w:val="18"/>
              </w:rPr>
            </w:pPr>
            <w:r>
              <w:rPr>
                <w:rFonts w:ascii="宋体" w:hAnsi="宋体" w:cs="宋体" w:eastAsia="宋体" w:hint="default"/>
                <w:sz w:val="18"/>
                <w:szCs w:val="18"/>
              </w:rPr>
              <w:t>该项政府补助系与公司正常经营业务密切相关，符合国家政策规 定、按照一定标准定额或定量持续享受的政府补助。</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8" w:id="14"/>
      <w:bookmarkStart w:name="第四节 董事会报告" w:id="15"/>
      <w:r>
        <w:rPr>
          <w:b w:val="0"/>
          <w:bCs w:val="0"/>
        </w:rPr>
      </w:r>
      <w:r>
        <w:rPr/>
        <w:t>第四节</w:t>
      </w:r>
      <w:r>
        <w:rPr>
          <w:spacing w:val="-6"/>
        </w:rPr>
        <w:t> </w:t>
      </w:r>
      <w:r>
        <w:rPr/>
        <w:t>董事会报告</w:t>
      </w:r>
      <w:bookmarkEnd w:id="1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6"/>
      <w:bookmarkEnd w:id="16"/>
      <w:r>
        <w:rPr>
          <w:b w:val="0"/>
          <w:bCs w:val="0"/>
        </w:rPr>
      </w: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1" w:firstLine="357"/>
        <w:jc w:val="both"/>
      </w:pPr>
      <w:r>
        <w:rPr>
          <w:rFonts w:ascii="宋体" w:hAnsi="宋体" w:cs="宋体" w:eastAsia="宋体" w:hint="default"/>
        </w:rPr>
        <w:t>2014</w:t>
      </w:r>
      <w:r>
        <w:rPr/>
        <w:t>年，公司继续坚持以互联网综合金融服务及智能银行整体解决方案为核心业务的发展战略，充分 </w:t>
      </w:r>
      <w:r>
        <w:rPr>
          <w:spacing w:val="-1"/>
        </w:rPr>
        <w:t>依托长期积累的客户、市场和技术优势，积极开展包括金融资产交易、资产管理、资产证券化、产业链融</w:t>
      </w:r>
      <w:r>
        <w:rPr>
          <w:spacing w:val="-83"/>
        </w:rPr>
        <w:t> </w:t>
      </w:r>
      <w:r>
        <w:rPr>
          <w:spacing w:val="-83"/>
        </w:rPr>
      </w:r>
      <w:r>
        <w:rPr>
          <w:spacing w:val="-1"/>
        </w:rPr>
        <w:t>资、供应链融资、云银行、征信等互联网综合金融服务，助力银行及传统企业实现互联网金融转型。报告</w:t>
      </w:r>
      <w:r>
        <w:rPr>
          <w:spacing w:val="-83"/>
        </w:rPr>
        <w:t> </w:t>
      </w:r>
      <w:r>
        <w:rPr>
          <w:spacing w:val="-83"/>
        </w:rPr>
      </w:r>
      <w:r>
        <w:rPr>
          <w:spacing w:val="-1"/>
        </w:rPr>
        <w:t>期内，公司继续巩固和提高了在智能银行、互联网金融、数据中心、</w:t>
      </w:r>
      <w:r>
        <w:rPr>
          <w:rFonts w:ascii="宋体" w:hAnsi="宋体" w:cs="宋体" w:eastAsia="宋体" w:hint="default"/>
          <w:spacing w:val="-1"/>
        </w:rPr>
        <w:t>IT</w:t>
      </w:r>
      <w:r>
        <w:rPr>
          <w:spacing w:val="-1"/>
        </w:rPr>
        <w:t>服务管理等领域的市场占有率和竞</w:t>
      </w:r>
      <w:r>
        <w:rPr>
          <w:spacing w:val="-86"/>
        </w:rPr>
        <w:t> </w:t>
      </w:r>
      <w:r>
        <w:rPr>
          <w:spacing w:val="-86"/>
        </w:rPr>
      </w:r>
      <w:r>
        <w:rPr>
          <w:spacing w:val="-1"/>
        </w:rPr>
        <w:t>争优势，与银联及商业银行在金融电子商务方面不断加深合作，全面推动商业模式创新，不断提高资源整</w:t>
      </w:r>
      <w:r>
        <w:rPr>
          <w:spacing w:val="-83"/>
        </w:rPr>
        <w:t> </w:t>
      </w:r>
      <w:r>
        <w:rPr>
          <w:spacing w:val="-83"/>
        </w:rPr>
      </w:r>
      <w:r>
        <w:rPr/>
        <w:t>合能力和金融创新能力，推动公司业务持续稳定发展。</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21" w:firstLine="423"/>
        <w:jc w:val="left"/>
      </w:pPr>
      <w:r>
        <w:rPr>
          <w:spacing w:val="-1"/>
        </w:rPr>
        <w:t>报告期内，公司在智能银行整体解决方案业务上取得了长足的发展，智能银行业务收入增长迅速，扩</w:t>
      </w:r>
      <w:r>
        <w:rPr/>
        <w:t> </w:t>
      </w:r>
      <w:r>
        <w:rPr>
          <w:spacing w:val="-1"/>
        </w:rPr>
        <w:t>展了银行自助金融运营服务领域的业务，积极推进落实经营责任制，有效降低经营费用，保障了公司的持</w:t>
      </w:r>
      <w:r>
        <w:rPr>
          <w:spacing w:val="-83"/>
        </w:rPr>
        <w:t> </w:t>
      </w:r>
      <w:r>
        <w:rPr>
          <w:spacing w:val="-83"/>
        </w:rPr>
      </w:r>
      <w:r>
        <w:rPr/>
        <w:t>续健康发展。</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28</w:t>
      </w:r>
      <w:r>
        <w:rPr/>
        <w:t>日公司完成了对滨河创新的重大资产重组事项，</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日起将滨河创新 纳入公司合并报表范围，合并期内滨河创新实现净利润</w:t>
      </w:r>
      <w:r>
        <w:rPr>
          <w:rFonts w:ascii="宋体" w:hAnsi="宋体" w:cs="宋体" w:eastAsia="宋体" w:hint="default"/>
        </w:rPr>
        <w:t>636.34</w:t>
      </w:r>
      <w:r>
        <w:rPr/>
        <w:t>万元。</w:t>
      </w:r>
      <w:r>
        <w:rPr>
          <w:rFonts w:ascii="宋体" w:hAnsi="宋体" w:cs="宋体" w:eastAsia="宋体" w:hint="default"/>
        </w:rPr>
        <w:t>2014</w:t>
      </w:r>
      <w:r>
        <w:rPr/>
        <w:t>年公司实现营业收入 </w:t>
      </w:r>
      <w:r>
        <w:rPr>
          <w:rFonts w:ascii="宋体" w:hAnsi="宋体" w:cs="宋体" w:eastAsia="宋体" w:hint="default"/>
        </w:rPr>
        <w:t>1,098,367,226.38</w:t>
      </w:r>
      <w:r>
        <w:rPr/>
        <w:t>元，较上年同期增长</w:t>
      </w:r>
      <w:r>
        <w:rPr>
          <w:rFonts w:ascii="宋体" w:hAnsi="宋体" w:cs="宋体" w:eastAsia="宋体" w:hint="default"/>
        </w:rPr>
        <w:t>7.39%</w:t>
      </w:r>
      <w:r>
        <w:rPr/>
        <w:t>；营业成本</w:t>
      </w:r>
      <w:r>
        <w:rPr>
          <w:rFonts w:ascii="宋体" w:hAnsi="宋体" w:cs="宋体" w:eastAsia="宋体" w:hint="default"/>
        </w:rPr>
        <w:t>831,234,411.64</w:t>
      </w:r>
      <w:r>
        <w:rPr/>
        <w:t>元，比上年同期增长</w:t>
      </w:r>
      <w:r>
        <w:rPr>
          <w:rFonts w:ascii="宋体" w:hAnsi="宋体" w:cs="宋体" w:eastAsia="宋体" w:hint="default"/>
        </w:rPr>
        <w:t>10.04%</w:t>
      </w:r>
      <w:r>
        <w:rPr>
          <w:rFonts w:ascii="宋体" w:hAnsi="宋体" w:cs="宋体" w:eastAsia="宋体" w:hint="default"/>
          <w:spacing w:val="-18"/>
        </w:rPr>
        <w:t> </w:t>
      </w:r>
      <w:r>
        <w:rPr>
          <w:spacing w:val="-5"/>
        </w:rPr>
        <w:t>，公 </w:t>
      </w:r>
      <w:r>
        <w:rPr/>
        <w:t>司发生期间费用</w:t>
      </w:r>
      <w:r>
        <w:rPr>
          <w:rFonts w:ascii="宋体" w:hAnsi="宋体" w:cs="宋体" w:eastAsia="宋体" w:hint="default"/>
        </w:rPr>
        <w:t>211,477,188.50</w:t>
      </w:r>
      <w:r>
        <w:rPr/>
        <w:t>元，比上年同期降低</w:t>
      </w:r>
      <w:r>
        <w:rPr>
          <w:rFonts w:ascii="宋体" w:hAnsi="宋体" w:cs="宋体" w:eastAsia="宋体" w:hint="default"/>
        </w:rPr>
        <w:t>10.73%</w:t>
      </w:r>
      <w:r>
        <w:rPr>
          <w:rFonts w:ascii="宋体" w:hAnsi="宋体" w:cs="宋体" w:eastAsia="宋体" w:hint="default"/>
          <w:spacing w:val="-3"/>
        </w:rPr>
        <w:t> </w:t>
      </w:r>
      <w:r>
        <w:rPr/>
        <w:t>；公司实现归属于上市公司股东的净利润</w:t>
      </w:r>
    </w:p>
    <w:p>
      <w:pPr>
        <w:spacing w:line="376" w:lineRule="auto" w:before="46"/>
        <w:ind w:left="153" w:right="1118" w:firstLine="0"/>
        <w:jc w:val="left"/>
        <w:rPr>
          <w:rFonts w:ascii="宋体" w:hAnsi="宋体" w:cs="宋体" w:eastAsia="宋体" w:hint="default"/>
          <w:sz w:val="21"/>
          <w:szCs w:val="21"/>
        </w:rPr>
      </w:pPr>
      <w:r>
        <w:rPr>
          <w:rFonts w:ascii="宋体" w:hAnsi="宋体" w:cs="宋体" w:eastAsia="宋体" w:hint="default"/>
          <w:sz w:val="21"/>
          <w:szCs w:val="21"/>
        </w:rPr>
        <w:t>77,702,908.86</w:t>
      </w:r>
      <w:r>
        <w:rPr>
          <w:rFonts w:ascii="宋体" w:hAnsi="宋体" w:cs="宋体" w:eastAsia="宋体" w:hint="default"/>
          <w:sz w:val="21"/>
          <w:szCs w:val="21"/>
        </w:rPr>
        <w:t>元，较上年同期上涨</w:t>
      </w:r>
      <w:r>
        <w:rPr>
          <w:rFonts w:ascii="宋体" w:hAnsi="宋体" w:cs="宋体" w:eastAsia="宋体" w:hint="default"/>
          <w:sz w:val="21"/>
          <w:szCs w:val="21"/>
        </w:rPr>
        <w:t>38.70%</w:t>
      </w:r>
      <w:r>
        <w:rPr>
          <w:rFonts w:ascii="宋体" w:hAnsi="宋体" w:cs="宋体" w:eastAsia="宋体" w:hint="default"/>
          <w:sz w:val="21"/>
          <w:szCs w:val="21"/>
        </w:rPr>
        <w:t>。 </w:t>
      </w:r>
      <w:r>
        <w:rPr>
          <w:rFonts w:ascii="宋体" w:hAnsi="宋体" w:cs="宋体" w:eastAsia="宋体" w:hint="default"/>
          <w:b/>
          <w:bCs/>
          <w:w w:val="95"/>
          <w:sz w:val="21"/>
          <w:szCs w:val="21"/>
        </w:rPr>
        <w:t>公司回顾总结前期披露的发展战略和经营计划在报告期内的进展情况</w:t>
      </w:r>
      <w:r>
        <w:rPr>
          <w:rFonts w:ascii="宋体" w:hAnsi="宋体" w:cs="宋体" w:eastAsia="宋体" w:hint="default"/>
          <w:sz w:val="21"/>
          <w:szCs w:val="21"/>
        </w:rPr>
      </w:r>
    </w:p>
    <w:p>
      <w:pPr>
        <w:pStyle w:val="BodyText"/>
        <w:spacing w:line="408" w:lineRule="auto" w:before="35"/>
        <w:ind w:right="1129" w:firstLine="496"/>
        <w:jc w:val="both"/>
      </w:pPr>
      <w:r>
        <w:rPr>
          <w:rFonts w:ascii="宋体" w:hAnsi="宋体" w:cs="宋体" w:eastAsia="宋体" w:hint="default"/>
          <w:spacing w:val="-3"/>
        </w:rPr>
        <w:t>2014</w:t>
      </w:r>
      <w:r>
        <w:rPr>
          <w:spacing w:val="-3"/>
        </w:rPr>
        <w:t>年，公司聚焦智能银行整体解决方案、互联网综合金融服务、金融电子商务业务发展，继续推进</w:t>
      </w:r>
      <w:r>
        <w:rPr/>
        <w:t> </w:t>
      </w:r>
      <w:r>
        <w:rPr>
          <w:spacing w:val="-1"/>
        </w:rPr>
        <w:t>以智能银行、</w:t>
      </w:r>
      <w:r>
        <w:rPr>
          <w:rFonts w:ascii="宋体" w:hAnsi="宋体" w:cs="宋体" w:eastAsia="宋体" w:hint="default"/>
          <w:spacing w:val="-1"/>
        </w:rPr>
        <w:t>IT</w:t>
      </w:r>
      <w:r>
        <w:rPr>
          <w:spacing w:val="-1"/>
        </w:rPr>
        <w:t>服务管理、数据中心建设等稳步发展的业务，加速布局互联网金融，积极开展金融资产交</w:t>
      </w:r>
      <w:r>
        <w:rPr>
          <w:spacing w:val="-86"/>
        </w:rPr>
        <w:t> </w:t>
      </w:r>
      <w:r>
        <w:rPr>
          <w:spacing w:val="-86"/>
        </w:rPr>
      </w:r>
      <w:r>
        <w:rPr>
          <w:spacing w:val="-1"/>
        </w:rPr>
        <w:t>易、资产管理、资产证券化、产业链融资、供应链融资、云银行、征信等互联网综合金融服务，业务发展</w:t>
      </w:r>
      <w:r>
        <w:rPr>
          <w:spacing w:val="-85"/>
        </w:rPr>
        <w:t> </w:t>
      </w:r>
      <w:r>
        <w:rPr>
          <w:spacing w:val="-85"/>
        </w:rPr>
      </w:r>
      <w:r>
        <w:rPr>
          <w:spacing w:val="-1"/>
        </w:rPr>
        <w:t>情况良好。公司在经营责任制、营销与服务、产品研发、业务创新、人才培养与激励、资本运营等方面取</w:t>
      </w:r>
      <w:r>
        <w:rPr>
          <w:spacing w:val="-83"/>
        </w:rPr>
        <w:t> </w:t>
      </w:r>
      <w:r>
        <w:rPr>
          <w:spacing w:val="-83"/>
        </w:rPr>
      </w:r>
      <w:r>
        <w:rPr/>
        <w:t>得了显著成效，保持并增强了公司的创新性及业务的稳定性。</w:t>
      </w:r>
    </w:p>
    <w:p>
      <w:pPr>
        <w:pStyle w:val="BodyText"/>
        <w:spacing w:line="408" w:lineRule="auto"/>
        <w:ind w:left="154" w:right="1131" w:firstLine="496"/>
        <w:jc w:val="both"/>
      </w:pPr>
      <w:r>
        <w:rPr>
          <w:spacing w:val="-3"/>
        </w:rPr>
        <w:t>经营责任制：</w:t>
      </w:r>
      <w:r>
        <w:rPr>
          <w:rFonts w:ascii="宋体" w:hAnsi="宋体" w:cs="宋体" w:eastAsia="宋体" w:hint="default"/>
          <w:spacing w:val="-3"/>
        </w:rPr>
        <w:t>2014</w:t>
      </w:r>
      <w:r>
        <w:rPr>
          <w:spacing w:val="-3"/>
        </w:rPr>
        <w:t>年，公司全面推行阿米巴多层级合伙人经营责任制，公司的管理团队认同公司的经</w:t>
      </w:r>
      <w:r>
        <w:rPr/>
        <w:t> </w:t>
      </w:r>
      <w:r>
        <w:rPr>
          <w:spacing w:val="-1"/>
        </w:rPr>
        <w:t>营哲学及经营理念，有效落实多层级合伙人经营责任制，主动发现和培养经营人才，业务团队之间充分沟</w:t>
      </w:r>
      <w:r>
        <w:rPr>
          <w:spacing w:val="-83"/>
        </w:rPr>
        <w:t> </w:t>
      </w:r>
      <w:r>
        <w:rPr>
          <w:spacing w:val="-83"/>
        </w:rPr>
      </w:r>
      <w:r>
        <w:rPr/>
        <w:t>通、合作与分享，业务协同效应明显，经营能力与劳动生产率迅速提高。</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96"/>
        <w:jc w:val="both"/>
      </w:pPr>
      <w:r>
        <w:rPr>
          <w:spacing w:val="-3"/>
        </w:rPr>
        <w:t>营销与服务网络：公司形成了以北京为中心、遍布全国的营销和服务网络体系，公司业务更加贴近客</w:t>
      </w:r>
      <w:r>
        <w:rPr/>
        <w:t> </w:t>
      </w:r>
      <w:r>
        <w:rPr>
          <w:spacing w:val="-1"/>
        </w:rPr>
        <w:t>户，能够把高品质服务更快捷地交付给客户。营销与服务网络体系有效的扩大了公司业务的覆盖范围，大</w:t>
      </w:r>
      <w:r>
        <w:rPr>
          <w:spacing w:val="-83"/>
        </w:rPr>
        <w:t> </w:t>
      </w:r>
      <w:r>
        <w:rPr>
          <w:spacing w:val="-83"/>
        </w:rPr>
      </w:r>
      <w:r>
        <w:rPr/>
        <w:t>大降低了营销服务费用，也为公司快速有效地开拓市场、提高市场份额提供有力的保证。</w:t>
      </w:r>
    </w:p>
    <w:p>
      <w:pPr>
        <w:pStyle w:val="BodyText"/>
        <w:spacing w:line="408" w:lineRule="auto"/>
        <w:ind w:right="0" w:firstLine="496"/>
        <w:jc w:val="left"/>
      </w:pPr>
      <w:r>
        <w:rPr>
          <w:spacing w:val="-3"/>
        </w:rPr>
        <w:t>产品研发：</w:t>
      </w:r>
      <w:r>
        <w:rPr>
          <w:rFonts w:ascii="宋体" w:hAnsi="宋体" w:cs="宋体" w:eastAsia="宋体" w:hint="default"/>
          <w:spacing w:val="-3"/>
        </w:rPr>
        <w:t>2014</w:t>
      </w:r>
      <w:r>
        <w:rPr>
          <w:spacing w:val="-3"/>
        </w:rPr>
        <w:t>年，中科金财“票据自助柜员机”获得国家重点新产品证书，该项目是由国家科技部</w:t>
      </w:r>
      <w:r>
        <w:rPr/>
        <w:t> </w:t>
      </w:r>
      <w:r>
        <w:rPr>
          <w:spacing w:val="-1"/>
        </w:rPr>
        <w:t>联合环保部、商务部和质检总局共同推出的政策性扶持项目，充分证明了中科金财在票据自助受理领域的</w:t>
      </w:r>
      <w:r>
        <w:rPr>
          <w:spacing w:val="-81"/>
        </w:rPr>
        <w:t> </w:t>
      </w:r>
      <w:r>
        <w:rPr>
          <w:spacing w:val="-81"/>
        </w:rPr>
      </w:r>
      <w:r>
        <w:rPr>
          <w:spacing w:val="-1"/>
        </w:rPr>
        <w:t>创新能力和研发实力。同时，公司募集资金投资建设项目及其他资本化研发项目进展情况良好，票据自助</w:t>
      </w:r>
      <w:r>
        <w:rPr>
          <w:spacing w:val="-83"/>
        </w:rPr>
        <w:t> </w:t>
      </w:r>
      <w:r>
        <w:rPr>
          <w:spacing w:val="-83"/>
        </w:rPr>
      </w:r>
      <w:r>
        <w:rPr/>
        <w:t>受理系统升级项目、银行网点优化服务平台、智能银行渠道整合平台、</w:t>
      </w:r>
      <w:r>
        <w:rPr>
          <w:rFonts w:ascii="宋体" w:hAnsi="宋体" w:cs="宋体" w:eastAsia="宋体" w:hint="default"/>
        </w:rPr>
        <w:t>BPM</w:t>
      </w:r>
      <w:r>
        <w:rPr/>
        <w:t>业务流程管理平台、商业银行 精准营销平台、</w:t>
      </w:r>
      <w:r>
        <w:rPr>
          <w:spacing w:val="-2"/>
        </w:rPr>
        <w:t> </w:t>
      </w:r>
      <w:r>
        <w:rPr/>
        <w:t>移动营销平台等项目的研发均按照计划开展，</w:t>
      </w:r>
      <w:r>
        <w:rPr>
          <w:rFonts w:ascii="宋体" w:hAnsi="宋体" w:cs="宋体" w:eastAsia="宋体" w:hint="default"/>
        </w:rPr>
        <w:t>IT</w:t>
      </w:r>
      <w:r>
        <w:rPr/>
        <w:t>服务综合业务管理系统项目、影像集中 作业平台项目及</w:t>
      </w:r>
      <w:r>
        <w:rPr>
          <w:rFonts w:ascii="宋体" w:hAnsi="宋体" w:cs="宋体" w:eastAsia="宋体" w:hint="default"/>
        </w:rPr>
        <w:t>BSM</w:t>
      </w:r>
      <w:r>
        <w:rPr/>
        <w:t>业务管理平台项目顺利完成开发任务结项，在报告期内已产生经济效益。</w:t>
      </w:r>
    </w:p>
    <w:p>
      <w:pPr>
        <w:pStyle w:val="BodyText"/>
        <w:spacing w:line="408" w:lineRule="auto"/>
        <w:ind w:right="1129" w:firstLine="496"/>
        <w:jc w:val="both"/>
      </w:pPr>
      <w:r>
        <w:rPr>
          <w:spacing w:val="-3"/>
        </w:rPr>
        <w:t>人才培养与激励：公司坚持“发展吸引人，文化凝聚人，机制稳定人，事业成就人”的人才战略，以</w:t>
      </w:r>
      <w:r>
        <w:rPr/>
        <w:t> </w:t>
      </w:r>
      <w:r>
        <w:rPr>
          <w:spacing w:val="-1"/>
        </w:rPr>
        <w:t>胜任力模型为核心形成公司的人力资源管理体系，持续优化人才结构，调整技术队伍。</w:t>
      </w:r>
      <w:r>
        <w:rPr>
          <w:rFonts w:ascii="宋体" w:hAnsi="宋体" w:cs="宋体" w:eastAsia="宋体" w:hint="default"/>
          <w:spacing w:val="-1"/>
        </w:rPr>
        <w:t>2014</w:t>
      </w:r>
      <w:r>
        <w:rPr>
          <w:spacing w:val="-1"/>
        </w:rPr>
        <w:t>年，多层级合</w:t>
      </w:r>
      <w:r>
        <w:rPr>
          <w:spacing w:val="-83"/>
        </w:rPr>
        <w:t> </w:t>
      </w:r>
      <w:r>
        <w:rPr>
          <w:spacing w:val="-83"/>
        </w:rPr>
      </w:r>
      <w:r>
        <w:rPr>
          <w:spacing w:val="-1"/>
        </w:rPr>
        <w:t>伙人经营责任制的有效施行，为公司培养了大批踏实肯干的复合型的经营人才，公司整体经营能力与劳动</w:t>
      </w:r>
      <w:r>
        <w:rPr>
          <w:spacing w:val="-81"/>
        </w:rPr>
        <w:t> </w:t>
      </w:r>
      <w:r>
        <w:rPr>
          <w:spacing w:val="-81"/>
        </w:rPr>
      </w:r>
      <w:r>
        <w:rPr/>
        <w:t>生产率的迅速提高。</w:t>
      </w:r>
    </w:p>
    <w:p>
      <w:pPr>
        <w:pStyle w:val="BodyText"/>
        <w:spacing w:line="408" w:lineRule="auto"/>
        <w:ind w:right="1130" w:firstLine="496"/>
        <w:jc w:val="left"/>
      </w:pPr>
      <w:r>
        <w:rPr>
          <w:spacing w:val="-3"/>
        </w:rPr>
        <w:t>资本运营：</w:t>
      </w:r>
      <w:r>
        <w:rPr>
          <w:rFonts w:ascii="宋体" w:hAnsi="宋体" w:cs="宋体" w:eastAsia="宋体" w:hint="default"/>
          <w:spacing w:val="-3"/>
        </w:rPr>
        <w:t>2014</w:t>
      </w:r>
      <w:r>
        <w:rPr>
          <w:spacing w:val="-3"/>
        </w:rPr>
        <w:t>年，公司成功完成了对天津滨河创新科技有限公司</w:t>
      </w:r>
      <w:r>
        <w:rPr>
          <w:rFonts w:ascii="宋体" w:hAnsi="宋体" w:cs="宋体" w:eastAsia="宋体" w:hint="default"/>
          <w:spacing w:val="-3"/>
        </w:rPr>
        <w:t>100%</w:t>
      </w:r>
      <w:r>
        <w:rPr>
          <w:spacing w:val="-3"/>
        </w:rPr>
        <w:t>股权的收购。滨河创新是银行</w:t>
      </w:r>
      <w:r>
        <w:rPr/>
        <w:t> </w:t>
      </w:r>
      <w:r>
        <w:rPr>
          <w:spacing w:val="-1"/>
        </w:rPr>
        <w:t>信息化建设整体外包服务的专业运营商，以保障银行信息数据、系统运行安全为基础，以自助平台建设及</w:t>
      </w:r>
      <w:r>
        <w:rPr>
          <w:spacing w:val="-83"/>
        </w:rPr>
        <w:t> </w:t>
      </w:r>
      <w:r>
        <w:rPr>
          <w:spacing w:val="-83"/>
        </w:rPr>
      </w:r>
      <w:r>
        <w:rPr>
          <w:spacing w:val="-1"/>
        </w:rPr>
        <w:t>运营管理为支撑，承接农信社及城商行信息化建设整体服务外包业务。滨河创新与中科金财的业务具有很</w:t>
      </w:r>
      <w:r>
        <w:rPr>
          <w:spacing w:val="-81"/>
        </w:rPr>
        <w:t> </w:t>
      </w:r>
      <w:r>
        <w:rPr>
          <w:spacing w:val="-81"/>
        </w:rPr>
      </w:r>
      <w:r>
        <w:rPr>
          <w:spacing w:val="-1"/>
        </w:rPr>
        <w:t>高的协同性，通过整合滨河创新掌握的中小金融机构客户资源，公司在智能银行领域的产品与服务优势将</w:t>
      </w:r>
      <w:r>
        <w:rPr>
          <w:spacing w:val="-81"/>
        </w:rPr>
        <w:t> </w:t>
      </w:r>
      <w:r>
        <w:rPr>
          <w:spacing w:val="-81"/>
        </w:rPr>
      </w:r>
      <w:r>
        <w:rPr/>
        <w:t>进一步充分体现，竞争优势更加稳固。滨河创新业务发展情况良好，</w:t>
      </w:r>
      <w:r>
        <w:rPr>
          <w:rFonts w:ascii="宋体" w:hAnsi="宋体" w:cs="宋体" w:eastAsia="宋体" w:hint="default"/>
        </w:rPr>
        <w:t>2014-2016</w:t>
      </w:r>
      <w:r>
        <w:rPr/>
        <w:t>年承诺实现的扣除非经常 </w:t>
      </w:r>
      <w:r>
        <w:rPr>
          <w:spacing w:val="-1"/>
        </w:rPr>
        <w:t>性损益后归属于母公司股东的净利润分别不低于</w:t>
      </w:r>
      <w:r>
        <w:rPr>
          <w:rFonts w:ascii="宋体" w:hAnsi="宋体" w:cs="宋体" w:eastAsia="宋体" w:hint="default"/>
          <w:spacing w:val="-1"/>
        </w:rPr>
        <w:t>6100</w:t>
      </w:r>
      <w:r>
        <w:rPr>
          <w:spacing w:val="-1"/>
        </w:rPr>
        <w:t>万元、</w:t>
      </w:r>
      <w:r>
        <w:rPr>
          <w:rFonts w:ascii="宋体" w:hAnsi="宋体" w:cs="宋体" w:eastAsia="宋体" w:hint="default"/>
          <w:spacing w:val="-1"/>
        </w:rPr>
        <w:t>7250</w:t>
      </w:r>
      <w:r>
        <w:rPr>
          <w:spacing w:val="-1"/>
        </w:rPr>
        <w:t>万元和</w:t>
      </w:r>
      <w:r>
        <w:rPr>
          <w:rFonts w:ascii="宋体" w:hAnsi="宋体" w:cs="宋体" w:eastAsia="宋体" w:hint="default"/>
          <w:spacing w:val="-1"/>
        </w:rPr>
        <w:t>8650</w:t>
      </w:r>
      <w:r>
        <w:rPr>
          <w:spacing w:val="-1"/>
        </w:rPr>
        <w:t>万元。滨河创新</w:t>
      </w:r>
      <w:r>
        <w:rPr>
          <w:rFonts w:ascii="宋体" w:hAnsi="宋体" w:cs="宋体" w:eastAsia="宋体" w:hint="default"/>
          <w:spacing w:val="-1"/>
        </w:rPr>
        <w:t>2014</w:t>
      </w:r>
      <w:r>
        <w:rPr>
          <w:spacing w:val="-1"/>
        </w:rPr>
        <w:t>年实现净</w:t>
      </w:r>
      <w:r>
        <w:rPr>
          <w:spacing w:val="-78"/>
        </w:rPr>
        <w:t> </w:t>
      </w:r>
      <w:r>
        <w:rPr>
          <w:spacing w:val="-1"/>
        </w:rPr>
        <w:t>利润</w:t>
      </w:r>
      <w:r>
        <w:rPr>
          <w:rFonts w:ascii="宋体" w:hAnsi="宋体" w:cs="宋体" w:eastAsia="宋体" w:hint="default"/>
          <w:spacing w:val="-1"/>
        </w:rPr>
        <w:t>6346.84</w:t>
      </w:r>
      <w:r>
        <w:rPr>
          <w:spacing w:val="-1"/>
        </w:rPr>
        <w:t>万元，扣除非经常性损益后归属于母公司股东的净利润为</w:t>
      </w:r>
      <w:r>
        <w:rPr>
          <w:rFonts w:ascii="宋体" w:hAnsi="宋体" w:cs="宋体" w:eastAsia="宋体" w:hint="default"/>
          <w:spacing w:val="-1"/>
        </w:rPr>
        <w:t>6276.22</w:t>
      </w:r>
      <w:r>
        <w:rPr>
          <w:spacing w:val="-1"/>
        </w:rPr>
        <w:t>万元，超额完成其</w:t>
      </w:r>
      <w:r>
        <w:rPr>
          <w:rFonts w:ascii="宋体" w:hAnsi="宋体" w:cs="宋体" w:eastAsia="宋体" w:hint="default"/>
          <w:spacing w:val="-1"/>
        </w:rPr>
        <w:t>6100</w:t>
      </w:r>
      <w:r>
        <w:rPr>
          <w:spacing w:val="-1"/>
        </w:rPr>
        <w:t>万元</w:t>
      </w:r>
      <w:r>
        <w:rPr>
          <w:spacing w:val="-74"/>
        </w:rPr>
        <w:t> </w:t>
      </w:r>
      <w:r>
        <w:rPr>
          <w:spacing w:val="-1"/>
        </w:rPr>
        <w:t>的业绩承诺。与滨河创新的整合使公司的盈利能力得到显著增强，为公司未来快速稳健发展奠定坚实的基</w:t>
      </w:r>
      <w:r>
        <w:rPr>
          <w:spacing w:val="-81"/>
        </w:rPr>
        <w:t> </w:t>
      </w:r>
      <w:r>
        <w:rPr>
          <w:spacing w:val="-81"/>
        </w:rPr>
      </w:r>
      <w:r>
        <w:rPr/>
        <w:t>础。</w:t>
      </w:r>
    </w:p>
    <w:p>
      <w:pPr>
        <w:pStyle w:val="BodyText"/>
        <w:spacing w:line="408" w:lineRule="auto"/>
        <w:ind w:right="1131" w:firstLine="496"/>
        <w:jc w:val="both"/>
      </w:pPr>
      <w:r>
        <w:rPr>
          <w:rFonts w:ascii="宋体" w:hAnsi="宋体" w:cs="宋体" w:eastAsia="宋体" w:hint="default"/>
          <w:spacing w:val="-3"/>
        </w:rPr>
        <w:t>2014</w:t>
      </w:r>
      <w:r>
        <w:rPr>
          <w:spacing w:val="-3"/>
        </w:rPr>
        <w:t>年</w:t>
      </w:r>
      <w:r>
        <w:rPr>
          <w:rFonts w:ascii="宋体" w:hAnsi="宋体" w:cs="宋体" w:eastAsia="宋体" w:hint="default"/>
          <w:spacing w:val="-3"/>
        </w:rPr>
        <w:t>12</w:t>
      </w:r>
      <w:r>
        <w:rPr>
          <w:spacing w:val="-3"/>
        </w:rPr>
        <w:t>月，由海淀区国资委控股的“北京中关村互联网金融信息服务中心有限公司”成立。该公司</w:t>
      </w:r>
      <w:r>
        <w:rPr/>
        <w:t> </w:t>
      </w:r>
      <w:r>
        <w:rPr>
          <w:spacing w:val="-1"/>
        </w:rPr>
        <w:t>是由海淀区国有资产投资经营有限公司携手中科金财、中投国泰等企业共同出资组建并控股，设立的宗旨</w:t>
      </w:r>
      <w:r>
        <w:rPr>
          <w:spacing w:val="-81"/>
        </w:rPr>
        <w:t> </w:t>
      </w:r>
      <w:r>
        <w:rPr>
          <w:spacing w:val="-81"/>
        </w:rPr>
      </w:r>
      <w:r>
        <w:rPr>
          <w:spacing w:val="-1"/>
        </w:rPr>
        <w:t>是以海淀区及中关村优质的中小企业为依托，促进互联网金融改革创新，推动互联网金融产业发展，整合</w:t>
      </w:r>
      <w:r>
        <w:rPr>
          <w:spacing w:val="-83"/>
        </w:rPr>
        <w:t> </w:t>
      </w:r>
      <w:r>
        <w:rPr>
          <w:spacing w:val="-83"/>
        </w:rPr>
      </w:r>
      <w:r>
        <w:rPr>
          <w:spacing w:val="-1"/>
        </w:rPr>
        <w:t>区属互联网金融服务资源，搭建互联网金融服务平台，完善海淀区互联网金融服务体系。该公司的成立有</w:t>
      </w:r>
      <w:r>
        <w:rPr>
          <w:spacing w:val="-83"/>
        </w:rPr>
        <w:t> </w:t>
      </w:r>
      <w:r>
        <w:rPr>
          <w:spacing w:val="-83"/>
        </w:rPr>
      </w:r>
      <w:r>
        <w:rPr>
          <w:spacing w:val="-1"/>
        </w:rPr>
        <w:t>助于公司发展征信业务和互联网综合金融服务业务，同时也为政府对互联网金融企业的支持与监管摸索一</w:t>
      </w:r>
      <w:r>
        <w:rPr>
          <w:spacing w:val="-81"/>
        </w:rPr>
        <w:t> </w:t>
      </w:r>
      <w:r>
        <w:rPr>
          <w:spacing w:val="-81"/>
        </w:rPr>
      </w:r>
      <w:r>
        <w:rPr/>
        <w:t>条新的路径。</w:t>
      </w:r>
    </w:p>
    <w:p>
      <w:pPr>
        <w:pStyle w:val="BodyText"/>
        <w:spacing w:line="408" w:lineRule="auto"/>
        <w:ind w:left="154" w:right="1132" w:firstLine="496"/>
        <w:jc w:val="both"/>
      </w:pPr>
      <w:r>
        <w:rPr>
          <w:rFonts w:ascii="宋体" w:hAnsi="宋体" w:cs="宋体" w:eastAsia="宋体" w:hint="default"/>
          <w:spacing w:val="-3"/>
        </w:rPr>
        <w:t>2014</w:t>
      </w:r>
      <w:r>
        <w:rPr>
          <w:spacing w:val="-3"/>
        </w:rPr>
        <w:t>年，公司参股成立了中科环嘉电子商务有限公司，中科环嘉主要为再生资源领域的行业客户与市</w:t>
      </w:r>
      <w:r>
        <w:rPr/>
        <w:t> </w:t>
      </w:r>
      <w:r>
        <w:rPr>
          <w:spacing w:val="-1"/>
        </w:rPr>
        <w:t>场提供在线交易、集中采购、在线融资、仓储物流、资讯信息等全方位服务，帮助传统的再生资源企业与</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3"/>
          <w:szCs w:val="13"/>
        </w:rPr>
      </w:pPr>
    </w:p>
    <w:p>
      <w:pPr>
        <w:pStyle w:val="BodyText"/>
        <w:spacing w:line="405" w:lineRule="auto" w:before="0"/>
        <w:ind w:right="0"/>
        <w:jc w:val="left"/>
        <w:rPr>
          <w:sz w:val="18"/>
          <w:szCs w:val="18"/>
        </w:rPr>
      </w:pPr>
      <w:r>
        <w:rPr>
          <w:spacing w:val="-1"/>
        </w:rPr>
        <w:t>从业者通过互联网技术，实现交易、融资、仓储、物流的全面互联网化及供应链金融。中科环嘉将努力构</w:t>
      </w:r>
      <w:r>
        <w:rPr>
          <w:spacing w:val="-83"/>
        </w:rPr>
        <w:t> </w:t>
      </w:r>
      <w:r>
        <w:rPr>
          <w:spacing w:val="-83"/>
        </w:rPr>
      </w:r>
      <w:r>
        <w:rPr>
          <w:spacing w:val="-1"/>
        </w:rPr>
        <w:t>建专业、完善的再生资源收购服务体系、运营服务体系及多元化的交易结算系统，为再生资源企业提供征</w:t>
      </w:r>
      <w:r>
        <w:rPr>
          <w:spacing w:val="-83"/>
        </w:rPr>
        <w:t> </w:t>
      </w:r>
      <w:r>
        <w:rPr>
          <w:spacing w:val="-83"/>
        </w:rPr>
      </w:r>
      <w:r>
        <w:rPr>
          <w:spacing w:val="-1"/>
        </w:rPr>
        <w:t>信、资产证券化等多种创新金融服务模式，努力打造国内最大的再生资源供应链金融综合服务平台，推动</w:t>
      </w:r>
      <w:r>
        <w:rPr>
          <w:spacing w:val="-83"/>
        </w:rPr>
        <w:t> </w:t>
      </w:r>
      <w:r>
        <w:rPr>
          <w:spacing w:val="-83"/>
        </w:rPr>
      </w:r>
      <w:r>
        <w:rPr/>
        <w:t>建立再生资源电子商务行业标准，为产业链上下游企业提供便捷、安全及高效的融资渠道。 </w:t>
      </w:r>
      <w:r>
        <w:rPr>
          <w:sz w:val="18"/>
          <w:szCs w:val="18"/>
        </w:rPr>
        <w:t>公司实际经营业绩较曾公开披露过的本年度盈利预测低于或高于</w:t>
      </w:r>
      <w:r>
        <w:rPr>
          <w:spacing w:val="-46"/>
          <w:sz w:val="18"/>
          <w:szCs w:val="18"/>
        </w:rPr>
        <w:t> </w:t>
      </w:r>
      <w:r>
        <w:rPr>
          <w:rFonts w:ascii="Times New Roman" w:hAnsi="Times New Roman" w:cs="Times New Roman" w:eastAsia="Times New Roman" w:hint="default"/>
          <w:sz w:val="18"/>
          <w:szCs w:val="18"/>
        </w:rPr>
        <w:t>20%</w:t>
      </w:r>
      <w:r>
        <w:rPr>
          <w:sz w:val="18"/>
          <w:szCs w:val="18"/>
        </w:rPr>
        <w:t>以上的差异原因</w:t>
      </w:r>
    </w:p>
    <w:p>
      <w:pPr>
        <w:spacing w:line="215"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1365" w:lineRule="exact"/>
        <w:ind w:left="154"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4483625" cy="866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483625" cy="866775"/>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12"/>
        <w:rPr>
          <w:rFonts w:ascii="宋体" w:hAnsi="宋体" w:cs="宋体" w:eastAsia="宋体" w:hint="default"/>
          <w:b/>
          <w:bCs/>
          <w:sz w:val="4"/>
          <w:szCs w:val="4"/>
        </w:rPr>
      </w:pPr>
    </w:p>
    <w:p>
      <w:pPr>
        <w:spacing w:before="44"/>
        <w:ind w:left="444" w:right="0" w:firstLine="0"/>
        <w:jc w:val="left"/>
        <w:rPr>
          <w:rFonts w:ascii="宋体" w:hAnsi="宋体" w:cs="宋体" w:eastAsia="宋体" w:hint="default"/>
          <w:sz w:val="18"/>
          <w:szCs w:val="18"/>
        </w:rPr>
      </w:pPr>
      <w:r>
        <w:rPr>
          <w:rFonts w:ascii="宋体" w:hAnsi="宋体" w:cs="宋体" w:eastAsia="宋体" w:hint="default"/>
          <w:sz w:val="18"/>
          <w:szCs w:val="18"/>
        </w:rPr>
        <w:t>其中：主营业务收入分类如下：</w:t>
      </w:r>
    </w:p>
    <w:p>
      <w:pPr>
        <w:spacing w:line="240" w:lineRule="auto" w:before="6"/>
        <w:rPr>
          <w:rFonts w:ascii="宋体" w:hAnsi="宋体" w:cs="宋体" w:eastAsia="宋体" w:hint="default"/>
          <w:sz w:val="16"/>
          <w:szCs w:val="16"/>
        </w:rPr>
      </w:pPr>
    </w:p>
    <w:p>
      <w:pPr>
        <w:spacing w:line="2820" w:lineRule="exact"/>
        <w:ind w:left="154"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5886450" cy="17907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5886450" cy="179070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38" w:lineRule="auto" w:before="117"/>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公司重大的在手订单情况</w:t>
      </w:r>
    </w:p>
    <w:p>
      <w:pPr>
        <w:spacing w:line="340" w:lineRule="auto" w:before="42"/>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0"/>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348,759,069.66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华夏银行股份有限公司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103,364,801.84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河南省农村信用社联合社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81,564,675.17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中经网（北京）数据科技发展有限公司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60,623,832.88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国家外汇管理局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52,575,558.00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中科软科技股份有限公司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50,630,201.77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348,759,069.66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p>
      <w:pPr>
        <w:spacing w:line="1365" w:lineRule="exact"/>
        <w:ind w:left="154"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3779291" cy="8667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3779291" cy="866775"/>
                    </a:xfrm>
                    <a:prstGeom prst="rect">
                      <a:avLst/>
                    </a:prstGeom>
                  </pic:spPr>
                </pic:pic>
              </a:graphicData>
            </a:graphic>
          </wp:inline>
        </w:drawing>
      </w:r>
      <w:r>
        <w:rPr>
          <w:rFonts w:ascii="宋体" w:hAnsi="宋体" w:cs="宋体" w:eastAsia="宋体" w:hint="default"/>
          <w:position w:val="-26"/>
          <w:sz w:val="20"/>
          <w:szCs w:val="20"/>
        </w:rPr>
      </w:r>
    </w:p>
    <w:p>
      <w:pPr>
        <w:spacing w:line="240" w:lineRule="auto" w:before="12"/>
        <w:rPr>
          <w:rFonts w:ascii="宋体" w:hAnsi="宋体" w:cs="宋体" w:eastAsia="宋体" w:hint="default"/>
          <w:b/>
          <w:bCs/>
          <w:sz w:val="4"/>
          <w:szCs w:val="4"/>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其中：主营业务成本分类如下：</w:t>
      </w:r>
    </w:p>
    <w:p>
      <w:pPr>
        <w:spacing w:line="240" w:lineRule="auto" w:before="3"/>
        <w:rPr>
          <w:rFonts w:ascii="宋体" w:hAnsi="宋体" w:cs="宋体" w:eastAsia="宋体" w:hint="default"/>
          <w:sz w:val="9"/>
          <w:szCs w:val="9"/>
        </w:rPr>
      </w:pPr>
    </w:p>
    <w:p>
      <w:pPr>
        <w:spacing w:line="2385" w:lineRule="exact"/>
        <w:ind w:left="154"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5883982" cy="151447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5883982" cy="151447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338,347,088.78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深圳市怡亚通供应链股份有限公司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98,672,025.56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95,816,011.09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北京富通经纬科技有限公司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69,771,640.98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41,440,915.38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赞华（中国）电子系统有限公司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32,646,495.77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4.22%</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338,347,088.78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9"/>
          <w:szCs w:val="29"/>
        </w:rPr>
      </w:pPr>
    </w:p>
    <w:p>
      <w:pPr>
        <w:spacing w:line="1770" w:lineRule="exact"/>
        <w:ind w:left="154" w:right="0" w:firstLine="0"/>
        <w:rPr>
          <w:rFonts w:ascii="宋体" w:hAnsi="宋体" w:cs="宋体" w:eastAsia="宋体" w:hint="default"/>
          <w:sz w:val="20"/>
          <w:szCs w:val="20"/>
        </w:rPr>
      </w:pPr>
      <w:r>
        <w:rPr>
          <w:rFonts w:ascii="宋体" w:hAnsi="宋体" w:cs="宋体" w:eastAsia="宋体" w:hint="default"/>
          <w:position w:val="-34"/>
          <w:sz w:val="20"/>
          <w:szCs w:val="20"/>
        </w:rPr>
        <w:drawing>
          <wp:inline distT="0" distB="0" distL="0" distR="0">
            <wp:extent cx="3851910" cy="112395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6" cstate="print"/>
                    <a:stretch>
                      <a:fillRect/>
                    </a:stretch>
                  </pic:blipFill>
                  <pic:spPr>
                    <a:xfrm>
                      <a:off x="0" y="0"/>
                      <a:ext cx="3851910" cy="1123950"/>
                    </a:xfrm>
                    <a:prstGeom prst="rect">
                      <a:avLst/>
                    </a:prstGeom>
                  </pic:spPr>
                </pic:pic>
              </a:graphicData>
            </a:graphic>
          </wp:inline>
        </w:drawing>
      </w:r>
      <w:r>
        <w:rPr>
          <w:rFonts w:ascii="宋体" w:hAnsi="宋体" w:cs="宋体" w:eastAsia="宋体" w:hint="default"/>
          <w:position w:val="-34"/>
          <w:sz w:val="20"/>
          <w:szCs w:val="20"/>
        </w:rPr>
      </w:r>
    </w:p>
    <w:p>
      <w:pPr>
        <w:spacing w:line="240" w:lineRule="auto" w:before="8"/>
        <w:rPr>
          <w:rFonts w:ascii="宋体" w:hAnsi="宋体" w:cs="宋体" w:eastAsia="宋体" w:hint="default"/>
          <w:b/>
          <w:bCs/>
          <w:sz w:val="32"/>
          <w:szCs w:val="32"/>
        </w:rPr>
      </w:pPr>
    </w:p>
    <w:p>
      <w:pPr>
        <w:pStyle w:val="BodyText"/>
        <w:spacing w:line="408" w:lineRule="auto" w:before="0"/>
        <w:ind w:left="154" w:right="0" w:firstLine="420"/>
        <w:jc w:val="left"/>
      </w:pPr>
      <w:r>
        <w:rPr>
          <w:spacing w:val="-1"/>
        </w:rPr>
        <w:t>销售费用较上年同期降低</w:t>
      </w:r>
      <w:r>
        <w:rPr>
          <w:rFonts w:ascii="宋体" w:hAnsi="宋体" w:cs="宋体" w:eastAsia="宋体" w:hint="default"/>
          <w:spacing w:val="-1"/>
        </w:rPr>
        <w:t>39.04%</w:t>
      </w:r>
      <w:r>
        <w:rPr>
          <w:spacing w:val="-1"/>
        </w:rPr>
        <w:t>，主要系公司营销网络建设完成，销售人员减少且本地化复用、减少</w:t>
      </w:r>
      <w:r>
        <w:rPr/>
        <w:t> 人员成本及异地开展业务发生的差旅费、会议费所致。</w:t>
      </w:r>
    </w:p>
    <w:p>
      <w:pPr>
        <w:pStyle w:val="BodyText"/>
        <w:spacing w:line="240" w:lineRule="auto"/>
        <w:ind w:left="575" w:right="0"/>
        <w:jc w:val="left"/>
      </w:pPr>
      <w:r>
        <w:rPr/>
        <w:t>所得税费用较上年同期降低</w:t>
      </w:r>
      <w:r>
        <w:rPr>
          <w:rFonts w:ascii="宋体" w:hAnsi="宋体" w:cs="宋体" w:eastAsia="宋体" w:hint="default"/>
        </w:rPr>
        <w:t>28.41%</w:t>
      </w:r>
      <w:r>
        <w:rPr/>
        <w:t>，主要系中科商务报告期内盈利弥补以前年度亏损不缴纳所得税所</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致。</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5、研发支出" w:id="22"/>
      <w:bookmarkEnd w:id="22"/>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51"/>
        <w:gridCol w:w="1644"/>
        <w:gridCol w:w="1514"/>
        <w:gridCol w:w="1388"/>
      </w:tblGrid>
      <w:tr>
        <w:trPr>
          <w:trHeight w:val="347" w:hRule="exact"/>
        </w:trPr>
        <w:tc>
          <w:tcPr>
            <w:tcW w:w="36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7" w:lineRule="exact"/>
              <w:ind w:left="39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w:t>
            </w:r>
          </w:p>
        </w:tc>
        <w:tc>
          <w:tcPr>
            <w:tcW w:w="151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7" w:lineRule="exact"/>
              <w:ind w:left="3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w:t>
            </w:r>
          </w:p>
        </w:tc>
        <w:tc>
          <w:tcPr>
            <w:tcW w:w="13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7" w:lineRule="exact"/>
              <w:ind w:left="26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r>
      <w:tr>
        <w:trPr>
          <w:trHeight w:val="3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研发支出总额</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110,623,397.15</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128,170,335.19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102,532,277.60</w:t>
            </w:r>
          </w:p>
        </w:tc>
      </w:tr>
      <w:tr>
        <w:trPr>
          <w:trHeight w:val="34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8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资本化的研发支出总额</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32,148,039.74</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43,399,838.24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38,357,921.28</w:t>
            </w:r>
          </w:p>
        </w:tc>
      </w:tr>
      <w:tr>
        <w:trPr>
          <w:trHeight w:val="34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研发支出占当期营业收入的比重</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10.07%</w:t>
            </w:r>
          </w:p>
        </w:tc>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12.53%</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19.65%</w:t>
            </w:r>
          </w:p>
        </w:tc>
      </w:tr>
    </w:tbl>
    <w:p>
      <w:pPr>
        <w:pStyle w:val="BodyText"/>
        <w:spacing w:line="240" w:lineRule="auto" w:before="63"/>
        <w:ind w:left="154" w:right="0"/>
        <w:jc w:val="left"/>
      </w:pPr>
      <w:r>
        <w:rPr>
          <w:rFonts w:ascii="Times New Roman" w:hAnsi="Times New Roman" w:cs="Times New Roman" w:eastAsia="Times New Roman" w:hint="default"/>
        </w:rPr>
        <w:t>2014</w:t>
      </w:r>
      <w:r>
        <w:rPr/>
        <w:t>年主要研发成果如下：</w:t>
      </w:r>
    </w:p>
    <w:p>
      <w:pPr>
        <w:pStyle w:val="BodyText"/>
        <w:spacing w:line="240" w:lineRule="auto" w:before="177"/>
        <w:ind w:left="154" w:right="0"/>
        <w:jc w:val="left"/>
      </w:pPr>
      <w:r>
        <w:rPr/>
        <w:t>（</w:t>
      </w:r>
      <w:r>
        <w:rPr>
          <w:rFonts w:ascii="Times New Roman" w:hAnsi="Times New Roman" w:cs="Times New Roman" w:eastAsia="Times New Roman" w:hint="default"/>
        </w:rPr>
        <w:t>1</w:t>
      </w:r>
      <w:r>
        <w:rPr/>
        <w:t>）专利</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587"/>
        <w:gridCol w:w="1840"/>
        <w:gridCol w:w="3953"/>
        <w:gridCol w:w="1559"/>
        <w:gridCol w:w="709"/>
      </w:tblGrid>
      <w:tr>
        <w:trPr>
          <w:trHeight w:val="347" w:hRule="exact"/>
        </w:trPr>
        <w:tc>
          <w:tcPr>
            <w:tcW w:w="5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8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39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48"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2013 2</w:t>
            </w:r>
            <w:r>
              <w:rPr>
                <w:rFonts w:ascii="Times New Roman"/>
                <w:spacing w:val="-2"/>
                <w:sz w:val="18"/>
              </w:rPr>
              <w:t> </w:t>
            </w:r>
            <w:r>
              <w:rPr>
                <w:rFonts w:ascii="Times New Roman"/>
                <w:sz w:val="18"/>
              </w:rPr>
              <w:t>0520491.3</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一种支票进账单电子贷方凭证自助生成终端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ZL2013 2</w:t>
            </w:r>
            <w:r>
              <w:rPr>
                <w:rFonts w:ascii="Times New Roman"/>
                <w:spacing w:val="-3"/>
                <w:sz w:val="18"/>
              </w:rPr>
              <w:t> </w:t>
            </w:r>
            <w:r>
              <w:rPr>
                <w:rFonts w:ascii="Times New Roman"/>
                <w:sz w:val="18"/>
              </w:rPr>
              <w:t>0890585.X</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基于物联网的智能医疗检验标本运转箱</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2013 2</w:t>
            </w:r>
            <w:r>
              <w:rPr>
                <w:rFonts w:ascii="Times New Roman"/>
                <w:spacing w:val="-2"/>
                <w:sz w:val="18"/>
              </w:rPr>
              <w:t> </w:t>
            </w:r>
            <w:r>
              <w:rPr>
                <w:rFonts w:ascii="Times New Roman"/>
                <w:sz w:val="18"/>
              </w:rPr>
              <w:t>0890412.8</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具有红外测温功能的风险防范金融自助受理装置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0344840.0</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具有盖章功能的票据自助受理装置和方法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发明专利证书</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2013 3</w:t>
            </w:r>
            <w:r>
              <w:rPr>
                <w:rFonts w:ascii="Times New Roman"/>
                <w:spacing w:val="-2"/>
                <w:sz w:val="18"/>
              </w:rPr>
              <w:t> </w:t>
            </w:r>
            <w:r>
              <w:rPr>
                <w:rFonts w:ascii="Times New Roman"/>
                <w:sz w:val="18"/>
              </w:rPr>
              <w:t>0649279.2</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滚轮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外观设计专利证书</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2013 2</w:t>
            </w:r>
            <w:r>
              <w:rPr>
                <w:rFonts w:ascii="Times New Roman"/>
                <w:spacing w:val="-2"/>
                <w:sz w:val="18"/>
              </w:rPr>
              <w:t> </w:t>
            </w:r>
            <w:r>
              <w:rPr>
                <w:rFonts w:ascii="Times New Roman"/>
                <w:sz w:val="18"/>
              </w:rPr>
              <w:t>0875338.2</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一种盖章机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8"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2013 2</w:t>
            </w:r>
            <w:r>
              <w:rPr>
                <w:rFonts w:ascii="Times New Roman"/>
                <w:spacing w:val="-2"/>
                <w:sz w:val="18"/>
              </w:rPr>
              <w:t> </w:t>
            </w:r>
            <w:r>
              <w:rPr>
                <w:rFonts w:ascii="Times New Roman"/>
                <w:sz w:val="18"/>
              </w:rPr>
              <w:t>0875302.4</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一种碳带制造装置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实用新型专利</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ZL 2011 1</w:t>
            </w:r>
            <w:r>
              <w:rPr>
                <w:rFonts w:ascii="Times New Roman"/>
                <w:spacing w:val="-2"/>
                <w:sz w:val="18"/>
              </w:rPr>
              <w:t> </w:t>
            </w:r>
            <w:r>
              <w:rPr>
                <w:rFonts w:ascii="Times New Roman"/>
                <w:sz w:val="18"/>
              </w:rPr>
              <w:t>0029356.4</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票据二维码信息处理方法</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发明专利证书</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r>
        <w:trPr>
          <w:trHeight w:val="347" w:hRule="exact"/>
        </w:trPr>
        <w:tc>
          <w:tcPr>
            <w:tcW w:w="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0170791.3</w:t>
            </w:r>
          </w:p>
        </w:tc>
        <w:tc>
          <w:tcPr>
            <w:tcW w:w="3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自助票单机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外观设计专利证书</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18"/>
                <w:szCs w:val="18"/>
              </w:rPr>
              <w:t>10</w:t>
            </w:r>
            <w:r>
              <w:rPr>
                <w:rFonts w:ascii="宋体" w:hAnsi="宋体" w:cs="宋体" w:eastAsia="宋体" w:hint="default"/>
                <w:sz w:val="20"/>
                <w:szCs w:val="20"/>
              </w:rPr>
              <w:t>年</w:t>
            </w:r>
          </w:p>
        </w:tc>
      </w:tr>
    </w:tbl>
    <w:p>
      <w:pPr>
        <w:pStyle w:val="BodyText"/>
        <w:spacing w:line="240" w:lineRule="auto" w:before="63"/>
        <w:ind w:left="154" w:right="0"/>
        <w:jc w:val="left"/>
      </w:pPr>
      <w:r>
        <w:rPr/>
        <w:t>（</w:t>
      </w:r>
      <w:r>
        <w:rPr>
          <w:rFonts w:ascii="Times New Roman" w:hAnsi="Times New Roman" w:cs="Times New Roman" w:eastAsia="Times New Roman" w:hint="default"/>
        </w:rPr>
        <w:t>2</w:t>
      </w:r>
      <w:r>
        <w:rPr/>
        <w:t>）计算机软件著作权</w:t>
      </w:r>
    </w:p>
    <w:p>
      <w:pPr>
        <w:spacing w:line="240" w:lineRule="auto" w:before="9"/>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785"/>
        <w:gridCol w:w="1950"/>
        <w:gridCol w:w="4103"/>
        <w:gridCol w:w="1470"/>
      </w:tblGrid>
      <w:tr>
        <w:trPr>
          <w:trHeight w:val="348"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登记号</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软件名称</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著作权人</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2014SR025851</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全媒体交互系统</w:t>
            </w:r>
            <w:r>
              <w:rPr>
                <w:rFonts w:ascii="Times New Roman" w:hAnsi="Times New Roman" w:cs="Times New Roman" w:eastAsia="Times New Roman" w:hint="default"/>
                <w:sz w:val="18"/>
                <w:szCs w:val="18"/>
              </w:rPr>
              <w:t>SinoVision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2014SR033600</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切片任务综合处理系统</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2014SR033606</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Calibri" w:hAnsi="Calibri" w:cs="Calibri" w:eastAsia="Calibri" w:hint="default"/>
                <w:sz w:val="18"/>
                <w:szCs w:val="18"/>
              </w:rPr>
            </w:pPr>
            <w:r>
              <w:rPr>
                <w:rFonts w:ascii="Calibri" w:hAnsi="Calibri" w:cs="Calibri" w:eastAsia="Calibri" w:hint="default"/>
                <w:sz w:val="18"/>
                <w:szCs w:val="18"/>
              </w:rPr>
              <w:t>IT</w:t>
            </w:r>
            <w:r>
              <w:rPr>
                <w:rFonts w:ascii="宋体" w:hAnsi="宋体" w:cs="宋体" w:eastAsia="宋体" w:hint="default"/>
                <w:sz w:val="18"/>
                <w:szCs w:val="18"/>
              </w:rPr>
              <w:t>服务综合业务管理系统</w:t>
            </w:r>
            <w:r>
              <w:rPr>
                <w:rFonts w:ascii="Calibri" w:hAnsi="Calibri" w:cs="Calibri" w:eastAsia="Calibri"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8"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2014SR033607</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影像集中作业平台</w:t>
            </w:r>
            <w:r>
              <w:rPr>
                <w:rFonts w:ascii="Times New Roman" w:hAnsi="Times New Roman" w:cs="Times New Roman" w:eastAsia="Times New Roman" w:hint="default"/>
                <w:sz w:val="18"/>
                <w:szCs w:val="18"/>
              </w:rPr>
              <w:t>V2.0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85"/>
        <w:gridCol w:w="1950"/>
        <w:gridCol w:w="4103"/>
        <w:gridCol w:w="1470"/>
      </w:tblGrid>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2014SR039521</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金融票据版面识别及</w:t>
            </w:r>
            <w:r>
              <w:rPr>
                <w:rFonts w:ascii="Times New Roman" w:hAnsi="Times New Roman" w:cs="Times New Roman" w:eastAsia="Times New Roman" w:hint="default"/>
                <w:sz w:val="18"/>
                <w:szCs w:val="18"/>
              </w:rPr>
              <w:t>OCR</w:t>
            </w:r>
            <w:r>
              <w:rPr>
                <w:rFonts w:ascii="宋体" w:hAnsi="宋体" w:cs="宋体" w:eastAsia="宋体" w:hint="default"/>
                <w:sz w:val="18"/>
                <w:szCs w:val="18"/>
              </w:rPr>
              <w:t>识别开发</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2014SR105383</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Calibri" w:hAnsi="Calibri" w:cs="Calibri" w:eastAsia="Calibri" w:hint="default"/>
                <w:sz w:val="18"/>
                <w:szCs w:val="18"/>
              </w:rPr>
            </w:pPr>
            <w:r>
              <w:rPr>
                <w:rFonts w:ascii="Calibri" w:hAnsi="Calibri" w:cs="Calibri" w:eastAsia="Calibri" w:hint="default"/>
                <w:sz w:val="18"/>
                <w:szCs w:val="18"/>
              </w:rPr>
              <w:t>BSM</w:t>
            </w:r>
            <w:r>
              <w:rPr>
                <w:rFonts w:ascii="宋体" w:hAnsi="宋体" w:cs="宋体" w:eastAsia="宋体" w:hint="default"/>
                <w:sz w:val="18"/>
                <w:szCs w:val="18"/>
              </w:rPr>
              <w:t>业务服务管理系统</w:t>
            </w:r>
            <w:r>
              <w:rPr>
                <w:rFonts w:ascii="Calibri" w:hAnsi="Calibri" w:cs="Calibri" w:eastAsia="Calibri" w:hint="default"/>
                <w:sz w:val="18"/>
                <w:szCs w:val="18"/>
              </w:rPr>
              <w:t>V3.0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2014SR097715</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金融多媒体电子杂志客户端软件</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8"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2014SR097722</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科金财掌上机场客户端软件</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2014SR098796</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中科金财互联网手机支付客户端软件</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2014SR141898</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银企集中对账及回单管理系统</w:t>
            </w:r>
            <w:r>
              <w:rPr>
                <w:rFonts w:ascii="Times New Roman" w:hAnsi="Times New Roman" w:cs="Times New Roman" w:eastAsia="Times New Roman"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7"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2014SR152878</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Calibri" w:hAnsi="Calibri" w:cs="Calibri" w:eastAsia="Calibri" w:hint="default"/>
                <w:sz w:val="18"/>
                <w:szCs w:val="18"/>
              </w:rPr>
            </w:pPr>
            <w:r>
              <w:rPr>
                <w:rFonts w:ascii="Calibri" w:hAnsi="Calibri" w:cs="Calibri" w:eastAsia="Calibri" w:hint="default"/>
                <w:sz w:val="18"/>
                <w:szCs w:val="18"/>
              </w:rPr>
              <w:t>SinoIpcc</w:t>
            </w:r>
            <w:r>
              <w:rPr>
                <w:rFonts w:ascii="宋体" w:hAnsi="宋体" w:cs="宋体" w:eastAsia="宋体" w:hint="default"/>
                <w:sz w:val="18"/>
                <w:szCs w:val="18"/>
              </w:rPr>
              <w:t>媒体软交换系统</w:t>
            </w:r>
            <w:r>
              <w:rPr>
                <w:rFonts w:ascii="Calibri" w:hAnsi="Calibri" w:cs="Calibri" w:eastAsia="Calibri" w:hint="default"/>
                <w:sz w:val="18"/>
                <w:szCs w:val="18"/>
              </w:rPr>
              <w:t>V1.0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r>
        <w:trPr>
          <w:trHeight w:val="348" w:hRule="exact"/>
        </w:trPr>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2014SR166437</w:t>
            </w:r>
          </w:p>
        </w:tc>
        <w:tc>
          <w:tcPr>
            <w:tcW w:w="4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影像采集处理软件</w:t>
            </w:r>
            <w:r>
              <w:rPr>
                <w:rFonts w:ascii="Times New Roman" w:hAnsi="Times New Roman" w:cs="Times New Roman" w:eastAsia="Times New Roman" w:hint="default"/>
                <w:sz w:val="18"/>
                <w:szCs w:val="18"/>
              </w:rPr>
              <w:t>V2.0</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中科金财</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6、现金流" w:id="23"/>
      <w:bookmarkEnd w:id="23"/>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1,582,951,008.87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1,521,242,514.51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1,340,530,596.57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1,371,275,705.28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242,420,412.30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149,966,809.23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61.65%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501,266,223.44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229,354,910.36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800,070,722.90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397,947,886.13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101.05%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-298,804,499.46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-168,592,975.77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327,161,599.62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332,763,624.25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119,539,673.35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189,482,022.15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207,621,926.27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143,281,602.10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44.90%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151,237,710.45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124,656,077.38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2"/>
          <w:szCs w:val="12"/>
        </w:rPr>
      </w:pPr>
    </w:p>
    <w:p>
      <w:pPr>
        <w:spacing w:line="429" w:lineRule="auto" w:before="0"/>
        <w:ind w:left="154" w:right="0" w:firstLine="426"/>
        <w:jc w:val="left"/>
        <w:rPr>
          <w:rFonts w:ascii="宋体" w:hAnsi="宋体" w:cs="宋体" w:eastAsia="宋体" w:hint="default"/>
          <w:sz w:val="20"/>
          <w:szCs w:val="20"/>
        </w:rPr>
      </w:pPr>
      <w:r>
        <w:rPr>
          <w:rFonts w:ascii="宋体" w:hAnsi="宋体" w:cs="宋体" w:eastAsia="宋体" w:hint="default"/>
          <w:spacing w:val="-1"/>
          <w:sz w:val="20"/>
          <w:szCs w:val="20"/>
        </w:rPr>
        <w:t>经营活动产生的现金流量净额较上年增长</w:t>
      </w:r>
      <w:r>
        <w:rPr>
          <w:rFonts w:ascii="宋体" w:hAnsi="宋体" w:cs="宋体" w:eastAsia="宋体" w:hint="default"/>
          <w:spacing w:val="-1"/>
          <w:sz w:val="20"/>
          <w:szCs w:val="20"/>
        </w:rPr>
        <w:t>61.65%</w:t>
      </w:r>
      <w:r>
        <w:rPr>
          <w:rFonts w:ascii="宋体" w:hAnsi="宋体" w:cs="宋体" w:eastAsia="宋体" w:hint="default"/>
          <w:spacing w:val="-1"/>
          <w:sz w:val="20"/>
          <w:szCs w:val="20"/>
        </w:rPr>
        <w:t>，主要系公司扩大销售、增加收款、有效控制费用等因素</w:t>
      </w:r>
      <w:r>
        <w:rPr>
          <w:rFonts w:ascii="宋体" w:hAnsi="宋体" w:cs="宋体" w:eastAsia="宋体" w:hint="default"/>
          <w:w w:val="100"/>
          <w:sz w:val="20"/>
          <w:szCs w:val="20"/>
        </w:rPr>
        <w:t> </w:t>
      </w:r>
      <w:r>
        <w:rPr>
          <w:rFonts w:ascii="宋体" w:hAnsi="宋体" w:cs="宋体" w:eastAsia="宋体" w:hint="default"/>
          <w:sz w:val="20"/>
          <w:szCs w:val="20"/>
        </w:rPr>
        <w:t>综合影响所致。</w:t>
      </w:r>
    </w:p>
    <w:p>
      <w:pPr>
        <w:spacing w:line="427" w:lineRule="auto" w:before="48"/>
        <w:ind w:left="580" w:right="0" w:firstLine="0"/>
        <w:jc w:val="left"/>
        <w:rPr>
          <w:rFonts w:ascii="宋体" w:hAnsi="宋体" w:cs="宋体" w:eastAsia="宋体" w:hint="default"/>
          <w:sz w:val="20"/>
          <w:szCs w:val="20"/>
        </w:rPr>
      </w:pPr>
      <w:r>
        <w:rPr>
          <w:rFonts w:ascii="宋体" w:hAnsi="宋体" w:cs="宋体" w:eastAsia="宋体" w:hint="default"/>
          <w:sz w:val="20"/>
          <w:szCs w:val="20"/>
        </w:rPr>
        <w:t>投资活动现金流入小计较上年增长</w:t>
      </w:r>
      <w:r>
        <w:rPr>
          <w:rFonts w:ascii="宋体" w:hAnsi="宋体" w:cs="宋体" w:eastAsia="宋体" w:hint="default"/>
          <w:sz w:val="20"/>
          <w:szCs w:val="20"/>
        </w:rPr>
        <w:t>118.55%</w:t>
      </w:r>
      <w:r>
        <w:rPr>
          <w:rFonts w:ascii="宋体" w:hAnsi="宋体" w:cs="宋体" w:eastAsia="宋体" w:hint="default"/>
          <w:sz w:val="20"/>
          <w:szCs w:val="20"/>
        </w:rPr>
        <w:t>，主要系公司赎回购买短期保本型理财产品累计增加所致。</w:t>
      </w:r>
      <w:r>
        <w:rPr>
          <w:rFonts w:ascii="宋体" w:hAnsi="宋体" w:cs="宋体" w:eastAsia="宋体" w:hint="default"/>
          <w:w w:val="100"/>
          <w:sz w:val="20"/>
          <w:szCs w:val="20"/>
        </w:rPr>
        <w:t> </w:t>
      </w:r>
      <w:r>
        <w:rPr>
          <w:rFonts w:ascii="宋体" w:hAnsi="宋体" w:cs="宋体" w:eastAsia="宋体" w:hint="default"/>
          <w:spacing w:val="-3"/>
          <w:w w:val="100"/>
          <w:sz w:val="20"/>
          <w:szCs w:val="20"/>
        </w:rPr>
        <w:t>投资活动现金流出小计较上年增长</w:t>
      </w:r>
      <w:r>
        <w:rPr>
          <w:rFonts w:ascii="宋体" w:hAnsi="宋体" w:cs="宋体" w:eastAsia="宋体" w:hint="default"/>
          <w:spacing w:val="-3"/>
          <w:w w:val="100"/>
          <w:sz w:val="20"/>
          <w:szCs w:val="20"/>
        </w:rPr>
        <w:t>101.05%</w:t>
      </w:r>
      <w:r>
        <w:rPr>
          <w:rFonts w:ascii="宋体" w:hAnsi="宋体" w:cs="宋体" w:eastAsia="宋体" w:hint="default"/>
          <w:spacing w:val="-3"/>
          <w:w w:val="100"/>
          <w:sz w:val="20"/>
          <w:szCs w:val="20"/>
        </w:rPr>
        <w:t>，主要系公司报告期内收购滨河创新股权支付现金及购买的短期</w:t>
      </w:r>
    </w:p>
    <w:p>
      <w:pPr>
        <w:spacing w:line="429" w:lineRule="auto" w:before="50"/>
        <w:ind w:left="580" w:right="0" w:hanging="426"/>
        <w:jc w:val="left"/>
        <w:rPr>
          <w:rFonts w:ascii="宋体" w:hAnsi="宋体" w:cs="宋体" w:eastAsia="宋体" w:hint="default"/>
          <w:sz w:val="20"/>
          <w:szCs w:val="20"/>
        </w:rPr>
      </w:pPr>
      <w:r>
        <w:rPr>
          <w:rFonts w:ascii="宋体" w:hAnsi="宋体" w:cs="宋体" w:eastAsia="宋体" w:hint="default"/>
          <w:sz w:val="20"/>
          <w:szCs w:val="20"/>
        </w:rPr>
        <w:t>保本型理财产品累计增加所致。</w:t>
      </w:r>
      <w:r>
        <w:rPr>
          <w:rFonts w:ascii="宋体" w:hAnsi="宋体" w:cs="宋体" w:eastAsia="宋体" w:hint="default"/>
          <w:w w:val="100"/>
          <w:sz w:val="20"/>
          <w:szCs w:val="20"/>
        </w:rPr>
        <w:t> </w:t>
      </w:r>
      <w:r>
        <w:rPr>
          <w:rFonts w:ascii="宋体" w:hAnsi="宋体" w:cs="宋体" w:eastAsia="宋体" w:hint="default"/>
          <w:spacing w:val="-1"/>
          <w:sz w:val="20"/>
          <w:szCs w:val="20"/>
        </w:rPr>
        <w:t>投资活动产生的现金流量净额较上年下降</w:t>
      </w:r>
      <w:r>
        <w:rPr>
          <w:rFonts w:ascii="宋体" w:hAnsi="宋体" w:cs="宋体" w:eastAsia="宋体" w:hint="default"/>
          <w:spacing w:val="-1"/>
          <w:sz w:val="20"/>
          <w:szCs w:val="20"/>
        </w:rPr>
        <w:t>77.23%</w:t>
      </w:r>
      <w:r>
        <w:rPr>
          <w:rFonts w:ascii="宋体" w:hAnsi="宋体" w:cs="宋体" w:eastAsia="宋体" w:hint="default"/>
          <w:spacing w:val="-1"/>
          <w:sz w:val="20"/>
          <w:szCs w:val="20"/>
        </w:rPr>
        <w:t>：主要系公司报告期内收购滨河创新股权支付现金及购买</w:t>
      </w:r>
    </w:p>
    <w:p>
      <w:pPr>
        <w:spacing w:before="48"/>
        <w:ind w:left="154" w:right="0" w:firstLine="0"/>
        <w:jc w:val="left"/>
        <w:rPr>
          <w:rFonts w:ascii="宋体" w:hAnsi="宋体" w:cs="宋体" w:eastAsia="宋体" w:hint="default"/>
          <w:sz w:val="20"/>
          <w:szCs w:val="20"/>
        </w:rPr>
      </w:pPr>
      <w:r>
        <w:rPr>
          <w:rFonts w:ascii="宋体" w:hAnsi="宋体" w:cs="宋体" w:eastAsia="宋体" w:hint="default"/>
          <w:sz w:val="20"/>
          <w:szCs w:val="20"/>
        </w:rPr>
        <w:t>的短期保本型理财产品累计增加所致。</w:t>
      </w:r>
    </w:p>
    <w:p>
      <w:pPr>
        <w:spacing w:after="0"/>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429" w:lineRule="auto" w:before="0"/>
        <w:ind w:left="579" w:right="0" w:firstLine="0"/>
        <w:jc w:val="left"/>
        <w:rPr>
          <w:rFonts w:ascii="宋体" w:hAnsi="宋体" w:cs="宋体" w:eastAsia="宋体" w:hint="default"/>
          <w:sz w:val="20"/>
          <w:szCs w:val="20"/>
        </w:rPr>
      </w:pPr>
      <w:r>
        <w:rPr>
          <w:rFonts w:ascii="宋体" w:hAnsi="宋体" w:cs="宋体" w:eastAsia="宋体" w:hint="default"/>
          <w:sz w:val="20"/>
          <w:szCs w:val="20"/>
        </w:rPr>
        <w:t>筹资活动现金流出小计较上年下降</w:t>
      </w:r>
      <w:r>
        <w:rPr>
          <w:rFonts w:ascii="宋体" w:hAnsi="宋体" w:cs="宋体" w:eastAsia="宋体" w:hint="default"/>
          <w:sz w:val="20"/>
          <w:szCs w:val="20"/>
        </w:rPr>
        <w:t>36.91%</w:t>
      </w:r>
      <w:r>
        <w:rPr>
          <w:rFonts w:ascii="宋体" w:hAnsi="宋体" w:cs="宋体" w:eastAsia="宋体" w:hint="default"/>
          <w:sz w:val="20"/>
          <w:szCs w:val="20"/>
        </w:rPr>
        <w:t>，主要系报告期偿还银行短期借款较上期减少所致。</w:t>
      </w:r>
      <w:r>
        <w:rPr>
          <w:rFonts w:ascii="宋体" w:hAnsi="宋体" w:cs="宋体" w:eastAsia="宋体" w:hint="default"/>
          <w:w w:val="100"/>
          <w:sz w:val="20"/>
          <w:szCs w:val="20"/>
        </w:rPr>
        <w:t> </w:t>
      </w:r>
      <w:r>
        <w:rPr>
          <w:rFonts w:ascii="宋体" w:hAnsi="宋体" w:cs="宋体" w:eastAsia="宋体" w:hint="default"/>
          <w:spacing w:val="-1"/>
          <w:sz w:val="20"/>
          <w:szCs w:val="20"/>
        </w:rPr>
        <w:t>筹资活动产生的现金流量净额较上年增长</w:t>
      </w:r>
      <w:r>
        <w:rPr>
          <w:rFonts w:ascii="宋体" w:hAnsi="宋体" w:cs="宋体" w:eastAsia="宋体" w:hint="default"/>
          <w:spacing w:val="-1"/>
          <w:sz w:val="20"/>
          <w:szCs w:val="20"/>
        </w:rPr>
        <w:t>44.90%</w:t>
      </w:r>
      <w:r>
        <w:rPr>
          <w:rFonts w:ascii="宋体" w:hAnsi="宋体" w:cs="宋体" w:eastAsia="宋体" w:hint="default"/>
          <w:spacing w:val="-1"/>
          <w:sz w:val="20"/>
          <w:szCs w:val="20"/>
        </w:rPr>
        <w:t>，主要系公司本期收购滨河创新定向募集配套资金所致。</w:t>
      </w:r>
    </w:p>
    <w:p>
      <w:pPr>
        <w:spacing w:before="27"/>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599,622,738.40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457,805,129.39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304,901,109.56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230,367,086.44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152,292,130.51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110,194,844.94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32,177,054.27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27,461,611.66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服务管理解决</w:t>
            </w:r>
            <w:r>
              <w:rPr>
                <w:rFonts w:ascii="宋体" w:hAnsi="宋体" w:cs="宋体" w:eastAsia="宋体" w:hint="default"/>
                <w:w w:val="99"/>
                <w:sz w:val="18"/>
                <w:szCs w:val="18"/>
              </w:rPr>
              <w:t> </w:t>
            </w:r>
            <w:r>
              <w:rPr>
                <w:rFonts w:ascii="宋体" w:hAnsi="宋体" w:cs="宋体" w:eastAsia="宋体" w:hint="default"/>
                <w:sz w:val="18"/>
                <w:szCs w:val="18"/>
              </w:rPr>
              <w:t>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146,935,581.72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61,035,520.29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1,254.49%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数据中心综合建 设解决方案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605,892,571.85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506,706,609.34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智能银行解决方 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336,164,879.17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258,086,542.80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12,178,408.96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4,158,956.50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40.11%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810,806,589.76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612,261,208.80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62,237,714.65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32,608,086.66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69,982,096.34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63,217,196.27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104,874,079.97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95,665,124.46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15,183,298.55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11,538,231.03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11,492,360.73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4,391,945.41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2,238,483.78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1,987,923.30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6"/>
      <w:bookmarkEnd w:id="26"/>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930"/>
        <w:gridCol w:w="2786"/>
      </w:tblGrid>
      <w:tr>
        <w:trPr>
          <w:trHeight w:val="380" w:hRule="exact"/>
        </w:trPr>
        <w:tc>
          <w:tcPr>
            <w:tcW w:w="1346" w:type="dxa"/>
            <w:tcBorders>
              <w:top w:val="single" w:sz="4" w:space="0" w:color="000000"/>
              <w:left w:val="single" w:sz="4" w:space="0" w:color="000000"/>
              <w:bottom w:val="nil" w:sz="14" w:space="0" w:color="auto"/>
              <w:right w:val="single" w:sz="13" w:space="0" w:color="auto"/>
            </w:tcBorders>
            <w:shd w:val="clear" w:color="auto" w:fill="D2D2D2"/>
          </w:tcPr>
          <w:p>
            <w:pPr/>
          </w:p>
        </w:tc>
        <w:tc>
          <w:tcPr>
            <w:tcW w:w="2239" w:type="dxa"/>
            <w:gridSpan w:val="2"/>
            <w:tcBorders>
              <w:top w:val="single" w:sz="4" w:space="0" w:color="000000"/>
              <w:left w:val="single" w:sz="13" w:space="0" w:color="FFFFFF"/>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13" w:space="0" w:color="FFFFFF"/>
            </w:tcBorders>
            <w:shd w:val="clear" w:color="auto" w:fill="D2D2D2"/>
          </w:tcPr>
          <w:p>
            <w:pPr/>
          </w:p>
        </w:tc>
        <w:tc>
          <w:tcPr>
            <w:tcW w:w="1175" w:type="dxa"/>
            <w:tcBorders>
              <w:top w:val="single" w:sz="14" w:space="0" w:color="FFFFFF"/>
              <w:left w:val="single" w:sz="13" w:space="0" w:color="FFFFFF"/>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13" w:space="0" w:color="FFFFFF"/>
            </w:tcBorders>
            <w:shd w:val="clear" w:color="auto" w:fill="D2D2D2"/>
          </w:tcPr>
          <w:p>
            <w:pPr/>
          </w:p>
        </w:tc>
        <w:tc>
          <w:tcPr>
            <w:tcW w:w="1175" w:type="dxa"/>
            <w:vMerge w:val="restart"/>
            <w:tcBorders>
              <w:top w:val="nil" w:sz="6" w:space="0" w:color="auto"/>
              <w:left w:val="single" w:sz="13"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13" w:space="0" w:color="FFFFFF"/>
            </w:tcBorders>
            <w:shd w:val="clear" w:color="auto" w:fill="D2D2D2"/>
          </w:tcPr>
          <w:p>
            <w:pPr/>
          </w:p>
        </w:tc>
        <w:tc>
          <w:tcPr>
            <w:tcW w:w="1175" w:type="dxa"/>
            <w:vMerge/>
            <w:tcBorders>
              <w:left w:val="single" w:sz="13" w:space="0" w:color="FFFFFF"/>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13" w:space="0" w:color="FFFFFF"/>
            </w:tcBorders>
            <w:shd w:val="clear" w:color="auto" w:fill="D2D2D2"/>
          </w:tcPr>
          <w:p>
            <w:pPr/>
          </w:p>
        </w:tc>
        <w:tc>
          <w:tcPr>
            <w:tcW w:w="1175" w:type="dxa"/>
            <w:tcBorders>
              <w:top w:val="nil" w:sz="6" w:space="0" w:color="auto"/>
              <w:left w:val="single" w:sz="13" w:space="0" w:color="FFFFFF"/>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13" w:space="0" w:color="FFFFFF"/>
            </w:tcBorders>
            <w:shd w:val="clear" w:color="auto" w:fill="D2D2D2"/>
          </w:tcPr>
          <w:p>
            <w:pPr/>
          </w:p>
        </w:tc>
        <w:tc>
          <w:tcPr>
            <w:tcW w:w="1175" w:type="dxa"/>
            <w:vMerge w:val="restart"/>
            <w:tcBorders>
              <w:top w:val="single" w:sz="4" w:space="0" w:color="000000"/>
              <w:left w:val="single" w:sz="13" w:space="0" w:color="FFFFFF"/>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691,799,630.7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540,241,217.39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38.28%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-8.68%</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13"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13" w:space="0" w:color="FFFFFF"/>
            </w:tcBorders>
            <w:shd w:val="clear" w:color="auto" w:fill="D2D2D2"/>
          </w:tcPr>
          <w:p>
            <w:pPr/>
          </w:p>
        </w:tc>
        <w:tc>
          <w:tcPr>
            <w:tcW w:w="1175" w:type="dxa"/>
            <w:vMerge/>
            <w:tcBorders>
              <w:left w:val="single" w:sz="13"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58,856,687.46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35,943,554.02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13" w:space="0" w:color="FFFFFF"/>
            </w:tcBorders>
            <w:shd w:val="clear" w:color="auto" w:fill="D2D2D2"/>
          </w:tcPr>
          <w:p>
            <w:pPr/>
          </w:p>
        </w:tc>
        <w:tc>
          <w:tcPr>
            <w:tcW w:w="1175" w:type="dxa"/>
            <w:vMerge w:val="restart"/>
            <w:tcBorders>
              <w:top w:val="single" w:sz="4" w:space="0" w:color="000000"/>
              <w:left w:val="single" w:sz="13" w:space="0" w:color="FFFFFF"/>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428,768,115.9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18.35%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370,897,977.16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26.28%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-7.93%</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13"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13" w:space="0" w:color="FFFFFF"/>
            </w:tcBorders>
            <w:shd w:val="clear" w:color="auto" w:fill="D2D2D2"/>
          </w:tcPr>
          <w:p>
            <w:pPr/>
          </w:p>
        </w:tc>
        <w:tc>
          <w:tcPr>
            <w:tcW w:w="1175" w:type="dxa"/>
            <w:vMerge/>
            <w:tcBorders>
              <w:left w:val="single" w:sz="13"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27,119,839.51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1.16%</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13" w:space="0" w:color="FFFFFF"/>
            </w:tcBorders>
            <w:shd w:val="clear" w:color="auto" w:fill="D2D2D2"/>
          </w:tcPr>
          <w:p>
            <w:pPr/>
          </w:p>
        </w:tc>
        <w:tc>
          <w:tcPr>
            <w:tcW w:w="1175" w:type="dxa"/>
            <w:vMerge w:val="restart"/>
            <w:tcBorders>
              <w:top w:val="single" w:sz="4" w:space="0" w:color="000000"/>
              <w:left w:val="single" w:sz="13" w:space="0" w:color="FFFFFF"/>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103,282,710.5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4.42%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81,557,425.24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5.78%</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-1.36%</w:t>
            </w:r>
          </w:p>
        </w:tc>
        <w:tc>
          <w:tcPr>
            <w:tcW w:w="2786" w:type="dxa"/>
            <w:vMerge w:val="restart"/>
            <w:tcBorders>
              <w:top w:val="single" w:sz="4" w:space="0" w:color="000000"/>
              <w:left w:val="single" w:sz="4" w:space="0" w:color="000000"/>
              <w:right w:val="single" w:sz="4" w:space="0" w:color="000000"/>
            </w:tcBorders>
          </w:tcPr>
          <w:p>
            <w:pPr/>
          </w:p>
        </w:tc>
      </w:tr>
      <w:tr>
        <w:trPr>
          <w:trHeight w:val="391" w:hRule="exact"/>
        </w:trPr>
        <w:tc>
          <w:tcPr>
            <w:tcW w:w="1346"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vMerge/>
            <w:tcBorders>
              <w:left w:val="single" w:sz="13" w:space="0" w:color="FFFFFF"/>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13" w:space="0" w:color="FFFFFF"/>
            </w:tcBorders>
            <w:shd w:val="clear" w:color="auto" w:fill="D2D2D2"/>
          </w:tcPr>
          <w:p>
            <w:pPr/>
          </w:p>
        </w:tc>
        <w:tc>
          <w:tcPr>
            <w:tcW w:w="1175" w:type="dxa"/>
            <w:vMerge/>
            <w:tcBorders>
              <w:left w:val="single" w:sz="13" w:space="0" w:color="FFFFFF"/>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5,887,828.81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27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624,031,391.9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26.70%</w:t>
            </w:r>
          </w:p>
        </w:tc>
        <w:tc>
          <w:tcPr>
            <w:tcW w:w="27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27"/>
      <w:bookmarkEnd w:id="27"/>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310,660,697.4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198,871,173.10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106,988,935.7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54,368,512.69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公允价值计量的资产和负债" w:id="28"/>
      <w:bookmarkEnd w:id="28"/>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核心竞争力分析" w:id="29"/>
      <w:bookmarkEnd w:id="29"/>
      <w:r>
        <w:rPr>
          <w:b w:val="0"/>
          <w:bCs w:val="0"/>
        </w:rPr>
      </w:r>
      <w:r>
        <w:rPr/>
        <w:t>五、核心竞争力分析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649" w:right="0"/>
        <w:jc w:val="left"/>
      </w:pPr>
      <w:r>
        <w:rPr>
          <w:spacing w:val="-3"/>
        </w:rPr>
        <w:t>公司定位于国内领先的智能银行整体解决方案及互联网金融综合服务商，经过多年的发展，在所处细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分领域的市场地位、策略联盟、核心技术、核心团队、企业资质、业务协同、政策扶持等方面已取得一定 的领先优势。公司经过多年摸索，建立并推行了“阿米巴多层级合伙人经营责任制”，将公司划分为一个 </w:t>
      </w:r>
      <w:r>
        <w:rPr>
          <w:spacing w:val="-3"/>
        </w:rPr>
        <w:t>个独立经营体，通过建立与市场直接联系的独立核算制进行运营，建立起一套发现、培养经营人才的体系，</w:t>
      </w:r>
      <w:r>
        <w:rPr>
          <w:spacing w:val="-90"/>
        </w:rPr>
        <w:t> </w:t>
      </w:r>
      <w:r>
        <w:rPr>
          <w:spacing w:val="-90"/>
        </w:rPr>
      </w:r>
      <w:r>
        <w:rPr/>
        <w:t>调动员工参与经营管理，从而实现全员参与的经营模式。多层级合伙人制能够极大的提高劳动生产率，充</w:t>
      </w:r>
      <w:r>
        <w:rPr/>
        <w:t> 分调动员工的工作积极性，目前已成为中科金财的核心竞争能力。</w:t>
      </w:r>
    </w:p>
    <w:p>
      <w:pPr>
        <w:pStyle w:val="BodyText"/>
        <w:spacing w:line="408" w:lineRule="auto"/>
        <w:ind w:right="0" w:firstLine="496"/>
        <w:jc w:val="left"/>
      </w:pPr>
      <w:r>
        <w:rPr>
          <w:spacing w:val="-3"/>
        </w:rPr>
        <w:t>公司长期以来为多家商业银行及客户提供智能银行及互联网转型综合服务，能够为银行客户提供包括</w:t>
      </w:r>
      <w:r>
        <w:rPr/>
        <w:t> 管理咨询、业务流程再造、多渠道整合、移动支付运营外包、大数据分析、金融机具制造、自助网点运营 外包、金融互联网运营外包等全业务链的综合服务，深刻地理解中小商业银行在利率市场化、资产证券化 转型过程中的需求，是目前国内为银行提供互联网转型服务能力最全面的公司之一。公司到目前为止已经 </w:t>
      </w:r>
      <w:r>
        <w:rPr>
          <w:spacing w:val="-1"/>
        </w:rPr>
        <w:t>参与了工信部《信息技术服务》行业标准、人民银行《票据自助柜员机（</w:t>
      </w:r>
      <w:r>
        <w:rPr>
          <w:rFonts w:ascii="宋体" w:hAnsi="宋体" w:cs="宋体" w:eastAsia="宋体" w:hint="default"/>
          <w:spacing w:val="-1"/>
        </w:rPr>
        <w:t>ATM</w:t>
      </w:r>
      <w:r>
        <w:rPr>
          <w:spacing w:val="-1"/>
        </w:rPr>
        <w:t>）终端企业标准》行业标准、</w:t>
      </w:r>
      <w:r>
        <w:rPr>
          <w:spacing w:val="-85"/>
        </w:rPr>
        <w:t> </w:t>
      </w:r>
      <w:r>
        <w:rPr>
          <w:spacing w:val="-85"/>
        </w:rPr>
      </w:r>
      <w:r>
        <w:rPr/>
        <w:t>银监会《银行监管报表 </w:t>
      </w:r>
      <w:r>
        <w:rPr>
          <w:rFonts w:ascii="宋体" w:hAnsi="宋体" w:cs="宋体" w:eastAsia="宋体" w:hint="default"/>
        </w:rPr>
        <w:t>XBRL</w:t>
      </w:r>
      <w:r>
        <w:rPr>
          <w:rFonts w:ascii="宋体" w:hAnsi="宋体" w:cs="宋体" w:eastAsia="宋体" w:hint="default"/>
          <w:spacing w:val="-18"/>
        </w:rPr>
        <w:t> </w:t>
      </w:r>
      <w:r>
        <w:rPr/>
        <w:t>扩展分类标准》等多项行业标准的制定工作。公司已经获得国家发改委国家 信息安全专项、国家发改委重点产业振兴和技术改造项目、工信部“新一代宽带无线移动通信网”国家科 技重大专项、国家发改委下一代互联网技术研发、产业化和规模商用专项、中关村产业联盟重大示范项目 专项等多个专项支持。截至报告期末，公司共拥有专利</w:t>
      </w:r>
      <w:r>
        <w:rPr>
          <w:rFonts w:ascii="宋体" w:hAnsi="宋体" w:cs="宋体" w:eastAsia="宋体" w:hint="default"/>
        </w:rPr>
        <w:t>54</w:t>
      </w:r>
      <w:r>
        <w:rPr/>
        <w:t>项，软件著作权证书累计达到</w:t>
      </w:r>
      <w:r>
        <w:rPr>
          <w:rFonts w:ascii="宋体" w:hAnsi="宋体" w:cs="宋体" w:eastAsia="宋体" w:hint="default"/>
        </w:rPr>
        <w:t>129</w:t>
      </w:r>
      <w:r>
        <w:rPr/>
        <w:t>项。</w:t>
      </w:r>
    </w:p>
    <w:p>
      <w:pPr>
        <w:pStyle w:val="BodyText"/>
        <w:spacing w:line="408" w:lineRule="auto"/>
        <w:ind w:right="1130" w:firstLine="496"/>
        <w:jc w:val="both"/>
      </w:pPr>
      <w:r>
        <w:rPr>
          <w:spacing w:val="-3"/>
        </w:rPr>
        <w:t>公司是国家规划布局内重点软件企业，获得了北京市高新技术企业、双软认定企业、北京市火炬计划</w:t>
      </w:r>
      <w:r>
        <w:rPr/>
        <w:t> </w:t>
      </w:r>
      <w:r>
        <w:rPr>
          <w:spacing w:val="-3"/>
        </w:rPr>
        <w:t>企业、北京市经信委“四个一批”工程企业、中关村“十百千工程”企业等系列资质。公司通过了</w:t>
      </w:r>
      <w:r>
        <w:rPr>
          <w:rFonts w:ascii="宋体" w:hAnsi="宋体" w:cs="宋体" w:eastAsia="宋体" w:hint="default"/>
          <w:spacing w:val="-3"/>
        </w:rPr>
        <w:t>ISO/IEC</w:t>
      </w:r>
      <w:r>
        <w:rPr>
          <w:rFonts w:ascii="宋体" w:hAnsi="宋体" w:cs="宋体" w:eastAsia="宋体" w:hint="default"/>
          <w:spacing w:val="-83"/>
        </w:rPr>
        <w:t> </w:t>
      </w:r>
      <w:r>
        <w:rPr>
          <w:rFonts w:ascii="宋体" w:hAnsi="宋体" w:cs="宋体" w:eastAsia="宋体" w:hint="default"/>
        </w:rPr>
        <w:t>20000-1:2005 IT</w:t>
      </w:r>
      <w:r>
        <w:rPr/>
        <w:t>服务管理体系认证、</w:t>
      </w:r>
      <w:r>
        <w:rPr>
          <w:rFonts w:ascii="宋体" w:hAnsi="宋体" w:cs="宋体" w:eastAsia="宋体" w:hint="default"/>
        </w:rPr>
        <w:t>ISO/IEC</w:t>
      </w:r>
      <w:r>
        <w:rPr>
          <w:rFonts w:ascii="宋体" w:hAnsi="宋体" w:cs="宋体" w:eastAsia="宋体" w:hint="default"/>
          <w:spacing w:val="-26"/>
        </w:rPr>
        <w:t> </w:t>
      </w:r>
      <w:r>
        <w:rPr>
          <w:rFonts w:ascii="宋体" w:hAnsi="宋体" w:cs="宋体" w:eastAsia="宋体" w:hint="default"/>
        </w:rPr>
        <w:t>27001</w:t>
      </w:r>
      <w:r>
        <w:rPr/>
        <w:t>：</w:t>
      </w:r>
      <w:r>
        <w:rPr>
          <w:rFonts w:ascii="宋体" w:hAnsi="宋体" w:cs="宋体" w:eastAsia="宋体" w:hint="default"/>
        </w:rPr>
        <w:t>2005</w:t>
      </w:r>
      <w:r>
        <w:rPr/>
        <w:t>信息安全管理体系认证、</w:t>
      </w:r>
      <w:r>
        <w:rPr>
          <w:rFonts w:ascii="宋体" w:hAnsi="宋体" w:cs="宋体" w:eastAsia="宋体" w:hint="default"/>
        </w:rPr>
        <w:t>ISO9001:2008</w:t>
      </w:r>
      <w:r>
        <w:rPr/>
        <w:t>质量管 </w:t>
      </w:r>
      <w:r>
        <w:rPr>
          <w:spacing w:val="-1"/>
        </w:rPr>
        <w:t>理体系认证、</w:t>
      </w:r>
      <w:r>
        <w:rPr>
          <w:rFonts w:ascii="宋体" w:hAnsi="宋体" w:cs="宋体" w:eastAsia="宋体" w:hint="default"/>
          <w:spacing w:val="-1"/>
        </w:rPr>
        <w:t>ISO14001</w:t>
      </w:r>
      <w:r>
        <w:rPr>
          <w:spacing w:val="-1"/>
        </w:rPr>
        <w:t>（环境管理体系）认证、软件能力成熟度模型</w:t>
      </w:r>
      <w:r>
        <w:rPr>
          <w:rFonts w:ascii="宋体" w:hAnsi="宋体" w:cs="宋体" w:eastAsia="宋体" w:hint="default"/>
          <w:spacing w:val="-1"/>
        </w:rPr>
        <w:t>CMMI</w:t>
      </w:r>
      <w:r>
        <w:rPr>
          <w:spacing w:val="-1"/>
        </w:rPr>
        <w:t>三级认证，获得了计算机信息系</w:t>
      </w:r>
      <w:r>
        <w:rPr>
          <w:spacing w:val="-78"/>
        </w:rPr>
        <w:t> </w:t>
      </w:r>
      <w:r>
        <w:rPr>
          <w:spacing w:val="-78"/>
        </w:rPr>
      </w:r>
      <w:r>
        <w:rPr>
          <w:spacing w:val="-1"/>
        </w:rPr>
        <w:t>统集成一级资质、</w:t>
      </w:r>
      <w:r>
        <w:rPr>
          <w:rFonts w:ascii="宋体" w:hAnsi="宋体" w:cs="宋体" w:eastAsia="宋体" w:hint="default"/>
          <w:spacing w:val="-1"/>
        </w:rPr>
        <w:t>ITSS</w:t>
      </w:r>
      <w:r>
        <w:rPr>
          <w:spacing w:val="-1"/>
        </w:rPr>
        <w:t>信息技术服务运行维护标准符合性证书等系列行业资质，公司软件服务资质完整性</w:t>
      </w:r>
      <w:r>
        <w:rPr>
          <w:spacing w:val="-79"/>
        </w:rPr>
        <w:t> </w:t>
      </w:r>
      <w:r>
        <w:rPr>
          <w:spacing w:val="-79"/>
        </w:rPr>
      </w:r>
      <w:r>
        <w:rPr/>
        <w:t>目前居中国软件行业前列。</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六、投资状况分析" w:id="30"/>
      <w:bookmarkEnd w:id="30"/>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1"/>
      <w:bookmarkEnd w:id="31"/>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2"/>
      <w:bookmarkEnd w:id="32"/>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821,920,000.00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5,011.44%</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75.880005pt;margin-top:216.829987pt;width:157.950pt;height:20.8pt;mso-position-horizontal-relative:page;mso-position-vertical-relative:page;z-index:-1004560" coordorigin="7518,4337" coordsize="3159,416">
            <v:group style="position:absolute;left:7529;top:4348;width:2;height:393" coordorigin="7529,4348" coordsize="2,393">
              <v:shape style="position:absolute;left:7529;top:4348;width:2;height:393" coordorigin="7529,4348" coordsize="0,393" path="m7529,4348l7529,4740e" filled="false" stroked="true" strokeweight="1.140pt" strokecolor="#ffffff">
                <v:path arrowok="t"/>
              </v:shape>
            </v:group>
            <v:group style="position:absolute;left:7540;top:4348;width:3136;height:393" coordorigin="7540,4348" coordsize="3136,393">
              <v:shape style="position:absolute;left:7540;top:4348;width:3136;height:393" coordorigin="7540,4348" coordsize="3136,393" path="m7540,4740l10676,4740,10676,4348,7540,4348,7540,474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25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软件、电子信息、工业装备与自动化系 统技术及产品的开发、咨询、服务、转 让；电子产品、通讯设备、计算机、软 件及辅助设备、计算机配件、金融机具 及配件、办公用品、五金交电批发兼零 售；从事广告业务；计算机系统集成； 安全技术防范系统设计、施工、维修； 室内外装修。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北京中科金财投资管理有限公司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投资管理、资产管理、项目投资、投资 咨询、技术转让、技术服务、技术咨询 计算机技术培训。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2514" w:val="left" w:leader="none"/>
              </w:tabs>
              <w:spacing w:line="240" w:lineRule="auto" w:before="128"/>
              <w:ind w:left="-122"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100.00%</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网上贸易代理；货物进出口；普通货物 仓储；国内货运代理；项目投资；再生 资源技术开发、技术咨询、技术服务。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20.10%</w:t>
            </w:r>
          </w:p>
        </w:tc>
      </w:tr>
      <w:tr>
        <w:trPr>
          <w:trHeight w:val="25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深圳中金财富互联网金融服务有限公司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金融信息服务； 提供金融中介服务；接受金融机构委托 从事金融外包服务；金融软件的技术开 发及相关技术咨询；商务信息咨询、投 资管理、投资咨询、股权投资（以上均 </w:t>
            </w:r>
            <w:r>
              <w:rPr>
                <w:rFonts w:ascii="宋体" w:hAnsi="宋体" w:cs="宋体" w:eastAsia="宋体" w:hint="default"/>
                <w:spacing w:val="-6"/>
                <w:sz w:val="18"/>
                <w:szCs w:val="18"/>
              </w:rPr>
              <w:t>不含限制项目）；受托管理股权投资基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金；保付代理（非银行融资类）：数据处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理服务；在网上从事商贸活动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159.1pt;height:54.6pt;mso-position-horizontal-relative:char;mso-position-vertical-relative:line" coordorigin="0,0" coordsize="3182,1092">
                  <v:group style="position:absolute;left:0;top:0;width:3182;height:1092" coordorigin="0,0" coordsize="3182,1092">
                    <v:shape style="position:absolute;left:0;top:0;width:3182;height:1092" coordorigin="0,0" coordsize="3182,1092" path="m0,1092l3182,1092,3182,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279.737pt;margin-top:-141.886337pt;width:255.25pt;height:54.6pt;mso-position-horizontal-relative:page;mso-position-vertical-relative:paragraph;z-index:-100458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依托互联网等技术手段，</w:t>
                  </w:r>
                </w:p>
              </w:txbxContent>
            </v:textbox>
            <w10:wrap type="none"/>
          </v:shape>
        </w:pict>
      </w:r>
      <w:bookmarkStart w:name="2、委托理财、衍生品投资和委托贷款情况" w:id="33"/>
      <w:bookmarkEnd w:id="33"/>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34"/>
      <w:bookmarkEnd w:id="3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广发银行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每月付</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息，到期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每月付 息，到期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11.34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广发银行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39.39</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6"/>
              <w:jc w:val="left"/>
              <w:rPr>
                <w:rFonts w:ascii="宋体" w:hAnsi="宋体" w:cs="宋体" w:eastAsia="宋体" w:hint="default"/>
                <w:sz w:val="18"/>
                <w:szCs w:val="18"/>
              </w:rPr>
            </w:pPr>
            <w:r>
              <w:rPr>
                <w:rFonts w:ascii="宋体" w:hAnsi="宋体" w:cs="宋体" w:eastAsia="宋体" w:hint="default"/>
                <w:sz w:val="18"/>
                <w:szCs w:val="18"/>
              </w:rPr>
              <w:t>宁波银行 股份有限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118.53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招商银行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0.43</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0.43</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15.99</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0.78</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宁波银行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3"/>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保本浮动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到期一次</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还本付息</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60,510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49,510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583.54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322.16</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暂时闲置募集资金和暂时闲置的流动资金</w:t>
            </w:r>
          </w:p>
        </w:tc>
      </w:tr>
      <w:tr>
        <w:trPr>
          <w:trHeight w:val="402" w:hRule="exact"/>
        </w:trPr>
        <w:tc>
          <w:tcPr>
            <w:tcW w:w="3209" w:type="dxa"/>
            <w:gridSpan w:val="4"/>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FFFFFF"/>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000000"/>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使用情况" w:id="35"/>
      <w:bookmarkEnd w:id="35"/>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募集资金总体使用情况" w:id="36"/>
      <w:bookmarkEnd w:id="36"/>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81,909.28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33,871.51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55,041.61</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3,043.66</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539"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[2012]152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号文《关于核准北京中科金财科技股份有限公司首次公开发行股票的 批复》核准，北京中科金财科技股份有限公司于中国境内首次公开发行人民币普通股股票。公司于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日通过</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深圳证券交易所发行人民币普通股（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1745.00 </w:t>
            </w:r>
            <w:r>
              <w:rPr>
                <w:rFonts w:ascii="宋体" w:hAnsi="宋体" w:cs="宋体" w:eastAsia="宋体" w:hint="default"/>
                <w:spacing w:val="-4"/>
                <w:sz w:val="18"/>
                <w:szCs w:val="18"/>
              </w:rPr>
              <w:t>万股，发行价格为每股人民币 </w:t>
            </w:r>
            <w:r>
              <w:rPr>
                <w:rFonts w:ascii="Times New Roman" w:hAnsi="Times New Roman" w:cs="Times New Roman" w:eastAsia="Times New Roman" w:hint="default"/>
                <w:sz w:val="18"/>
                <w:szCs w:val="18"/>
              </w:rPr>
              <w:t>22.00 </w:t>
            </w:r>
            <w:r>
              <w:rPr>
                <w:rFonts w:ascii="宋体" w:hAnsi="宋体" w:cs="宋体" w:eastAsia="宋体" w:hint="default"/>
                <w:spacing w:val="-5"/>
                <w:sz w:val="18"/>
                <w:szCs w:val="18"/>
              </w:rPr>
              <w:t>元，募集资金总额为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383,900,000.00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333,733,517.24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元，上述募集资金到位情况已经立信会计师事务所（特殊普通合伙）审验，并</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7"/>
                <w:sz w:val="18"/>
                <w:szCs w:val="18"/>
              </w:rPr>
              <w:t>日出具信会师报字</w:t>
            </w:r>
            <w:r>
              <w:rPr>
                <w:rFonts w:ascii="Times New Roman" w:hAnsi="Times New Roman" w:cs="Times New Roman" w:eastAsia="Times New Roman" w:hint="default"/>
                <w:spacing w:val="-7"/>
                <w:sz w:val="18"/>
                <w:szCs w:val="18"/>
              </w:rPr>
              <w:t>[2012]</w:t>
            </w:r>
            <w:r>
              <w:rPr>
                <w:rFonts w:ascii="宋体" w:hAnsi="宋体" w:cs="宋体" w:eastAsia="宋体" w:hint="default"/>
                <w:spacing w:val="-7"/>
                <w:sz w:val="18"/>
                <w:szCs w:val="18"/>
              </w:rPr>
              <w:t>第（</w:t>
            </w:r>
            <w:r>
              <w:rPr>
                <w:rFonts w:ascii="Times New Roman" w:hAnsi="Times New Roman" w:cs="Times New Roman" w:eastAsia="Times New Roman" w:hint="default"/>
                <w:spacing w:val="-7"/>
                <w:sz w:val="18"/>
                <w:szCs w:val="18"/>
              </w:rPr>
              <w:t>210034</w:t>
            </w:r>
            <w:r>
              <w:rPr>
                <w:rFonts w:ascii="宋体" w:hAnsi="宋体" w:cs="宋体" w:eastAsia="宋体" w:hint="default"/>
                <w:spacing w:val="-7"/>
                <w:sz w:val="18"/>
                <w:szCs w:val="18"/>
              </w:rPr>
              <w:t>）号验资报告。截止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日，募集资金累计使用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31,101.53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万元，募集资金可使用余额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w:t>
            </w:r>
            <w:r>
              <w:rPr>
                <w:rFonts w:ascii="宋体" w:hAnsi="宋体" w:cs="宋体" w:eastAsia="宋体" w:hint="default"/>
                <w:sz w:val="18"/>
                <w:szCs w:val="18"/>
              </w:rPr>
              <w:t>含利息收入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02"/>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日向社会公开发行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的</w:t>
            </w:r>
            <w:r>
              <w:rPr>
                <w:rFonts w:ascii="宋体" w:hAnsi="宋体" w:cs="宋体" w:eastAsia="宋体" w:hint="default"/>
                <w:sz w:val="18"/>
                <w:szCs w:val="18"/>
              </w:rPr>
              <w:t>公司债券</w:t>
            </w:r>
            <w:r>
              <w:rPr>
                <w:rFonts w:ascii="宋体" w:hAnsi="宋体" w:cs="宋体" w:eastAsia="宋体" w:hint="default"/>
                <w:spacing w:val="-90"/>
                <w:sz w:val="18"/>
                <w:szCs w:val="18"/>
              </w:rPr>
              <w:t>，</w:t>
            </w:r>
            <w:r>
              <w:rPr>
                <w:rFonts w:ascii="宋体" w:hAnsi="宋体" w:cs="宋体" w:eastAsia="宋体" w:hint="default"/>
                <w:sz w:val="18"/>
                <w:szCs w:val="18"/>
              </w:rPr>
              <w:t>债券票面利率为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交易费用为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p>
          <w:p>
            <w:pPr>
              <w:pStyle w:val="TableParagraph"/>
              <w:spacing w:line="338" w:lineRule="auto" w:before="64"/>
              <w:ind w:left="382" w:right="21" w:hanging="360"/>
              <w:jc w:val="left"/>
              <w:rPr>
                <w:rFonts w:ascii="宋体" w:hAnsi="宋体" w:cs="宋体" w:eastAsia="宋体" w:hint="default"/>
                <w:sz w:val="18"/>
                <w:szCs w:val="18"/>
              </w:rPr>
            </w:pPr>
            <w:r>
              <w:rPr>
                <w:rFonts w:ascii="宋体" w:hAnsi="宋体" w:cs="宋体" w:eastAsia="宋体" w:hint="default"/>
                <w:sz w:val="18"/>
                <w:szCs w:val="18"/>
              </w:rPr>
              <w:t>元。公司债券已获得中国证券监督管理委员会证监许可</w:t>
            </w:r>
            <w:r>
              <w:rPr>
                <w:rFonts w:ascii="Times New Roman" w:hAnsi="Times New Roman" w:cs="Times New Roman" w:eastAsia="Times New Roman" w:hint="default"/>
                <w:sz w:val="18"/>
                <w:szCs w:val="18"/>
              </w:rPr>
              <w:t>[2013]39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 </w:t>
            </w:r>
            <w:r>
              <w:rPr>
                <w:rFonts w:ascii="宋体" w:hAnsi="宋体" w:cs="宋体" w:eastAsia="宋体" w:hint="default"/>
                <w:spacing w:val="-2"/>
                <w:sz w:val="18"/>
                <w:szCs w:val="18"/>
              </w:rPr>
              <w:t>经北京中科金财科技股份有限公司第三届董事会第八次会议、</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年第一次临时股东大会决议，并经中国证券监督委</w:t>
            </w:r>
          </w:p>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员会证监许可</w:t>
            </w:r>
            <w:r>
              <w:rPr>
                <w:rFonts w:ascii="Times New Roman" w:hAnsi="Times New Roman" w:cs="Times New Roman" w:eastAsia="Times New Roman" w:hint="default"/>
                <w:sz w:val="18"/>
                <w:szCs w:val="18"/>
              </w:rPr>
              <w:t>[2014]1218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号文《关于核准北京中科金财科技股份有限公司向刘开同等发行股份购买资产并募集配套资金的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批复》核准，公司非公开发行不超过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11,733,568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股新股募集本次发行股份购买资产的配套资金。发行价格为人民币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22.67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265,999,986.56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元，扣除财务顾问承销费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元及其他发行费用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1,240,654.99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元，募集配套资金净额为人民币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247,759,331.57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元。以上非公开发行的配套募集资金已经立信会计师事务所（特殊普通合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伙）审验，并于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日出具信会师报字（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Times New Roman" w:hAnsi="Times New Roman" w:cs="Times New Roman" w:eastAsia="Times New Roman" w:hint="default"/>
                <w:sz w:val="18"/>
                <w:szCs w:val="18"/>
              </w:rPr>
              <w:t>211369</w:t>
            </w:r>
            <w:r>
              <w:rPr>
                <w:rFonts w:ascii="宋体" w:hAnsi="宋体" w:cs="宋体" w:eastAsia="宋体" w:hint="default"/>
                <w:sz w:val="18"/>
                <w:szCs w:val="18"/>
              </w:rPr>
              <w:t>）号验资报告。</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募集资金承诺项目情况" w:id="37"/>
      <w:bookmarkEnd w:id="37"/>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194"/>
        <w:gridCol w:w="578"/>
        <w:gridCol w:w="780"/>
        <w:gridCol w:w="776"/>
        <w:gridCol w:w="781"/>
        <w:gridCol w:w="782"/>
        <w:gridCol w:w="785"/>
        <w:gridCol w:w="774"/>
        <w:gridCol w:w="790"/>
        <w:gridCol w:w="778"/>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79"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8"/>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基础组件支撑平台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V2.0</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2,650.6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2,650.6</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2,017.94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76.13%</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营销与服务网络建设</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3,228.2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184.54</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8"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影像集中作业平台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V2.0</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1,314.24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5,037.32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77.19%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659.02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服务综合业务管理</w:t>
            </w:r>
            <w:r>
              <w:rPr>
                <w:rFonts w:ascii="宋体" w:hAnsi="宋体" w:cs="宋体" w:eastAsia="宋体" w:hint="default"/>
                <w:w w:val="99"/>
                <w:sz w:val="18"/>
                <w:szCs w:val="18"/>
              </w:rPr>
              <w:t> </w:t>
            </w:r>
            <w:r>
              <w:rPr>
                <w:rFonts w:ascii="宋体" w:hAnsi="宋体" w:cs="宋体" w:eastAsia="宋体" w:hint="default"/>
                <w:sz w:val="18"/>
                <w:szCs w:val="18"/>
              </w:rPr>
              <w:t>系统项目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4,522.96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4,522.96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710.91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3,692.08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81.63%</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444.96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智能银行渠道整合平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3,043.66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868.76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1,054.37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34.64%</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结余募集资金永久补 充流动资金</w:t>
            </w:r>
          </w:p>
        </w:tc>
        <w:tc>
          <w:tcPr>
            <w:tcW w:w="771" w:type="dxa"/>
            <w:gridSpan w:val="2"/>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3,441.07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3,441.07</w:t>
            </w:r>
          </w:p>
        </w:tc>
        <w:tc>
          <w:tcPr>
            <w:tcW w:w="785" w:type="dxa"/>
            <w:tcBorders>
              <w:top w:val="single" w:sz="4" w:space="0" w:color="000000"/>
              <w:left w:val="single" w:sz="4" w:space="0" w:color="000000"/>
              <w:bottom w:val="single" w:sz="4" w:space="0" w:color="000000"/>
              <w:right w:val="single" w:sz="4" w:space="0" w:color="000000"/>
            </w:tcBorders>
          </w:tcPr>
          <w:p>
            <w:pPr/>
          </w:p>
        </w:tc>
        <w:tc>
          <w:tcPr>
            <w:tcW w:w="77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购买资产配套募集资 金</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24,775.93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24,775.93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23,940.08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23,940.08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96.63%</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6,346.84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41,703.69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41,703.69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30,275.06</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39,367.4</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7,450.82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票据自助受理系统项 目</w:t>
            </w:r>
          </w:p>
        </w:tc>
        <w:tc>
          <w:tcPr>
            <w:tcW w:w="7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4,082.99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4,082.99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1,113.15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3,155.85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77.29%</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380.16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5,235.08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5,235.08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5,235.08</w:t>
            </w:r>
          </w:p>
        </w:tc>
        <w:tc>
          <w:tcPr>
            <w:tcW w:w="7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7,127.52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7,127.52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7,283.29</w:t>
            </w:r>
          </w:p>
        </w:tc>
        <w:tc>
          <w:tcPr>
            <w:tcW w:w="78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102.19%</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16,445.59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16,445.59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3,596.44</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15,674.22</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380.16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58,149.28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58,149.28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33,871.5</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55,041.62</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7,830.98</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5"/>
              <w:jc w:val="right"/>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1.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67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万元，项目达到预定可使用状态日期为</w:t>
                        </w:r>
                      </w:p>
                      <w:p>
                        <w:pPr>
                          <w:pStyle w:val="TableParagraph"/>
                          <w:spacing w:line="312" w:lineRule="auto" w:before="6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日。近年来国内房地产价格不断上涨，原计划购置的办公场地价格已大大超出预算 因此公司在</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的实施决策上保持了充分的谨慎，在开办过程中一直暂以租 赁的形式开展营销网络的建设。此外，公司在车辆、设备购置、费用支出等方面也是本着勤俭节约 的原则，充分调配现有资源，节省了大量资金。因营销与服务网络建设项目的预计目标及效益已经 基本达成，为了提高募集资金的使用效益，推进公司发展战略的实施，公司决定终止原募投项目， 将项目剩余募集资金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3043.66 </w:t>
                        </w:r>
                        <w:r>
                          <w:rPr>
                            <w:rFonts w:ascii="宋体" w:hAnsi="宋体" w:cs="宋体" w:eastAsia="宋体" w:hint="default"/>
                            <w:sz w:val="18"/>
                            <w:szCs w:val="18"/>
                          </w:rPr>
                          <w:t>万元（未包括利息收入）用于投资新的项目。</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5"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本公司实际募集资金净额为人民币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333,733,517.24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元，扣除募集资金项目投资总额人民币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169,277,600.00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元，超额募集资金为人民币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164,455,917.24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日第二届董事会第八次会议及第二届监事会第四次会议，审议通过了《关于审议部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分超募资金用于偿还银行贷款的议案</w:t>
                        </w:r>
                        <w:r>
                          <w:rPr>
                            <w:rFonts w:ascii="宋体" w:hAnsi="宋体" w:cs="宋体" w:eastAsia="宋体" w:hint="default"/>
                            <w:spacing w:val="-90"/>
                            <w:sz w:val="18"/>
                            <w:szCs w:val="18"/>
                          </w:rPr>
                          <w:t>》</w:t>
                        </w:r>
                        <w:r>
                          <w:rPr>
                            <w:rFonts w:ascii="宋体" w:hAnsi="宋体" w:cs="宋体" w:eastAsia="宋体" w:hint="default"/>
                            <w:sz w:val="18"/>
                            <w:szCs w:val="18"/>
                          </w:rPr>
                          <w:t>，同意以超募资金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52,350,78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元偿还银行贷款。公司已于</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52,350,780.00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元偿还银行贷款。</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日第二届董事会第十次会议、第二届监事会第六次会议审议通过了《关于部分超募</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一</w:t>
                        </w:r>
                        <w:r>
                          <w:rPr>
                            <w:rFonts w:ascii="宋体" w:hAnsi="宋体" w:cs="宋体" w:eastAsia="宋体" w:hint="default"/>
                            <w:sz w:val="18"/>
                            <w:szCs w:val="18"/>
                          </w:rPr>
                          <w:t>次临时股东大会审议通过，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 </w:t>
                        </w:r>
                        <w:r>
                          <w:rPr>
                            <w:rFonts w:ascii="宋体" w:hAnsi="宋体" w:cs="宋体" w:eastAsia="宋体" w:hint="default"/>
                            <w:sz w:val="18"/>
                            <w:szCs w:val="18"/>
                          </w:rPr>
                          <w:t>元暂时补充流动资</w:t>
                        </w:r>
                        <w:r>
                          <w:rPr>
                            <w:rFonts w:ascii="宋体" w:hAnsi="宋体" w:cs="宋体" w:eastAsia="宋体" w:hint="default"/>
                            <w:spacing w:val="-18"/>
                            <w:sz w:val="18"/>
                            <w:szCs w:val="18"/>
                          </w:rPr>
                          <w:t>金</w:t>
                        </w:r>
                        <w:r>
                          <w:rPr>
                            <w:rFonts w:ascii="宋体" w:hAnsi="宋体" w:cs="宋体" w:eastAsia="宋体" w:hint="default"/>
                            <w:sz w:val="18"/>
                            <w:szCs w:val="18"/>
                          </w:rPr>
                          <w:t>（使用期限不超过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3"/>
                          <w:ind w:left="22" w:right="75"/>
                          <w:jc w:val="left"/>
                          <w:rPr>
                            <w:rFonts w:ascii="宋体" w:hAnsi="宋体" w:cs="宋体" w:eastAsia="宋体" w:hint="default"/>
                            <w:sz w:val="18"/>
                            <w:szCs w:val="18"/>
                          </w:rPr>
                        </w:pPr>
                        <w:r>
                          <w:rPr>
                            <w:rFonts w:ascii="宋体" w:hAnsi="宋体" w:cs="宋体" w:eastAsia="宋体" w:hint="default"/>
                            <w:sz w:val="18"/>
                            <w:szCs w:val="18"/>
                          </w:rPr>
                          <w:t>使用超募资金 </w:t>
                        </w:r>
                        <w:r>
                          <w:rPr>
                            <w:rFonts w:ascii="Times New Roman" w:hAnsi="Times New Roman" w:cs="Times New Roman" w:eastAsia="Times New Roman" w:hint="default"/>
                            <w:sz w:val="18"/>
                            <w:szCs w:val="18"/>
                          </w:rPr>
                          <w:t>71,000,000.00 </w:t>
                        </w:r>
                        <w:r>
                          <w:rPr>
                            <w:rFonts w:ascii="宋体" w:hAnsi="宋体" w:cs="宋体" w:eastAsia="宋体" w:hint="default"/>
                            <w:sz w:val="18"/>
                            <w:szCs w:val="18"/>
                          </w:rPr>
                          <w:t>元补充流动资金。</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日上述资金已归还至原募集资金专 用账户，公司已通知保荐机构及保荐人，并对外公告披露。</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日第二届董事会第十次会议和第二届监事会第六次会议，审议并通过了《关于部分</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超募资金用于票据自助受理系统项目的议案</w:t>
                        </w:r>
                        <w:r>
                          <w:rPr>
                            <w:rFonts w:ascii="宋体" w:hAnsi="宋体" w:cs="宋体" w:eastAsia="宋体" w:hint="default"/>
                            <w:spacing w:val="-90"/>
                            <w:sz w:val="18"/>
                            <w:szCs w:val="18"/>
                          </w:rPr>
                          <w:t>》</w:t>
                        </w:r>
                        <w:r>
                          <w:rPr>
                            <w:rFonts w:ascii="宋体" w:hAnsi="宋体" w:cs="宋体" w:eastAsia="宋体" w:hint="default"/>
                            <w:spacing w:val="-82"/>
                            <w:sz w:val="18"/>
                            <w:szCs w:val="18"/>
                          </w:rPr>
                          <w:t>，</w:t>
                        </w:r>
                        <w:r>
                          <w:rPr>
                            <w:rFonts w:ascii="宋体" w:hAnsi="宋体" w:cs="宋体" w:eastAsia="宋体" w:hint="default"/>
                            <w:sz w:val="18"/>
                            <w:szCs w:val="18"/>
                          </w:rPr>
                          <w:t>同意将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4,082.99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万元超募资金用于票据自助受理系统</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项目。截至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日，公司已使用超募资金投入本项目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31,558,473.60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日第三届董事会第三次会议及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年第二次临时股东大会，审议通过了《关于审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议超募资金投资项目延期的议案</w:t>
                        </w:r>
                        <w:r>
                          <w:rPr>
                            <w:rFonts w:ascii="宋体" w:hAnsi="宋体" w:cs="宋体" w:eastAsia="宋体" w:hint="default"/>
                            <w:spacing w:val="-90"/>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同意将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票据自助受</w:t>
                        </w:r>
                        <w:r>
                          <w:rPr>
                            <w:rFonts w:ascii="宋体" w:hAnsi="宋体" w:cs="宋体" w:eastAsia="宋体" w:hint="default"/>
                            <w:spacing w:val="1"/>
                            <w:sz w:val="18"/>
                            <w:szCs w:val="18"/>
                          </w:rPr>
                          <w:t>理</w:t>
                        </w:r>
                        <w:r>
                          <w:rPr>
                            <w:rFonts w:ascii="宋体" w:hAnsi="宋体" w:cs="宋体" w:eastAsia="宋体" w:hint="default"/>
                            <w:sz w:val="18"/>
                            <w:szCs w:val="18"/>
                          </w:rPr>
                          <w:t>系统项目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完成时间延长至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00" w:lineRule="auto" w:before="63"/>
                          <w:ind w:left="22" w:right="-14"/>
                          <w:jc w:val="both"/>
                          <w:rPr>
                            <w:rFonts w:ascii="宋体" w:hAnsi="宋体" w:cs="宋体" w:eastAsia="宋体"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日第三届董事会第九次会议及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年第二次临时股东大会， </w:t>
                        </w:r>
                        <w:r>
                          <w:rPr>
                            <w:rFonts w:ascii="宋体" w:hAnsi="宋体" w:cs="宋体" w:eastAsia="宋体" w:hint="default"/>
                            <w:spacing w:val="-4"/>
                            <w:w w:val="100"/>
                            <w:sz w:val="18"/>
                            <w:szCs w:val="18"/>
                          </w:rPr>
                          <w:t>审议通过了《关于审议超募资金投资项目延期的议案》，同意将</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票据自助受理系统项目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完成时间延</w:t>
                        </w:r>
                        <w:r>
                          <w:rPr>
                            <w:rFonts w:ascii="宋体" w:hAnsi="宋体" w:cs="宋体" w:eastAsia="宋体" w:hint="default"/>
                            <w:spacing w:val="-65"/>
                            <w:w w:val="100"/>
                            <w:sz w:val="18"/>
                            <w:szCs w:val="18"/>
                          </w:rPr>
                          <w:t> </w:t>
                        </w:r>
                        <w:r>
                          <w:rPr>
                            <w:rFonts w:ascii="宋体" w:hAnsi="宋体" w:cs="宋体" w:eastAsia="宋体" w:hint="default"/>
                            <w:sz w:val="18"/>
                            <w:szCs w:val="18"/>
                          </w:rPr>
                          <w:t>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日第二届董事会第十六次会议和第二届监事会第八次会议审议并通过</w:t>
                        </w:r>
                        <w:r>
                          <w:rPr>
                            <w:rFonts w:ascii="宋体" w:hAnsi="宋体" w:cs="宋体" w:eastAsia="宋体" w:hint="default"/>
                            <w:spacing w:val="-82"/>
                            <w:sz w:val="18"/>
                            <w:szCs w:val="18"/>
                          </w:rPr>
                          <w:t>了</w:t>
                        </w:r>
                        <w:r>
                          <w:rPr>
                            <w:rFonts w:ascii="宋体" w:hAnsi="宋体" w:cs="宋体" w:eastAsia="宋体" w:hint="default"/>
                            <w:sz w:val="18"/>
                            <w:szCs w:val="18"/>
                          </w:rPr>
                          <w:t>《关于审议</w:t>
                        </w:r>
                      </w:p>
                      <w:p>
                        <w:pPr>
                          <w:pStyle w:val="TableParagraph"/>
                          <w:spacing w:line="307" w:lineRule="auto" w:before="63"/>
                          <w:ind w:left="22" w:right="22"/>
                          <w:jc w:val="left"/>
                          <w:rPr>
                            <w:rFonts w:ascii="宋体" w:hAnsi="宋体" w:cs="宋体" w:eastAsia="宋体" w:hint="default"/>
                            <w:sz w:val="18"/>
                            <w:szCs w:val="18"/>
                          </w:rPr>
                        </w:pPr>
                        <w:r>
                          <w:rPr>
                            <w:rFonts w:ascii="宋体" w:hAnsi="宋体" w:cs="宋体" w:eastAsia="宋体" w:hint="default"/>
                            <w:spacing w:val="-4"/>
                            <w:sz w:val="18"/>
                            <w:szCs w:val="18"/>
                          </w:rPr>
                          <w:t>部分超募资金永久性补充流动资金的议案》，同意公司运用</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48,000,000.00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元超募资金永久性补充流</w:t>
                        </w:r>
                        <w:r>
                          <w:rPr>
                            <w:rFonts w:ascii="宋体" w:hAnsi="宋体" w:cs="宋体" w:eastAsia="宋体" w:hint="default"/>
                            <w:spacing w:val="-79"/>
                            <w:sz w:val="18"/>
                            <w:szCs w:val="18"/>
                          </w:rPr>
                          <w:t> </w:t>
                        </w:r>
                        <w:r>
                          <w:rPr>
                            <w:rFonts w:ascii="宋体" w:hAnsi="宋体" w:cs="宋体" w:eastAsia="宋体" w:hint="default"/>
                            <w:sz w:val="18"/>
                            <w:szCs w:val="18"/>
                          </w:rPr>
                          <w:t>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并承诺本次利用部分超募资金永久补充流动资金后十二个月内不进行证券投资等高风险投 资及为他人提供财务资助并对外披露，每十二个月用于偿还银行借款或补充流动资金的累计金额不 超过超募资金总额的</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年年度股东大会审议通过了该议案；公司</w:t>
                        </w:r>
                      </w:p>
                      <w:p>
                        <w:pPr>
                          <w:pStyle w:val="TableParagraph"/>
                          <w:spacing w:line="240" w:lineRule="auto" w:before="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独立董事及保荐机构分别发表了同意的独立意见及核查意见，并已对外公告披露。</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日公司已使用超募资金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元补充流动资金。</w:t>
                        </w:r>
                      </w:p>
                      <w:p>
                        <w:pPr>
                          <w:pStyle w:val="TableParagraph"/>
                          <w:spacing w:line="240" w:lineRule="auto" w:before="10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日召开的第三届董事会第五次会议、第三届监事会第五次会议和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年年度股东大会审议并通过</w:t>
                        </w:r>
                        <w:r>
                          <w:rPr>
                            <w:rFonts w:ascii="宋体" w:hAnsi="宋体" w:cs="宋体" w:eastAsia="宋体" w:hint="default"/>
                            <w:spacing w:val="-82"/>
                            <w:sz w:val="18"/>
                            <w:szCs w:val="18"/>
                          </w:rPr>
                          <w:t>了</w:t>
                        </w:r>
                        <w:r>
                          <w:rPr>
                            <w:rFonts w:ascii="宋体" w:hAnsi="宋体" w:cs="宋体" w:eastAsia="宋体" w:hint="default"/>
                            <w:sz w:val="18"/>
                            <w:szCs w:val="18"/>
                          </w:rPr>
                          <w:t>《关于审议部分超募资金永久性补充流动资金的议案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4"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同意上述使用部分超募资金</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23,275,237.24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元及利息永久性补充流动资金，并承诺本次利用部分超募 资金永久性补充流动资金后十二个月内不进行证券投资等高风险投资及为他人提供财务资助并对外 披露，每十二个月用于偿还银行借款或补充流动资金的累计金额不超过超募资金总额的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。公司 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日分别使用超募资金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22,242,183.57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2,590,755.29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元永久性补充流 动资金。</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0.6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6"/>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81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3,228.20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万元，计划两年内在西安、武汉、广州</w:t>
                        </w:r>
                        <w:r>
                          <w:rPr>
                            <w:rFonts w:ascii="宋体" w:hAnsi="宋体" w:cs="宋体" w:eastAsia="宋体" w:hint="default"/>
                            <w:sz w:val="18"/>
                            <w:szCs w:val="18"/>
                          </w:rPr>
                          <w:t> 成都、南京、天津、沈阳七个城市建立营销与服务网络，资金主要用于购置营销与服务网络商业用 房、办公用各类必要的设备、设施、营业用车辆等。项目达到预定可使用状态日期为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日。近年来国内房地产价格不断上涨，原计划购置的办公场地价格已大大超出预算，因此公司在 </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的实施决策上保持了充分的谨慎，在开办过程中一直暂以租赁的形式开 展营销网络的建设。此外，公司在车辆、设备购置、费用支出等方面也是本着勤俭节约的原则，充 分调配现有资源，节省了大量资金。至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月，该项目累计实际投入金额</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184.54</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万元，占投 资总额的</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5.72</w:t>
                        </w:r>
                        <w:r>
                          <w:rPr>
                            <w:rFonts w:ascii="宋体" w:hAnsi="宋体" w:cs="宋体" w:eastAsia="宋体" w:hint="default"/>
                            <w:sz w:val="18"/>
                            <w:szCs w:val="18"/>
                          </w:rPr>
                          <w:t>％。公司已经建立起了以北京为中心、遍布全国的营销与服务网络体系，营销与服务 网络建设项目的预计目标及效益已经基本达成。为了提高募集资金的使用效益，推进公司发展战略 的实施，公司决定终止原募投项目，将项目剩余募集资金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3,043.66 </w:t>
                        </w:r>
                        <w:r>
                          <w:rPr>
                            <w:rFonts w:ascii="宋体" w:hAnsi="宋体" w:cs="宋体" w:eastAsia="宋体" w:hint="default"/>
                            <w:sz w:val="18"/>
                            <w:szCs w:val="18"/>
                          </w:rPr>
                          <w:t>万元（未包括利息收入）用于投 资新的项目。</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日第三届董事会第三次会议</w:t>
                        </w:r>
                        <w:r>
                          <w:rPr>
                            <w:rFonts w:ascii="宋体" w:hAnsi="宋体" w:cs="宋体" w:eastAsia="宋体" w:hint="default"/>
                            <w:spacing w:val="-64"/>
                            <w:sz w:val="18"/>
                            <w:szCs w:val="18"/>
                          </w:rPr>
                          <w:t>，</w:t>
                        </w:r>
                        <w:r>
                          <w:rPr>
                            <w:rFonts w:ascii="宋体" w:hAnsi="宋体" w:cs="宋体" w:eastAsia="宋体" w:hint="default"/>
                            <w:sz w:val="18"/>
                            <w:szCs w:val="18"/>
                          </w:rPr>
                          <w:t>审议通过</w:t>
                        </w:r>
                        <w:r>
                          <w:rPr>
                            <w:rFonts w:ascii="宋体" w:hAnsi="宋体" w:cs="宋体" w:eastAsia="宋体" w:hint="default"/>
                            <w:spacing w:val="-64"/>
                            <w:sz w:val="18"/>
                            <w:szCs w:val="18"/>
                          </w:rPr>
                          <w:t>了</w:t>
                        </w:r>
                        <w:r>
                          <w:rPr>
                            <w:rFonts w:ascii="宋体" w:hAnsi="宋体" w:cs="宋体" w:eastAsia="宋体" w:hint="default"/>
                            <w:sz w:val="18"/>
                            <w:szCs w:val="18"/>
                          </w:rPr>
                          <w:t>《关于审议募集资金投资项目变更的议案</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会议同意公司将募集资金投资项目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剩余资金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万元（未包括利息 收入）用于实施</w:t>
                        </w:r>
                        <w:r>
                          <w:rPr>
                            <w:rFonts w:ascii="Times New Roman" w:hAnsi="Times New Roman" w:cs="Times New Roman" w:eastAsia="Times New Roman" w:hint="default"/>
                            <w:sz w:val="18"/>
                            <w:szCs w:val="18"/>
                          </w:rPr>
                          <w:t>“</w:t>
                        </w:r>
                        <w:r>
                          <w:rPr>
                            <w:rFonts w:ascii="宋体" w:hAnsi="宋体" w:cs="宋体" w:eastAsia="宋体" w:hint="default"/>
                            <w:sz w:val="18"/>
                            <w:szCs w:val="18"/>
                          </w:rPr>
                          <w:t>智能银行渠道整合平台</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。监事会、独立董事及保荐机构均出具了同意的 </w:t>
                        </w:r>
                        <w:r>
                          <w:rPr>
                            <w:rFonts w:ascii="宋体" w:hAnsi="宋体" w:cs="宋体" w:eastAsia="宋体" w:hint="default"/>
                            <w:spacing w:val="-10"/>
                            <w:sz w:val="18"/>
                            <w:szCs w:val="18"/>
                          </w:rPr>
                          <w:t>意见。</w:t>
                        </w:r>
                        <w:r>
                          <w:rPr>
                            <w:rFonts w:ascii="Times New Roman" w:hAnsi="Times New Roman" w:cs="Times New Roman" w:eastAsia="Times New Roman" w:hint="default"/>
                            <w:spacing w:val="-10"/>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年第二次临时股东大会审议并通过了该议案，公司已进行了公告披露</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64" w:type="dxa"/>
                        <w:vMerge/>
                        <w:tcBorders>
                          <w:left w:val="single" w:sz="4" w:space="0" w:color="000000"/>
                          <w:bottom w:val="single" w:sz="4" w:space="0" w:color="FFFFFF"/>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公司募集资金投资项目预计总投资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169,277,600.00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元，募集资金到位前，公司利用自筹资金对募集</w:t>
                        </w:r>
                      </w:p>
                      <w:p>
                        <w:pPr>
                          <w:pStyle w:val="TableParagraph"/>
                          <w:spacing w:line="307" w:lineRule="auto" w:before="61"/>
                          <w:ind w:left="22" w:right="20"/>
                          <w:jc w:val="left"/>
                          <w:rPr>
                            <w:rFonts w:ascii="宋体" w:hAnsi="宋体" w:cs="宋体" w:eastAsia="宋体" w:hint="default"/>
                            <w:sz w:val="18"/>
                            <w:szCs w:val="18"/>
                          </w:rPr>
                        </w:pPr>
                        <w:r>
                          <w:rPr>
                            <w:rFonts w:ascii="宋体" w:hAnsi="宋体" w:cs="宋体" w:eastAsia="宋体" w:hint="default"/>
                            <w:sz w:val="18"/>
                            <w:szCs w:val="18"/>
                          </w:rPr>
                          <w:t>资金项目累计投入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1,531,353.22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元。立信会计师事务所（特殊普通合伙）对公司以自筹资金先期投 入募集资金项目进行了审核，并出具了《关于北京中科金财科技股份有限公司以募集资金置换预先 </w:t>
                        </w:r>
                        <w:r>
                          <w:rPr>
                            <w:rFonts w:ascii="宋体" w:hAnsi="宋体" w:cs="宋体" w:eastAsia="宋体" w:hint="default"/>
                            <w:spacing w:val="-4"/>
                            <w:sz w:val="18"/>
                            <w:szCs w:val="18"/>
                          </w:rPr>
                          <w:t>已投入募集资金项目的自筹资金的鉴证报告》（信会师报字</w:t>
                        </w:r>
                        <w:r>
                          <w:rPr>
                            <w:rFonts w:ascii="Times New Roman" w:hAnsi="Times New Roman" w:cs="Times New Roman" w:eastAsia="Times New Roman" w:hint="default"/>
                            <w:spacing w:val="-4"/>
                            <w:sz w:val="18"/>
                            <w:szCs w:val="18"/>
                          </w:rPr>
                          <w:t>[2012]</w:t>
                        </w:r>
                        <w:r>
                          <w:rPr>
                            <w:rFonts w:ascii="宋体" w:hAnsi="宋体" w:cs="宋体" w:eastAsia="宋体" w:hint="default"/>
                            <w:spacing w:val="-4"/>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210073 </w:t>
                        </w:r>
                        <w:r>
                          <w:rPr>
                            <w:rFonts w:ascii="宋体" w:hAnsi="宋体" w:cs="宋体" w:eastAsia="宋体" w:hint="default"/>
                            <w:spacing w:val="-18"/>
                            <w:sz w:val="18"/>
                            <w:szCs w:val="18"/>
                          </w:rPr>
                          <w:t>号）；</w:t>
                        </w:r>
                        <w:r>
                          <w:rPr>
                            <w:rFonts w:ascii="Times New Roman" w:hAnsi="Times New Roman" w:cs="Times New Roman" w:eastAsia="Times New Roman" w:hint="default"/>
                            <w:spacing w:val="-18"/>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r>
                          <w:rPr>
                            <w:rFonts w:ascii="宋体" w:hAnsi="宋体" w:cs="宋体" w:eastAsia="宋体" w:hint="default"/>
                            <w:spacing w:val="-88"/>
                            <w:sz w:val="18"/>
                            <w:szCs w:val="18"/>
                          </w:rPr>
                          <w:t> </w:t>
                        </w:r>
                        <w:r>
                          <w:rPr>
                            <w:rFonts w:ascii="宋体" w:hAnsi="宋体" w:cs="宋体" w:eastAsia="宋体" w:hint="default"/>
                            <w:sz w:val="18"/>
                            <w:szCs w:val="18"/>
                          </w:rPr>
                          <w:t>公司第二届董事会第八次会议及公司第二届监事会第四次会议审议通过了《关于审议募集资金置换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的议案》，同意以募集资金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1,531,353.22</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元置换已投入募集资金投资项目的自筹资金；独立董事对以</w:t>
                        </w:r>
                        <w:r>
                          <w:rPr>
                            <w:rFonts w:ascii="宋体" w:hAnsi="宋体" w:cs="宋体" w:eastAsia="宋体" w:hint="default"/>
                            <w:sz w:val="18"/>
                            <w:szCs w:val="18"/>
                          </w:rPr>
                          <w:t> 上项目发表了同意意见、保荐机构发表了同意该项目实施的核查意见，并均已对外公告披露。</w:t>
                        </w:r>
                      </w:p>
                    </w:tc>
                  </w:tr>
                  <w:tr>
                    <w:trPr>
                      <w:trHeight w:val="402" w:hRule="exact"/>
                    </w:trPr>
                    <w:tc>
                      <w:tcPr>
                        <w:tcW w:w="176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0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、募投项目中基础组件支撑平台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日获得计算机软件著作权：基础组件 支撑平台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，登记号为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2012SR008324</w:t>
                        </w:r>
                        <w:r>
                          <w:rPr>
                            <w:rFonts w:ascii="宋体" w:hAnsi="宋体" w:cs="宋体" w:eastAsia="宋体" w:hint="default"/>
                            <w:sz w:val="18"/>
                            <w:szCs w:val="18"/>
                          </w:rPr>
                          <w:t>，项目完成后，公司对项目进行决算，确认项目结余资金 </w:t>
                        </w:r>
                        <w:r>
                          <w:rPr>
                            <w:rFonts w:ascii="Times New Roman" w:hAnsi="Times New Roman" w:cs="Times New Roman" w:eastAsia="Times New Roman" w:hint="default"/>
                            <w:sz w:val="18"/>
                            <w:szCs w:val="18"/>
                          </w:rPr>
                          <w:t>632.67</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万元（不含利息收入），原因为市场价格浮动及社会环境的变化节约了设备投入资金、在研发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过程中工作切分合理，优化了人员结构，节约了人工成本等。</w:t>
                        </w:r>
                      </w:p>
                      <w:p>
                        <w:pPr>
                          <w:pStyle w:val="TableParagraph"/>
                          <w:spacing w:line="304" w:lineRule="auto" w:before="70"/>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服务综合业务管理系统项目于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日获得计算机软件著作权：</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服务综合业务 管理系统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，登记号为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2014SR033606</w:t>
                        </w:r>
                        <w:r>
                          <w:rPr>
                            <w:rFonts w:ascii="宋体" w:hAnsi="宋体" w:cs="宋体" w:eastAsia="宋体" w:hint="default"/>
                            <w:sz w:val="18"/>
                            <w:szCs w:val="18"/>
                          </w:rPr>
                          <w:t>，项目完成后，公司对项目进行决算，确认项目结余资金 </w:t>
                        </w:r>
                        <w:r>
                          <w:rPr>
                            <w:rFonts w:ascii="Times New Roman" w:hAnsi="Times New Roman" w:cs="Times New Roman" w:eastAsia="Times New Roman" w:hint="default"/>
                            <w:sz w:val="18"/>
                            <w:szCs w:val="18"/>
                          </w:rPr>
                          <w:t>830.88</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万元（不含利息收入），原因为公司在项目实施过程中，严格按照募集资金管理的有关规定谨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慎使用募集资金，按照投资预算严格控制募集资金投入，精打细算，力求节约。项目在研发过程中 利用了公司现有设备，使研发软件投入方面有较大结余，同时通过对项目投入的人员的合理分工，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89"/>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0"/>
        <w:ind w:left="0" w:right="1139" w:firstLine="0"/>
        <w:jc w:val="right"/>
        <w:rPr>
          <w:rFonts w:ascii="宋体" w:hAnsi="宋体" w:cs="宋体" w:eastAsia="宋体" w:hint="default"/>
          <w:sz w:val="18"/>
          <w:szCs w:val="18"/>
        </w:rPr>
      </w:pPr>
      <w:r>
        <w:rPr/>
        <w:pict>
          <v:shape style="position:absolute;margin-left:56.459999pt;margin-top:-18.648272pt;width:479.2pt;height:406.1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227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优化了人员结构，节约了人工成本。</w:t>
                        </w:r>
                      </w:p>
                      <w:p>
                        <w:pPr>
                          <w:pStyle w:val="TableParagraph"/>
                          <w:spacing w:line="307" w:lineRule="auto" w:before="116"/>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、影像集中作业平台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项目于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日获得计算机软件著作权：影像集中作业平台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登记号为</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2014SR033607</w:t>
                        </w:r>
                        <w:r>
                          <w:rPr>
                            <w:rFonts w:ascii="宋体" w:hAnsi="宋体" w:cs="宋体" w:eastAsia="宋体" w:hint="default"/>
                            <w:sz w:val="18"/>
                            <w:szCs w:val="18"/>
                          </w:rPr>
                          <w:t>，项目完成后，公司对项目进行决算，确认项目结余资金</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1,488.68</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万元（不</w:t>
                        </w:r>
                        <w:r>
                          <w:rPr>
                            <w:rFonts w:ascii="宋体" w:hAnsi="宋体" w:cs="宋体" w:eastAsia="宋体" w:hint="default"/>
                            <w:sz w:val="18"/>
                            <w:szCs w:val="18"/>
                          </w:rPr>
                          <w:t> </w:t>
                        </w:r>
                        <w:r>
                          <w:rPr>
                            <w:rFonts w:ascii="宋体" w:hAnsi="宋体" w:cs="宋体" w:eastAsia="宋体" w:hint="default"/>
                            <w:spacing w:val="-4"/>
                            <w:sz w:val="18"/>
                            <w:szCs w:val="18"/>
                          </w:rPr>
                          <w:t>含利息收入），原因为项目实施过程中，公司一直着力于项目的技术革新，通过不断研发新工艺，极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大程度提高了单位生产效率，加快了影像集中作业平台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项目的产能释放和整体经济效益的提 升。此外，得益于研发技术及设备的升级换代，公司在研发进度及品质保证的情况下相应减少了部 分设备的采购数量，节约了一定的项目投入。</w:t>
                        </w:r>
                      </w:p>
                    </w:tc>
                  </w:tr>
                  <w:tr>
                    <w:trPr>
                      <w:trHeight w:val="4810"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日第二届董事会第十六次会议及第二届监事会第八次会议审议通过了《关于审议使 </w:t>
                        </w:r>
                        <w:r>
                          <w:rPr>
                            <w:rFonts w:ascii="宋体" w:hAnsi="宋体" w:cs="宋体" w:eastAsia="宋体" w:hint="default"/>
                            <w:spacing w:val="-4"/>
                            <w:sz w:val="18"/>
                            <w:szCs w:val="18"/>
                          </w:rPr>
                          <w:t>用闲置募集资金购买保本型理财产品的议案》，同意公司在保证募集资金项目正常建设和确保资金安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全的前提下，滚动使用不超过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亿元闲置募集资金用于购买保本型的理财产品进行理财投资，单笔</w:t>
                        </w:r>
                      </w:p>
                      <w:p>
                        <w:pPr>
                          <w:pStyle w:val="TableParagraph"/>
                          <w:spacing w:line="319" w:lineRule="auto" w:before="5"/>
                          <w:ind w:left="22" w:right="30"/>
                          <w:jc w:val="left"/>
                          <w:rPr>
                            <w:rFonts w:ascii="宋体" w:hAnsi="宋体" w:cs="宋体" w:eastAsia="宋体" w:hint="default"/>
                            <w:sz w:val="18"/>
                            <w:szCs w:val="18"/>
                          </w:rPr>
                        </w:pPr>
                        <w:r>
                          <w:rPr>
                            <w:rFonts w:ascii="宋体" w:hAnsi="宋体" w:cs="宋体" w:eastAsia="宋体" w:hint="default"/>
                            <w:sz w:val="18"/>
                            <w:szCs w:val="18"/>
                          </w:rPr>
                          <w:t>理财产品的投资期限原则上不超过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个月。本议案已经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 议通过</w:t>
                        </w:r>
                        <w:r>
                          <w:rPr>
                            <w:rFonts w:ascii="Times New Roman" w:hAnsi="Times New Roman" w:cs="Times New Roman" w:eastAsia="Times New Roman" w:hint="default"/>
                            <w:sz w:val="18"/>
                            <w:szCs w:val="18"/>
                          </w:rPr>
                          <w:t>,</w:t>
                        </w:r>
                        <w:r>
                          <w:rPr>
                            <w:rFonts w:ascii="宋体" w:hAnsi="宋体" w:cs="宋体" w:eastAsia="宋体" w:hint="default"/>
                            <w:sz w:val="18"/>
                            <w:szCs w:val="18"/>
                          </w:rPr>
                          <w:t>公司独立董事及保荐机构分别发表了同意的独立意见及核查意见，并已对外公告披露。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日第三届董事会第三次会议审议通过了《关于调整部分闲置募集资金购买保本型理</w:t>
                        </w:r>
                      </w:p>
                      <w:p>
                        <w:pPr>
                          <w:pStyle w:val="TableParagraph"/>
                          <w:spacing w:line="246" w:lineRule="exact"/>
                          <w:ind w:left="22" w:right="0"/>
                          <w:jc w:val="left"/>
                          <w:rPr>
                            <w:rFonts w:ascii="宋体" w:hAnsi="宋体" w:cs="宋体" w:eastAsia="宋体" w:hint="default"/>
                            <w:sz w:val="18"/>
                            <w:szCs w:val="18"/>
                          </w:rPr>
                        </w:pPr>
                        <w:r>
                          <w:rPr>
                            <w:rFonts w:ascii="宋体" w:hAnsi="宋体" w:cs="宋体" w:eastAsia="宋体" w:hint="default"/>
                            <w:sz w:val="18"/>
                            <w:szCs w:val="18"/>
                          </w:rPr>
                          <w:t>财产品额度及期限的议案</w:t>
                        </w:r>
                        <w:r>
                          <w:rPr>
                            <w:rFonts w:ascii="宋体" w:hAnsi="宋体" w:cs="宋体" w:eastAsia="宋体" w:hint="default"/>
                            <w:spacing w:val="-90"/>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同意公司增加滚动使用不超过人民币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亿</w:t>
                        </w:r>
                        <w:r>
                          <w:rPr>
                            <w:rFonts w:ascii="宋体" w:hAnsi="宋体" w:cs="宋体" w:eastAsia="宋体" w:hint="default"/>
                            <w:sz w:val="18"/>
                            <w:szCs w:val="18"/>
                          </w:rPr>
                          <w:t>元的闲置募集资金额度</w:t>
                        </w:r>
                        <w:r>
                          <w:rPr>
                            <w:rFonts w:ascii="宋体" w:hAnsi="宋体" w:cs="宋体" w:eastAsia="宋体" w:hint="default"/>
                            <w:spacing w:val="-41"/>
                            <w:sz w:val="18"/>
                            <w:szCs w:val="18"/>
                          </w:rPr>
                          <w:t>，</w:t>
                        </w:r>
                        <w:r>
                          <w:rPr>
                            <w:rFonts w:ascii="宋体" w:hAnsi="宋体" w:cs="宋体" w:eastAsia="宋体" w:hint="default"/>
                            <w:sz w:val="18"/>
                            <w:szCs w:val="18"/>
                          </w:rPr>
                          <w:t>择机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购买保本型理财产品，有效期自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年第二次临时股东大会通过之日起一年内。本调整议案已经</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年第二次临时股东大会审议通过，公司独立董事及保荐机构分别发表了同意</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的独立意见及核查意见，并已对外公告披露。</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日第三届董事会第九次会议审议通过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了《关于审议使用闲置募集资金购买保本型理财产品的议案</w:t>
                        </w:r>
                        <w:r>
                          <w:rPr>
                            <w:rFonts w:ascii="宋体" w:hAnsi="宋体" w:cs="宋体" w:eastAsia="宋体" w:hint="default"/>
                            <w:spacing w:val="-90"/>
                            <w:sz w:val="18"/>
                            <w:szCs w:val="18"/>
                          </w:rPr>
                          <w:t>》</w:t>
                        </w:r>
                        <w:r>
                          <w:rPr>
                            <w:rFonts w:ascii="宋体" w:hAnsi="宋体" w:cs="宋体" w:eastAsia="宋体" w:hint="default"/>
                            <w:sz w:val="18"/>
                            <w:szCs w:val="18"/>
                          </w:rPr>
                          <w:t>，同意公司拟滚动使用不超过 </w:t>
                        </w:r>
                        <w:r>
                          <w:rPr>
                            <w:rFonts w:ascii="Times New Roman" w:hAnsi="Times New Roman" w:cs="Times New Roman" w:eastAsia="Times New Roman" w:hint="default"/>
                            <w:sz w:val="18"/>
                            <w:szCs w:val="18"/>
                          </w:rPr>
                          <w:t>20,000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万元的闲置募集资金，购买保本型的理财产品。单笔理财产品的投资期限原则上不得超过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个月</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授权期限自</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年第二次临时股东大会审议通过之日起一年。本议案已经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pacing w:val="-2"/>
                            <w:sz w:val="18"/>
                            <w:szCs w:val="18"/>
                          </w:rPr>
                          <w:t>年第二次临时股东大会审议通过，公司独立董事及保荐机构分别发表了同意的独立意见及核查意见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并已对外公告披露。</w:t>
                        </w:r>
                      </w:p>
                    </w:tc>
                  </w:tr>
                  <w:tr>
                    <w:trPr>
                      <w:trHeight w:val="102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公司按照相关法律、法规、规范性文件的规定和要求使用募集资金，并对募集资金使用情况及时地 进行了披露，不存在募集资金使用及管理的违规情形。</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0"/>
        <w:ind w:right="0"/>
        <w:jc w:val="left"/>
        <w:rPr>
          <w:b w:val="0"/>
          <w:bCs w:val="0"/>
        </w:rPr>
      </w:pPr>
      <w:bookmarkStart w:name="（3）募集资金变更项目情况" w:id="38"/>
      <w:bookmarkEnd w:id="38"/>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44"/>
        <w:ind w:left="0" w:right="1136" w:firstLine="0"/>
        <w:jc w:val="right"/>
        <w:rPr>
          <w:rFonts w:ascii="宋体" w:hAnsi="宋体" w:cs="宋体" w:eastAsia="宋体" w:hint="default"/>
          <w:sz w:val="18"/>
          <w:szCs w:val="18"/>
        </w:rPr>
      </w:pPr>
      <w:r>
        <w:rPr/>
        <w:pict>
          <v:shape style="position:absolute;margin-left:56.459999pt;margin-top:-139.198273pt;width:479.3pt;height:203.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0"/>
                    <w:gridCol w:w="956"/>
                    <w:gridCol w:w="955"/>
                    <w:gridCol w:w="957"/>
                    <w:gridCol w:w="956"/>
                    <w:gridCol w:w="955"/>
                    <w:gridCol w:w="956"/>
                    <w:gridCol w:w="957"/>
                    <w:gridCol w:w="955"/>
                    <w:gridCol w:w="962"/>
                  </w:tblGrid>
                  <w:tr>
                    <w:trPr>
                      <w:trHeight w:val="133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4" w:right="24"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0"/>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22"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0"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智能银行渠 道整合平台 </w:t>
                        </w:r>
                        <w:r>
                          <w:rPr>
                            <w:rFonts w:ascii="Times New Roman" w:hAnsi="Times New Roman" w:cs="Times New Roman" w:eastAsia="Times New Roman" w:hint="default"/>
                            <w:sz w:val="18"/>
                            <w:szCs w:val="18"/>
                          </w:rPr>
                          <w:t>V1.0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营销与服务 网络建设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3,043.66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868.76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1,054.37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34.64%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3,043.66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868.76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1,054.37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298"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9" w:space="0" w:color="D2D2D2"/>
                          <w:right w:val="single" w:sz="4" w:space="0" w:color="000000"/>
                        </w:tcBorders>
                      </w:tcPr>
                      <w:p>
                        <w:pPr>
                          <w:pStyle w:val="TableParagraph"/>
                          <w:spacing w:line="312" w:lineRule="auto" w:before="53"/>
                          <w:ind w:left="17" w:right="21"/>
                          <w:jc w:val="left"/>
                          <w:rPr>
                            <w:rFonts w:ascii="宋体" w:hAnsi="宋体" w:cs="宋体" w:eastAsia="宋体" w:hint="default"/>
                            <w:sz w:val="18"/>
                            <w:szCs w:val="18"/>
                          </w:rPr>
                        </w:pPr>
                        <w:r>
                          <w:rPr>
                            <w:rFonts w:ascii="宋体" w:hAnsi="宋体" w:cs="宋体" w:eastAsia="宋体" w:hint="default"/>
                            <w:w w:val="100"/>
                            <w:sz w:val="18"/>
                            <w:szCs w:val="18"/>
                          </w:rPr>
                          <w:t>原募投项目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营销与服务网络建设项目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总投资额为</w:t>
                        </w:r>
                        <w:r>
                          <w:rPr>
                            <w:rFonts w:ascii="宋体" w:hAnsi="宋体" w:cs="宋体" w:eastAsia="宋体" w:hint="default"/>
                            <w:spacing w:val="-45"/>
                            <w:w w:val="100"/>
                            <w:sz w:val="18"/>
                            <w:szCs w:val="18"/>
                          </w:rPr>
                          <w:t> </w:t>
                        </w:r>
                        <w:r>
                          <w:rPr>
                            <w:rFonts w:ascii="Times New Roman" w:hAnsi="Times New Roman" w:cs="Times New Roman" w:eastAsia="Times New Roman" w:hint="default"/>
                            <w:spacing w:val="-1"/>
                            <w:sz w:val="18"/>
                            <w:szCs w:val="18"/>
                          </w:rPr>
                          <w:t>3,228.20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万元，计划两年内在西安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武汉、广州、成都、南京、天津、沈阳七个城市建立营销与服务网络，资金主要用于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购置营销与服务网络商业用房、办公用各类必要的设备、设施、营业用车辆等。项目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达到预定可使用状态日期为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日。近年来国内房地产价格不断上涨，原</w:t>
                        </w:r>
                      </w:p>
                    </w:tc>
                  </w:tr>
                  <w:tr>
                    <w:trPr>
                      <w:trHeight w:val="704"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9" w:space="0" w:color="D2D2D2"/>
                          <w:right w:val="single" w:sz="4" w:space="0" w:color="000000"/>
                        </w:tcBorders>
                      </w:tcPr>
                      <w:p>
                        <w:pPr/>
                      </w:p>
                    </w:tc>
                  </w:tr>
                  <w:tr>
                    <w:trPr>
                      <w:trHeight w:val="296"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4146"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计划购置的办公场地价格已大大超出预算，因此公司在</w:t>
            </w:r>
            <w:r>
              <w:rPr>
                <w:rFonts w:ascii="Times New Roman" w:hAnsi="Times New Roman" w:cs="Times New Roman" w:eastAsia="Times New Roman" w:hint="default"/>
                <w:sz w:val="18"/>
                <w:szCs w:val="18"/>
              </w:rPr>
              <w:t>“</w:t>
            </w:r>
            <w:r>
              <w:rPr>
                <w:rFonts w:ascii="宋体" w:hAnsi="宋体" w:cs="宋体" w:eastAsia="宋体" w:hint="default"/>
                <w:sz w:val="18"/>
                <w:szCs w:val="18"/>
              </w:rPr>
              <w:t>营销与服务网络建设项目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宋体" w:hAnsi="宋体" w:cs="宋体" w:eastAsia="宋体" w:hint="default"/>
                <w:spacing w:val="-1"/>
                <w:sz w:val="18"/>
                <w:szCs w:val="18"/>
              </w:rPr>
              <w:t>实施决策上保持了充分的谨慎，在开办过程中一直暂以租赁的形式开展营销网络的建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设。此外，公司在车辆、设备购置、费用支出等方面也是本着勤俭节约的原则，充分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1"/>
                <w:sz w:val="18"/>
                <w:szCs w:val="18"/>
              </w:rPr>
              <w:t>调配现有资源，节省了大量资金。至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月，该项目累计实际投入金额</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184.54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元，占投资总额的</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5.72</w:t>
            </w:r>
            <w:r>
              <w:rPr>
                <w:rFonts w:ascii="宋体" w:hAnsi="宋体" w:cs="宋体" w:eastAsia="宋体" w:hint="default"/>
                <w:sz w:val="18"/>
                <w:szCs w:val="18"/>
              </w:rPr>
              <w:t>％。公司已经建立起了以北京为中心、遍布全国的营销与服务 </w:t>
            </w:r>
            <w:r>
              <w:rPr>
                <w:rFonts w:ascii="宋体" w:hAnsi="宋体" w:cs="宋体" w:eastAsia="宋体" w:hint="default"/>
                <w:spacing w:val="-1"/>
                <w:sz w:val="18"/>
                <w:szCs w:val="18"/>
              </w:rPr>
              <w:t>网络体系，营销与服务网络建设项目的预计目标及效益已经基本达成。为了提高募集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资金的使用效益，推进公司发展战略的实施，公司决定终止原募投项目，将项目剩余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万元（未包括利息收入）用于投资新的项目。</w:t>
            </w:r>
          </w:p>
          <w:p>
            <w:pPr>
              <w:pStyle w:val="TableParagraph"/>
              <w:spacing w:line="300" w:lineRule="auto" w:before="44"/>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日第三届董事会第三次会议，审议通过了《关于审议募集资金投资项 </w:t>
            </w:r>
            <w:r>
              <w:rPr>
                <w:rFonts w:ascii="宋体" w:hAnsi="宋体" w:cs="宋体" w:eastAsia="宋体" w:hint="default"/>
                <w:spacing w:val="-5"/>
                <w:w w:val="100"/>
                <w:sz w:val="18"/>
                <w:szCs w:val="18"/>
              </w:rPr>
              <w:t>目变更的议案》，会议同意公司将募集资金投资项目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营销与服务网络建设项目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剩余资</w:t>
            </w:r>
            <w:r>
              <w:rPr>
                <w:rFonts w:ascii="宋体" w:hAnsi="宋体" w:cs="宋体" w:eastAsia="宋体" w:hint="default"/>
                <w:spacing w:val="-74"/>
                <w:w w:val="100"/>
                <w:sz w:val="18"/>
                <w:szCs w:val="18"/>
              </w:rPr>
              <w:t> </w:t>
            </w: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3,043.66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万元（未包括利息收入）用于实施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智能银行渠道整合平台</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项目</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。监</w:t>
            </w:r>
            <w:r>
              <w:rPr>
                <w:rFonts w:ascii="宋体" w:hAnsi="宋体" w:cs="宋体" w:eastAsia="宋体" w:hint="default"/>
                <w:spacing w:val="-85"/>
                <w:sz w:val="18"/>
                <w:szCs w:val="18"/>
              </w:rPr>
              <w:t> </w:t>
            </w:r>
            <w:r>
              <w:rPr>
                <w:rFonts w:ascii="宋体" w:hAnsi="宋体" w:cs="宋体" w:eastAsia="宋体" w:hint="default"/>
                <w:spacing w:val="-3"/>
                <w:sz w:val="18"/>
                <w:szCs w:val="18"/>
              </w:rPr>
              <w:t>事会、独立董事及保荐机构均出具了同意的意见。</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时股东大会审议并通过了该议案，公司已进行了公告披露。</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主要子公司、参股公司分析" w:id="39"/>
      <w:bookmarkEnd w:id="39"/>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8"/>
        <w:rPr>
          <w:rFonts w:ascii="宋体" w:hAnsi="宋体" w:cs="宋体" w:eastAsia="宋体" w:hint="default"/>
          <w:sz w:val="7"/>
          <w:szCs w:val="7"/>
        </w:rPr>
      </w:pPr>
    </w:p>
    <w:p>
      <w:pPr>
        <w:spacing w:line="6128" w:lineRule="exact"/>
        <w:ind w:left="149" w:right="0" w:firstLine="0"/>
        <w:rPr>
          <w:rFonts w:ascii="宋体" w:hAnsi="宋体" w:cs="宋体" w:eastAsia="宋体" w:hint="default"/>
          <w:sz w:val="20"/>
          <w:szCs w:val="20"/>
        </w:rPr>
      </w:pPr>
      <w:r>
        <w:rPr>
          <w:rFonts w:ascii="宋体" w:hAnsi="宋体" w:cs="宋体" w:eastAsia="宋体" w:hint="default"/>
          <w:position w:val="-122"/>
          <w:sz w:val="20"/>
          <w:szCs w:val="20"/>
        </w:rPr>
        <w:pict>
          <v:group style="width:479.05pt;height:306.45pt;mso-position-horizontal-relative:char;mso-position-vertical-relative:line" coordorigin="0,0" coordsize="9581,6129">
            <v:group style="position:absolute;left:10;top:16;width:951;height:156" coordorigin="10,16" coordsize="951,156">
              <v:shape style="position:absolute;left:10;top:16;width:951;height:156" coordorigin="10,16" coordsize="951,156" path="m10,172l960,172,960,16,10,16,10,172xe" filled="true" fillcolor="#d2d2d2" stroked="false">
                <v:path arrowok="t"/>
                <v:fill type="solid"/>
              </v:shape>
            </v:group>
            <v:group style="position:absolute;left:21;top:172;width:2;height:392" coordorigin="21,172" coordsize="2,392">
              <v:shape style="position:absolute;left:21;top:172;width:2;height:392" coordorigin="21,172" coordsize="0,392" path="m21,172l21,563e" filled="false" stroked="true" strokeweight="1.140pt" strokecolor="#d2d2d2">
                <v:path arrowok="t"/>
              </v:shape>
            </v:group>
            <v:group style="position:absolute;left:949;top:172;width:2;height:392" coordorigin="949,172" coordsize="2,392">
              <v:shape style="position:absolute;left:949;top:172;width:2;height:392" coordorigin="949,172" coordsize="0,392" path="m949,172l949,563e" filled="false" stroked="true" strokeweight="1.140pt" strokecolor="#d2d2d2">
                <v:path arrowok="t"/>
              </v:shape>
            </v:group>
            <v:group style="position:absolute;left:10;top:563;width:951;height:156" coordorigin="10,563" coordsize="951,156">
              <v:shape style="position:absolute;left:10;top:563;width:951;height:156" coordorigin="10,563" coordsize="951,156" path="m10,719l960,719,960,563,10,563,10,719xe" filled="true" fillcolor="#d2d2d2" stroked="false">
                <v:path arrowok="t"/>
                <v:fill type="solid"/>
              </v:shape>
            </v:group>
            <v:group style="position:absolute;left:32;top:172;width:906;height:392" coordorigin="32,172" coordsize="906,392">
              <v:shape style="position:absolute;left:32;top:172;width:906;height:392" coordorigin="32,172" coordsize="906,392" path="m32,563l938,563,938,172,32,172,32,563xe" filled="true" fillcolor="#d2d2d2" stroked="false">
                <v:path arrowok="t"/>
                <v:fill type="solid"/>
              </v:shape>
            </v:group>
            <v:group style="position:absolute;left:981;top:16;width:2;height:704" coordorigin="981,16" coordsize="2,704">
              <v:shape style="position:absolute;left:981;top:16;width:2;height:704" coordorigin="981,16" coordsize="0,704" path="m981,16l981,719e" filled="false" stroked="true" strokeweight="1.140pt" strokecolor="#d2d2d2">
                <v:path arrowok="t"/>
              </v:shape>
            </v:group>
            <v:group style="position:absolute;left:1549;top:16;width:2;height:704" coordorigin="1549,16" coordsize="2,704">
              <v:shape style="position:absolute;left:1549;top:16;width:2;height:704" coordorigin="1549,16" coordsize="0,704" path="m1549,16l1549,719e" filled="false" stroked="true" strokeweight="1.140pt" strokecolor="#d2d2d2">
                <v:path arrowok="t"/>
              </v:shape>
            </v:group>
            <v:group style="position:absolute;left:993;top:16;width:545;height:352" coordorigin="993,16" coordsize="545,352">
              <v:shape style="position:absolute;left:993;top:16;width:545;height:352" coordorigin="993,16" coordsize="545,352" path="m993,367l1538,367,1538,16,993,16,993,367xe" filled="true" fillcolor="#d2d2d2" stroked="false">
                <v:path arrowok="t"/>
                <v:fill type="solid"/>
              </v:shape>
            </v:group>
            <v:group style="position:absolute;left:993;top:367;width:545;height:352" coordorigin="993,367" coordsize="545,352">
              <v:shape style="position:absolute;left:993;top:367;width:545;height:352" coordorigin="993,367" coordsize="545,352" path="m993,719l1538,719,1538,367,993,367,993,719xe" filled="true" fillcolor="#d2d2d2" stroked="false">
                <v:path arrowok="t"/>
                <v:fill type="solid"/>
              </v:shape>
            </v:group>
            <v:group style="position:absolute;left:1570;top:16;width:840;height:156" coordorigin="1570,16" coordsize="840,156">
              <v:shape style="position:absolute;left:1570;top:16;width:840;height:156" coordorigin="1570,16" coordsize="840,156" path="m1570,172l2410,172,2410,16,1570,16,1570,172xe" filled="true" fillcolor="#d2d2d2" stroked="false">
                <v:path arrowok="t"/>
                <v:fill type="solid"/>
              </v:shape>
            </v:group>
            <v:group style="position:absolute;left:1581;top:172;width:2;height:392" coordorigin="1581,172" coordsize="2,392">
              <v:shape style="position:absolute;left:1581;top:172;width:2;height:392" coordorigin="1581,172" coordsize="0,392" path="m1581,172l1581,563e" filled="false" stroked="true" strokeweight="1.140pt" strokecolor="#d2d2d2">
                <v:path arrowok="t"/>
              </v:shape>
            </v:group>
            <v:group style="position:absolute;left:2399;top:172;width:2;height:392" coordorigin="2399,172" coordsize="2,392">
              <v:shape style="position:absolute;left:2399;top:172;width:2;height:392" coordorigin="2399,172" coordsize="0,392" path="m2399,172l2399,563e" filled="false" stroked="true" strokeweight="1.140pt" strokecolor="#d2d2d2">
                <v:path arrowok="t"/>
              </v:shape>
            </v:group>
            <v:group style="position:absolute;left:1570;top:563;width:840;height:156" coordorigin="1570,563" coordsize="840,156">
              <v:shape style="position:absolute;left:1570;top:563;width:840;height:156" coordorigin="1570,563" coordsize="840,156" path="m1570,719l2410,719,2410,563,1570,563,1570,719xe" filled="true" fillcolor="#d2d2d2" stroked="false">
                <v:path arrowok="t"/>
                <v:fill type="solid"/>
              </v:shape>
            </v:group>
            <v:group style="position:absolute;left:1593;top:172;width:795;height:392" coordorigin="1593,172" coordsize="795,392">
              <v:shape style="position:absolute;left:1593;top:172;width:795;height:392" coordorigin="1593,172" coordsize="795,392" path="m1593,563l2387,563,2387,172,1593,172,1593,563xe" filled="true" fillcolor="#d2d2d2" stroked="false">
                <v:path arrowok="t"/>
                <v:fill type="solid"/>
              </v:shape>
            </v:group>
            <v:group style="position:absolute;left:2420;top:16;width:1411;height:156" coordorigin="2420,16" coordsize="1411,156">
              <v:shape style="position:absolute;left:2420;top:16;width:1411;height:156" coordorigin="2420,16" coordsize="1411,156" path="m2420,172l3830,172,3830,16,2420,16,2420,172xe" filled="true" fillcolor="#d2d2d2" stroked="false">
                <v:path arrowok="t"/>
                <v:fill type="solid"/>
              </v:shape>
            </v:group>
            <v:group style="position:absolute;left:2432;top:172;width:2;height:392" coordorigin="2432,172" coordsize="2,392">
              <v:shape style="position:absolute;left:2432;top:172;width:2;height:392" coordorigin="2432,172" coordsize="0,392" path="m2432,172l2432,563e" filled="false" stroked="true" strokeweight="1.2pt" strokecolor="#d2d2d2">
                <v:path arrowok="t"/>
              </v:shape>
            </v:group>
            <v:group style="position:absolute;left:3819;top:172;width:2;height:392" coordorigin="3819,172" coordsize="2,392">
              <v:shape style="position:absolute;left:3819;top:172;width:2;height:392" coordorigin="3819,172" coordsize="0,392" path="m3819,172l3819,563e" filled="false" stroked="true" strokeweight="1.140pt" strokecolor="#d2d2d2">
                <v:path arrowok="t"/>
              </v:shape>
            </v:group>
            <v:group style="position:absolute;left:2420;top:563;width:1411;height:156" coordorigin="2420,563" coordsize="1411,156">
              <v:shape style="position:absolute;left:2420;top:563;width:1411;height:156" coordorigin="2420,563" coordsize="1411,156" path="m2420,719l3830,719,3830,563,2420,563,2420,719xe" filled="true" fillcolor="#d2d2d2" stroked="false">
                <v:path arrowok="t"/>
                <v:fill type="solid"/>
              </v:shape>
            </v:group>
            <v:group style="position:absolute;left:2444;top:172;width:1364;height:392" coordorigin="2444,172" coordsize="1364,392">
              <v:shape style="position:absolute;left:2444;top:172;width:1364;height:392" coordorigin="2444,172" coordsize="1364,392" path="m2444,563l3807,563,3807,172,2444,172,2444,563xe" filled="true" fillcolor="#d2d2d2" stroked="false">
                <v:path arrowok="t"/>
                <v:fill type="solid"/>
              </v:shape>
            </v:group>
            <v:group style="position:absolute;left:3841;top:16;width:947;height:156" coordorigin="3841,16" coordsize="947,156">
              <v:shape style="position:absolute;left:3841;top:16;width:947;height:156" coordorigin="3841,16" coordsize="947,156" path="m3841,172l4788,172,4788,16,3841,16,3841,172xe" filled="true" fillcolor="#d2d2d2" stroked="false">
                <v:path arrowok="t"/>
                <v:fill type="solid"/>
              </v:shape>
            </v:group>
            <v:group style="position:absolute;left:3852;top:172;width:2;height:392" coordorigin="3852,172" coordsize="2,392">
              <v:shape style="position:absolute;left:3852;top:172;width:2;height:392" coordorigin="3852,172" coordsize="0,392" path="m3852,172l3852,563e" filled="false" stroked="true" strokeweight="1.140pt" strokecolor="#d2d2d2">
                <v:path arrowok="t"/>
              </v:shape>
            </v:group>
            <v:group style="position:absolute;left:4776;top:172;width:2;height:392" coordorigin="4776,172" coordsize="2,392">
              <v:shape style="position:absolute;left:4776;top:172;width:2;height:392" coordorigin="4776,172" coordsize="0,392" path="m4776,172l4776,563e" filled="false" stroked="true" strokeweight="1.140pt" strokecolor="#d2d2d2">
                <v:path arrowok="t"/>
              </v:shape>
            </v:group>
            <v:group style="position:absolute;left:3841;top:563;width:947;height:156" coordorigin="3841,563" coordsize="947,156">
              <v:shape style="position:absolute;left:3841;top:563;width:947;height:156" coordorigin="3841,563" coordsize="947,156" path="m3841,719l4788,719,4788,563,3841,563,3841,719xe" filled="true" fillcolor="#d2d2d2" stroked="false">
                <v:path arrowok="t"/>
                <v:fill type="solid"/>
              </v:shape>
            </v:group>
            <v:group style="position:absolute;left:3864;top:172;width:902;height:392" coordorigin="3864,172" coordsize="902,392">
              <v:shape style="position:absolute;left:3864;top:172;width:902;height:392" coordorigin="3864,172" coordsize="902,392" path="m3864,563l4765,563,4765,172,3864,172,3864,563xe" filled="true" fillcolor="#d2d2d2" stroked="false">
                <v:path arrowok="t"/>
                <v:fill type="solid"/>
              </v:shape>
            </v:group>
            <v:group style="position:absolute;left:4797;top:16;width:947;height:156" coordorigin="4797,16" coordsize="947,156">
              <v:shape style="position:absolute;left:4797;top:16;width:947;height:156" coordorigin="4797,16" coordsize="947,156" path="m4797,172l5744,172,5744,16,4797,16,4797,172xe" filled="true" fillcolor="#d2d2d2" stroked="false">
                <v:path arrowok="t"/>
                <v:fill type="solid"/>
              </v:shape>
            </v:group>
            <v:group style="position:absolute;left:4809;top:172;width:2;height:392" coordorigin="4809,172" coordsize="2,392">
              <v:shape style="position:absolute;left:4809;top:172;width:2;height:392" coordorigin="4809,172" coordsize="0,392" path="m4809,172l4809,563e" filled="false" stroked="true" strokeweight="1.140pt" strokecolor="#d2d2d2">
                <v:path arrowok="t"/>
              </v:shape>
            </v:group>
            <v:group style="position:absolute;left:5732;top:172;width:2;height:392" coordorigin="5732,172" coordsize="2,392">
              <v:shape style="position:absolute;left:5732;top:172;width:2;height:392" coordorigin="5732,172" coordsize="0,392" path="m5732,172l5732,563e" filled="false" stroked="true" strokeweight="1.2pt" strokecolor="#d2d2d2">
                <v:path arrowok="t"/>
              </v:shape>
            </v:group>
            <v:group style="position:absolute;left:4797;top:563;width:947;height:156" coordorigin="4797,563" coordsize="947,156">
              <v:shape style="position:absolute;left:4797;top:563;width:947;height:156" coordorigin="4797,563" coordsize="947,156" path="m4797,719l5744,719,5744,563,4797,563,4797,719xe" filled="true" fillcolor="#d2d2d2" stroked="false">
                <v:path arrowok="t"/>
                <v:fill type="solid"/>
              </v:shape>
            </v:group>
            <v:group style="position:absolute;left:4820;top:172;width:900;height:392" coordorigin="4820,172" coordsize="900,392">
              <v:shape style="position:absolute;left:4820;top:172;width:900;height:392" coordorigin="4820,172" coordsize="900,392" path="m4820,563l5720,563,5720,172,4820,172,4820,563xe" filled="true" fillcolor="#d2d2d2" stroked="false">
                <v:path arrowok="t"/>
                <v:fill type="solid"/>
              </v:shape>
            </v:group>
            <v:group style="position:absolute;left:5754;top:16;width:947;height:156" coordorigin="5754,16" coordsize="947,156">
              <v:shape style="position:absolute;left:5754;top:16;width:947;height:156" coordorigin="5754,16" coordsize="947,156" path="m5754,172l6700,172,6700,16,5754,16,5754,172xe" filled="true" fillcolor="#d2d2d2" stroked="false">
                <v:path arrowok="t"/>
                <v:fill type="solid"/>
              </v:shape>
            </v:group>
            <v:group style="position:absolute;left:5765;top:172;width:2;height:392" coordorigin="5765,172" coordsize="2,392">
              <v:shape style="position:absolute;left:5765;top:172;width:2;height:392" coordorigin="5765,172" coordsize="0,392" path="m5765,172l5765,563e" filled="false" stroked="true" strokeweight="1.140pt" strokecolor="#d2d2d2">
                <v:path arrowok="t"/>
              </v:shape>
            </v:group>
            <v:group style="position:absolute;left:6689;top:172;width:2;height:392" coordorigin="6689,172" coordsize="2,392">
              <v:shape style="position:absolute;left:6689;top:172;width:2;height:392" coordorigin="6689,172" coordsize="0,392" path="m6689,172l6689,563e" filled="false" stroked="true" strokeweight="1.140pt" strokecolor="#d2d2d2">
                <v:path arrowok="t"/>
              </v:shape>
            </v:group>
            <v:group style="position:absolute;left:5754;top:563;width:947;height:156" coordorigin="5754,563" coordsize="947,156">
              <v:shape style="position:absolute;left:5754;top:563;width:947;height:156" coordorigin="5754,563" coordsize="947,156" path="m5754,719l6700,719,6700,563,5754,563,5754,719xe" filled="true" fillcolor="#d2d2d2" stroked="false">
                <v:path arrowok="t"/>
                <v:fill type="solid"/>
              </v:shape>
            </v:group>
            <v:group style="position:absolute;left:5776;top:172;width:902;height:392" coordorigin="5776,172" coordsize="902,392">
              <v:shape style="position:absolute;left:5776;top:172;width:902;height:392" coordorigin="5776,172" coordsize="902,392" path="m5776,563l6678,563,6678,172,5776,172,5776,563xe" filled="true" fillcolor="#d2d2d2" stroked="false">
                <v:path arrowok="t"/>
                <v:fill type="solid"/>
              </v:shape>
            </v:group>
            <v:group style="position:absolute;left:6710;top:16;width:948;height:156" coordorigin="6710,16" coordsize="948,156">
              <v:shape style="position:absolute;left:6710;top:16;width:948;height:156" coordorigin="6710,16" coordsize="948,156" path="m6710,172l7657,172,7657,16,6710,16,6710,172xe" filled="true" fillcolor="#d2d2d2" stroked="false">
                <v:path arrowok="t"/>
                <v:fill type="solid"/>
              </v:shape>
            </v:group>
            <v:group style="position:absolute;left:6722;top:172;width:2;height:392" coordorigin="6722,172" coordsize="2,392">
              <v:shape style="position:absolute;left:6722;top:172;width:2;height:392" coordorigin="6722,172" coordsize="0,392" path="m6722,172l6722,563e" filled="false" stroked="true" strokeweight="1.2pt" strokecolor="#d2d2d2">
                <v:path arrowok="t"/>
              </v:shape>
            </v:group>
            <v:group style="position:absolute;left:7646;top:172;width:2;height:392" coordorigin="7646,172" coordsize="2,392">
              <v:shape style="position:absolute;left:7646;top:172;width:2;height:392" coordorigin="7646,172" coordsize="0,392" path="m7646,172l7646,563e" filled="false" stroked="true" strokeweight="1.140pt" strokecolor="#d2d2d2">
                <v:path arrowok="t"/>
              </v:shape>
            </v:group>
            <v:group style="position:absolute;left:6710;top:563;width:948;height:156" coordorigin="6710,563" coordsize="948,156">
              <v:shape style="position:absolute;left:6710;top:563;width:948;height:156" coordorigin="6710,563" coordsize="948,156" path="m6710,719l7657,719,7657,563,6710,563,6710,719xe" filled="true" fillcolor="#d2d2d2" stroked="false">
                <v:path arrowok="t"/>
                <v:fill type="solid"/>
              </v:shape>
            </v:group>
            <v:group style="position:absolute;left:6734;top:172;width:901;height:392" coordorigin="6734,172" coordsize="901,392">
              <v:shape style="position:absolute;left:6734;top:172;width:901;height:392" coordorigin="6734,172" coordsize="901,392" path="m6734,563l7634,563,7634,172,6734,172,6734,563xe" filled="true" fillcolor="#d2d2d2" stroked="false">
                <v:path arrowok="t"/>
                <v:fill type="solid"/>
              </v:shape>
            </v:group>
            <v:group style="position:absolute;left:7667;top:16;width:947;height:156" coordorigin="7667,16" coordsize="947,156">
              <v:shape style="position:absolute;left:7667;top:16;width:947;height:156" coordorigin="7667,16" coordsize="947,156" path="m7667,172l8614,172,8614,16,7667,16,7667,172xe" filled="true" fillcolor="#d2d2d2" stroked="false">
                <v:path arrowok="t"/>
                <v:fill type="solid"/>
              </v:shape>
            </v:group>
            <v:group style="position:absolute;left:7678;top:172;width:2;height:392" coordorigin="7678,172" coordsize="2,392">
              <v:shape style="position:absolute;left:7678;top:172;width:2;height:392" coordorigin="7678,172" coordsize="0,392" path="m7678,172l7678,563e" filled="false" stroked="true" strokeweight="1.140pt" strokecolor="#d2d2d2">
                <v:path arrowok="t"/>
              </v:shape>
            </v:group>
            <v:group style="position:absolute;left:8602;top:172;width:2;height:392" coordorigin="8602,172" coordsize="2,392">
              <v:shape style="position:absolute;left:8602;top:172;width:2;height:392" coordorigin="8602,172" coordsize="0,392" path="m8602,172l8602,563e" filled="false" stroked="true" strokeweight="1.140pt" strokecolor="#d2d2d2">
                <v:path arrowok="t"/>
              </v:shape>
            </v:group>
            <v:group style="position:absolute;left:7667;top:563;width:947;height:156" coordorigin="7667,563" coordsize="947,156">
              <v:shape style="position:absolute;left:7667;top:563;width:947;height:156" coordorigin="7667,563" coordsize="947,156" path="m7667,719l8614,719,8614,563,7667,563,7667,719xe" filled="true" fillcolor="#d2d2d2" stroked="false">
                <v:path arrowok="t"/>
                <v:fill type="solid"/>
              </v:shape>
            </v:group>
            <v:group style="position:absolute;left:7690;top:172;width:902;height:392" coordorigin="7690,172" coordsize="902,392">
              <v:shape style="position:absolute;left:7690;top:172;width:902;height:392" coordorigin="7690,172" coordsize="902,392" path="m7690,563l8591,563,8591,172,7690,172,7690,563xe" filled="true" fillcolor="#d2d2d2" stroked="false">
                <v:path arrowok="t"/>
                <v:fill type="solid"/>
              </v:shape>
            </v:group>
            <v:group style="position:absolute;left:8624;top:16;width:947;height:156" coordorigin="8624,16" coordsize="947,156">
              <v:shape style="position:absolute;left:8624;top:16;width:947;height:156" coordorigin="8624,16" coordsize="947,156" path="m8624,172l9571,172,9571,16,8624,16,8624,172xe" filled="true" fillcolor="#d2d2d2" stroked="false">
                <v:path arrowok="t"/>
                <v:fill type="solid"/>
              </v:shape>
            </v:group>
            <v:group style="position:absolute;left:8636;top:172;width:2;height:392" coordorigin="8636,172" coordsize="2,392">
              <v:shape style="position:absolute;left:8636;top:172;width:2;height:392" coordorigin="8636,172" coordsize="0,392" path="m8636,172l8636,563e" filled="false" stroked="true" strokeweight="1.140pt" strokecolor="#d2d2d2">
                <v:path arrowok="t"/>
              </v:shape>
            </v:group>
            <v:group style="position:absolute;left:9560;top:172;width:2;height:392" coordorigin="9560,172" coordsize="2,392">
              <v:shape style="position:absolute;left:9560;top:172;width:2;height:392" coordorigin="9560,172" coordsize="0,392" path="m9560,172l9560,563e" filled="false" stroked="true" strokeweight="1.140pt" strokecolor="#d2d2d2">
                <v:path arrowok="t"/>
              </v:shape>
            </v:group>
            <v:group style="position:absolute;left:8624;top:563;width:947;height:156" coordorigin="8624,563" coordsize="947,156">
              <v:shape style="position:absolute;left:8624;top:563;width:947;height:156" coordorigin="8624,563" coordsize="947,156" path="m8624,719l9571,719,9571,563,8624,563,8624,719xe" filled="true" fillcolor="#d2d2d2" stroked="false">
                <v:path arrowok="t"/>
                <v:fill type="solid"/>
              </v:shape>
            </v:group>
            <v:group style="position:absolute;left:8647;top:172;width:902;height:392" coordorigin="8647,172" coordsize="902,392">
              <v:shape style="position:absolute;left:8647;top:172;width:902;height:392" coordorigin="8647,172" coordsize="902,392" path="m8647,563l9548,563,9548,172,8647,172,8647,563xe" filled="true" fillcolor="#d2d2d2" stroked="false">
                <v:path arrowok="t"/>
                <v:fill type="solid"/>
              </v:shape>
            </v:group>
            <v:group style="position:absolute;left:10;top:10;width:951;height:2" coordorigin="10,10" coordsize="951,2">
              <v:shape style="position:absolute;left:10;top:10;width:951;height:2" coordorigin="10,10" coordsize="951,0" path="m10,10l960,10e" filled="false" stroked="true" strokeweight=".48pt" strokecolor="#000000">
                <v:path arrowok="t"/>
              </v:shape>
            </v:group>
            <v:group style="position:absolute;left:970;top:10;width:591;height:2" coordorigin="970,10" coordsize="591,2">
              <v:shape style="position:absolute;left:970;top:10;width:591;height:2" coordorigin="970,10" coordsize="591,0" path="m970,10l1560,10e" filled="false" stroked="true" strokeweight=".48pt" strokecolor="#000000">
                <v:path arrowok="t"/>
              </v:shape>
            </v:group>
            <v:group style="position:absolute;left:1570;top:10;width:840;height:2" coordorigin="1570,10" coordsize="840,2">
              <v:shape style="position:absolute;left:1570;top:10;width:840;height:2" coordorigin="1570,10" coordsize="840,0" path="m1570,10l2410,10e" filled="false" stroked="true" strokeweight=".48pt" strokecolor="#000000">
                <v:path arrowok="t"/>
              </v:shape>
            </v:group>
            <v:group style="position:absolute;left:2420;top:10;width:1412;height:2" coordorigin="2420,10" coordsize="1412,2">
              <v:shape style="position:absolute;left:2420;top:10;width:1412;height:2" coordorigin="2420,10" coordsize="1412,0" path="m2420,10l3831,10e" filled="false" stroked="true" strokeweight=".48pt" strokecolor="#000000">
                <v:path arrowok="t"/>
              </v:shape>
            </v:group>
            <v:group style="position:absolute;left:3841;top:10;width:947;height:2" coordorigin="3841,10" coordsize="947,2">
              <v:shape style="position:absolute;left:3841;top:10;width:947;height:2" coordorigin="3841,10" coordsize="947,0" path="m3841,10l4788,10e" filled="false" stroked="true" strokeweight=".48pt" strokecolor="#000000">
                <v:path arrowok="t"/>
              </v:shape>
            </v:group>
            <v:group style="position:absolute;left:4797;top:10;width:947;height:2" coordorigin="4797,10" coordsize="947,2">
              <v:shape style="position:absolute;left:4797;top:10;width:947;height:2" coordorigin="4797,10" coordsize="947,0" path="m4797,10l5744,10e" filled="false" stroked="true" strokeweight=".48pt" strokecolor="#000000">
                <v:path arrowok="t"/>
              </v:shape>
            </v:group>
            <v:group style="position:absolute;left:5754;top:10;width:947;height:2" coordorigin="5754,10" coordsize="947,2">
              <v:shape style="position:absolute;left:5754;top:10;width:947;height:2" coordorigin="5754,10" coordsize="947,0" path="m5754,10l6700,10e" filled="false" stroked="true" strokeweight=".48pt" strokecolor="#000000">
                <v:path arrowok="t"/>
              </v:shape>
            </v:group>
            <v:group style="position:absolute;left:6710;top:10;width:948;height:2" coordorigin="6710,10" coordsize="948,2">
              <v:shape style="position:absolute;left:6710;top:10;width:948;height:2" coordorigin="6710,10" coordsize="948,0" path="m6710,10l7657,10e" filled="false" stroked="true" strokeweight=".48pt" strokecolor="#000000">
                <v:path arrowok="t"/>
              </v:shape>
            </v:group>
            <v:group style="position:absolute;left:7667;top:10;width:948;height:2" coordorigin="7667,10" coordsize="948,2">
              <v:shape style="position:absolute;left:7667;top:10;width:948;height:2" coordorigin="7667,10" coordsize="948,0" path="m7667,10l8615,10e" filled="false" stroked="true" strokeweight=".48pt" strokecolor="#000000">
                <v:path arrowok="t"/>
              </v:shape>
            </v:group>
            <v:group style="position:absolute;left:8624;top:10;width:947;height:2" coordorigin="8624,10" coordsize="947,2">
              <v:shape style="position:absolute;left:8624;top:10;width:947;height:2" coordorigin="8624,10" coordsize="947,0" path="m8624,10l9571,10e" filled="false" stroked="true" strokeweight=".48pt" strokecolor="#000000">
                <v:path arrowok="t"/>
              </v:shape>
            </v:group>
            <v:group style="position:absolute;left:3841;top:730;width:947;height:2184" coordorigin="3841,730" coordsize="947,2184">
              <v:shape style="position:absolute;left:3841;top:730;width:947;height:2184" coordorigin="3841,730" coordsize="947,2184" path="m3841,2914l4788,2914,4788,730,3841,730,3841,2914xe" filled="true" fillcolor="#ffffff" stroked="false">
                <v:path arrowok="t"/>
                <v:fill type="solid"/>
              </v:shape>
            </v:group>
            <v:group style="position:absolute;left:10;top:724;width:951;height:2" coordorigin="10,724" coordsize="951,2">
              <v:shape style="position:absolute;left:10;top:724;width:951;height:2" coordorigin="10,724" coordsize="951,0" path="m10,724l960,724e" filled="false" stroked="true" strokeweight=".48pt" strokecolor="#000000">
                <v:path arrowok="t"/>
              </v:shape>
            </v:group>
            <v:group style="position:absolute;left:970;top:724;width:591;height:2" coordorigin="970,724" coordsize="591,2">
              <v:shape style="position:absolute;left:970;top:724;width:591;height:2" coordorigin="970,724" coordsize="591,0" path="m970,724l1560,724e" filled="false" stroked="true" strokeweight=".48pt" strokecolor="#000000">
                <v:path arrowok="t"/>
              </v:shape>
            </v:group>
            <v:group style="position:absolute;left:1570;top:724;width:840;height:2" coordorigin="1570,724" coordsize="840,2">
              <v:shape style="position:absolute;left:1570;top:724;width:840;height:2" coordorigin="1570,724" coordsize="840,0" path="m1570,724l2410,724e" filled="false" stroked="true" strokeweight=".48pt" strokecolor="#000000">
                <v:path arrowok="t"/>
              </v:shape>
            </v:group>
            <v:group style="position:absolute;left:2420;top:724;width:1412;height:2" coordorigin="2420,724" coordsize="1412,2">
              <v:shape style="position:absolute;left:2420;top:724;width:1412;height:2" coordorigin="2420,724" coordsize="1412,0" path="m2420,724l3831,724e" filled="false" stroked="true" strokeweight=".48pt" strokecolor="#000000">
                <v:path arrowok="t"/>
              </v:shape>
            </v:group>
            <v:group style="position:absolute;left:3841;top:724;width:947;height:2" coordorigin="3841,724" coordsize="947,2">
              <v:shape style="position:absolute;left:3841;top:724;width:947;height:2" coordorigin="3841,724" coordsize="947,0" path="m3841,724l4788,724e" filled="false" stroked="true" strokeweight=".48pt" strokecolor="#000000">
                <v:path arrowok="t"/>
              </v:shape>
            </v:group>
            <v:group style="position:absolute;left:4797;top:724;width:947;height:2" coordorigin="4797,724" coordsize="947,2">
              <v:shape style="position:absolute;left:4797;top:724;width:947;height:2" coordorigin="4797,724" coordsize="947,0" path="m4797,724l5744,724e" filled="false" stroked="true" strokeweight=".48pt" strokecolor="#000000">
                <v:path arrowok="t"/>
              </v:shape>
            </v:group>
            <v:group style="position:absolute;left:5754;top:724;width:947;height:2" coordorigin="5754,724" coordsize="947,2">
              <v:shape style="position:absolute;left:5754;top:724;width:947;height:2" coordorigin="5754,724" coordsize="947,0" path="m5754,724l6700,724e" filled="false" stroked="true" strokeweight=".48pt" strokecolor="#000000">
                <v:path arrowok="t"/>
              </v:shape>
            </v:group>
            <v:group style="position:absolute;left:6710;top:724;width:948;height:2" coordorigin="6710,724" coordsize="948,2">
              <v:shape style="position:absolute;left:6710;top:724;width:948;height:2" coordorigin="6710,724" coordsize="948,0" path="m6710,724l7657,724e" filled="false" stroked="true" strokeweight=".48pt" strokecolor="#000000">
                <v:path arrowok="t"/>
              </v:shape>
            </v:group>
            <v:group style="position:absolute;left:7667;top:724;width:948;height:2" coordorigin="7667,724" coordsize="948,2">
              <v:shape style="position:absolute;left:7667;top:724;width:948;height:2" coordorigin="7667,724" coordsize="948,0" path="m7667,724l8615,724e" filled="false" stroked="true" strokeweight=".48pt" strokecolor="#000000">
                <v:path arrowok="t"/>
              </v:shape>
            </v:group>
            <v:group style="position:absolute;left:8624;top:724;width:947;height:2" coordorigin="8624,724" coordsize="947,2">
              <v:shape style="position:absolute;left:8624;top:724;width:947;height:2" coordorigin="8624,724" coordsize="947,0" path="m8624,724l9571,724e" filled="false" stroked="true" strokeweight=".48pt" strokecolor="#000000">
                <v:path arrowok="t"/>
              </v:shape>
            </v:group>
            <v:group style="position:absolute;left:5;top:5;width:2;height:6120" coordorigin="5,5" coordsize="2,6120">
              <v:shape style="position:absolute;left:5;top:5;width:2;height:6120" coordorigin="5,5" coordsize="0,6120" path="m5,5l5,6124e" filled="false" stroked="true" strokeweight=".48pt" strokecolor="#000000">
                <v:path arrowok="t"/>
              </v:shape>
            </v:group>
            <v:group style="position:absolute;left:10;top:6119;width:951;height:2" coordorigin="10,6119" coordsize="951,2">
              <v:shape style="position:absolute;left:10;top:6119;width:951;height:2" coordorigin="10,6119" coordsize="951,0" path="m10,6119l960,6119e" filled="false" stroked="true" strokeweight=".48pt" strokecolor="#000000">
                <v:path arrowok="t"/>
              </v:shape>
            </v:group>
            <v:group style="position:absolute;left:965;top:5;width:2;height:6120" coordorigin="965,5" coordsize="2,6120">
              <v:shape style="position:absolute;left:965;top:5;width:2;height:6120" coordorigin="965,5" coordsize="0,6120" path="m965,5l965,6124e" filled="false" stroked="true" strokeweight=".48pt" strokecolor="#000000">
                <v:path arrowok="t"/>
              </v:shape>
            </v:group>
            <v:group style="position:absolute;left:970;top:6119;width:591;height:2" coordorigin="970,6119" coordsize="591,2">
              <v:shape style="position:absolute;left:970;top:6119;width:591;height:2" coordorigin="970,6119" coordsize="591,0" path="m970,6119l1560,6119e" filled="false" stroked="true" strokeweight=".48pt" strokecolor="#000000">
                <v:path arrowok="t"/>
              </v:shape>
            </v:group>
            <v:group style="position:absolute;left:1565;top:5;width:2;height:6120" coordorigin="1565,5" coordsize="2,6120">
              <v:shape style="position:absolute;left:1565;top:5;width:2;height:6120" coordorigin="1565,5" coordsize="0,6120" path="m1565,5l1565,6124e" filled="false" stroked="true" strokeweight=".48pt" strokecolor="#000000">
                <v:path arrowok="t"/>
              </v:shape>
            </v:group>
            <v:group style="position:absolute;left:1570;top:6119;width:840;height:2" coordorigin="1570,6119" coordsize="840,2">
              <v:shape style="position:absolute;left:1570;top:6119;width:840;height:2" coordorigin="1570,6119" coordsize="840,0" path="m1570,6119l2410,6119e" filled="false" stroked="true" strokeweight=".48pt" strokecolor="#000000">
                <v:path arrowok="t"/>
              </v:shape>
            </v:group>
            <v:group style="position:absolute;left:2415;top:5;width:2;height:6120" coordorigin="2415,5" coordsize="2,6120">
              <v:shape style="position:absolute;left:2415;top:5;width:2;height:6120" coordorigin="2415,5" coordsize="0,6120" path="m2415,5l2415,6124e" filled="false" stroked="true" strokeweight=".48pt" strokecolor="#000000">
                <v:path arrowok="t"/>
              </v:shape>
            </v:group>
            <v:group style="position:absolute;left:3841;top:3929;width:947;height:2185" coordorigin="3841,3929" coordsize="947,2185">
              <v:shape style="position:absolute;left:3841;top:3929;width:947;height:2185" coordorigin="3841,3929" coordsize="947,2185" path="m3841,6113l4788,6113,4788,3929,3841,3929,3841,6113xe" filled="true" fillcolor="#ffffff" stroked="false">
                <v:path arrowok="t"/>
                <v:fill type="solid"/>
              </v:shape>
            </v:group>
            <v:group style="position:absolute;left:2420;top:6119;width:1412;height:2" coordorigin="2420,6119" coordsize="1412,2">
              <v:shape style="position:absolute;left:2420;top:6119;width:1412;height:2" coordorigin="2420,6119" coordsize="1412,0" path="m2420,6119l3831,6119e" filled="false" stroked="true" strokeweight=".48pt" strokecolor="#000000">
                <v:path arrowok="t"/>
              </v:shape>
            </v:group>
            <v:group style="position:absolute;left:3836;top:5;width:2;height:6120" coordorigin="3836,5" coordsize="2,6120">
              <v:shape style="position:absolute;left:3836;top:5;width:2;height:6120" coordorigin="3836,5" coordsize="0,6120" path="m3836,5l3836,6124e" filled="false" stroked="true" strokeweight=".48pt" strokecolor="#000000">
                <v:path arrowok="t"/>
              </v:shape>
            </v:group>
            <v:group style="position:absolute;left:3841;top:6119;width:947;height:2" coordorigin="3841,6119" coordsize="947,2">
              <v:shape style="position:absolute;left:3841;top:6119;width:947;height:2" coordorigin="3841,6119" coordsize="947,0" path="m3841,6119l4788,6119e" filled="false" stroked="true" strokeweight=".48pt" strokecolor="#000000">
                <v:path arrowok="t"/>
              </v:shape>
            </v:group>
            <v:group style="position:absolute;left:4792;top:5;width:2;height:6120" coordorigin="4792,5" coordsize="2,6120">
              <v:shape style="position:absolute;left:4792;top:5;width:2;height:6120" coordorigin="4792,5" coordsize="0,6120" path="m4792,5l4792,6124e" filled="false" stroked="true" strokeweight=".48pt" strokecolor="#000000">
                <v:path arrowok="t"/>
              </v:shape>
            </v:group>
            <v:group style="position:absolute;left:4797;top:6119;width:947;height:2" coordorigin="4797,6119" coordsize="947,2">
              <v:shape style="position:absolute;left:4797;top:6119;width:947;height:2" coordorigin="4797,6119" coordsize="947,0" path="m4797,6119l5744,6119e" filled="false" stroked="true" strokeweight=".48pt" strokecolor="#000000">
                <v:path arrowok="t"/>
              </v:shape>
            </v:group>
            <v:group style="position:absolute;left:5749;top:5;width:2;height:6120" coordorigin="5749,5" coordsize="2,6120">
              <v:shape style="position:absolute;left:5749;top:5;width:2;height:6120" coordorigin="5749,5" coordsize="0,6120" path="m5749,5l5749,6124e" filled="false" stroked="true" strokeweight=".48pt" strokecolor="#000000">
                <v:path arrowok="t"/>
              </v:shape>
            </v:group>
            <v:group style="position:absolute;left:5754;top:6119;width:947;height:2" coordorigin="5754,6119" coordsize="947,2">
              <v:shape style="position:absolute;left:5754;top:6119;width:947;height:2" coordorigin="5754,6119" coordsize="947,0" path="m5754,6119l6700,6119e" filled="false" stroked="true" strokeweight=".48pt" strokecolor="#000000">
                <v:path arrowok="t"/>
              </v:shape>
            </v:group>
            <v:group style="position:absolute;left:6705;top:5;width:2;height:6120" coordorigin="6705,5" coordsize="2,6120">
              <v:shape style="position:absolute;left:6705;top:5;width:2;height:6120" coordorigin="6705,5" coordsize="0,6120" path="m6705,5l6705,6124e" filled="false" stroked="true" strokeweight=".48pt" strokecolor="#000000">
                <v:path arrowok="t"/>
              </v:shape>
            </v:group>
            <v:group style="position:absolute;left:6710;top:6119;width:948;height:2" coordorigin="6710,6119" coordsize="948,2">
              <v:shape style="position:absolute;left:6710;top:6119;width:948;height:2" coordorigin="6710,6119" coordsize="948,0" path="m6710,6119l7657,6119e" filled="false" stroked="true" strokeweight=".48pt" strokecolor="#000000">
                <v:path arrowok="t"/>
              </v:shape>
            </v:group>
            <v:group style="position:absolute;left:7662;top:5;width:2;height:6120" coordorigin="7662,5" coordsize="2,6120">
              <v:shape style="position:absolute;left:7662;top:5;width:2;height:6120" coordorigin="7662,5" coordsize="0,6120" path="m7662,5l7662,6124e" filled="false" stroked="true" strokeweight=".48pt" strokecolor="#000000">
                <v:path arrowok="t"/>
              </v:shape>
            </v:group>
            <v:group style="position:absolute;left:7667;top:6119;width:948;height:2" coordorigin="7667,6119" coordsize="948,2">
              <v:shape style="position:absolute;left:7667;top:6119;width:948;height:2" coordorigin="7667,6119" coordsize="948,0" path="m7667,6119l8615,6119e" filled="false" stroked="true" strokeweight=".48pt" strokecolor="#000000">
                <v:path arrowok="t"/>
              </v:shape>
            </v:group>
            <v:group style="position:absolute;left:8620;top:5;width:2;height:6120" coordorigin="8620,5" coordsize="2,6120">
              <v:shape style="position:absolute;left:8620;top:5;width:2;height:6120" coordorigin="8620,5" coordsize="0,6120" path="m8620,5l8620,6124e" filled="false" stroked="true" strokeweight=".48pt" strokecolor="#000000">
                <v:path arrowok="t"/>
              </v:shape>
            </v:group>
            <v:group style="position:absolute;left:8624;top:6119;width:947;height:2" coordorigin="8624,6119" coordsize="947,2">
              <v:shape style="position:absolute;left:8624;top:6119;width:947;height:2" coordorigin="8624,6119" coordsize="947,0" path="m8624,6119l9571,6119e" filled="false" stroked="true" strokeweight=".48pt" strokecolor="#000000">
                <v:path arrowok="t"/>
              </v:shape>
            </v:group>
            <v:group style="position:absolute;left:9576;top:5;width:2;height:6120" coordorigin="9576,5" coordsize="2,6120">
              <v:shape style="position:absolute;left:9576;top:5;width:2;height:6120" coordorigin="9576,5" coordsize="0,6120" path="m9576,5l9576,6124e" filled="false" stroked="true" strokeweight=".48pt" strokecolor="#000000">
                <v:path arrowok="t"/>
              </v:shape>
              <v:shape style="position:absolute;left:5;top:10;width:961;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公司名称</w:t>
                      </w:r>
                    </w:p>
                  </w:txbxContent>
                </v:textbox>
                <w10:wrap type="none"/>
              </v:shape>
              <v:shape style="position:absolute;left:965;top:10;width:600;height:709" type="#_x0000_t202" filled="false" stroked="false">
                <v:textbox inset="0,0,0,0">
                  <w:txbxContent>
                    <w:p>
                      <w:pPr>
                        <w:spacing w:line="316" w:lineRule="auto" w:before="56"/>
                        <w:ind w:left="208" w:right="29" w:hanging="180"/>
                        <w:jc w:val="left"/>
                        <w:rPr>
                          <w:rFonts w:ascii="宋体" w:hAnsi="宋体" w:cs="宋体" w:eastAsia="宋体" w:hint="default"/>
                          <w:sz w:val="18"/>
                          <w:szCs w:val="18"/>
                        </w:rPr>
                      </w:pPr>
                      <w:r>
                        <w:rPr>
                          <w:rFonts w:ascii="宋体" w:hAnsi="宋体" w:cs="宋体" w:eastAsia="宋体" w:hint="default"/>
                          <w:sz w:val="18"/>
                          <w:szCs w:val="18"/>
                        </w:rPr>
                        <w:t>公司类 型</w:t>
                      </w:r>
                    </w:p>
                  </w:txbxContent>
                </v:textbox>
                <w10:wrap type="none"/>
              </v:shape>
              <v:shape style="position:absolute;left:1565;top:10;width:850;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64" w:right="0" w:firstLine="0"/>
                        <w:jc w:val="left"/>
                        <w:rPr>
                          <w:rFonts w:ascii="宋体" w:hAnsi="宋体" w:cs="宋体" w:eastAsia="宋体" w:hint="default"/>
                          <w:sz w:val="18"/>
                          <w:szCs w:val="18"/>
                        </w:rPr>
                      </w:pPr>
                      <w:r>
                        <w:rPr>
                          <w:rFonts w:ascii="宋体" w:hAnsi="宋体" w:cs="宋体" w:eastAsia="宋体" w:hint="default"/>
                          <w:sz w:val="18"/>
                          <w:szCs w:val="18"/>
                        </w:rPr>
                        <w:t>所处行业</w:t>
                      </w:r>
                    </w:p>
                  </w:txbxContent>
                </v:textbox>
                <w10:wrap type="none"/>
              </v:shape>
              <v:shape style="position:absolute;left:2415;top:10;width:1422;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80" w:right="0" w:firstLine="0"/>
                        <w:jc w:val="left"/>
                        <w:rPr>
                          <w:rFonts w:ascii="宋体" w:hAnsi="宋体" w:cs="宋体" w:eastAsia="宋体" w:hint="default"/>
                          <w:sz w:val="18"/>
                          <w:szCs w:val="18"/>
                        </w:rPr>
                      </w:pPr>
                      <w:r>
                        <w:rPr>
                          <w:rFonts w:ascii="宋体" w:hAnsi="宋体" w:cs="宋体" w:eastAsia="宋体" w:hint="default"/>
                          <w:sz w:val="18"/>
                          <w:szCs w:val="18"/>
                        </w:rPr>
                        <w:t>主要产品或服务</w:t>
                      </w:r>
                    </w:p>
                  </w:txbxContent>
                </v:textbox>
                <w10:wrap type="none"/>
              </v:shape>
              <v:shape style="position:absolute;left:3836;top:10;width:957;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注册资本</w:t>
                      </w:r>
                    </w:p>
                  </w:txbxContent>
                </v:textbox>
                <w10:wrap type="none"/>
              </v:shape>
              <v:shape style="position:absolute;left:4792;top:10;width:957;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207" w:right="0" w:firstLine="0"/>
                        <w:jc w:val="left"/>
                        <w:rPr>
                          <w:rFonts w:ascii="宋体" w:hAnsi="宋体" w:cs="宋体" w:eastAsia="宋体" w:hint="default"/>
                          <w:sz w:val="18"/>
                          <w:szCs w:val="18"/>
                        </w:rPr>
                      </w:pPr>
                      <w:r>
                        <w:rPr>
                          <w:rFonts w:ascii="宋体" w:hAnsi="宋体" w:cs="宋体" w:eastAsia="宋体" w:hint="default"/>
                          <w:sz w:val="18"/>
                          <w:szCs w:val="18"/>
                        </w:rPr>
                        <w:t>总资产</w:t>
                      </w:r>
                    </w:p>
                  </w:txbxContent>
                </v:textbox>
                <w10:wrap type="none"/>
              </v:shape>
              <v:shape style="position:absolute;left:5749;top:10;width:957;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207" w:right="0" w:firstLine="0"/>
                        <w:jc w:val="left"/>
                        <w:rPr>
                          <w:rFonts w:ascii="宋体" w:hAnsi="宋体" w:cs="宋体" w:eastAsia="宋体" w:hint="default"/>
                          <w:sz w:val="18"/>
                          <w:szCs w:val="18"/>
                        </w:rPr>
                      </w:pPr>
                      <w:r>
                        <w:rPr>
                          <w:rFonts w:ascii="宋体" w:hAnsi="宋体" w:cs="宋体" w:eastAsia="宋体" w:hint="default"/>
                          <w:sz w:val="18"/>
                          <w:szCs w:val="18"/>
                        </w:rPr>
                        <w:t>净资产</w:t>
                      </w:r>
                    </w:p>
                  </w:txbxContent>
                </v:textbox>
                <w10:wrap type="none"/>
              </v:shape>
              <v:shape style="position:absolute;left:6705;top:10;width:957;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118"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txbxContent>
                </v:textbox>
                <w10:wrap type="none"/>
              </v:shape>
              <v:shape style="position:absolute;left:7662;top:10;width:958;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117" w:right="0" w:firstLine="0"/>
                        <w:jc w:val="left"/>
                        <w:rPr>
                          <w:rFonts w:ascii="宋体" w:hAnsi="宋体" w:cs="宋体" w:eastAsia="宋体" w:hint="default"/>
                          <w:sz w:val="18"/>
                          <w:szCs w:val="18"/>
                        </w:rPr>
                      </w:pPr>
                      <w:r>
                        <w:rPr>
                          <w:rFonts w:ascii="宋体" w:hAnsi="宋体" w:cs="宋体" w:eastAsia="宋体" w:hint="default"/>
                          <w:sz w:val="18"/>
                          <w:szCs w:val="18"/>
                        </w:rPr>
                        <w:t>营业利润</w:t>
                      </w:r>
                    </w:p>
                  </w:txbxContent>
                </v:textbox>
                <w10:wrap type="none"/>
              </v:shape>
              <v:shape style="position:absolute;left:8620;top:10;width:957;height:709" type="#_x0000_t202" filled="false" stroked="false">
                <v:textbox inset="0,0,0,0">
                  <w:txbxContent>
                    <w:p>
                      <w:pPr>
                        <w:spacing w:line="240" w:lineRule="auto" w:before="3"/>
                        <w:rPr>
                          <w:rFonts w:ascii="宋体" w:hAnsi="宋体" w:cs="宋体" w:eastAsia="宋体" w:hint="default"/>
                          <w:sz w:val="16"/>
                          <w:szCs w:val="16"/>
                        </w:rPr>
                      </w:pPr>
                    </w:p>
                    <w:p>
                      <w:pPr>
                        <w:spacing w:before="0"/>
                        <w:ind w:left="207" w:right="0" w:firstLine="0"/>
                        <w:jc w:val="left"/>
                        <w:rPr>
                          <w:rFonts w:ascii="宋体" w:hAnsi="宋体" w:cs="宋体" w:eastAsia="宋体" w:hint="default"/>
                          <w:sz w:val="18"/>
                          <w:szCs w:val="18"/>
                        </w:rPr>
                      </w:pPr>
                      <w:r>
                        <w:rPr>
                          <w:rFonts w:ascii="宋体" w:hAnsi="宋体" w:cs="宋体" w:eastAsia="宋体" w:hint="default"/>
                          <w:sz w:val="18"/>
                          <w:szCs w:val="18"/>
                        </w:rPr>
                        <w:t>净利润</w:t>
                      </w:r>
                    </w:p>
                  </w:txbxContent>
                </v:textbox>
                <w10:wrap type="none"/>
              </v:shape>
              <v:shape style="position:absolute;left:5;top:719;width:961;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26"/>
                        <w:ind w:left="27" w:right="30" w:firstLine="0"/>
                        <w:jc w:val="both"/>
                        <w:rPr>
                          <w:rFonts w:ascii="宋体" w:hAnsi="宋体" w:cs="宋体" w:eastAsia="宋体" w:hint="default"/>
                          <w:sz w:val="18"/>
                          <w:szCs w:val="18"/>
                        </w:rPr>
                      </w:pPr>
                      <w:r>
                        <w:rPr>
                          <w:rFonts w:ascii="宋体" w:hAnsi="宋体" w:cs="宋体" w:eastAsia="宋体" w:hint="default"/>
                          <w:sz w:val="18"/>
                          <w:szCs w:val="18"/>
                        </w:rPr>
                        <w:t>天津滨河创 新科技有限 公司</w:t>
                      </w:r>
                    </w:p>
                  </w:txbxContent>
                </v:textbox>
                <w10:wrap type="none"/>
              </v:shape>
              <v:shape style="position:absolute;left:993;top:333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1565;top:719;width:850;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line="316" w:lineRule="auto" w:before="0"/>
                        <w:ind w:left="27" w:right="101" w:firstLine="0"/>
                        <w:jc w:val="both"/>
                        <w:rPr>
                          <w:rFonts w:ascii="宋体" w:hAnsi="宋体" w:cs="宋体" w:eastAsia="宋体" w:hint="default"/>
                          <w:sz w:val="18"/>
                          <w:szCs w:val="18"/>
                        </w:rPr>
                      </w:pPr>
                      <w:r>
                        <w:rPr>
                          <w:rFonts w:ascii="宋体" w:hAnsi="宋体" w:cs="宋体" w:eastAsia="宋体" w:hint="default"/>
                          <w:sz w:val="18"/>
                          <w:szCs w:val="18"/>
                        </w:rPr>
                        <w:t>技术开发 服务、电 子产品销 售</w:t>
                      </w:r>
                    </w:p>
                  </w:txbxContent>
                </v:textbox>
                <w10:wrap type="none"/>
              </v:shape>
              <v:shape style="position:absolute;left:4792;top:719;width:957;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0" w:right="26" w:firstLine="0"/>
                        <w:jc w:val="right"/>
                        <w:rPr>
                          <w:rFonts w:ascii="Times New Roman" w:hAnsi="Times New Roman" w:cs="Times New Roman" w:eastAsia="Times New Roman" w:hint="default"/>
                          <w:sz w:val="18"/>
                          <w:szCs w:val="18"/>
                        </w:rPr>
                      </w:pPr>
                      <w:r>
                        <w:rPr>
                          <w:rFonts w:ascii="Times New Roman"/>
                          <w:sz w:val="18"/>
                        </w:rPr>
                        <w:t>230,338,416</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.10</w:t>
                      </w:r>
                    </w:p>
                  </w:txbxContent>
                </v:textbox>
                <w10:wrap type="none"/>
              </v:shape>
              <v:shape style="position:absolute;left:5749;top:719;width:957;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0" w:right="24" w:firstLine="0"/>
                        <w:jc w:val="right"/>
                        <w:rPr>
                          <w:rFonts w:ascii="Times New Roman" w:hAnsi="Times New Roman" w:cs="Times New Roman" w:eastAsia="Times New Roman" w:hint="default"/>
                          <w:sz w:val="18"/>
                          <w:szCs w:val="18"/>
                        </w:rPr>
                      </w:pPr>
                      <w:r>
                        <w:rPr>
                          <w:rFonts w:ascii="Times New Roman"/>
                          <w:sz w:val="18"/>
                        </w:rPr>
                        <w:t>148,149,396</w:t>
                      </w:r>
                    </w:p>
                    <w:p>
                      <w:pPr>
                        <w:spacing w:before="105"/>
                        <w:ind w:left="0" w:right="24" w:firstLine="0"/>
                        <w:jc w:val="right"/>
                        <w:rPr>
                          <w:rFonts w:ascii="Times New Roman" w:hAnsi="Times New Roman" w:cs="Times New Roman" w:eastAsia="Times New Roman" w:hint="default"/>
                          <w:sz w:val="18"/>
                          <w:szCs w:val="18"/>
                        </w:rPr>
                      </w:pPr>
                      <w:r>
                        <w:rPr>
                          <w:rFonts w:ascii="Times New Roman"/>
                          <w:sz w:val="18"/>
                        </w:rPr>
                        <w:t>.12</w:t>
                      </w:r>
                    </w:p>
                  </w:txbxContent>
                </v:textbox>
                <w10:wrap type="none"/>
              </v:shape>
              <v:shape style="position:absolute;left:6705;top:719;width:957;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0" w:right="25" w:firstLine="0"/>
                        <w:jc w:val="right"/>
                        <w:rPr>
                          <w:rFonts w:ascii="Times New Roman" w:hAnsi="Times New Roman" w:cs="Times New Roman" w:eastAsia="Times New Roman" w:hint="default"/>
                          <w:sz w:val="18"/>
                          <w:szCs w:val="18"/>
                        </w:rPr>
                      </w:pPr>
                      <w:r>
                        <w:rPr>
                          <w:rFonts w:ascii="Times New Roman"/>
                          <w:sz w:val="18"/>
                        </w:rPr>
                        <w:t>165,203,133</w:t>
                      </w:r>
                    </w:p>
                    <w:p>
                      <w:pPr>
                        <w:spacing w:before="105"/>
                        <w:ind w:left="0" w:right="24" w:firstLine="0"/>
                        <w:jc w:val="right"/>
                        <w:rPr>
                          <w:rFonts w:ascii="Times New Roman" w:hAnsi="Times New Roman" w:cs="Times New Roman" w:eastAsia="Times New Roman" w:hint="default"/>
                          <w:sz w:val="18"/>
                          <w:szCs w:val="18"/>
                        </w:rPr>
                      </w:pPr>
                      <w:r>
                        <w:rPr>
                          <w:rFonts w:ascii="Times New Roman"/>
                          <w:sz w:val="18"/>
                        </w:rPr>
                        <w:t>.84</w:t>
                      </w:r>
                    </w:p>
                  </w:txbxContent>
                </v:textbox>
                <w10:wrap type="none"/>
              </v:shape>
              <v:shape style="position:absolute;left:7662;top:719;width:958;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0" w:right="26" w:firstLine="0"/>
                        <w:jc w:val="right"/>
                        <w:rPr>
                          <w:rFonts w:ascii="Times New Roman" w:hAnsi="Times New Roman" w:cs="Times New Roman" w:eastAsia="Times New Roman" w:hint="default"/>
                          <w:sz w:val="18"/>
                          <w:szCs w:val="18"/>
                        </w:rPr>
                      </w:pPr>
                      <w:r>
                        <w:rPr>
                          <w:rFonts w:ascii="Times New Roman"/>
                          <w:spacing w:val="-1"/>
                          <w:sz w:val="18"/>
                        </w:rPr>
                        <w:t>64,155,565.</w:t>
                      </w:r>
                    </w:p>
                    <w:p>
                      <w:pPr>
                        <w:spacing w:before="105"/>
                        <w:ind w:left="0" w:right="26" w:firstLine="0"/>
                        <w:jc w:val="right"/>
                        <w:rPr>
                          <w:rFonts w:ascii="Times New Roman" w:hAnsi="Times New Roman" w:cs="Times New Roman" w:eastAsia="Times New Roman" w:hint="default"/>
                          <w:sz w:val="18"/>
                          <w:szCs w:val="18"/>
                        </w:rPr>
                      </w:pPr>
                      <w:r>
                        <w:rPr>
                          <w:rFonts w:ascii="Times New Roman"/>
                          <w:sz w:val="18"/>
                        </w:rPr>
                        <w:t>36</w:t>
                      </w:r>
                    </w:p>
                  </w:txbxContent>
                </v:textbox>
                <w10:wrap type="none"/>
              </v:shape>
              <v:shape style="position:absolute;left:8620;top:719;width:957;height:5401"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0" w:right="25" w:firstLine="0"/>
                        <w:jc w:val="right"/>
                        <w:rPr>
                          <w:rFonts w:ascii="Times New Roman" w:hAnsi="Times New Roman" w:cs="Times New Roman" w:eastAsia="Times New Roman" w:hint="default"/>
                          <w:sz w:val="18"/>
                          <w:szCs w:val="18"/>
                        </w:rPr>
                      </w:pPr>
                      <w:r>
                        <w:rPr>
                          <w:rFonts w:ascii="Times New Roman"/>
                          <w:spacing w:val="-1"/>
                          <w:sz w:val="18"/>
                        </w:rPr>
                        <w:t>63,468,432.</w:t>
                      </w:r>
                    </w:p>
                    <w:p>
                      <w:pPr>
                        <w:spacing w:before="105"/>
                        <w:ind w:left="0" w:right="25" w:firstLine="0"/>
                        <w:jc w:val="right"/>
                        <w:rPr>
                          <w:rFonts w:ascii="Times New Roman" w:hAnsi="Times New Roman" w:cs="Times New Roman" w:eastAsia="Times New Roman" w:hint="default"/>
                          <w:sz w:val="18"/>
                          <w:szCs w:val="18"/>
                        </w:rPr>
                      </w:pPr>
                      <w:r>
                        <w:rPr>
                          <w:rFonts w:ascii="Times New Roman"/>
                          <w:sz w:val="18"/>
                        </w:rPr>
                        <w:t>73</w:t>
                      </w:r>
                    </w:p>
                  </w:txbxContent>
                </v:textbox>
                <w10:wrap type="none"/>
              </v:shape>
              <v:shape style="position:absolute;left:0;top:0;width:9581;height:6129"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spacing w:line="316" w:lineRule="auto" w:before="0"/>
                        <w:ind w:left="2443" w:right="486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软件、电子信息、 工业装备与自动 化系统技术及产 品的开发、咨询、 </w:t>
                      </w:r>
                      <w:r>
                        <w:rPr>
                          <w:rFonts w:ascii="宋体" w:hAnsi="宋体" w:cs="宋体" w:eastAsia="宋体" w:hint="default"/>
                          <w:spacing w:val="-10"/>
                          <w:sz w:val="18"/>
                          <w:szCs w:val="18"/>
                        </w:rPr>
                        <w:t>服务、转让；电子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产品、通讯设备、 </w:t>
                      </w:r>
                      <w:r>
                        <w:rPr>
                          <w:rFonts w:ascii="宋体" w:hAnsi="宋体" w:cs="宋体" w:eastAsia="宋体" w:hint="default"/>
                          <w:spacing w:val="-10"/>
                          <w:sz w:val="18"/>
                          <w:szCs w:val="18"/>
                        </w:rPr>
                        <w:t>计算机、软件及辅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助设备、计算机配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件、金融机具及配</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50,083,700.</w:t>
                      </w:r>
                    </w:p>
                    <w:p>
                      <w:pPr>
                        <w:spacing w:line="316" w:lineRule="auto" w:before="0"/>
                        <w:ind w:left="2443" w:right="5535" w:firstLine="0"/>
                        <w:jc w:val="left"/>
                        <w:rPr>
                          <w:rFonts w:ascii="宋体" w:hAnsi="宋体" w:cs="宋体" w:eastAsia="宋体" w:hint="default"/>
                          <w:sz w:val="18"/>
                          <w:szCs w:val="18"/>
                        </w:rPr>
                      </w:pPr>
                      <w:r>
                        <w:rPr>
                          <w:rFonts w:ascii="宋体" w:hAnsi="宋体" w:cs="宋体" w:eastAsia="宋体" w:hint="default"/>
                          <w:spacing w:val="-10"/>
                          <w:sz w:val="18"/>
                          <w:szCs w:val="18"/>
                        </w:rPr>
                        <w:t>件、办公用品、五</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00 </w:t>
                      </w:r>
                      <w:r>
                        <w:rPr>
                          <w:rFonts w:ascii="宋体" w:hAnsi="宋体" w:cs="宋体" w:eastAsia="宋体" w:hint="default"/>
                          <w:sz w:val="18"/>
                          <w:szCs w:val="18"/>
                        </w:rPr>
                        <w:t>金交电批发兼零 售；从事广告业 </w:t>
                      </w:r>
                      <w:r>
                        <w:rPr>
                          <w:rFonts w:ascii="宋体" w:hAnsi="宋体" w:cs="宋体" w:eastAsia="宋体" w:hint="default"/>
                          <w:spacing w:val="-10"/>
                          <w:sz w:val="18"/>
                          <w:szCs w:val="18"/>
                        </w:rPr>
                        <w:t>务；计算机系统集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成；安全技术防范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系统设计、施工、 维修；室内外装 修。</w:t>
                      </w:r>
                    </w:p>
                  </w:txbxContent>
                </v:textbox>
                <w10:wrap type="none"/>
              </v:shape>
            </v:group>
          </v:group>
        </w:pict>
      </w:r>
      <w:r>
        <w:rPr>
          <w:rFonts w:ascii="宋体" w:hAnsi="宋体" w:cs="宋体" w:eastAsia="宋体" w:hint="default"/>
          <w:position w:val="-122"/>
          <w:sz w:val="20"/>
          <w:szCs w:val="20"/>
        </w:rPr>
      </w:r>
    </w:p>
    <w:p>
      <w:pPr>
        <w:spacing w:after="0" w:line="6128" w:lineRule="exact"/>
        <w:rPr>
          <w:rFonts w:ascii="宋体" w:hAnsi="宋体" w:cs="宋体" w:eastAsia="宋体" w:hint="default"/>
          <w:sz w:val="20"/>
          <w:szCs w:val="20"/>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600"/>
        <w:gridCol w:w="850"/>
        <w:gridCol w:w="1421"/>
        <w:gridCol w:w="956"/>
        <w:gridCol w:w="956"/>
        <w:gridCol w:w="956"/>
        <w:gridCol w:w="957"/>
        <w:gridCol w:w="958"/>
        <w:gridCol w:w="956"/>
      </w:tblGrid>
      <w:tr>
        <w:trPr>
          <w:trHeight w:val="22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北京中科金 财电子商务 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移动支 付、移动 电子商务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移动支付解决方 </w:t>
            </w:r>
            <w:r>
              <w:rPr>
                <w:rFonts w:ascii="宋体" w:hAnsi="宋体" w:cs="宋体" w:eastAsia="宋体" w:hint="default"/>
                <w:spacing w:val="-10"/>
                <w:sz w:val="18"/>
                <w:szCs w:val="18"/>
              </w:rPr>
              <w:t>案、移动营销解决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方案、移动多媒体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互动电子杂志产 </w:t>
            </w:r>
            <w:r>
              <w:rPr>
                <w:rFonts w:ascii="宋体" w:hAnsi="宋体" w:cs="宋体" w:eastAsia="宋体" w:hint="default"/>
                <w:spacing w:val="-10"/>
                <w:sz w:val="18"/>
                <w:szCs w:val="18"/>
              </w:rPr>
              <w:t>品、手机银行等行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业移动信息化产 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102,899,499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100,178,281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21,739,812.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294,599.20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2,026,845.8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38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北京中科金 财信息技术 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软件与信 息技术服 务业</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0"/>
                <w:sz w:val="18"/>
                <w:szCs w:val="18"/>
              </w:rPr>
              <w:t>技术开发、技术转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让、技术咨询、技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术服务、技术推 </w:t>
            </w:r>
            <w:r>
              <w:rPr>
                <w:rFonts w:ascii="宋体" w:hAnsi="宋体" w:cs="宋体" w:eastAsia="宋体" w:hint="default"/>
                <w:spacing w:val="-10"/>
                <w:sz w:val="18"/>
                <w:szCs w:val="18"/>
              </w:rPr>
              <w:t>广；计算机技术培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训；软件开发；计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算机系统服务；销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售计算机、软件及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辅助设备、电子产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品、通讯设备；货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物进出口、技术进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出口、代理进出 口。</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15,956,752.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13,837,180.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13,533,621.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3,006,578.5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2,343,000.3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both"/>
              <w:rPr>
                <w:rFonts w:ascii="宋体" w:hAnsi="宋体" w:cs="宋体" w:eastAsia="宋体" w:hint="default"/>
                <w:sz w:val="18"/>
                <w:szCs w:val="18"/>
              </w:rPr>
            </w:pPr>
            <w:r>
              <w:rPr>
                <w:rFonts w:ascii="宋体" w:hAnsi="宋体" w:cs="宋体" w:eastAsia="宋体" w:hint="default"/>
                <w:sz w:val="18"/>
                <w:szCs w:val="18"/>
              </w:rPr>
              <w:t>北京中科金 财电子产品 有限公司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5"/>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零售与批 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0"/>
                <w:sz w:val="18"/>
                <w:szCs w:val="18"/>
              </w:rPr>
              <w:t>计算机、平板电脑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等信息科技类电 子产品及相关软 件产品的开发和 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45,966,695.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44,638,477.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299,174,242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6,064,427.1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4,552,610.4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扩展智能银行自助设备运营 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日起纳入公司 合并报表范围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北京中科金财电子产品有限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剥离部分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产品分销业务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日开始不再纳 入公司合并报表范围</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公司控制的特殊目的主体情况" w:id="40"/>
      <w:bookmarkEnd w:id="40"/>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公司未来发展的展望" w:id="41"/>
      <w:bookmarkEnd w:id="41"/>
      <w:r>
        <w:rPr>
          <w:b w:val="0"/>
          <w:bCs w:val="0"/>
        </w:rPr>
      </w:r>
      <w:r>
        <w:rPr/>
        <w:t>八、公司未来发展的展望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7" w:right="0"/>
        <w:jc w:val="left"/>
      </w:pPr>
      <w:r>
        <w:rPr/>
        <w:t>（一）行业竞争格局和发展趋势 </w:t>
      </w:r>
      <w:r>
        <w:rPr>
          <w:spacing w:val="-1"/>
        </w:rPr>
        <w:t>未来数年内，银行业面临着互联网金融、民营银行牌照放开以及存款利率市场化等因素冲击，降低运</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营成本，有效控制风险，提高经营效益的需求将日益凸显。当前移动互联网、物联网、大数据、云计算等</w:t>
      </w:r>
      <w:r>
        <w:rPr>
          <w:spacing w:val="-83"/>
        </w:rPr>
        <w:t> </w:t>
      </w:r>
      <w:r>
        <w:rPr>
          <w:spacing w:val="-83"/>
        </w:rPr>
      </w:r>
      <w:r>
        <w:rPr/>
        <w:t>信息技术都有了突破性的进展，国内互联网金融业务将进入快速发展阶段。</w:t>
      </w:r>
    </w:p>
    <w:p>
      <w:pPr>
        <w:pStyle w:val="BodyText"/>
        <w:spacing w:line="408" w:lineRule="auto"/>
        <w:ind w:right="1024" w:firstLine="423"/>
        <w:jc w:val="left"/>
      </w:pPr>
      <w:r>
        <w:rPr/>
        <w:t>互联网金融的发展，离不开我国金融创新改革的重要内容，即资产证券化和利率市场化的强力推动， 这一发展趋势除了有我国巨大的基础存量和新增资产作为支撑外，也得到政府和相关政策的大力支持。 </w:t>
      </w:r>
      <w:r>
        <w:rPr>
          <w:rFonts w:ascii="宋体" w:hAnsi="宋体" w:cs="宋体" w:eastAsia="宋体" w:hint="default"/>
        </w:rPr>
        <w:t>2013 </w:t>
      </w:r>
      <w:r>
        <w:rPr/>
        <w:t>年</w:t>
      </w:r>
      <w:r>
        <w:rPr>
          <w:rFonts w:ascii="宋体" w:hAnsi="宋体" w:cs="宋体" w:eastAsia="宋体" w:hint="default"/>
        </w:rPr>
        <w:t>7 </w:t>
      </w:r>
      <w:r>
        <w:rPr/>
        <w:t>月</w:t>
      </w:r>
      <w:r>
        <w:rPr>
          <w:rFonts w:ascii="宋体" w:hAnsi="宋体" w:cs="宋体" w:eastAsia="宋体" w:hint="default"/>
        </w:rPr>
        <w:t>2</w:t>
      </w:r>
      <w:r>
        <w:rPr>
          <w:rFonts w:ascii="宋体" w:hAnsi="宋体" w:cs="宋体" w:eastAsia="宋体" w:hint="default"/>
          <w:spacing w:val="-1"/>
        </w:rPr>
        <w:t> </w:t>
      </w:r>
      <w:r>
        <w:rPr/>
        <w:t>日，国务院印发《关于金融支持经济结构调整和转型升级的指导意见》，要求逐步推进信 贷资产证券化常规化发展。</w:t>
      </w:r>
      <w:r>
        <w:rPr>
          <w:rFonts w:ascii="宋体" w:hAnsi="宋体" w:cs="宋体" w:eastAsia="宋体" w:hint="default"/>
        </w:rPr>
        <w:t>2013</w:t>
      </w:r>
      <w:r>
        <w:rPr/>
        <w:t>年</w:t>
      </w:r>
      <w:r>
        <w:rPr>
          <w:rFonts w:ascii="宋体" w:hAnsi="宋体" w:cs="宋体" w:eastAsia="宋体" w:hint="default"/>
        </w:rPr>
        <w:t>8 </w:t>
      </w:r>
      <w:r>
        <w:rPr/>
        <w:t>月</w:t>
      </w:r>
      <w:r>
        <w:rPr>
          <w:rFonts w:ascii="宋体" w:hAnsi="宋体" w:cs="宋体" w:eastAsia="宋体" w:hint="default"/>
        </w:rPr>
        <w:t>28</w:t>
      </w:r>
      <w:r>
        <w:rPr>
          <w:rFonts w:ascii="宋体" w:hAnsi="宋体" w:cs="宋体" w:eastAsia="宋体" w:hint="default"/>
          <w:spacing w:val="-1"/>
        </w:rPr>
        <w:t> </w:t>
      </w:r>
      <w:r>
        <w:rPr/>
        <w:t>日国务院召开常务会议，明确提出在严格控制风险的基础上， 进一步扩大信贷资产证券化的试点。</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19</w:t>
      </w:r>
      <w:r>
        <w:rPr/>
        <w:t>日，国务院总理李克强在主持召开国务院常务会议时指 出：“必须坚持改革创新，完善差异化信贷政策，健全多层次资本市场体系，进一步有针对性地缓解融资 成本高问题”，其中包括运用信贷资产证券化等方式盘活资金存量，简化小微、“三农”金融债等发行程 序。</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20</w:t>
      </w:r>
      <w:r>
        <w:rPr/>
        <w:t>日，中国银监会下达了信贷资产证券化执行备案制的文件；</w:t>
      </w:r>
      <w:r>
        <w:rPr>
          <w:rFonts w:ascii="宋体" w:hAnsi="宋体" w:cs="宋体" w:eastAsia="宋体" w:hint="default"/>
        </w:rPr>
        <w:t>11</w:t>
      </w:r>
      <w:r>
        <w:rPr/>
        <w:t>月</w:t>
      </w:r>
      <w:r>
        <w:rPr>
          <w:rFonts w:ascii="宋体" w:hAnsi="宋体" w:cs="宋体" w:eastAsia="宋体" w:hint="default"/>
        </w:rPr>
        <w:t>21</w:t>
      </w:r>
      <w:r>
        <w:rPr/>
        <w:t>日，中国证监会发布 变更资产证券化行政审批制为备案制的文件，沪深交易所也先后下发文件对备案制资产证券化业务的法律 适用和监管规则作出详细安排；</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w:t>
      </w:r>
      <w:r>
        <w:rPr/>
        <w:t>日，银监会副主席阎庆民表示，将从多方面推进信贷资产证 券化，包括鼓励资产证券化产品在证券交易所发行、不断扩大发起机构与投资者范围、并推进基础资产类 型多元化发展等；</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15</w:t>
      </w:r>
      <w:r>
        <w:rPr/>
        <w:t>日，基金业协会出台了《证券化业务基础资产负面清单指引》（征求意见 </w:t>
      </w:r>
      <w:r>
        <w:rPr>
          <w:spacing w:val="-3"/>
        </w:rPr>
        <w:t>稿）、《资产证券化基础资产负面清单》、《资产证券化业务风险控制指引》（征求意见稿）等系列文件，</w:t>
      </w:r>
      <w:r>
        <w:rPr>
          <w:spacing w:val="-94"/>
        </w:rPr>
        <w:t> </w:t>
      </w:r>
      <w:r>
        <w:rPr>
          <w:spacing w:val="-94"/>
        </w:rPr>
      </w:r>
      <w:r>
        <w:rPr/>
        <w:t>对资产证券化基础资产选择、风险控制等方面进行了详细规定，这标志着资产管理公司、证券公司、基金</w:t>
      </w:r>
      <w:r>
        <w:rPr/>
        <w:t> 子公司开展资产证券化业务将进入常态化过程。银监会近日印发《关于信贷资产证券化备案登记工作流程 的通知》，信贷资产证券化由审批制改为备案制，银行发行信贷资产支持证券以实现盘活存量的需求将被 全部释放，未来发行量有望大幅增长。一系列政策指引和市场发展显示，中国即将进入资产证券化发展的 加速期，并且推进以资产证券化为核心的互联网金融业务的时机和条件已经成熟。</w:t>
      </w:r>
    </w:p>
    <w:p>
      <w:pPr>
        <w:pStyle w:val="BodyText"/>
        <w:spacing w:line="408" w:lineRule="auto"/>
        <w:ind w:right="1093" w:firstLine="423"/>
        <w:jc w:val="left"/>
      </w:pPr>
      <w:r>
        <w:rPr/>
        <w:t>与此同时，随着</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20</w:t>
      </w:r>
      <w:r>
        <w:rPr/>
        <w:t>日我国金融机构贷款利率的全面放开以及上海自贸区中无管制利率的确 </w:t>
      </w:r>
      <w:r>
        <w:rPr>
          <w:spacing w:val="-1"/>
        </w:rPr>
        <w:t>立，我国的利率市场化改革进入了一个新的阶段。李克强总理在</w:t>
      </w:r>
      <w:r>
        <w:rPr>
          <w:rFonts w:ascii="宋体" w:hAnsi="宋体" w:cs="宋体" w:eastAsia="宋体" w:hint="default"/>
          <w:spacing w:val="-1"/>
        </w:rPr>
        <w:t>2014</w:t>
      </w:r>
      <w:r>
        <w:rPr>
          <w:spacing w:val="-1"/>
        </w:rPr>
        <w:t>年政府工作报告也中指出，今年金融</w:t>
      </w:r>
      <w:r>
        <w:rPr>
          <w:spacing w:val="-82"/>
        </w:rPr>
        <w:t> </w:t>
      </w:r>
      <w:r>
        <w:rPr>
          <w:spacing w:val="-82"/>
        </w:rPr>
      </w:r>
      <w:r>
        <w:rPr>
          <w:spacing w:val="-1"/>
        </w:rPr>
        <w:t>工作的重点是建立存款保险制度，央行行长周小川也表示，利率市场化将在两年内实现。利率市场化改革</w:t>
      </w:r>
      <w:r>
        <w:rPr>
          <w:spacing w:val="-83"/>
        </w:rPr>
        <w:t> </w:t>
      </w:r>
      <w:r>
        <w:rPr>
          <w:spacing w:val="-83"/>
        </w:rPr>
      </w:r>
      <w:r>
        <w:rPr>
          <w:spacing w:val="-1"/>
        </w:rPr>
        <w:t>是一国金融业发展到一定程度的客观需要和必然结果，随着我国利率市场化进程的推进和深入，我国商业</w:t>
      </w:r>
      <w:r>
        <w:rPr>
          <w:spacing w:val="-81"/>
        </w:rPr>
        <w:t> </w:t>
      </w:r>
      <w:r>
        <w:rPr>
          <w:spacing w:val="-81"/>
        </w:rPr>
      </w:r>
      <w:r>
        <w:rPr>
          <w:spacing w:val="-1"/>
        </w:rPr>
        <w:t>银行将面临利率市场化带来的严重冲击和巨大挑战。与大型国有银行相比，中小银行存在资产规模小、网</w:t>
      </w:r>
      <w:r>
        <w:rPr>
          <w:spacing w:val="-83"/>
        </w:rPr>
        <w:t> </w:t>
      </w:r>
      <w:r>
        <w:rPr>
          <w:spacing w:val="-83"/>
        </w:rPr>
      </w:r>
      <w:r>
        <w:rPr>
          <w:spacing w:val="-1"/>
        </w:rPr>
        <w:t>点少、品牌竞争力弱、中间业务发展相对落后、资产管理及产品设计能力差以及运营效率低下，过于依赖</w:t>
      </w:r>
      <w:r>
        <w:rPr>
          <w:spacing w:val="-86"/>
        </w:rPr>
        <w:t> </w:t>
      </w:r>
      <w:r>
        <w:rPr>
          <w:spacing w:val="-86"/>
        </w:rPr>
      </w:r>
      <w:r>
        <w:rPr>
          <w:spacing w:val="-1"/>
        </w:rPr>
        <w:t>利差收入等问题。实施利率市场化后，中小银行明显处于弱势群体地位，受到的冲击非常大，这不仅表现</w:t>
      </w:r>
      <w:r>
        <w:rPr>
          <w:spacing w:val="-85"/>
        </w:rPr>
        <w:t> </w:t>
      </w:r>
      <w:r>
        <w:rPr>
          <w:spacing w:val="-85"/>
        </w:rPr>
      </w:r>
      <w:r>
        <w:rPr>
          <w:spacing w:val="-1"/>
        </w:rPr>
        <w:t>在净利差的收窄，利润倒挂，更表现于来自大型银行、金控集团及互联网金融企业的竞争和挤压，生存能</w:t>
      </w:r>
      <w:r>
        <w:rPr>
          <w:spacing w:val="-86"/>
        </w:rPr>
        <w:t> </w:t>
      </w:r>
      <w:r>
        <w:rPr>
          <w:spacing w:val="-86"/>
        </w:rPr>
      </w:r>
      <w:r>
        <w:rPr>
          <w:spacing w:val="-1"/>
        </w:rPr>
        <w:t>力将面临巨大的挑战。利率市场化后，伴随着优质企业议价能力的提高，传统信贷业务方面同业竞争将更</w:t>
      </w:r>
      <w:r>
        <w:rPr>
          <w:spacing w:val="-83"/>
        </w:rPr>
        <w:t> </w:t>
      </w:r>
      <w:r>
        <w:rPr>
          <w:spacing w:val="-83"/>
        </w:rPr>
      </w:r>
      <w:r>
        <w:rPr/>
        <w:t>为残酷。目前很多中小银行已经意识到资产证券化业务的重要性，为应对利率市场化的挑战，金融市场、</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同业、供应链融资、产业链融资、直销银行等业务受到高度重视，但目前国内大多数中小商业银行一方面</w:t>
      </w:r>
      <w:r>
        <w:rPr>
          <w:spacing w:val="-86"/>
        </w:rPr>
        <w:t> </w:t>
      </w:r>
      <w:r>
        <w:rPr>
          <w:spacing w:val="-86"/>
        </w:rPr>
      </w:r>
      <w:r>
        <w:rPr>
          <w:spacing w:val="-1"/>
        </w:rPr>
        <w:t>缺乏资产证券化及互联网金融的经验和技术积累，另一方面也缺少人才储备，由此也相应形成了一个巨大</w:t>
      </w:r>
      <w:r>
        <w:rPr>
          <w:spacing w:val="-81"/>
        </w:rPr>
        <w:t> </w:t>
      </w:r>
      <w:r>
        <w:rPr>
          <w:spacing w:val="-81"/>
        </w:rPr>
      </w:r>
      <w:r>
        <w:rPr>
          <w:spacing w:val="-1"/>
        </w:rPr>
        <w:t>的市场需求。公司致力于帮助中小银行在传统业务面临挑战的情况下，在保持原有业务的基础上，大力发</w:t>
      </w:r>
      <w:r>
        <w:rPr>
          <w:spacing w:val="-83"/>
        </w:rPr>
        <w:t> </w:t>
      </w:r>
      <w:r>
        <w:rPr>
          <w:spacing w:val="-83"/>
        </w:rPr>
      </w:r>
      <w:r>
        <w:rPr/>
        <w:t>展互联网银行及资产证券化业务。</w:t>
      </w:r>
    </w:p>
    <w:p>
      <w:pPr>
        <w:pStyle w:val="BodyText"/>
        <w:spacing w:line="408" w:lineRule="auto"/>
        <w:ind w:left="577" w:right="1014"/>
        <w:jc w:val="left"/>
      </w:pPr>
      <w:r>
        <w:rPr/>
        <w:t>（二）公司发展战略 </w:t>
      </w:r>
      <w:r>
        <w:rPr>
          <w:spacing w:val="-3"/>
        </w:rPr>
        <w:t>公司坚持以“智能银行整体解决方案及互联网金融”为核心业务的发展战略，以“收敛、聚焦、整合、</w:t>
      </w:r>
    </w:p>
    <w:p>
      <w:pPr>
        <w:pStyle w:val="BodyText"/>
        <w:spacing w:line="408" w:lineRule="auto"/>
        <w:ind w:left="154" w:right="1131"/>
        <w:jc w:val="both"/>
      </w:pPr>
      <w:r>
        <w:rPr>
          <w:spacing w:val="-1"/>
        </w:rPr>
        <w:t>协同”为重点，强化业务协同机制，完善互联网综合金融服务以及智能银行整体解决方案与其他业务条线</w:t>
      </w:r>
      <w:r>
        <w:rPr>
          <w:spacing w:val="-81"/>
        </w:rPr>
        <w:t> </w:t>
      </w:r>
      <w:r>
        <w:rPr>
          <w:spacing w:val="-81"/>
        </w:rPr>
      </w:r>
      <w:r>
        <w:rPr>
          <w:spacing w:val="-1"/>
        </w:rPr>
        <w:t>的协同效应，全面打造中科金财互联网金融服务品牌，不断创新、持续成长，逐步发展成为中国领先的互</w:t>
      </w:r>
      <w:r>
        <w:rPr>
          <w:spacing w:val="-86"/>
        </w:rPr>
        <w:t> </w:t>
      </w:r>
      <w:r>
        <w:rPr>
          <w:spacing w:val="-86"/>
        </w:rPr>
      </w:r>
      <w:r>
        <w:rPr/>
        <w:t>联网金融综合服务提供商。</w:t>
      </w:r>
    </w:p>
    <w:p>
      <w:pPr>
        <w:pStyle w:val="BodyText"/>
        <w:spacing w:line="408" w:lineRule="auto"/>
        <w:ind w:left="577" w:right="0"/>
        <w:jc w:val="left"/>
      </w:pPr>
      <w:r>
        <w:rPr/>
        <w:t>（三）</w:t>
      </w:r>
      <w:r>
        <w:rPr>
          <w:rFonts w:ascii="宋体" w:hAnsi="宋体" w:cs="宋体" w:eastAsia="宋体" w:hint="default"/>
        </w:rPr>
        <w:t>2015</w:t>
      </w:r>
      <w:r>
        <w:rPr/>
        <w:t>年业务发展规划 </w:t>
      </w:r>
      <w:r>
        <w:rPr>
          <w:rFonts w:ascii="宋体" w:hAnsi="宋体" w:cs="宋体" w:eastAsia="宋体" w:hint="default"/>
          <w:spacing w:val="-1"/>
        </w:rPr>
        <w:t>2015</w:t>
      </w:r>
      <w:r>
        <w:rPr>
          <w:spacing w:val="-1"/>
        </w:rPr>
        <w:t>年，公司将重点聚焦智能银行、互联网金融业务发展，积极研究和开展智能银行转型管理咨询服</w:t>
      </w:r>
    </w:p>
    <w:p>
      <w:pPr>
        <w:pStyle w:val="BodyText"/>
        <w:spacing w:line="408" w:lineRule="auto"/>
        <w:ind w:right="0"/>
        <w:jc w:val="left"/>
      </w:pPr>
      <w:r>
        <w:rPr/>
        <w:t>务、多渠道整合等一系列解决方案和服务，力争为客户提供全产业链的</w:t>
      </w:r>
      <w:r>
        <w:rPr>
          <w:rFonts w:ascii="宋体" w:hAnsi="宋体" w:cs="宋体" w:eastAsia="宋体" w:hint="default"/>
        </w:rPr>
        <w:t>IT</w:t>
      </w:r>
      <w:r>
        <w:rPr/>
        <w:t>解决方案。在夯实智能银行综合 解决方案优势业务的基础上拓展互联网金融业务创新，聚焦中小银行、龙头企业和政府客户，保持核心业 务在客户黏性、技术和市场优势基础上，实现各条业务线进行技术水平、服务水平、资源整合水平的全方 </w:t>
      </w:r>
      <w:r>
        <w:rPr>
          <w:spacing w:val="-3"/>
        </w:rPr>
        <w:t>位提升，以客户为中心提供综合的互联网金融平台服务。</w:t>
      </w:r>
      <w:r>
        <w:rPr>
          <w:rFonts w:ascii="宋体" w:hAnsi="宋体" w:cs="宋体" w:eastAsia="宋体" w:hint="default"/>
          <w:spacing w:val="-3"/>
        </w:rPr>
        <w:t>2015</w:t>
      </w:r>
      <w:r>
        <w:rPr>
          <w:spacing w:val="-3"/>
        </w:rPr>
        <w:t>年公司将深入推进以金融资产交易、云银行、</w:t>
      </w:r>
      <w:r>
        <w:rPr>
          <w:spacing w:val="-84"/>
        </w:rPr>
        <w:t> </w:t>
      </w:r>
      <w:r>
        <w:rPr>
          <w:spacing w:val="-84"/>
        </w:rPr>
      </w:r>
      <w:r>
        <w:rPr/>
        <w:t>资产管理、资产证券化、征信、金融大数据、供应链融资等为代表的互联网金融创新业务，建立以技术、 服务创新为核心的企业文化，以客户为本不断推进产品研发和产业链覆盖速度，通过建立多层级合伙人制</w:t>
      </w:r>
      <w:r>
        <w:rPr/>
        <w:t> 度等方式加大人才培养和引进力度，努力形成以互联网金融平台为核心的业务生态圈，积极利用收购兼并 等手段进行资源整合，拓宽产业链，实现公司业务快速健康发展。</w:t>
      </w:r>
    </w:p>
    <w:p>
      <w:pPr>
        <w:pStyle w:val="BodyText"/>
        <w:spacing w:line="408" w:lineRule="auto"/>
        <w:ind w:left="154" w:right="0" w:firstLine="423"/>
        <w:jc w:val="left"/>
      </w:pPr>
      <w:r>
        <w:rPr>
          <w:spacing w:val="-1"/>
        </w:rPr>
        <w:t>在互联网金融领域，公司立足于满足国内日益增长的资产证券化需求，以大资产管理为方向，帮助广</w:t>
      </w:r>
      <w:r>
        <w:rPr/>
        <w:t> </w:t>
      </w:r>
      <w:r>
        <w:rPr>
          <w:spacing w:val="-1"/>
        </w:rPr>
        <w:t>大中小商业银行进行互联网金融转型。公司将有计划的推进互联网金融资产交易平台、商业银行云平台的</w:t>
      </w:r>
      <w:r>
        <w:rPr>
          <w:spacing w:val="-81"/>
        </w:rPr>
        <w:t> </w:t>
      </w:r>
      <w:r>
        <w:rPr>
          <w:spacing w:val="-81"/>
        </w:rPr>
      </w:r>
      <w:r>
        <w:rPr>
          <w:spacing w:val="-1"/>
        </w:rPr>
        <w:t>建设，逐步完善和发展互联网银行、供应链融资、金融资产交易和征信服务，通过资源整合构建以资产证</w:t>
      </w:r>
      <w:r>
        <w:rPr>
          <w:spacing w:val="-86"/>
        </w:rPr>
        <w:t> </w:t>
      </w:r>
      <w:r>
        <w:rPr>
          <w:spacing w:val="-86"/>
        </w:rPr>
      </w:r>
      <w:r>
        <w:rPr/>
        <w:t>券化为核心的互联网金融生态圈。中科金财积累了超过</w:t>
      </w:r>
      <w:r>
        <w:rPr>
          <w:rFonts w:ascii="宋体" w:hAnsi="宋体" w:cs="宋体" w:eastAsia="宋体" w:hint="default"/>
        </w:rPr>
        <w:t>150</w:t>
      </w:r>
      <w:r>
        <w:rPr/>
        <w:t>多家商业银行客户，通过长期的服务和管理咨 </w:t>
      </w:r>
      <w:r>
        <w:rPr>
          <w:spacing w:val="-1"/>
        </w:rPr>
        <w:t>询充分了解客户需求和业务特点，随着公司互联网金融资产交易平台和智能银行平台的实施和发展，中科</w:t>
      </w:r>
      <w:r>
        <w:rPr>
          <w:spacing w:val="-81"/>
        </w:rPr>
        <w:t> </w:t>
      </w:r>
      <w:r>
        <w:rPr>
          <w:spacing w:val="-81"/>
        </w:rPr>
      </w:r>
      <w:r>
        <w:rPr/>
        <w:t>金财力争成为中小银行进行互联网金融转型、开展金融创新强有力的合作伙伴，实现共同发展。</w:t>
      </w:r>
    </w:p>
    <w:p>
      <w:pPr>
        <w:pStyle w:val="BodyText"/>
        <w:spacing w:line="408" w:lineRule="auto"/>
        <w:ind w:right="1024" w:firstLine="423"/>
        <w:jc w:val="left"/>
      </w:pPr>
      <w:r>
        <w:rPr/>
        <w:t>在智能银行领域，公司传统优势业务——“</w:t>
      </w:r>
      <w:r>
        <w:rPr>
          <w:rFonts w:ascii="宋体" w:hAnsi="宋体" w:cs="宋体" w:eastAsia="宋体" w:hint="default"/>
        </w:rPr>
        <w:t>ibank</w:t>
      </w:r>
      <w:r>
        <w:rPr/>
        <w:t>”智能银行整体解决方案，能够帮助国内商业银行 进行流程再造、网点转型、渠道整合、大数据分析、电子商务转型等一系列运营管理、经营模式变革，帮 </w:t>
      </w:r>
      <w:r>
        <w:rPr>
          <w:spacing w:val="-3"/>
        </w:rPr>
        <w:t>助商业银行在利率市场化逐步推进背景下建立竞争优势，真正实现以客户为中心，为客户提供随时、随地、</w:t>
      </w:r>
      <w:r>
        <w:rPr>
          <w:spacing w:val="-89"/>
        </w:rPr>
        <w:t> </w:t>
      </w:r>
      <w:r>
        <w:rPr>
          <w:spacing w:val="-89"/>
        </w:rPr>
      </w:r>
      <w:r>
        <w:rPr/>
        <w:t>随身、随心的智慧服务。公司将积极研究和推进智能银行转型管理咨询服务、渠道整合、轻型网点、金融</w:t>
      </w:r>
      <w:r>
        <w:rPr/>
        <w:t> 大数据分析、供应链融资、产业链融资、移动支付和金融电子商务运营外包等一系列解决方案和服务。</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423"/>
        <w:jc w:val="left"/>
      </w:pPr>
      <w:r>
        <w:rPr/>
        <w:t>在技术创新方面，公司将继续加大在互联网金融及智能银行领域的核心产品和技术研发及产业化投 </w:t>
      </w:r>
      <w:r>
        <w:rPr>
          <w:spacing w:val="-1"/>
        </w:rPr>
        <w:t>入，不断增强技术实力，保持行业技术领先水平，增强企业的核心竞争能力，为公司的成长提供产品和技</w:t>
      </w:r>
      <w:r>
        <w:rPr>
          <w:spacing w:val="-86"/>
        </w:rPr>
        <w:t> </w:t>
      </w:r>
      <w:r>
        <w:rPr>
          <w:spacing w:val="-86"/>
        </w:rPr>
      </w:r>
      <w:r>
        <w:rPr/>
        <w:t>术优势。</w:t>
      </w:r>
    </w:p>
    <w:p>
      <w:pPr>
        <w:pStyle w:val="BodyText"/>
        <w:spacing w:line="408" w:lineRule="auto"/>
        <w:ind w:right="1106" w:firstLine="423"/>
        <w:jc w:val="both"/>
      </w:pPr>
      <w:r>
        <w:rPr/>
        <w:t>在企业并购方面，公司并购战略逐步完善和成型。公司将有计划的在互联网金融、智能银行、征信、 </w:t>
      </w:r>
      <w:r>
        <w:rPr>
          <w:spacing w:val="-1"/>
        </w:rPr>
        <w:t>供应链金融、资产管理等领域加大投资力度，通过建立多层级合伙人制度，实现内部创业、培育孵化和成</w:t>
      </w:r>
      <w:r>
        <w:rPr>
          <w:spacing w:val="-85"/>
        </w:rPr>
        <w:t> </w:t>
      </w:r>
      <w:r>
        <w:rPr>
          <w:spacing w:val="-85"/>
        </w:rPr>
      </w:r>
      <w:r>
        <w:rPr>
          <w:spacing w:val="-1"/>
        </w:rPr>
        <w:t>熟收购有机结合的投资并购策略。通过将资本、人才、产品和技术有效整合，帮助上市公司实现协同式发</w:t>
      </w:r>
      <w:r>
        <w:rPr>
          <w:spacing w:val="-86"/>
        </w:rPr>
        <w:t> </w:t>
      </w:r>
      <w:r>
        <w:rPr>
          <w:spacing w:val="-86"/>
        </w:rPr>
      </w:r>
      <w:r>
        <w:rPr/>
        <w:t>展，提升综合竞争优势。</w:t>
      </w:r>
    </w:p>
    <w:p>
      <w:pPr>
        <w:pStyle w:val="BodyText"/>
        <w:spacing w:line="408" w:lineRule="auto"/>
        <w:ind w:right="1130" w:firstLine="423"/>
        <w:jc w:val="both"/>
      </w:pPr>
      <w:r>
        <w:rPr>
          <w:rFonts w:ascii="宋体" w:hAnsi="宋体" w:cs="宋体" w:eastAsia="宋体" w:hint="default"/>
          <w:spacing w:val="-1"/>
        </w:rPr>
        <w:t>2015</w:t>
      </w:r>
      <w:r>
        <w:rPr>
          <w:spacing w:val="-1"/>
        </w:rPr>
        <w:t>年，公司将发挥现有的培养经营人才、整合资源、对国内商业银行的深刻理解、健全的综合金融</w:t>
      </w:r>
      <w:r>
        <w:rPr/>
        <w:t> </w:t>
      </w:r>
      <w:r>
        <w:rPr>
          <w:spacing w:val="-1"/>
        </w:rPr>
        <w:t>服务体系等核心竞争力，继续保持公司在细分行业的技术优势和领先地位，持续盈利性增长，努力为全体</w:t>
      </w:r>
      <w:r>
        <w:rPr>
          <w:spacing w:val="-83"/>
        </w:rPr>
        <w:t> </w:t>
      </w:r>
      <w:r>
        <w:rPr>
          <w:spacing w:val="-83"/>
        </w:rPr>
      </w:r>
      <w:r>
        <w:rPr/>
        <w:t>投资者创造更多的回报。</w:t>
      </w:r>
    </w:p>
    <w:p>
      <w:pPr>
        <w:pStyle w:val="BodyText"/>
        <w:spacing w:line="408" w:lineRule="auto"/>
        <w:ind w:left="577" w:right="8859"/>
        <w:jc w:val="left"/>
      </w:pPr>
      <w:r>
        <w:rPr/>
        <w:t>（四）风险因素 </w:t>
      </w:r>
      <w:r>
        <w:rPr>
          <w:rFonts w:ascii="宋体" w:hAnsi="宋体" w:cs="宋体" w:eastAsia="宋体" w:hint="default"/>
        </w:rPr>
        <w:t>1.</w:t>
      </w:r>
      <w:r>
        <w:rPr/>
        <w:t>市场竞争风险</w:t>
      </w:r>
    </w:p>
    <w:p>
      <w:pPr>
        <w:pStyle w:val="BodyText"/>
        <w:spacing w:line="408" w:lineRule="auto"/>
        <w:ind w:right="1106" w:firstLine="423"/>
        <w:jc w:val="both"/>
      </w:pPr>
      <w:r>
        <w:rPr/>
        <w:t>公司正在积极布局的互联网金融综合服务领域具有广阔的市场空间，但同时也面临激烈的市场竞争。 如果公司不能充分利用现有优势和资源，快速扩大市场份额，可能导致公司未来持续高速发展存在一定的 不确定因素。</w:t>
      </w:r>
    </w:p>
    <w:p>
      <w:pPr>
        <w:pStyle w:val="BodyText"/>
        <w:spacing w:line="408" w:lineRule="auto"/>
        <w:ind w:right="1133" w:firstLine="423"/>
        <w:jc w:val="both"/>
      </w:pPr>
      <w:r>
        <w:rPr>
          <w:spacing w:val="-1"/>
        </w:rPr>
        <w:t>针对上述风险，公司将积极顺应互联网金融业务领域发展趋势，加快在该领域的业务布局，快速推进</w:t>
      </w:r>
      <w:r>
        <w:rPr/>
        <w:t> </w:t>
      </w:r>
      <w:r>
        <w:rPr>
          <w:spacing w:val="-1"/>
        </w:rPr>
        <w:t>以金融资产交易、云银行、资产管理、资产证券化等以互联网金融创新为代表的各项业务；同时充分发挥</w:t>
      </w:r>
      <w:r>
        <w:rPr>
          <w:spacing w:val="-86"/>
        </w:rPr>
        <w:t> </w:t>
      </w:r>
      <w:r>
        <w:rPr>
          <w:spacing w:val="-86"/>
        </w:rPr>
      </w:r>
      <w:r>
        <w:rPr/>
        <w:t>公司在互联网金融领域的核心竞争优势，加大市场拓展力度，以规避市场竞争加剧对公司造成的风险。</w:t>
      </w:r>
    </w:p>
    <w:p>
      <w:pPr>
        <w:pStyle w:val="BodyText"/>
        <w:spacing w:line="408" w:lineRule="auto"/>
        <w:ind w:left="577" w:right="0"/>
        <w:jc w:val="left"/>
      </w:pPr>
      <w:r>
        <w:rPr>
          <w:rFonts w:ascii="宋体" w:hAnsi="宋体" w:cs="宋体" w:eastAsia="宋体" w:hint="default"/>
        </w:rPr>
        <w:t>2.</w:t>
      </w:r>
      <w:r>
        <w:rPr/>
        <w:t>行业技术风险 </w:t>
      </w:r>
      <w:r>
        <w:rPr>
          <w:spacing w:val="-1"/>
        </w:rPr>
        <w:t>公司所处行业存在对产品的技术要求高，技术更新换代快，市场需求变化快的特点，如果不能及时准</w:t>
      </w:r>
    </w:p>
    <w:p>
      <w:pPr>
        <w:pStyle w:val="BodyText"/>
        <w:spacing w:line="408" w:lineRule="auto"/>
        <w:ind w:left="577" w:right="1014" w:hanging="424"/>
        <w:jc w:val="left"/>
      </w:pPr>
      <w:r>
        <w:rPr/>
        <w:t>确地把握新技术及市场需求的发展和变化，将会影响公司的快速发展。 </w:t>
      </w:r>
      <w:r>
        <w:rPr>
          <w:spacing w:val="-3"/>
        </w:rPr>
        <w:t>针对上述风险，公司将进一步加大技术研发投入，完善公司技术研发体系，加强研发技术人才的引进，</w:t>
      </w:r>
    </w:p>
    <w:p>
      <w:pPr>
        <w:pStyle w:val="BodyText"/>
        <w:spacing w:line="408" w:lineRule="auto"/>
        <w:ind w:left="577" w:right="4453" w:hanging="424"/>
        <w:jc w:val="left"/>
      </w:pPr>
      <w:r>
        <w:rPr/>
        <w:t>并在公司内部形成良好的知识共享、传递机制，不断提升创新能力。 </w:t>
      </w:r>
      <w:r>
        <w:rPr>
          <w:rFonts w:ascii="宋体" w:hAnsi="宋体" w:cs="宋体" w:eastAsia="宋体" w:hint="default"/>
        </w:rPr>
        <w:t>3.</w:t>
      </w:r>
      <w:r>
        <w:rPr/>
        <w:t>人力资源风险</w:t>
      </w:r>
    </w:p>
    <w:p>
      <w:pPr>
        <w:pStyle w:val="BodyText"/>
        <w:spacing w:line="408" w:lineRule="auto"/>
        <w:ind w:right="1131" w:firstLine="423"/>
        <w:jc w:val="both"/>
      </w:pPr>
      <w:r>
        <w:rPr>
          <w:spacing w:val="-1"/>
        </w:rPr>
        <w:t>人才资源是公司生存和发展的关键，随着公司积极布局互联网金融及智能银行领域的业务发展，对行</w:t>
      </w:r>
      <w:r>
        <w:rPr/>
        <w:t> </w:t>
      </w:r>
      <w:r>
        <w:rPr>
          <w:spacing w:val="-1"/>
        </w:rPr>
        <w:t>业专家型人才、高端人才及有丰富经验的项目管理人才的需求日益增强，公司人才队伍的数量及质量，是</w:t>
      </w:r>
      <w:r>
        <w:rPr>
          <w:spacing w:val="-83"/>
        </w:rPr>
        <w:t> </w:t>
      </w:r>
      <w:r>
        <w:rPr>
          <w:spacing w:val="-83"/>
        </w:rPr>
      </w:r>
      <w:r>
        <w:rPr/>
        <w:t>公司能否健康快速发展的重要保障因素。</w:t>
      </w:r>
    </w:p>
    <w:p>
      <w:pPr>
        <w:pStyle w:val="BodyText"/>
        <w:spacing w:line="408" w:lineRule="auto"/>
        <w:ind w:right="1131" w:firstLine="423"/>
        <w:jc w:val="both"/>
      </w:pPr>
      <w:r>
        <w:rPr>
          <w:spacing w:val="-1"/>
        </w:rPr>
        <w:t>针对上述风险，公司将进一步完善人才保障的常态化机制，通过建立多层级合伙人制度等方式加大人</w:t>
      </w:r>
      <w:r>
        <w:rPr/>
        <w:t> </w:t>
      </w:r>
      <w:r>
        <w:rPr>
          <w:spacing w:val="-1"/>
        </w:rPr>
        <w:t>才培养和引进力度，提供畅通的晋升渠道、推行有效的绩效考核与激励机制等措施，来满足公司业务跨越</w:t>
      </w:r>
      <w:r>
        <w:rPr>
          <w:spacing w:val="-82"/>
        </w:rPr>
        <w:t> </w:t>
      </w:r>
      <w:r>
        <w:rPr>
          <w:spacing w:val="-82"/>
        </w:rPr>
      </w:r>
      <w:r>
        <w:rPr/>
        <w:t>式发展对人才的需求。</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董事会、监事会对会计师事务所本报告期“非标准审计报告”的说明" w:id="42"/>
      <w:bookmarkEnd w:id="42"/>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与上年度财务报告相比，会计政策、会计估计和核算方法发生变化的情况说明" w:id="43"/>
      <w:bookmarkEnd w:id="43"/>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95" w:firstLine="423"/>
        <w:jc w:val="left"/>
      </w:pPr>
      <w:r>
        <w:rPr/>
        <w:t>财政部于</w:t>
      </w:r>
      <w:r>
        <w:rPr>
          <w:rFonts w:ascii="宋体" w:hAnsi="宋体" w:cs="宋体" w:eastAsia="宋体" w:hint="default"/>
        </w:rPr>
        <w:t>2014</w:t>
      </w:r>
      <w:r>
        <w:rPr/>
        <w:t>年颁布或修订了《企业会计准则第</w:t>
      </w:r>
      <w:r>
        <w:rPr>
          <w:rFonts w:ascii="宋体" w:hAnsi="宋体" w:cs="宋体" w:eastAsia="宋体" w:hint="default"/>
        </w:rPr>
        <w:t>2</w:t>
      </w:r>
      <w:r>
        <w:rPr/>
        <w:t>号—长期股权投资》等一系列企业会计准则，公司 已按相关要求执行上述准则，对财务报表列报进行追溯调整。</w:t>
      </w:r>
    </w:p>
    <w:p>
      <w:pPr>
        <w:pStyle w:val="BodyText"/>
        <w:spacing w:line="408" w:lineRule="auto"/>
        <w:ind w:right="0" w:firstLine="423"/>
        <w:jc w:val="left"/>
      </w:pPr>
      <w:r>
        <w:rPr/>
        <w:t>为了适应公司实际业务发展，公司对会计估计进行适当的修订，将房屋建筑物的折旧年限由原来的</w:t>
      </w:r>
      <w:r>
        <w:rPr>
          <w:rFonts w:ascii="宋体" w:hAnsi="宋体" w:cs="宋体" w:eastAsia="宋体" w:hint="default"/>
        </w:rPr>
        <w:t>30 </w:t>
      </w:r>
      <w:r>
        <w:rPr>
          <w:spacing w:val="-3"/>
        </w:rPr>
        <w:t>年调整为</w:t>
      </w:r>
      <w:r>
        <w:rPr>
          <w:rFonts w:ascii="宋体" w:hAnsi="宋体" w:cs="宋体" w:eastAsia="宋体" w:hint="default"/>
          <w:spacing w:val="-3"/>
        </w:rPr>
        <w:t>20</w:t>
      </w:r>
      <w:r>
        <w:rPr>
          <w:spacing w:val="-3"/>
        </w:rPr>
        <w:t>—</w:t>
      </w:r>
      <w:r>
        <w:rPr>
          <w:rFonts w:ascii="宋体" w:hAnsi="宋体" w:cs="宋体" w:eastAsia="宋体" w:hint="default"/>
          <w:spacing w:val="-3"/>
        </w:rPr>
        <w:t>50</w:t>
      </w:r>
      <w:r>
        <w:rPr>
          <w:spacing w:val="-3"/>
        </w:rPr>
        <w:t>年，公司</w:t>
      </w:r>
      <w:r>
        <w:rPr>
          <w:rFonts w:ascii="宋体" w:hAnsi="宋体" w:cs="宋体" w:eastAsia="宋体" w:hint="default"/>
          <w:spacing w:val="-3"/>
        </w:rPr>
        <w:t>2014</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日前无房屋建筑物，此次会计估计变更对公司历史财务报表无影响。</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一、与上年度财务报告相比，合并报表范围发生变化的情况说明" w:id="44"/>
      <w:bookmarkEnd w:id="44"/>
      <w:r>
        <w:rPr>
          <w:b w:val="0"/>
          <w:bCs w:val="0"/>
        </w:rPr>
      </w:r>
      <w:r>
        <w:rPr/>
        <w:t>十一、与上年度财务报告相比，合并报表范围发生变化的情况说明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30" w:firstLine="423"/>
        <w:jc w:val="both"/>
      </w:pPr>
      <w:r>
        <w:rPr>
          <w:rFonts w:ascii="宋体" w:hAnsi="宋体" w:cs="宋体" w:eastAsia="宋体" w:hint="default"/>
          <w:spacing w:val="-1"/>
        </w:rPr>
        <w:t>1.</w:t>
      </w:r>
      <w:r>
        <w:rPr>
          <w:spacing w:val="-1"/>
        </w:rPr>
        <w:t>天津滨河创新科技有限公司是公司向刘开同等发行股份购买的子公司，该公司注册资本</w:t>
      </w:r>
      <w:r>
        <w:rPr>
          <w:rFonts w:ascii="宋体" w:hAnsi="宋体" w:cs="宋体" w:eastAsia="宋体" w:hint="default"/>
          <w:spacing w:val="-1"/>
        </w:rPr>
        <w:t>5,008.37</w:t>
      </w:r>
      <w:r>
        <w:rPr>
          <w:spacing w:val="-1"/>
        </w:rPr>
        <w:t>万</w:t>
      </w:r>
      <w:r>
        <w:rPr/>
        <w:t> </w:t>
      </w:r>
      <w:r>
        <w:rPr>
          <w:spacing w:val="-1"/>
        </w:rPr>
        <w:t>元，公司持股比例为</w:t>
      </w:r>
      <w:r>
        <w:rPr>
          <w:rFonts w:ascii="宋体" w:hAnsi="宋体" w:cs="宋体" w:eastAsia="宋体" w:hint="default"/>
          <w:spacing w:val="-1"/>
        </w:rPr>
        <w:t>100.00%</w:t>
      </w:r>
      <w:r>
        <w:rPr>
          <w:spacing w:val="-1"/>
        </w:rPr>
        <w:t>，滨河创新于</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28</w:t>
      </w:r>
      <w:r>
        <w:rPr>
          <w:spacing w:val="-1"/>
        </w:rPr>
        <w:t>日完成了股权变更登记，</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w:t>
      </w:r>
      <w:r>
        <w:rPr>
          <w:spacing w:val="-1"/>
        </w:rPr>
        <w:t>日公司将滨</w:t>
      </w:r>
      <w:r>
        <w:rPr>
          <w:spacing w:val="-79"/>
        </w:rPr>
        <w:t> </w:t>
      </w:r>
      <w:r>
        <w:rPr/>
        <w:t>河创新纳入合并范围。</w:t>
      </w:r>
    </w:p>
    <w:p>
      <w:pPr>
        <w:pStyle w:val="BodyText"/>
        <w:spacing w:line="408" w:lineRule="auto"/>
        <w:ind w:right="0" w:firstLine="423"/>
        <w:jc w:val="left"/>
      </w:pPr>
      <w:r>
        <w:rPr>
          <w:rFonts w:ascii="宋体" w:hAnsi="宋体" w:cs="宋体" w:eastAsia="宋体" w:hint="default"/>
          <w:spacing w:val="-1"/>
        </w:rPr>
        <w:t>2.</w:t>
      </w:r>
      <w:r>
        <w:rPr>
          <w:spacing w:val="-1"/>
        </w:rPr>
        <w:t>北京中科金财投资管理有限公司由公司</w:t>
      </w:r>
      <w:r>
        <w:rPr>
          <w:rFonts w:ascii="宋体" w:hAnsi="宋体" w:cs="宋体" w:eastAsia="宋体" w:hint="default"/>
          <w:spacing w:val="-1"/>
        </w:rPr>
        <w:t>2014</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w:t>
      </w:r>
      <w:r>
        <w:rPr>
          <w:spacing w:val="-1"/>
        </w:rPr>
        <w:t>日投资设立，该公司注册资本</w:t>
      </w:r>
      <w:r>
        <w:rPr>
          <w:rFonts w:ascii="宋体" w:hAnsi="宋体" w:cs="宋体" w:eastAsia="宋体" w:hint="default"/>
          <w:spacing w:val="-1"/>
        </w:rPr>
        <w:t>100.00</w:t>
      </w:r>
      <w:r>
        <w:rPr>
          <w:spacing w:val="-1"/>
        </w:rPr>
        <w:t>万元，公司</w:t>
      </w:r>
      <w:r>
        <w:rPr/>
        <w:t> 投资</w:t>
      </w:r>
      <w:r>
        <w:rPr>
          <w:rFonts w:ascii="宋体" w:hAnsi="宋体" w:cs="宋体" w:eastAsia="宋体" w:hint="default"/>
        </w:rPr>
        <w:t>100.00</w:t>
      </w:r>
      <w:r>
        <w:rPr/>
        <w:t>万元，持股比例</w:t>
      </w:r>
      <w:r>
        <w:rPr>
          <w:rFonts w:ascii="宋体" w:hAnsi="宋体" w:cs="宋体" w:eastAsia="宋体" w:hint="default"/>
        </w:rPr>
        <w:t>100%</w:t>
      </w:r>
      <w:r>
        <w:rPr/>
        <w:t>，自</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w:t>
      </w:r>
      <w:r>
        <w:rPr/>
        <w:t>日起公司将中科投资纳入合并范围。</w:t>
      </w:r>
    </w:p>
    <w:p>
      <w:pPr>
        <w:pStyle w:val="BodyText"/>
        <w:spacing w:line="408" w:lineRule="auto"/>
        <w:ind w:right="0" w:firstLine="423"/>
        <w:jc w:val="left"/>
      </w:pPr>
      <w:r>
        <w:rPr>
          <w:rFonts w:ascii="宋体" w:hAnsi="宋体" w:cs="宋体" w:eastAsia="宋体" w:hint="default"/>
          <w:spacing w:val="-1"/>
        </w:rPr>
        <w:t>3.</w:t>
      </w:r>
      <w:r>
        <w:rPr>
          <w:spacing w:val="-1"/>
        </w:rPr>
        <w:t>北京中科金财电子产品有限公司由公司与北京恒沙科技有限责任公司共同组建成立，该公司注册资</w:t>
      </w:r>
      <w:r>
        <w:rPr/>
        <w:t> 本</w:t>
      </w:r>
      <w:r>
        <w:rPr>
          <w:rFonts w:ascii="宋体" w:hAnsi="宋体" w:cs="宋体" w:eastAsia="宋体" w:hint="default"/>
        </w:rPr>
        <w:t>4,000</w:t>
      </w:r>
      <w:r>
        <w:rPr/>
        <w:t>万元，公司投资</w:t>
      </w:r>
      <w:r>
        <w:rPr>
          <w:rFonts w:ascii="宋体" w:hAnsi="宋体" w:cs="宋体" w:eastAsia="宋体" w:hint="default"/>
        </w:rPr>
        <w:t>2,040.00</w:t>
      </w:r>
      <w:r>
        <w:rPr/>
        <w:t>万元，持股比例</w:t>
      </w:r>
      <w:r>
        <w:rPr>
          <w:rFonts w:ascii="宋体" w:hAnsi="宋体" w:cs="宋体" w:eastAsia="宋体" w:hint="default"/>
        </w:rPr>
        <w:t>51%</w:t>
      </w:r>
      <w:r>
        <w:rPr/>
        <w:t>，</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23</w:t>
      </w:r>
      <w:r>
        <w:rPr/>
        <w:t>日，公司出售中科电子</w:t>
      </w:r>
      <w:r>
        <w:rPr>
          <w:rFonts w:ascii="宋体" w:hAnsi="宋体" w:cs="宋体" w:eastAsia="宋体" w:hint="default"/>
        </w:rPr>
        <w:t>2%</w:t>
      </w:r>
      <w:r>
        <w:rPr/>
        <w:t>股权，剩余 投资</w:t>
      </w:r>
      <w:r>
        <w:rPr>
          <w:rFonts w:ascii="宋体" w:hAnsi="宋体" w:cs="宋体" w:eastAsia="宋体" w:hint="default"/>
        </w:rPr>
        <w:t>1,960.00</w:t>
      </w:r>
      <w:r>
        <w:rPr/>
        <w:t>万元，持股比例为</w:t>
      </w:r>
      <w:r>
        <w:rPr>
          <w:rFonts w:ascii="宋体" w:hAnsi="宋体" w:cs="宋体" w:eastAsia="宋体" w:hint="default"/>
        </w:rPr>
        <w:t>49%</w:t>
      </w:r>
      <w:r>
        <w:rPr/>
        <w:t>，自</w:t>
      </w:r>
      <w:r>
        <w:rPr>
          <w:rFonts w:ascii="宋体" w:hAnsi="宋体" w:cs="宋体" w:eastAsia="宋体" w:hint="default"/>
        </w:rPr>
        <w:t>2014</w:t>
      </w:r>
      <w:r>
        <w:rPr/>
        <w:t>年</w:t>
      </w:r>
      <w:r>
        <w:rPr>
          <w:rFonts w:ascii="宋体" w:hAnsi="宋体" w:cs="宋体" w:eastAsia="宋体" w:hint="default"/>
        </w:rPr>
        <w:t>5</w:t>
      </w:r>
      <w:r>
        <w:rPr/>
        <w:t>月</w:t>
      </w:r>
      <w:r>
        <w:rPr>
          <w:rFonts w:ascii="宋体" w:hAnsi="宋体" w:cs="宋体" w:eastAsia="宋体" w:hint="default"/>
        </w:rPr>
        <w:t>1</w:t>
      </w:r>
      <w:r>
        <w:rPr/>
        <w:t>日起，不再将中科电子纳入合并范围。中科电子</w:t>
      </w:r>
      <w:r>
        <w:rPr>
          <w:rFonts w:ascii="宋体" w:hAnsi="宋体" w:cs="宋体" w:eastAsia="宋体" w:hint="default"/>
        </w:rPr>
        <w:t>2013 </w:t>
      </w:r>
      <w:r>
        <w:rPr/>
        <w:t>年营业收入</w:t>
      </w:r>
      <w:r>
        <w:rPr>
          <w:rFonts w:ascii="宋体" w:hAnsi="宋体" w:cs="宋体" w:eastAsia="宋体" w:hint="default"/>
        </w:rPr>
        <w:t>8797.67</w:t>
      </w:r>
      <w:r>
        <w:rPr/>
        <w:t>万元，净利润</w:t>
      </w:r>
      <w:r>
        <w:rPr>
          <w:rFonts w:ascii="宋体" w:hAnsi="宋体" w:cs="宋体" w:eastAsia="宋体" w:hint="default"/>
        </w:rPr>
        <w:t>85.87</w:t>
      </w:r>
      <w:r>
        <w:rPr/>
        <w:t>万元，</w:t>
      </w:r>
      <w:r>
        <w:rPr>
          <w:rFonts w:ascii="宋体" w:hAnsi="宋体" w:cs="宋体" w:eastAsia="宋体" w:hint="default"/>
        </w:rPr>
        <w:t>2014</w:t>
      </w:r>
      <w:r>
        <w:rPr/>
        <w:t>年营业收入</w:t>
      </w:r>
      <w:r>
        <w:rPr>
          <w:rFonts w:ascii="宋体" w:hAnsi="宋体" w:cs="宋体" w:eastAsia="宋体" w:hint="default"/>
        </w:rPr>
        <w:t>29917.42</w:t>
      </w:r>
      <w:r>
        <w:rPr/>
        <w:t>万元，净利润</w:t>
      </w:r>
      <w:r>
        <w:rPr>
          <w:rFonts w:ascii="宋体" w:hAnsi="宋体" w:cs="宋体" w:eastAsia="宋体" w:hint="default"/>
        </w:rPr>
        <w:t>455.26</w:t>
      </w:r>
      <w:r>
        <w:rPr/>
        <w:t>万元。</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二、公司利润分配及分红派息情况" w:id="45"/>
      <w:bookmarkEnd w:id="45"/>
      <w:r>
        <w:rPr>
          <w:b w:val="0"/>
          <w:bCs w:val="0"/>
        </w:rPr>
      </w: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118" w:firstLine="423"/>
        <w:jc w:val="left"/>
      </w:pPr>
      <w:r>
        <w:rPr>
          <w:spacing w:val="-1"/>
        </w:rPr>
        <w:t>根据中国证监会《关于进一步落实上市公司现金分红有关事项的通知》（证监发</w:t>
      </w:r>
      <w:r>
        <w:rPr>
          <w:rFonts w:ascii="宋体" w:hAnsi="宋体" w:cs="宋体" w:eastAsia="宋体" w:hint="default"/>
          <w:spacing w:val="-1"/>
        </w:rPr>
        <w:t>[2012]37</w:t>
      </w:r>
      <w:r>
        <w:rPr>
          <w:spacing w:val="-1"/>
        </w:rPr>
        <w:t>号）、北京</w:t>
      </w:r>
      <w:r>
        <w:rPr/>
        <w:t> 证监局《关于进一步完善上市公司现金分红有关事项的通知》（京证公司发</w:t>
      </w:r>
      <w:r>
        <w:rPr>
          <w:rFonts w:ascii="宋体" w:hAnsi="宋体" w:cs="宋体" w:eastAsia="宋体" w:hint="default"/>
        </w:rPr>
        <w:t>[2012]101</w:t>
      </w:r>
      <w:r>
        <w:rPr/>
        <w:t>号）等规范性文件 </w:t>
      </w:r>
      <w:r>
        <w:rPr>
          <w:spacing w:val="-1"/>
        </w:rPr>
        <w:t>的要求，结合自身实际情况，公司对《北京中科金财科技股份有限公司章程》中有关利润分配的内容进行</w:t>
      </w:r>
      <w:r>
        <w:rPr>
          <w:spacing w:val="-86"/>
        </w:rPr>
        <w:t> </w:t>
      </w:r>
      <w:r>
        <w:rPr>
          <w:spacing w:val="-86"/>
        </w:rPr>
      </w:r>
      <w:r>
        <w:rPr>
          <w:spacing w:val="-1"/>
        </w:rPr>
        <w:t>了修订，并于公司第二届董事会第十次会议、</w:t>
      </w:r>
      <w:r>
        <w:rPr>
          <w:rFonts w:ascii="宋体" w:hAnsi="宋体" w:cs="宋体" w:eastAsia="宋体" w:hint="default"/>
          <w:spacing w:val="-1"/>
        </w:rPr>
        <w:t>2012</w:t>
      </w:r>
      <w:r>
        <w:rPr>
          <w:spacing w:val="-1"/>
        </w:rPr>
        <w:t>年第一次临时股东大会审议通过。目前公司的股利分配</w:t>
      </w:r>
      <w:r>
        <w:rPr>
          <w:spacing w:val="-82"/>
        </w:rPr>
        <w:t> </w:t>
      </w:r>
      <w:r>
        <w:rPr>
          <w:spacing w:val="-82"/>
        </w:rPr>
      </w:r>
      <w:r>
        <w:rPr/>
        <w:t>政策如下：</w:t>
      </w:r>
    </w:p>
    <w:p>
      <w:pPr>
        <w:pStyle w:val="BodyText"/>
        <w:spacing w:line="240" w:lineRule="auto"/>
        <w:ind w:left="577" w:right="0"/>
        <w:jc w:val="left"/>
      </w:pPr>
      <w:r>
        <w:rPr/>
        <w:t>（一）公司利润分配政策的基本原则</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2" w:firstLine="423"/>
        <w:jc w:val="both"/>
      </w:pPr>
      <w:r>
        <w:rPr>
          <w:rFonts w:ascii="宋体" w:hAnsi="宋体" w:cs="宋体" w:eastAsia="宋体" w:hint="default"/>
        </w:rPr>
        <w:t>1</w:t>
      </w:r>
      <w:r>
        <w:rPr/>
        <w:t>、公司充分考虑对投资者的回报，每年将当年实现的可分配利润按本章程的规定比例和方式向股东 分配股利；</w:t>
      </w:r>
      <w:r>
        <w:rPr>
          <w:rFonts w:ascii="宋体" w:hAnsi="宋体" w:cs="宋体" w:eastAsia="宋体" w:hint="default"/>
        </w:rPr>
        <w:t>2</w:t>
      </w:r>
      <w:r>
        <w:rPr/>
        <w:t>、公司的利润分配政策保持连续性和稳定性，同时兼顾公司的长远利益、全体股东的整体利 益及公司的可持续发展；</w:t>
      </w:r>
      <w:r>
        <w:rPr>
          <w:rFonts w:ascii="宋体" w:hAnsi="宋体" w:cs="宋体" w:eastAsia="宋体" w:hint="default"/>
        </w:rPr>
        <w:t>3</w:t>
      </w:r>
      <w:r>
        <w:rPr/>
        <w:t>、公司优先采用现金分红的利润分配方式。</w:t>
      </w:r>
    </w:p>
    <w:p>
      <w:pPr>
        <w:pStyle w:val="BodyText"/>
        <w:spacing w:line="408" w:lineRule="auto"/>
        <w:ind w:left="577" w:right="1194"/>
        <w:jc w:val="left"/>
      </w:pPr>
      <w:r>
        <w:rPr/>
        <w:t>（二）公司具体的利润分配政策 </w:t>
      </w:r>
      <w:r>
        <w:rPr>
          <w:rFonts w:ascii="宋体" w:hAnsi="宋体" w:cs="宋体" w:eastAsia="宋体" w:hint="default"/>
        </w:rPr>
        <w:t>1</w:t>
      </w:r>
      <w:r>
        <w:rPr/>
        <w:t>、利润分配的形式：公司采用现金、股票或者现金与股票相结合的方式分配股利。在有条件的情况</w:t>
      </w:r>
    </w:p>
    <w:p>
      <w:pPr>
        <w:pStyle w:val="BodyText"/>
        <w:spacing w:line="408" w:lineRule="auto"/>
        <w:ind w:right="1093"/>
        <w:jc w:val="left"/>
      </w:pPr>
      <w:r>
        <w:rPr/>
        <w:t>下，公司可以进行中期利润分配；</w:t>
      </w:r>
      <w:r>
        <w:rPr>
          <w:rFonts w:ascii="宋体" w:hAnsi="宋体" w:cs="宋体" w:eastAsia="宋体" w:hint="default"/>
        </w:rPr>
        <w:t>2</w:t>
      </w:r>
      <w:r>
        <w:rPr/>
        <w:t>、公司现金分红的具体条件和比例：除特殊情况外，公司在当年盈利 </w:t>
      </w:r>
      <w:r>
        <w:rPr>
          <w:spacing w:val="-1"/>
        </w:rPr>
        <w:t>且累计未分配利润为正的情况下，采取现金方式分配股利，每年以现金方式分配的利润不少于当年实现的</w:t>
      </w:r>
      <w:r>
        <w:rPr>
          <w:spacing w:val="-81"/>
        </w:rPr>
        <w:t> </w:t>
      </w:r>
      <w:r>
        <w:rPr>
          <w:spacing w:val="-81"/>
        </w:rPr>
      </w:r>
      <w:r>
        <w:rPr>
          <w:spacing w:val="-1"/>
        </w:rPr>
        <w:t>可分配利润的</w:t>
      </w:r>
      <w:r>
        <w:rPr>
          <w:rFonts w:ascii="宋体" w:hAnsi="宋体" w:cs="宋体" w:eastAsia="宋体" w:hint="default"/>
          <w:spacing w:val="-1"/>
        </w:rPr>
        <w:t>15%</w:t>
      </w:r>
      <w:r>
        <w:rPr>
          <w:spacing w:val="-1"/>
        </w:rPr>
        <w:t>。特殊情况是指：（</w:t>
      </w:r>
      <w:r>
        <w:rPr>
          <w:rFonts w:ascii="宋体" w:hAnsi="宋体" w:cs="宋体" w:eastAsia="宋体" w:hint="default"/>
          <w:spacing w:val="-1"/>
        </w:rPr>
        <w:t>1</w:t>
      </w:r>
      <w:r>
        <w:rPr>
          <w:spacing w:val="-1"/>
        </w:rPr>
        <w:t>）公司有重大投资计划或重大现金支出等事项发生（募集资金项目</w:t>
      </w:r>
      <w:r>
        <w:rPr>
          <w:spacing w:val="-82"/>
        </w:rPr>
        <w:t> </w:t>
      </w:r>
      <w:r>
        <w:rPr>
          <w:spacing w:val="-82"/>
        </w:rPr>
      </w:r>
      <w:r>
        <w:rPr>
          <w:spacing w:val="-1"/>
        </w:rPr>
        <w:t>除外）。即，公司未来十二个月内拟对外投资、收购资产或者购买设备累计支出达到或超过公司最近一期</w:t>
      </w:r>
      <w:r>
        <w:rPr>
          <w:spacing w:val="-86"/>
        </w:rPr>
        <w:t> </w:t>
      </w:r>
      <w:r>
        <w:rPr>
          <w:spacing w:val="-86"/>
        </w:rPr>
      </w:r>
      <w:r>
        <w:rPr>
          <w:spacing w:val="-1"/>
        </w:rPr>
        <w:t>经审计净资产的</w:t>
      </w:r>
      <w:r>
        <w:rPr>
          <w:rFonts w:ascii="宋体" w:hAnsi="宋体" w:cs="宋体" w:eastAsia="宋体" w:hint="default"/>
          <w:spacing w:val="-1"/>
        </w:rPr>
        <w:t>30%</w:t>
      </w:r>
      <w:r>
        <w:rPr>
          <w:spacing w:val="-1"/>
        </w:rPr>
        <w:t>；（</w:t>
      </w:r>
      <w:r>
        <w:rPr>
          <w:rFonts w:ascii="宋体" w:hAnsi="宋体" w:cs="宋体" w:eastAsia="宋体" w:hint="default"/>
          <w:spacing w:val="-1"/>
        </w:rPr>
        <w:t>2</w:t>
      </w:r>
      <w:r>
        <w:rPr>
          <w:spacing w:val="-1"/>
        </w:rPr>
        <w:t>）公司年末资产负债率超过</w:t>
      </w:r>
      <w:r>
        <w:rPr>
          <w:rFonts w:ascii="宋体" w:hAnsi="宋体" w:cs="宋体" w:eastAsia="宋体" w:hint="default"/>
          <w:spacing w:val="-1"/>
        </w:rPr>
        <w:t>70%</w:t>
      </w:r>
      <w:r>
        <w:rPr>
          <w:spacing w:val="-1"/>
        </w:rPr>
        <w:t>；（</w:t>
      </w:r>
      <w:r>
        <w:rPr>
          <w:rFonts w:ascii="宋体" w:hAnsi="宋体" w:cs="宋体" w:eastAsia="宋体" w:hint="default"/>
          <w:spacing w:val="-1"/>
        </w:rPr>
        <w:t>3</w:t>
      </w:r>
      <w:r>
        <w:rPr>
          <w:spacing w:val="-1"/>
        </w:rPr>
        <w:t>）公司当年经营活动产生的现金流量净额为</w:t>
      </w:r>
      <w:r>
        <w:rPr>
          <w:spacing w:val="-86"/>
        </w:rPr>
        <w:t> </w:t>
      </w:r>
      <w:r>
        <w:rPr>
          <w:spacing w:val="-86"/>
        </w:rPr>
      </w:r>
      <w:r>
        <w:rPr/>
        <w:t>负数。</w:t>
      </w:r>
      <w:r>
        <w:rPr>
          <w:rFonts w:ascii="宋体" w:hAnsi="宋体" w:cs="宋体" w:eastAsia="宋体" w:hint="default"/>
        </w:rPr>
        <w:t>3</w:t>
      </w:r>
      <w:r>
        <w:rPr/>
        <w:t>、公司发放股票股利的具体条件：公司在经营情况良好，同时当年实现的每股收益超过</w:t>
      </w:r>
      <w:r>
        <w:rPr>
          <w:rFonts w:ascii="宋体" w:hAnsi="宋体" w:cs="宋体" w:eastAsia="宋体" w:hint="default"/>
        </w:rPr>
        <w:t>0.5</w:t>
      </w:r>
      <w:r>
        <w:rPr/>
        <w:t>元时， </w:t>
      </w:r>
      <w:r>
        <w:rPr>
          <w:spacing w:val="-1"/>
        </w:rPr>
        <w:t>并且董事会认为公司股票价格与公司股本规模不匹配、发放股票股利有利于公司全体股东整体利益时，可</w:t>
      </w:r>
      <w:r>
        <w:rPr>
          <w:spacing w:val="-81"/>
        </w:rPr>
        <w:t> </w:t>
      </w:r>
      <w:r>
        <w:rPr>
          <w:spacing w:val="-81"/>
        </w:rPr>
      </w:r>
      <w:r>
        <w:rPr/>
        <w:t>以在满足上述现金分红的条件下，提出股票股利分配预案。</w:t>
      </w:r>
    </w:p>
    <w:p>
      <w:pPr>
        <w:pStyle w:val="BodyText"/>
        <w:spacing w:line="408" w:lineRule="auto"/>
        <w:ind w:left="577" w:right="1194"/>
        <w:jc w:val="left"/>
      </w:pPr>
      <w:r>
        <w:rPr/>
        <w:t>（三）公司利润分配方案的审议程序： </w:t>
      </w:r>
      <w:r>
        <w:rPr>
          <w:rFonts w:ascii="宋体" w:hAnsi="宋体" w:cs="宋体" w:eastAsia="宋体" w:hint="default"/>
        </w:rPr>
        <w:t>1</w:t>
      </w:r>
      <w:r>
        <w:rPr/>
        <w:t>、公司的利润分配方案由董事会战略委员会拟定后提交公司董事会、监事会审议，独立董事应对利</w:t>
      </w:r>
    </w:p>
    <w:p>
      <w:pPr>
        <w:pStyle w:val="BodyText"/>
        <w:spacing w:line="408" w:lineRule="auto"/>
        <w:ind w:right="0"/>
        <w:jc w:val="left"/>
      </w:pPr>
      <w:r>
        <w:rPr>
          <w:spacing w:val="-1"/>
        </w:rPr>
        <w:t>润分配方案发表明确意见。董事会应就利润分配方案的合理性进行充分讨论，形成专项决议后提交股东大</w:t>
      </w:r>
      <w:r>
        <w:rPr>
          <w:spacing w:val="-81"/>
        </w:rPr>
        <w:t> </w:t>
      </w:r>
      <w:r>
        <w:rPr>
          <w:spacing w:val="-81"/>
        </w:rPr>
      </w:r>
      <w:r>
        <w:rPr/>
        <w:t>会审议，并在发布召开股东大会的通知时，公告独立董事和监事会意见。</w:t>
      </w:r>
      <w:r>
        <w:rPr>
          <w:rFonts w:ascii="宋体" w:hAnsi="宋体" w:cs="宋体" w:eastAsia="宋体" w:hint="default"/>
        </w:rPr>
        <w:t>2</w:t>
      </w:r>
      <w:r>
        <w:rPr/>
        <w:t>、公司因前述（二）的规定的 </w:t>
      </w:r>
      <w:r>
        <w:rPr>
          <w:spacing w:val="-1"/>
        </w:rPr>
        <w:t>特殊情况而不进行现金分红时，董事会就不进行现金分红的具体原因、公司留存收益的确切用途及预计投</w:t>
      </w:r>
      <w:r>
        <w:rPr>
          <w:spacing w:val="-80"/>
        </w:rPr>
        <w:t> </w:t>
      </w:r>
      <w:r>
        <w:rPr>
          <w:spacing w:val="-80"/>
        </w:rPr>
      </w:r>
      <w:r>
        <w:rPr>
          <w:spacing w:val="-1"/>
        </w:rPr>
        <w:t>资收益等事项进行专项说明，经独立董事发表意见后提交股东大会审议批准，同时，公司应当在定期报告</w:t>
      </w:r>
      <w:r>
        <w:rPr>
          <w:spacing w:val="-83"/>
        </w:rPr>
        <w:t> </w:t>
      </w:r>
      <w:r>
        <w:rPr>
          <w:spacing w:val="-83"/>
        </w:rPr>
      </w:r>
      <w:r>
        <w:rPr/>
        <w:t>中披露原因。股东大会审议不进行现金分红的议案时，公司应为股东提供网络投票方式。</w:t>
      </w:r>
      <w:r>
        <w:rPr>
          <w:rFonts w:ascii="宋体" w:hAnsi="宋体" w:cs="宋体" w:eastAsia="宋体" w:hint="default"/>
        </w:rPr>
        <w:t>3</w:t>
      </w:r>
      <w:r>
        <w:rPr/>
        <w:t>、股东大会对 </w:t>
      </w:r>
      <w:r>
        <w:rPr>
          <w:spacing w:val="-1"/>
        </w:rPr>
        <w:t>现金分红具体方案进行审议时，应当通过多种渠道主动与股东特别是中小股东进行沟通和交流（包括但不</w:t>
      </w:r>
      <w:r>
        <w:rPr>
          <w:spacing w:val="-81"/>
        </w:rPr>
        <w:t> </w:t>
      </w:r>
      <w:r>
        <w:rPr>
          <w:spacing w:val="-81"/>
        </w:rPr>
      </w:r>
      <w:r>
        <w:rPr>
          <w:spacing w:val="-1"/>
        </w:rPr>
        <w:t>限于电话沟通、筹划投资者接待日或邀请中小股东参会等），充分听取中小股东的意见和诉求，并及时答</w:t>
      </w:r>
      <w:r>
        <w:rPr>
          <w:spacing w:val="-86"/>
        </w:rPr>
        <w:t> </w:t>
      </w:r>
      <w:r>
        <w:rPr>
          <w:spacing w:val="-86"/>
        </w:rPr>
      </w:r>
      <w:r>
        <w:rPr/>
        <w:t>复中小股东关心的问题。</w:t>
      </w:r>
    </w:p>
    <w:p>
      <w:pPr>
        <w:pStyle w:val="BodyText"/>
        <w:spacing w:line="408" w:lineRule="auto"/>
        <w:ind w:right="0" w:firstLine="423"/>
        <w:jc w:val="left"/>
      </w:pPr>
      <w:r>
        <w:rPr>
          <w:spacing w:val="-1"/>
        </w:rPr>
        <w:t>（四）公司利润分配方案的实施：公司股东大会对利润分配方案做出决议后，公司董事会须在股东大</w:t>
      </w:r>
      <w:r>
        <w:rPr/>
        <w:t> 会召开后</w:t>
      </w:r>
      <w:r>
        <w:rPr>
          <w:rFonts w:ascii="宋体" w:hAnsi="宋体" w:cs="宋体" w:eastAsia="宋体" w:hint="default"/>
        </w:rPr>
        <w:t>2</w:t>
      </w:r>
      <w:r>
        <w:rPr/>
        <w:t>个月内完成股利（或股份）的派发事项。</w:t>
      </w:r>
    </w:p>
    <w:p>
      <w:pPr>
        <w:pStyle w:val="BodyText"/>
        <w:spacing w:line="408" w:lineRule="auto"/>
        <w:ind w:right="0" w:firstLine="423"/>
        <w:jc w:val="left"/>
      </w:pPr>
      <w:r>
        <w:rPr/>
        <w:t>（五）公司利润分配政策的变更：</w:t>
      </w:r>
      <w:r>
        <w:rPr>
          <w:rFonts w:ascii="宋体" w:hAnsi="宋体" w:cs="宋体" w:eastAsia="宋体" w:hint="default"/>
        </w:rPr>
        <w:t>1</w:t>
      </w:r>
      <w:r>
        <w:rPr/>
        <w:t>、如遇到战争、自然灾害等不可抗力、或者公司外部经营环境变 </w:t>
      </w:r>
      <w:r>
        <w:rPr>
          <w:spacing w:val="-1"/>
        </w:rPr>
        <w:t>化并对公司生产经营造成重大影响，或公司自身经营状况发生较大变化时，公司可对利润分配政策进行调</w:t>
      </w:r>
      <w:r>
        <w:rPr>
          <w:spacing w:val="-81"/>
        </w:rPr>
        <w:t> </w:t>
      </w:r>
      <w:r>
        <w:rPr>
          <w:spacing w:val="-81"/>
        </w:rPr>
      </w:r>
      <w:r>
        <w:rPr/>
        <w:t>整，调整后的利润分配政策不得违反中国证监会和证券交易所的有关规定。</w:t>
      </w:r>
      <w:r>
        <w:rPr>
          <w:rFonts w:ascii="宋体" w:hAnsi="宋体" w:cs="宋体" w:eastAsia="宋体" w:hint="default"/>
        </w:rPr>
        <w:t>2</w:t>
      </w:r>
      <w:r>
        <w:rPr/>
        <w:t>、公司调整利润分配政策应 </w:t>
      </w:r>
      <w:r>
        <w:rPr>
          <w:spacing w:val="-1"/>
        </w:rPr>
        <w:t>由董事会做出专题论述，详细论证调整理由，形成书面论证报告并经独立董事审议后提交股东大会特别决</w:t>
      </w:r>
      <w:r>
        <w:rPr>
          <w:spacing w:val="-81"/>
        </w:rPr>
        <w:t> </w:t>
      </w:r>
      <w:r>
        <w:rPr>
          <w:spacing w:val="-81"/>
        </w:rPr>
      </w:r>
      <w:r>
        <w:rPr/>
        <w:t>议通过。同时，公司应当提供网络投票方式为公众投资者参加股东大会提供便利。</w:t>
      </w:r>
      <w:r>
        <w:rPr>
          <w:rFonts w:ascii="宋体" w:hAnsi="宋体" w:cs="宋体" w:eastAsia="宋体" w:hint="default"/>
        </w:rPr>
        <w:t>3</w:t>
      </w:r>
      <w:r>
        <w:rPr/>
        <w:t>、在充分考虑对投资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者的合理投资回报并兼顾公司的可持续发展的基础上，公司董事会可制订股利分配规划，并报股东大会批</w:t>
      </w:r>
      <w:r>
        <w:rPr>
          <w:spacing w:val="-81"/>
        </w:rPr>
        <w:t> </w:t>
      </w:r>
      <w:r>
        <w:rPr>
          <w:spacing w:val="-81"/>
        </w:rPr>
      </w:r>
      <w:r>
        <w:rPr/>
        <w:t>准。</w:t>
      </w:r>
    </w:p>
    <w:p>
      <w:pPr>
        <w:pStyle w:val="BodyText"/>
        <w:spacing w:line="408" w:lineRule="auto"/>
        <w:ind w:left="154" w:right="1118" w:firstLine="423"/>
        <w:jc w:val="left"/>
      </w:pPr>
      <w:r>
        <w:rPr>
          <w:spacing w:val="-1"/>
        </w:rPr>
        <w:t>（六）存在股东违规占用公司资金情况的，公司应当扣减该股东所分配的现金红利，以偿还其占用的</w:t>
      </w:r>
      <w:r>
        <w:rPr/>
        <w:t> 资金。</w:t>
      </w:r>
    </w:p>
    <w:p>
      <w:pPr>
        <w:spacing w:line="408" w:lineRule="auto" w:before="46"/>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公司现金分红政策的执行情况：</w:t>
      </w:r>
      <w:r>
        <w:rPr>
          <w:rFonts w:ascii="宋体" w:hAnsi="宋体" w:cs="宋体" w:eastAsia="宋体" w:hint="default"/>
          <w:b/>
          <w:bCs/>
          <w:w w:val="99"/>
          <w:sz w:val="21"/>
          <w:szCs w:val="21"/>
        </w:rPr>
        <w:t> </w:t>
      </w:r>
      <w:r>
        <w:rPr>
          <w:rFonts w:ascii="宋体" w:hAnsi="宋体" w:cs="宋体" w:eastAsia="宋体" w:hint="default"/>
          <w:sz w:val="21"/>
          <w:szCs w:val="21"/>
        </w:rPr>
        <w:t>公司严格按照《公司章程》的规定制定现金分红方案。公司于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日第三届董事会第五次会</w:t>
      </w:r>
    </w:p>
    <w:p>
      <w:pPr>
        <w:pStyle w:val="BodyText"/>
        <w:spacing w:line="408" w:lineRule="auto"/>
        <w:ind w:right="1129"/>
        <w:jc w:val="both"/>
      </w:pPr>
      <w:r>
        <w:rPr>
          <w:spacing w:val="-1"/>
        </w:rPr>
        <w:t>议审议通过了</w:t>
      </w:r>
      <w:r>
        <w:rPr>
          <w:rFonts w:ascii="宋体" w:hAnsi="宋体" w:cs="宋体" w:eastAsia="宋体" w:hint="default"/>
          <w:spacing w:val="-1"/>
        </w:rPr>
        <w:t>2013</w:t>
      </w:r>
      <w:r>
        <w:rPr>
          <w:spacing w:val="-1"/>
        </w:rPr>
        <w:t>年度利润分配方案，公司</w:t>
      </w:r>
      <w:r>
        <w:rPr>
          <w:rFonts w:ascii="宋体" w:hAnsi="宋体" w:cs="宋体" w:eastAsia="宋体" w:hint="default"/>
          <w:spacing w:val="-1"/>
        </w:rPr>
        <w:t>2013</w:t>
      </w:r>
      <w:r>
        <w:rPr>
          <w:spacing w:val="-1"/>
        </w:rPr>
        <w:t>年年度利润分配方案如下：以公司截止</w:t>
      </w:r>
      <w:r>
        <w:rPr>
          <w:rFonts w:ascii="宋体" w:hAnsi="宋体" w:cs="宋体" w:eastAsia="宋体" w:hint="default"/>
          <w:spacing w:val="-1"/>
        </w:rPr>
        <w:t>2013</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w:t>
      </w:r>
      <w:r>
        <w:rPr>
          <w:spacing w:val="-77"/>
        </w:rPr>
        <w:t> </w:t>
      </w:r>
      <w:r>
        <w:rPr/>
        <w:t>股本</w:t>
      </w:r>
      <w:r>
        <w:rPr>
          <w:rFonts w:ascii="宋体" w:hAnsi="宋体" w:cs="宋体" w:eastAsia="宋体" w:hint="default"/>
        </w:rPr>
        <w:t>104,696,301</w:t>
      </w:r>
      <w:r>
        <w:rPr/>
        <w:t>股为基数，向全体股东按每</w:t>
      </w:r>
      <w:r>
        <w:rPr>
          <w:rFonts w:ascii="宋体" w:hAnsi="宋体" w:cs="宋体" w:eastAsia="宋体" w:hint="default"/>
        </w:rPr>
        <w:t>10</w:t>
      </w:r>
      <w:r>
        <w:rPr/>
        <w:t>股派发现金红利</w:t>
      </w:r>
      <w:r>
        <w:rPr>
          <w:rFonts w:ascii="宋体" w:hAnsi="宋体" w:cs="宋体" w:eastAsia="宋体" w:hint="default"/>
        </w:rPr>
        <w:t>0.70</w:t>
      </w:r>
      <w:r>
        <w:rPr/>
        <w:t>元（含税），上述现金股利已于</w:t>
      </w:r>
      <w:r>
        <w:rPr>
          <w:rFonts w:ascii="宋体" w:hAnsi="宋体" w:cs="宋体" w:eastAsia="宋体" w:hint="default"/>
        </w:rPr>
        <w:t>2014</w:t>
      </w:r>
      <w:r>
        <w:rPr>
          <w:rFonts w:ascii="宋体" w:hAnsi="宋体" w:cs="宋体" w:eastAsia="宋体" w:hint="default"/>
          <w:spacing w:val="-29"/>
        </w:rPr>
        <w:t> </w:t>
      </w:r>
      <w:r>
        <w:rPr/>
        <w:t>年</w:t>
      </w:r>
      <w:r>
        <w:rPr>
          <w:rFonts w:ascii="宋体" w:hAnsi="宋体" w:cs="宋体" w:eastAsia="宋体" w:hint="default"/>
        </w:rPr>
        <w:t>5</w:t>
      </w:r>
      <w:r>
        <w:rPr/>
        <w:t>月</w:t>
      </w:r>
      <w:r>
        <w:rPr>
          <w:rFonts w:ascii="宋体" w:hAnsi="宋体" w:cs="宋体" w:eastAsia="宋体" w:hint="default"/>
        </w:rPr>
        <w:t>28</w:t>
      </w:r>
      <w:r>
        <w:rPr/>
        <w:t>日记入股东账户。</w:t>
      </w:r>
    </w:p>
    <w:p>
      <w:pPr>
        <w:pStyle w:val="BodyText"/>
        <w:spacing w:line="408" w:lineRule="auto"/>
        <w:ind w:right="0" w:firstLine="421"/>
        <w:jc w:val="left"/>
      </w:pPr>
      <w:r>
        <w:rPr/>
        <w:t>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18</w:t>
      </w:r>
      <w:r>
        <w:rPr/>
        <w:t>日第三届董事会第九次会议审议通过了</w:t>
      </w:r>
      <w:r>
        <w:rPr>
          <w:rFonts w:ascii="宋体" w:hAnsi="宋体" w:cs="宋体" w:eastAsia="宋体" w:hint="default"/>
        </w:rPr>
        <w:t>2014</w:t>
      </w:r>
      <w:r>
        <w:rPr/>
        <w:t>年半年度利润分配方案，公司</w:t>
      </w:r>
      <w:r>
        <w:rPr>
          <w:rFonts w:ascii="宋体" w:hAnsi="宋体" w:cs="宋体" w:eastAsia="宋体" w:hint="default"/>
        </w:rPr>
        <w:t>2014</w:t>
      </w:r>
      <w:r>
        <w:rPr/>
        <w:t>年 </w:t>
      </w:r>
      <w:r>
        <w:rPr>
          <w:spacing w:val="-3"/>
        </w:rPr>
        <w:t>半年度利润分配方案如下：以</w:t>
      </w:r>
      <w:r>
        <w:rPr>
          <w:rFonts w:ascii="宋体" w:hAnsi="宋体" w:cs="宋体" w:eastAsia="宋体" w:hint="default"/>
          <w:spacing w:val="-3"/>
        </w:rPr>
        <w:t>2014</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30</w:t>
      </w:r>
      <w:r>
        <w:rPr>
          <w:spacing w:val="-3"/>
        </w:rPr>
        <w:t>日公司总股本</w:t>
      </w:r>
      <w:r>
        <w:rPr>
          <w:rFonts w:ascii="宋体" w:hAnsi="宋体" w:cs="宋体" w:eastAsia="宋体" w:hint="default"/>
          <w:spacing w:val="-3"/>
        </w:rPr>
        <w:t>104,696,301</w:t>
      </w:r>
      <w:r>
        <w:rPr>
          <w:spacing w:val="-3"/>
        </w:rPr>
        <w:t>股为基数，进行资本公积金转增股本，</w:t>
      </w:r>
      <w:r>
        <w:rPr>
          <w:spacing w:val="-69"/>
        </w:rPr>
        <w:t> </w:t>
      </w:r>
      <w:r>
        <w:rPr>
          <w:spacing w:val="-69"/>
        </w:rPr>
      </w:r>
      <w:r>
        <w:rPr/>
        <w:t>全体股东每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20,939,260</w:t>
      </w:r>
      <w:r>
        <w:rPr/>
        <w:t>股，转增后公司总股本增加至</w:t>
      </w:r>
      <w:r>
        <w:rPr>
          <w:rFonts w:ascii="宋体" w:hAnsi="宋体" w:cs="宋体" w:eastAsia="宋体" w:hint="default"/>
        </w:rPr>
        <w:t>125,635,561</w:t>
      </w:r>
      <w:r>
        <w:rPr/>
        <w:t>股。上述转增股 数已于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22</w:t>
      </w:r>
      <w:r>
        <w:rPr/>
        <w:t>日记入股东账户。</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408" w:lineRule="auto" w:before="155"/>
        <w:ind w:right="1132" w:firstLine="423"/>
        <w:jc w:val="both"/>
      </w:pPr>
      <w:r>
        <w:rPr>
          <w:spacing w:val="-1"/>
        </w:rPr>
        <w:t>公司</w:t>
      </w:r>
      <w:r>
        <w:rPr>
          <w:rFonts w:ascii="宋体" w:hAnsi="宋体" w:cs="宋体" w:eastAsia="宋体" w:hint="default"/>
          <w:spacing w:val="-1"/>
        </w:rPr>
        <w:t>2012</w:t>
      </w:r>
      <w:r>
        <w:rPr>
          <w:spacing w:val="-1"/>
        </w:rPr>
        <w:t>年度利润分配方案：以公司截止</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69,797,534</w:t>
      </w:r>
      <w:r>
        <w:rPr>
          <w:spacing w:val="-1"/>
        </w:rPr>
        <w:t>股为基数，向全体股东每</w:t>
      </w:r>
      <w:r>
        <w:rPr/>
        <w:t> </w:t>
      </w:r>
      <w:r>
        <w:rPr>
          <w:rFonts w:ascii="宋体" w:hAnsi="宋体" w:cs="宋体" w:eastAsia="宋体" w:hint="default"/>
          <w:spacing w:val="-1"/>
        </w:rPr>
        <w:t>10</w:t>
      </w:r>
      <w:r>
        <w:rPr>
          <w:spacing w:val="-1"/>
        </w:rPr>
        <w:t>股派发现金股利人民币</w:t>
      </w:r>
      <w:r>
        <w:rPr>
          <w:rFonts w:ascii="宋体" w:hAnsi="宋体" w:cs="宋体" w:eastAsia="宋体" w:hint="default"/>
          <w:spacing w:val="-1"/>
        </w:rPr>
        <w:t>1.5</w:t>
      </w:r>
      <w:r>
        <w:rPr>
          <w:spacing w:val="-1"/>
        </w:rPr>
        <w:t>元（含税），共计派发现金股利</w:t>
      </w:r>
      <w:r>
        <w:rPr>
          <w:rFonts w:ascii="宋体" w:hAnsi="宋体" w:cs="宋体" w:eastAsia="宋体" w:hint="default"/>
          <w:spacing w:val="-1"/>
        </w:rPr>
        <w:t>10,469,630.08</w:t>
      </w:r>
      <w:r>
        <w:rPr>
          <w:spacing w:val="-1"/>
        </w:rPr>
        <w:t>元；同时进行资本公积金转增</w:t>
      </w:r>
      <w:r>
        <w:rPr>
          <w:spacing w:val="-81"/>
        </w:rPr>
        <w:t> </w:t>
      </w:r>
      <w:r>
        <w:rPr>
          <w:spacing w:val="-81"/>
        </w:rPr>
      </w:r>
      <w:r>
        <w:rPr/>
        <w:t>股本，以公司总股本</w:t>
      </w:r>
      <w:r>
        <w:rPr>
          <w:rFonts w:ascii="宋体" w:hAnsi="宋体" w:cs="宋体" w:eastAsia="宋体" w:hint="default"/>
        </w:rPr>
        <w:t>69,797,534</w:t>
      </w:r>
      <w:r>
        <w:rPr/>
        <w:t>股为基础，向全体股东每</w:t>
      </w:r>
      <w:r>
        <w:rPr>
          <w:rFonts w:ascii="宋体" w:hAnsi="宋体" w:cs="宋体" w:eastAsia="宋体" w:hint="default"/>
        </w:rPr>
        <w:t>10</w:t>
      </w:r>
      <w:r>
        <w:rPr/>
        <w:t>股转增</w:t>
      </w:r>
      <w:r>
        <w:rPr>
          <w:rFonts w:ascii="宋体" w:hAnsi="宋体" w:cs="宋体" w:eastAsia="宋体" w:hint="default"/>
        </w:rPr>
        <w:t>5</w:t>
      </w:r>
      <w:r>
        <w:rPr/>
        <w:t>股。</w:t>
      </w:r>
    </w:p>
    <w:p>
      <w:pPr>
        <w:pStyle w:val="BodyText"/>
        <w:spacing w:line="408" w:lineRule="auto"/>
        <w:ind w:left="154" w:right="1133" w:firstLine="421"/>
        <w:jc w:val="both"/>
      </w:pPr>
      <w:r>
        <w:rPr/>
        <w:t>公司</w:t>
      </w:r>
      <w:r>
        <w:rPr>
          <w:rFonts w:ascii="宋体" w:hAnsi="宋体" w:cs="宋体" w:eastAsia="宋体" w:hint="default"/>
        </w:rPr>
        <w:t>2013</w:t>
      </w:r>
      <w:r>
        <w:rPr/>
        <w:t>年度利润分配方案：以公司截止</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104,696,301</w:t>
      </w:r>
      <w:r>
        <w:rPr/>
        <w:t>股为基数，向全体股东 每</w:t>
      </w:r>
      <w:r>
        <w:rPr>
          <w:rFonts w:ascii="宋体" w:hAnsi="宋体" w:cs="宋体" w:eastAsia="宋体" w:hint="default"/>
        </w:rPr>
        <w:t>10</w:t>
      </w:r>
      <w:r>
        <w:rPr/>
        <w:t>股派发现金股利人民币</w:t>
      </w:r>
      <w:r>
        <w:rPr>
          <w:rFonts w:ascii="宋体" w:hAnsi="宋体" w:cs="宋体" w:eastAsia="宋体" w:hint="default"/>
        </w:rPr>
        <w:t>0.70</w:t>
      </w:r>
      <w:r>
        <w:rPr/>
        <w:t>元（含税），共计派发现金股利</w:t>
      </w:r>
      <w:r>
        <w:rPr>
          <w:rFonts w:ascii="宋体" w:hAnsi="宋体" w:cs="宋体" w:eastAsia="宋体" w:hint="default"/>
        </w:rPr>
        <w:t>7,328,741.07</w:t>
      </w:r>
      <w:r>
        <w:rPr/>
        <w:t>元。</w:t>
      </w:r>
    </w:p>
    <w:p>
      <w:pPr>
        <w:pStyle w:val="BodyText"/>
        <w:spacing w:line="408" w:lineRule="auto"/>
        <w:ind w:left="154" w:right="1132" w:firstLine="421"/>
        <w:jc w:val="both"/>
      </w:pPr>
      <w:r>
        <w:rPr>
          <w:spacing w:val="-1"/>
        </w:rPr>
        <w:t>公司</w:t>
      </w:r>
      <w:r>
        <w:rPr>
          <w:rFonts w:ascii="宋体" w:hAnsi="宋体" w:cs="宋体" w:eastAsia="宋体" w:hint="default"/>
          <w:spacing w:val="-1"/>
        </w:rPr>
        <w:t>2014</w:t>
      </w:r>
      <w:r>
        <w:rPr>
          <w:spacing w:val="-1"/>
        </w:rPr>
        <w:t>年半年度利润分配方案：以公司截止</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日总股本</w:t>
      </w:r>
      <w:r>
        <w:rPr>
          <w:rFonts w:ascii="宋体" w:hAnsi="宋体" w:cs="宋体" w:eastAsia="宋体" w:hint="default"/>
          <w:spacing w:val="-1"/>
        </w:rPr>
        <w:t>104,696,301</w:t>
      </w:r>
      <w:r>
        <w:rPr>
          <w:spacing w:val="-1"/>
        </w:rPr>
        <w:t>股为基数，进行资本</w:t>
      </w:r>
      <w:r>
        <w:rPr/>
        <w:t> 公积金转增股本，全体股东每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20,939,260</w:t>
      </w:r>
      <w:r>
        <w:rPr/>
        <w:t>股。</w:t>
      </w:r>
    </w:p>
    <w:p>
      <w:pPr>
        <w:pStyle w:val="BodyText"/>
        <w:spacing w:line="240" w:lineRule="auto"/>
        <w:ind w:left="575" w:right="0"/>
        <w:jc w:val="left"/>
      </w:pPr>
      <w:r>
        <w:rPr/>
        <w:t>公司</w:t>
      </w:r>
      <w:r>
        <w:rPr>
          <w:rFonts w:ascii="宋体" w:hAnsi="宋体" w:cs="宋体" w:eastAsia="宋体" w:hint="default"/>
        </w:rPr>
        <w:t>2014</w:t>
      </w:r>
      <w:r>
        <w:rPr/>
        <w:t>年年度利润分配方案：以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158,489,551</w:t>
      </w:r>
      <w:r>
        <w:rPr/>
        <w:t>股为基数，向全体股东按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每</w:t>
      </w:r>
      <w:r>
        <w:rPr>
          <w:rFonts w:ascii="宋体" w:hAnsi="宋体" w:cs="宋体" w:eastAsia="宋体" w:hint="default"/>
          <w:spacing w:val="-1"/>
        </w:rPr>
        <w:t>10</w:t>
      </w:r>
      <w:r>
        <w:rPr>
          <w:spacing w:val="-1"/>
        </w:rPr>
        <w:t>股派发现金红利</w:t>
      </w:r>
      <w:r>
        <w:rPr>
          <w:rFonts w:ascii="宋体" w:hAnsi="宋体" w:cs="宋体" w:eastAsia="宋体" w:hint="default"/>
          <w:spacing w:val="-1"/>
        </w:rPr>
        <w:t>0.60</w:t>
      </w:r>
      <w:r>
        <w:rPr>
          <w:spacing w:val="-1"/>
        </w:rPr>
        <w:t>元（含税）；同时进行资本公积金转增股本，向全体股东每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股，共计</w:t>
      </w:r>
      <w:r>
        <w:rPr>
          <w:spacing w:val="-83"/>
        </w:rPr>
        <w:t> </w:t>
      </w:r>
      <w:r>
        <w:rPr>
          <w:spacing w:val="-83"/>
        </w:rPr>
      </w:r>
      <w:r>
        <w:rPr/>
        <w:t>转增</w:t>
      </w:r>
      <w:r>
        <w:rPr>
          <w:rFonts w:ascii="宋体" w:hAnsi="宋体" w:cs="宋体" w:eastAsia="宋体" w:hint="default"/>
        </w:rPr>
        <w:t>158,489,551</w:t>
      </w:r>
      <w:r>
        <w:rPr/>
        <w:t>股，转增后公司总股本将增加至</w:t>
      </w:r>
      <w:r>
        <w:rPr>
          <w:rFonts w:ascii="宋体" w:hAnsi="宋体" w:cs="宋体" w:eastAsia="宋体" w:hint="default"/>
        </w:rPr>
        <w:t>316,979,102</w:t>
      </w:r>
      <w:r>
        <w:rPr/>
        <w:t>股。</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1" w:hanging="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9,509,373.06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77,702,908.86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7,328,741.07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56,021,607.58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10,469,630.08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63,372,945.76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本报告期利润分配及资本公积金转增股本预案" w:id="46"/>
      <w:bookmarkEnd w:id="46"/>
      <w:r>
        <w:rPr>
          <w:b w:val="0"/>
          <w:bCs w:val="0"/>
        </w:rPr>
      </w:r>
      <w:r>
        <w:rPr/>
        <w:t>十三、本报告期利润分配及资本公积金转增股本预案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3"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158,489,551</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9,509,373.06</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61,806,706.74</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27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根据立信会计师事务所（特殊普通合伙）出具的《北京中科金财科技股份有限公司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实现净利润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78,875,397.31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元，其中母公司实现净利润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68,674,118.60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元，按照《公司法》和《公司章程》的规定，计提</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的法定公积金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6,867,411.86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元，加上母公司年初未分配利润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252,446,831.37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元，扣除本年度实施利润分配方案减少的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7,328,741.07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元，当年可供股东分配的利润为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306,924,797.04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元，当年实现的归属于母公司股东的净利润为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77,702,908.86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158,489,551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 </w:t>
            </w:r>
            <w:r>
              <w:rPr>
                <w:rFonts w:ascii="宋体" w:hAnsi="宋体" w:cs="宋体" w:eastAsia="宋体" w:hint="default"/>
                <w:spacing w:val="-15"/>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同时进行资本公积金转增股本</w:t>
            </w:r>
            <w:r>
              <w:rPr>
                <w:rFonts w:ascii="宋体" w:hAnsi="宋体" w:cs="宋体" w:eastAsia="宋体" w:hint="default"/>
                <w:spacing w:val="-15"/>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4"/>
                <w:sz w:val="18"/>
                <w:szCs w:val="18"/>
              </w:rPr>
              <w:t>，</w:t>
            </w:r>
            <w:r>
              <w:rPr>
                <w:rFonts w:ascii="宋体" w:hAnsi="宋体" w:cs="宋体" w:eastAsia="宋体" w:hint="default"/>
                <w:sz w:val="18"/>
                <w:szCs w:val="18"/>
              </w:rPr>
              <w:t>共计转增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158,489,551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15"/>
                <w:sz w:val="18"/>
                <w:szCs w:val="18"/>
              </w:rPr>
              <w:t>，</w:t>
            </w:r>
            <w:r>
              <w:rPr>
                <w:rFonts w:ascii="宋体" w:hAnsi="宋体" w:cs="宋体" w:eastAsia="宋体" w:hint="default"/>
                <w:sz w:val="18"/>
                <w:szCs w:val="18"/>
              </w:rPr>
              <w:t>转增后公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316,979,102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社会责任情况" w:id="47"/>
      <w:bookmarkEnd w:id="47"/>
      <w:r>
        <w:rPr>
          <w:b w:val="0"/>
          <w:bCs w:val="0"/>
        </w:rPr>
      </w:r>
      <w:r>
        <w:rPr/>
        <w:t>十四、社会责任情况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7" w:right="0"/>
        <w:jc w:val="left"/>
      </w:pPr>
      <w:r>
        <w:rPr/>
        <w:t>公司上市后，在努力做好各项业务的同时，对社会责任有了更进一步的要求。</w:t>
      </w:r>
      <w:r>
        <w:rPr>
          <w:rFonts w:ascii="宋体" w:hAnsi="宋体" w:cs="宋体" w:eastAsia="宋体" w:hint="default"/>
        </w:rPr>
        <w:t>2014</w:t>
      </w:r>
      <w:r>
        <w:rPr/>
        <w:t>年，公司在保障股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东权益、维护员工权益等方面取得了良好的进展，现总结如下：</w:t>
      </w:r>
    </w:p>
    <w:p>
      <w:pPr>
        <w:spacing w:line="240" w:lineRule="auto" w:before="10"/>
        <w:rPr>
          <w:rFonts w:ascii="宋体" w:hAnsi="宋体" w:cs="宋体" w:eastAsia="宋体" w:hint="default"/>
          <w:sz w:val="14"/>
          <w:szCs w:val="14"/>
        </w:rPr>
      </w:pPr>
    </w:p>
    <w:p>
      <w:pPr>
        <w:pStyle w:val="BodyText"/>
        <w:spacing w:line="408" w:lineRule="auto" w:before="0"/>
        <w:ind w:left="577" w:right="1014"/>
        <w:jc w:val="left"/>
      </w:pPr>
      <w:r>
        <w:rPr/>
        <w:t>（一）股东与投资人的权益保护 </w:t>
      </w:r>
      <w:r>
        <w:rPr>
          <w:spacing w:val="-3"/>
        </w:rPr>
        <w:t>公司严格按照《公司法》、《证券法》、《上市公司治理准则》等法律法规要求，不断完善公司治理，</w:t>
      </w:r>
    </w:p>
    <w:p>
      <w:pPr>
        <w:pStyle w:val="BodyText"/>
        <w:spacing w:line="408" w:lineRule="auto"/>
        <w:ind w:right="1133"/>
        <w:jc w:val="both"/>
      </w:pPr>
      <w:r>
        <w:rPr>
          <w:spacing w:val="-6"/>
        </w:rPr>
        <w:t>制定了《股东大会议事规则》、《董事会议事规则》、《监事会议事规则》、《对外投资管理制度》、《关</w:t>
      </w:r>
      <w:r>
        <w:rPr>
          <w:spacing w:val="-61"/>
        </w:rPr>
        <w:t> </w:t>
      </w:r>
      <w:r>
        <w:rPr>
          <w:spacing w:val="-61"/>
        </w:rPr>
      </w:r>
      <w:r>
        <w:rPr>
          <w:spacing w:val="-1"/>
        </w:rPr>
        <w:t>联交易决策制度》等制度，建立了以《公司章程》为基础的内控体系，以股东大会、董事会、监事会及管</w:t>
      </w:r>
      <w:r>
        <w:rPr>
          <w:spacing w:val="-85"/>
        </w:rPr>
        <w:t> </w:t>
      </w:r>
      <w:r>
        <w:rPr>
          <w:spacing w:val="-85"/>
        </w:rPr>
      </w:r>
      <w:r>
        <w:rPr/>
        <w:t>理层为主的决策与经营体系，从制度上切实保障全体股东及债权人的权益。</w:t>
      </w:r>
    </w:p>
    <w:p>
      <w:pPr>
        <w:pStyle w:val="BodyText"/>
        <w:spacing w:line="408" w:lineRule="auto"/>
        <w:ind w:right="1015" w:firstLine="423"/>
        <w:jc w:val="left"/>
      </w:pPr>
      <w:r>
        <w:rPr>
          <w:spacing w:val="-3"/>
        </w:rPr>
        <w:t>公司自成立以来，一直努力确保公司发展的持续性、成长性和竞争力，依法经营，稳步推进公司业务，</w:t>
      </w:r>
      <w:r>
        <w:rPr/>
        <w:t> 逐步巩固和深化在银行、企业、政府等行业客户中的市场领先地位，本着诚信勤勉、尽职守则的原则，努 力经营，规范运作，实现了资产、所有者权益和营业总收入的稳定增长，为投资者创造稳定的回报。</w:t>
      </w:r>
    </w:p>
    <w:p>
      <w:pPr>
        <w:pStyle w:val="BodyText"/>
        <w:spacing w:line="408" w:lineRule="auto"/>
        <w:ind w:left="154" w:right="1106" w:firstLine="423"/>
        <w:jc w:val="both"/>
      </w:pPr>
      <w:r>
        <w:rPr/>
        <w:t>在保护股东权益方面，</w:t>
      </w:r>
      <w:r>
        <w:rPr>
          <w:rFonts w:ascii="宋体" w:hAnsi="宋体" w:cs="宋体" w:eastAsia="宋体" w:hint="default"/>
        </w:rPr>
        <w:t>2014</w:t>
      </w:r>
      <w:r>
        <w:rPr/>
        <w:t>年公司召开了三次股东大会，大会的召集、召开、表决程序均合法有效， </w:t>
      </w:r>
      <w:r>
        <w:rPr>
          <w:spacing w:val="-1"/>
        </w:rPr>
        <w:t>符合《公司章程》及《股东大会议事规则》的规定，确保了股东对公司重大事项的知情权、参与权和表决</w:t>
      </w:r>
      <w:r>
        <w:rPr>
          <w:spacing w:val="-83"/>
        </w:rPr>
        <w:t> </w:t>
      </w:r>
      <w:r>
        <w:rPr>
          <w:spacing w:val="-83"/>
        </w:rPr>
      </w:r>
      <w:r>
        <w:rPr>
          <w:spacing w:val="-1"/>
        </w:rPr>
        <w:t>权。信息披露方面，公司严格按照深交所上市规则及规范运作指引的要求开展工作，所有达到信息披露标</w:t>
      </w:r>
      <w:r>
        <w:rPr>
          <w:spacing w:val="-83"/>
        </w:rPr>
        <w:t> </w:t>
      </w:r>
      <w:r>
        <w:rPr>
          <w:spacing w:val="-83"/>
        </w:rPr>
      </w:r>
      <w:r>
        <w:rPr>
          <w:spacing w:val="-1"/>
        </w:rPr>
        <w:t>准的事项公司都进行了公告，不存在应披露而未披露的信息。与此同时，公司积极开展与投资者的沟通交</w:t>
      </w:r>
      <w:r>
        <w:rPr>
          <w:spacing w:val="-83"/>
        </w:rPr>
        <w:t> </w:t>
      </w:r>
      <w:r>
        <w:rPr>
          <w:spacing w:val="-83"/>
        </w:rPr>
      </w:r>
      <w:r>
        <w:rPr>
          <w:spacing w:val="-1"/>
        </w:rPr>
        <w:t>流工作，</w:t>
      </w:r>
      <w:r>
        <w:rPr>
          <w:rFonts w:ascii="宋体" w:hAnsi="宋体" w:cs="宋体" w:eastAsia="宋体" w:hint="default"/>
          <w:spacing w:val="-1"/>
        </w:rPr>
        <w:t>2014</w:t>
      </w:r>
      <w:r>
        <w:rPr>
          <w:spacing w:val="-1"/>
        </w:rPr>
        <w:t>年通过接待机构投资者调研、电话交流、投资者互动平台等方式，搭建了与投资者沟通的桥</w:t>
      </w:r>
      <w:r>
        <w:rPr>
          <w:spacing w:val="-84"/>
        </w:rPr>
        <w:t> </w:t>
      </w:r>
      <w:r>
        <w:rPr>
          <w:spacing w:val="-84"/>
        </w:rPr>
      </w:r>
      <w:r>
        <w:rPr/>
        <w:t>梁，增进了投资者对公司价值的了解。</w:t>
      </w:r>
    </w:p>
    <w:p>
      <w:pPr>
        <w:pStyle w:val="BodyText"/>
        <w:spacing w:line="408" w:lineRule="auto"/>
        <w:ind w:left="577" w:right="0"/>
        <w:jc w:val="left"/>
      </w:pPr>
      <w:r>
        <w:rPr/>
        <w:t>（二）与供应商和客户精诚合作 </w:t>
      </w:r>
      <w:r>
        <w:rPr>
          <w:spacing w:val="-1"/>
        </w:rPr>
        <w:t>公司相关物资的采购，均严格选择在工商部门登记注册、合法纳税并具备与所采购规模相匹配的生产</w:t>
      </w:r>
    </w:p>
    <w:p>
      <w:pPr>
        <w:pStyle w:val="BodyText"/>
        <w:spacing w:line="408" w:lineRule="auto"/>
        <w:ind w:left="577" w:right="0" w:hanging="424"/>
        <w:jc w:val="left"/>
      </w:pPr>
      <w:r>
        <w:rPr/>
        <w:t>制造设备的供应商，合法签订合同，实行互惠共赢，确保企业产品的质量信誉与消费者安全。 </w:t>
      </w:r>
      <w:r>
        <w:rPr>
          <w:spacing w:val="-1"/>
        </w:rPr>
        <w:t>为了提高客户满意度，公司不断提高公司产品质量及研发水平，陆续获得实用新型专利证书以及包括</w:t>
      </w:r>
    </w:p>
    <w:p>
      <w:pPr>
        <w:pStyle w:val="BodyText"/>
        <w:spacing w:line="408" w:lineRule="auto"/>
        <w:ind w:left="154" w:right="1197"/>
        <w:jc w:val="left"/>
      </w:pPr>
      <w:r>
        <w:rPr/>
        <w:t>计算机信息系统集成一级资质、</w:t>
      </w:r>
      <w:r>
        <w:rPr>
          <w:rFonts w:ascii="宋体" w:hAnsi="宋体" w:cs="宋体" w:eastAsia="宋体" w:hint="default"/>
        </w:rPr>
        <w:t>ISO27001</w:t>
      </w:r>
      <w:r>
        <w:rPr/>
        <w:t>信息安全管理体系认证、</w:t>
      </w:r>
      <w:r>
        <w:rPr>
          <w:rFonts w:ascii="宋体" w:hAnsi="宋体" w:cs="宋体" w:eastAsia="宋体" w:hint="default"/>
        </w:rPr>
        <w:t>IS9001:2008</w:t>
      </w:r>
      <w:r>
        <w:rPr/>
        <w:t>质量管理体系认证、银行 </w:t>
      </w:r>
      <w:r>
        <w:rPr>
          <w:rFonts w:ascii="宋体" w:hAnsi="宋体" w:cs="宋体" w:eastAsia="宋体" w:hint="default"/>
        </w:rPr>
        <w:t>AAA</w:t>
      </w:r>
      <w:r>
        <w:rPr/>
        <w:t>级信用证书等各种资质，为客户提供优质的产品及服务，并不断提高公司行业声誉。</w:t>
      </w:r>
    </w:p>
    <w:p>
      <w:pPr>
        <w:pStyle w:val="BodyText"/>
        <w:spacing w:line="408" w:lineRule="auto"/>
        <w:ind w:left="577" w:right="0"/>
        <w:jc w:val="left"/>
      </w:pPr>
      <w:r>
        <w:rPr/>
        <w:t>（三）重视员工权益和个人发展 </w:t>
      </w:r>
      <w:r>
        <w:rPr>
          <w:spacing w:val="-1"/>
        </w:rPr>
        <w:t>公司始终视人才为公司最重要的战略资源，是公司核心的生产要素。公司坚持“先有核心人员，后有</w:t>
      </w:r>
    </w:p>
    <w:p>
      <w:pPr>
        <w:pStyle w:val="BodyText"/>
        <w:spacing w:line="408" w:lineRule="auto"/>
        <w:ind w:right="1024"/>
        <w:jc w:val="left"/>
      </w:pPr>
      <w:r>
        <w:rPr/>
        <w:t>核心技术、核心产品”的人才观和“发展吸引人，文化凝聚人，机制稳定人，事业成就人”的人才战略， </w:t>
      </w:r>
      <w:r>
        <w:rPr>
          <w:spacing w:val="-3"/>
        </w:rPr>
        <w:t>使公司的使命与个人发展目标结合，为员工、股东、客户、合作伙伴提供共同成长、充分施展才华的平台。</w:t>
      </w:r>
      <w:r>
        <w:rPr>
          <w:spacing w:val="-94"/>
        </w:rPr>
        <w:t> </w:t>
      </w:r>
      <w:r>
        <w:rPr>
          <w:spacing w:val="-94"/>
        </w:rPr>
      </w:r>
      <w:r>
        <w:rPr/>
        <w:t>以胜任力模型为核心形成中科金财的人力资源管理体系，打造中科金财的人才梯队，培养熟悉信息技术服</w:t>
      </w:r>
      <w:r>
        <w:rPr/>
        <w:t> </w:t>
      </w:r>
      <w:r>
        <w:rPr>
          <w:spacing w:val="-3"/>
        </w:rPr>
        <w:t>务标准、掌握标准贯彻实施方法的专业人员，健全公司导师制度，持续优化人才结构，降低人力资源风险。</w:t>
      </w:r>
    </w:p>
    <w:p>
      <w:pPr>
        <w:pStyle w:val="BodyText"/>
        <w:spacing w:line="408" w:lineRule="auto"/>
        <w:ind w:left="154" w:right="1023" w:firstLine="423"/>
        <w:jc w:val="left"/>
      </w:pPr>
      <w:r>
        <w:rPr/>
        <w:t>公司一直非常注重提高员工的个人能力，通过各种培训及讲座提高员工业务能力和管理水平。</w:t>
      </w:r>
      <w:r>
        <w:rPr>
          <w:spacing w:val="1"/>
        </w:rPr>
        <w:t> </w:t>
      </w:r>
      <w:r>
        <w:rPr>
          <w:rFonts w:ascii="宋体" w:hAnsi="宋体" w:cs="宋体" w:eastAsia="宋体" w:hint="default"/>
        </w:rPr>
        <w:t>2014 </w:t>
      </w:r>
      <w:r>
        <w:rPr>
          <w:spacing w:val="-3"/>
        </w:rPr>
        <w:t>年公司组织了包括新员工入职培训、在职员工业务培训、管理能力提升培训及其他单场讲座等多层次培训，</w:t>
      </w:r>
      <w:r>
        <w:rPr>
          <w:spacing w:val="-92"/>
        </w:rPr>
        <w:t> </w:t>
      </w:r>
      <w:r>
        <w:rPr>
          <w:spacing w:val="-92"/>
        </w:rPr>
      </w:r>
      <w:r>
        <w:rPr/>
        <w:t>事前通过调查员工需求，寻求各种培训资源和渠道，来提高培训的有效性和效率，这些培训充分调动了员</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388.963013pt;margin-top:491.679993pt;width:146pt;height:70.2pt;mso-position-horizontal-relative:page;mso-position-vertical-relative:page;z-index:-1003936" type="#_x0000_t202" filled="false" stroked="false">
            <v:textbox inset="0,0,0,0">
              <w:txbxContent>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光大永明、</w:t>
                  </w:r>
                </w:p>
              </w:txbxContent>
            </v:textbox>
            <w10:wrap type="none"/>
          </v:shape>
        </w:pict>
      </w:r>
      <w:r>
        <w:rPr/>
        <w:pict>
          <v:group style="position:absolute;margin-left:431.100006pt;margin-top:458.499969pt;width:103.9pt;height:103.4pt;mso-position-horizontal-relative:page;mso-position-vertical-relative:page;z-index:-1003888" coordorigin="8622,9170" coordsize="2078,2068">
            <v:group style="position:absolute;left:8622;top:9834;width:2078;height:1404" coordorigin="8622,9834" coordsize="2078,1404">
              <v:shape style="position:absolute;left:8622;top:9834;width:2078;height:1404" coordorigin="8622,9834" coordsize="2078,1404" path="m8622,11238l10699,11238,10699,9834,8622,9834,8622,11238xe" filled="true" fillcolor="#ffffff" stroked="false">
                <v:path arrowok="t"/>
                <v:fill type="solid"/>
              </v:shape>
            </v:group>
            <v:group style="position:absolute;left:8645;top:9170;width:2032;height:312" coordorigin="8645,9170" coordsize="2032,312">
              <v:shape style="position:absolute;left:8645;top:9170;width:2032;height:312" coordorigin="8645,9170" coordsize="2032,312" path="m8645,9482l10676,9482,10676,9170,8645,9170,8645,9482xe" filled="true" fillcolor="#ffffff" stroked="false">
                <v:path arrowok="t"/>
                <v:fill type="solid"/>
              </v:shape>
            </v:group>
            <v:group style="position:absolute;left:8645;top:9482;width:2032;height:352" coordorigin="8645,9482" coordsize="2032,352">
              <v:shape style="position:absolute;left:8645;top:9482;width:2032;height:352" coordorigin="8645,9482" coordsize="2032,352" path="m8645,9834l10676,9834,10676,9482,8645,9482,8645,9834xe" filled="true" fillcolor="#ffffff" stroked="false">
                <v:path arrowok="t"/>
                <v:fill type="solid"/>
              </v:shape>
            </v:group>
            <w10:wrap type="none"/>
          </v:group>
        </w:pict>
      </w:r>
    </w:p>
    <w:p>
      <w:pPr>
        <w:pStyle w:val="BodyText"/>
        <w:spacing w:line="408" w:lineRule="auto" w:before="174"/>
        <w:ind w:right="0"/>
        <w:jc w:val="left"/>
      </w:pPr>
      <w:r>
        <w:rPr>
          <w:spacing w:val="-1"/>
        </w:rPr>
        <w:t>工学习积极性，既能促进公司整体战略目标的实施，又能满足员工个人能力和职业发展的需求，实现企业</w:t>
      </w:r>
      <w:r>
        <w:rPr>
          <w:spacing w:val="-83"/>
        </w:rPr>
        <w:t> </w:t>
      </w:r>
      <w:r>
        <w:rPr>
          <w:spacing w:val="-83"/>
        </w:rPr>
      </w:r>
      <w:r>
        <w:rPr/>
        <w:t>和员工的共同进步，共同发展。</w:t>
      </w:r>
    </w:p>
    <w:p>
      <w:pPr>
        <w:spacing w:line="403" w:lineRule="auto" w:before="46"/>
        <w:ind w:left="153" w:right="1118" w:firstLine="423"/>
        <w:jc w:val="left"/>
        <w:rPr>
          <w:rFonts w:ascii="宋体" w:hAnsi="宋体" w:cs="宋体" w:eastAsia="宋体" w:hint="default"/>
          <w:sz w:val="18"/>
          <w:szCs w:val="18"/>
        </w:rPr>
      </w:pPr>
      <w:r>
        <w:rPr>
          <w:rFonts w:ascii="宋体" w:hAnsi="宋体" w:cs="宋体" w:eastAsia="宋体" w:hint="default"/>
          <w:spacing w:val="-1"/>
          <w:sz w:val="21"/>
          <w:szCs w:val="21"/>
        </w:rPr>
        <w:t>2015</w:t>
      </w:r>
      <w:r>
        <w:rPr>
          <w:rFonts w:ascii="宋体" w:hAnsi="宋体" w:cs="宋体" w:eastAsia="宋体" w:hint="default"/>
          <w:spacing w:val="-1"/>
          <w:sz w:val="21"/>
          <w:szCs w:val="21"/>
        </w:rPr>
        <w:t>年，公司将继续努力提升公司自身业务水平，确保股东利益，促进员工发展与成长，进一步增强</w:t>
      </w:r>
      <w:r>
        <w:rPr>
          <w:rFonts w:ascii="宋体" w:hAnsi="宋体" w:cs="宋体" w:eastAsia="宋体" w:hint="default"/>
          <w:sz w:val="21"/>
          <w:szCs w:val="21"/>
        </w:rPr>
        <w:t> 企业的社会责任感，实现商业利益与社会责任的和谐共赢。 </w:t>
      </w:r>
      <w:r>
        <w:rPr>
          <w:rFonts w:ascii="宋体" w:hAnsi="宋体" w:cs="宋体" w:eastAsia="宋体" w:hint="default"/>
          <w:sz w:val="18"/>
          <w:szCs w:val="18"/>
        </w:rPr>
        <w:t>上市公司及其子公司是否属于国家环境保护部门规定的重污染行业</w:t>
      </w:r>
    </w:p>
    <w:p>
      <w:pPr>
        <w:spacing w:line="338"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40" w:lineRule="auto" w:before="42"/>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十五、报告期内接待调研、沟通、采访等活动登记表" w:id="48"/>
      <w:bookmarkEnd w:id="48"/>
      <w:r>
        <w:rPr>
          <w:b w:val="0"/>
          <w:bCs w:val="0"/>
        </w:rPr>
      </w:r>
      <w:r>
        <w:rPr/>
        <w:t>十五、报告期内接待调研、沟通、采访等活动登记表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pict>
          <v:shape style="position:absolute;margin-left:388.963013pt;margin-top:53.23172pt;width:146pt;height:70.25pt;mso-position-horizontal-relative:page;mso-position-vertical-relative:paragraph;z-index:-1003960" type="#_x0000_t202" filled="false" stroked="false">
            <v:textbox inset="0,0,0,0">
              <w:txbxContent>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新华基金、</w:t>
                  </w:r>
                </w:p>
              </w:txbxContent>
            </v:textbox>
            <w10:wrap type="none"/>
          </v:shape>
        </w:pict>
      </w:r>
      <w:r>
        <w:rPr/>
        <w:pict>
          <v:group style="position:absolute;margin-left:431.100006pt;margin-top:53.23172pt;width:103.9pt;height:70.25pt;mso-position-horizontal-relative:page;mso-position-vertical-relative:paragraph;z-index:-1003912" coordorigin="8622,1065" coordsize="2078,1405">
            <v:shape style="position:absolute;left:8622;top:1065;width:2078;height:1405" coordorigin="8622,1065" coordsize="2078,1405" path="m8622,2469l10699,2469,10699,1065,8622,1065,8622,2469xe" filled="true" fillcolor="#ffffff" stroked="false">
              <v:path arrowok="t"/>
              <v:fill type="solid"/>
            </v:shape>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383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12"/>
              <w:jc w:val="left"/>
              <w:rPr>
                <w:rFonts w:ascii="宋体" w:hAnsi="宋体" w:cs="宋体" w:eastAsia="宋体" w:hint="default"/>
                <w:sz w:val="18"/>
                <w:szCs w:val="18"/>
              </w:rPr>
            </w:pPr>
            <w:r>
              <w:rPr>
                <w:rFonts w:ascii="宋体" w:hAnsi="宋体" w:cs="宋体" w:eastAsia="宋体" w:hint="default"/>
                <w:sz w:val="18"/>
                <w:szCs w:val="18"/>
              </w:rPr>
              <w:t>世纪唐人投资、海 通证券、 国泰基金、国开证 券、北京沣沅弘投 资、中邮基金、第 一创业证券、太平 </w:t>
            </w:r>
            <w:r>
              <w:rPr>
                <w:rFonts w:ascii="宋体" w:hAnsi="宋体" w:cs="宋体" w:eastAsia="宋体" w:hint="default"/>
                <w:spacing w:val="-12"/>
                <w:sz w:val="18"/>
                <w:szCs w:val="18"/>
              </w:rPr>
              <w:t>洋证券、诺安基金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合众资产、中国人 寿资产、 汇丰晋信基金、民 生加银基金、国投 瑞银</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0" w:lineRule="atLeast"/>
              <w:ind w:left="11" w:right="72"/>
              <w:jc w:val="left"/>
              <w:rPr>
                <w:rFonts w:ascii="宋体" w:hAnsi="宋体" w:cs="宋体" w:eastAsia="宋体" w:hint="default"/>
                <w:sz w:val="18"/>
                <w:szCs w:val="18"/>
              </w:rPr>
            </w:pPr>
            <w:r>
              <w:rPr>
                <w:rFonts w:ascii="宋体" w:hAnsi="宋体" w:cs="宋体" w:eastAsia="宋体" w:hint="default"/>
                <w:sz w:val="18"/>
                <w:szCs w:val="18"/>
              </w:rPr>
              <w:t>公司发展情况，市场竞争 力，产品储备情况。未提</w:t>
            </w:r>
          </w:p>
          <w:p>
            <w:pPr>
              <w:pStyle w:val="TableParagraph"/>
              <w:spacing w:line="117"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供资料。</w:t>
            </w:r>
          </w:p>
        </w:tc>
      </w:tr>
    </w:tbl>
    <w:p>
      <w:pPr>
        <w:spacing w:after="0" w:line="196"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1"/>
        <w:jc w:val="center"/>
        <w:rPr>
          <w:b w:val="0"/>
          <w:bCs w:val="0"/>
        </w:rPr>
      </w:pPr>
      <w:bookmarkStart w:name="_TOC_250007" w:id="49"/>
      <w:bookmarkStart w:name="第五节 重要事项" w:id="50"/>
      <w:r>
        <w:rPr>
          <w:b w:val="0"/>
          <w:bCs w:val="0"/>
        </w:rPr>
      </w:r>
      <w:r>
        <w:rPr/>
        <w:t>第五节</w:t>
      </w:r>
      <w:r>
        <w:rPr>
          <w:spacing w:val="-5"/>
        </w:rPr>
        <w:t> </w:t>
      </w:r>
      <w:r>
        <w:rPr/>
        <w:t>重要事项</w:t>
      </w:r>
      <w:bookmarkEnd w:id="4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1"/>
      <w:bookmarkEnd w:id="5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本报告期公司无重大诉讼、仲裁事项。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媒体质疑情况" w:id="52"/>
      <w:bookmarkEnd w:id="5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本报告期公司无媒体普遍质疑事项。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53"/>
      <w:bookmarkEnd w:id="53"/>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公司报告期不存在控股股东及其关联方对上市公司的非经营性占用资金。</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破产重整相关事项" w:id="54"/>
      <w:bookmarkEnd w:id="5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公司报告期未发生破产重整相关事项。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资产交易事项" w:id="55"/>
      <w:bookmarkEnd w:id="5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收购资产情况" w:id="56"/>
      <w:bookmarkEnd w:id="5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刘开同、 董书倩、 刘运龙、 天津滨河 数据信息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滨河创新 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79,800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本次收购 天津滨河 股权是根 据公司经 营管理的 </w:t>
            </w:r>
            <w:r>
              <w:rPr>
                <w:rFonts w:ascii="宋体" w:hAnsi="宋体" w:cs="宋体" w:eastAsia="宋体" w:hint="default"/>
                <w:spacing w:val="-18"/>
                <w:sz w:val="18"/>
                <w:szCs w:val="18"/>
              </w:rPr>
              <w:t>需要，有利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于公司整 合经营资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09" w:lineRule="auto" w:before="61"/>
              <w:ind w:left="22" w:right="114"/>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 纳入合并 范围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8.07%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《证券日 </w:t>
            </w:r>
            <w:r>
              <w:rPr>
                <w:rFonts w:ascii="宋体" w:hAnsi="宋体" w:cs="宋体" w:eastAsia="宋体" w:hint="default"/>
                <w:spacing w:val="-45"/>
                <w:sz w:val="18"/>
                <w:szCs w:val="18"/>
              </w:rPr>
              <w:t>报》、《证券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5"/>
                <w:sz w:val="18"/>
                <w:szCs w:val="18"/>
              </w:rPr>
              <w:t>时报》、《中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 </w:t>
            </w:r>
            <w:r>
              <w:rPr>
                <w:rFonts w:ascii="宋体" w:hAnsi="宋体" w:cs="宋体" w:eastAsia="宋体" w:hint="default"/>
                <w:spacing w:val="-45"/>
                <w:sz w:val="18"/>
                <w:szCs w:val="18"/>
              </w:rPr>
              <w:t>报》、《上海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证券报》、</w:t>
            </w:r>
            <w:r>
              <w:rPr>
                <w:rFonts w:ascii="宋体" w:hAnsi="宋体" w:cs="宋体" w:eastAsia="宋体" w:hint="default"/>
                <w:sz w:val="18"/>
                <w:szCs w:val="18"/>
              </w:rPr>
              <w:t> 巨潮资讯 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986"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8"/>
                <w:sz w:val="18"/>
                <w:szCs w:val="18"/>
              </w:rPr>
              <w:t>源，符合公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司未来发 展的需要</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10"/>
              <w:ind w:left="22" w:right="63"/>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w:t>
            </w:r>
            <w:r>
              <w:rPr>
                <w:rFonts w:ascii="Times New Roman" w:hAnsi="Times New Roman" w:cs="Times New Roman" w:eastAsia="Times New Roman" w:hint="default"/>
                <w:sz w:val="18"/>
                <w:szCs w:val="18"/>
              </w:rPr>
              <w:t> info.com.c n</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出售资产情况" w:id="57"/>
      <w:bookmarkEnd w:id="5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7"/>
        <w:gridCol w:w="684"/>
        <w:gridCol w:w="684"/>
        <w:gridCol w:w="682"/>
        <w:gridCol w:w="683"/>
        <w:gridCol w:w="683"/>
        <w:gridCol w:w="684"/>
        <w:gridCol w:w="683"/>
        <w:gridCol w:w="683"/>
        <w:gridCol w:w="683"/>
        <w:gridCol w:w="683"/>
        <w:gridCol w:w="683"/>
        <w:gridCol w:w="684"/>
        <w:gridCol w:w="680"/>
      </w:tblGrid>
      <w:tr>
        <w:trPr>
          <w:trHeight w:val="2897" w:hRule="exact"/>
        </w:trPr>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9"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55" w:right="66"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6"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5" w:right="65"/>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084"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12"/>
              <w:jc w:val="both"/>
              <w:rPr>
                <w:rFonts w:ascii="宋体" w:hAnsi="宋体" w:cs="宋体" w:eastAsia="宋体" w:hint="default"/>
                <w:sz w:val="18"/>
                <w:szCs w:val="18"/>
              </w:rPr>
            </w:pPr>
            <w:r>
              <w:rPr>
                <w:rFonts w:ascii="宋体" w:hAnsi="宋体" w:cs="宋体" w:eastAsia="宋体" w:hint="default"/>
                <w:sz w:val="18"/>
                <w:szCs w:val="18"/>
              </w:rPr>
              <w:t>北京恒 沙科技 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4" w:lineRule="auto"/>
              <w:ind w:left="22" w:right="22"/>
              <w:jc w:val="left"/>
              <w:rPr>
                <w:rFonts w:ascii="宋体" w:hAnsi="宋体" w:cs="宋体" w:eastAsia="宋体" w:hint="default"/>
                <w:sz w:val="18"/>
                <w:szCs w:val="18"/>
              </w:rPr>
            </w:pPr>
            <w:r>
              <w:rPr>
                <w:rFonts w:ascii="宋体" w:hAnsi="宋体" w:cs="宋体" w:eastAsia="宋体" w:hint="default"/>
                <w:sz w:val="18"/>
                <w:szCs w:val="18"/>
              </w:rPr>
              <w:t>北京中 科金财 电子产 品有限 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34" w:right="0"/>
              <w:jc w:val="left"/>
              <w:rPr>
                <w:rFonts w:ascii="Times New Roman" w:hAnsi="Times New Roman" w:cs="Times New Roman" w:eastAsia="Times New Roman" w:hint="default"/>
                <w:sz w:val="18"/>
                <w:szCs w:val="18"/>
              </w:rPr>
            </w:pPr>
            <w:r>
              <w:rPr>
                <w:rFonts w:ascii="Times New Roman"/>
                <w:sz w:val="18"/>
              </w:rPr>
              <w:t>80.8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43.79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本次转 让控股 子公司 股权是 根据公 司经营 管理的 需要， 对公司 未来的 财务状 况和经 营成果 不产生 实质影 响。</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按照经 审计确 认的账 面净资 产，双 方协商 确定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日报》、</w:t>
            </w:r>
          </w:p>
          <w:p>
            <w:pPr>
              <w:pStyle w:val="TableParagraph"/>
              <w:spacing w:line="316" w:lineRule="auto" w:before="19"/>
              <w:ind w:left="22" w:right="17"/>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107"/>
              <w:jc w:val="left"/>
              <w:rPr>
                <w:rFonts w:ascii="宋体" w:hAnsi="宋体" w:cs="宋体" w:eastAsia="宋体" w:hint="default"/>
                <w:sz w:val="18"/>
                <w:szCs w:val="18"/>
              </w:rPr>
            </w:pPr>
            <w:r>
              <w:rPr>
                <w:rFonts w:ascii="宋体" w:hAnsi="宋体" w:cs="宋体" w:eastAsia="宋体" w:hint="default"/>
                <w:sz w:val="18"/>
                <w:szCs w:val="18"/>
              </w:rPr>
              <w:t>《中国 证券 </w:t>
            </w:r>
            <w:r>
              <w:rPr>
                <w:rFonts w:ascii="宋体" w:hAnsi="宋体" w:cs="宋体" w:eastAsia="宋体" w:hint="default"/>
                <w:spacing w:val="-30"/>
                <w:sz w:val="18"/>
                <w:szCs w:val="18"/>
              </w:rPr>
              <w:t>报》、</w:t>
            </w:r>
          </w:p>
          <w:p>
            <w:pPr>
              <w:pStyle w:val="TableParagraph"/>
              <w:spacing w:line="316" w:lineRule="auto" w:before="17"/>
              <w:ind w:left="22" w:right="20"/>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24"/>
                <w:sz w:val="18"/>
                <w:szCs w:val="18"/>
              </w:rPr>
              <w:t>报》、巨</w:t>
            </w:r>
            <w:r>
              <w:rPr>
                <w:rFonts w:ascii="宋体" w:hAnsi="宋体" w:cs="宋体" w:eastAsia="宋体" w:hint="default"/>
                <w:sz w:val="18"/>
                <w:szCs w:val="18"/>
              </w:rPr>
              <w:t> 潮资讯 网</w:t>
            </w:r>
          </w:p>
          <w:p>
            <w:pPr>
              <w:pStyle w:val="TableParagraph"/>
              <w:spacing w:line="328" w:lineRule="auto" w:before="19"/>
              <w:ind w:left="22" w:right="20"/>
              <w:jc w:val="both"/>
              <w:rPr>
                <w:rFonts w:ascii="宋体" w:hAnsi="宋体" w:cs="宋体" w:eastAsia="宋体" w:hint="default"/>
                <w:sz w:val="18"/>
                <w:szCs w:val="18"/>
              </w:rPr>
            </w:pPr>
            <w:r>
              <w:rPr>
                <w:rFonts w:ascii="宋体" w:hAnsi="宋体" w:cs="宋体" w:eastAsia="宋体" w:hint="default"/>
                <w:spacing w:val="-3"/>
                <w:sz w:val="18"/>
                <w:szCs w:val="18"/>
              </w:rPr>
              <w:t>（</w:t>
            </w:r>
            <w:hyperlink r:id="rId17">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企业合并情况" w:id="58"/>
      <w:bookmarkEnd w:id="5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7" w:right="1089"/>
        <w:jc w:val="left"/>
      </w:pPr>
      <w:r>
        <w:rPr/>
        <w:t>报告期内公司发生以下企业合并事项： </w:t>
      </w:r>
      <w:r>
        <w:rPr>
          <w:rFonts w:ascii="宋体" w:hAnsi="宋体" w:cs="宋体" w:eastAsia="宋体" w:hint="default"/>
        </w:rPr>
        <w:t>2014</w:t>
      </w:r>
      <w:r>
        <w:rPr/>
        <w:t>年</w:t>
      </w:r>
      <w:r>
        <w:rPr>
          <w:rFonts w:ascii="宋体" w:hAnsi="宋体" w:cs="宋体" w:eastAsia="宋体" w:hint="default"/>
        </w:rPr>
        <w:t>11</w:t>
      </w:r>
      <w:r>
        <w:rPr/>
        <w:t>月末，公司完成对天津滨河创新科技有限公司的重大资产重组，取得滨河创新</w:t>
      </w:r>
      <w:r>
        <w:rPr>
          <w:rFonts w:ascii="宋体" w:hAnsi="宋体" w:cs="宋体" w:eastAsia="宋体" w:hint="default"/>
        </w:rPr>
        <w:t>100%</w:t>
      </w:r>
      <w:r>
        <w:rPr/>
        <w:t>的股权，</w:t>
      </w:r>
    </w:p>
    <w:p>
      <w:pPr>
        <w:pStyle w:val="BodyText"/>
        <w:spacing w:line="408" w:lineRule="auto"/>
        <w:ind w:right="0"/>
        <w:jc w:val="left"/>
      </w:pPr>
      <w:r>
        <w:rPr/>
        <w:t>滨河创新完成工商变更登记，自</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w:t>
      </w:r>
      <w:r>
        <w:rPr/>
        <w:t>日起，公司将滨河创新纳入合并范围，属于非同一控制下的 </w:t>
      </w:r>
      <w:r>
        <w:rPr>
          <w:spacing w:val="-1"/>
        </w:rPr>
        <w:t>企业合并。滨河创新是银行信息化建设整体外包服务的专业运营商，以保障银行信息数据、系统运行安全</w:t>
      </w:r>
      <w:r>
        <w:rPr>
          <w:spacing w:val="-83"/>
        </w:rPr>
        <w:t> </w:t>
      </w:r>
      <w:r>
        <w:rPr>
          <w:spacing w:val="-83"/>
        </w:rPr>
      </w:r>
      <w:r>
        <w:rPr>
          <w:spacing w:val="-1"/>
        </w:rPr>
        <w:t>为基础，以自助平台建设及运营管理为支撑，承接农信社及城商行信息化建设整体服务外包业务。滨河创</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3"/>
        <w:jc w:val="left"/>
      </w:pPr>
      <w:r>
        <w:rPr>
          <w:spacing w:val="-1"/>
        </w:rPr>
        <w:t>新与中科金财的业务具有很高的协同性，通过整合滨河创新掌握的中小金融机构客户资源，公司在智能银</w:t>
      </w:r>
      <w:r>
        <w:rPr>
          <w:spacing w:val="-81"/>
        </w:rPr>
        <w:t> </w:t>
      </w:r>
      <w:r>
        <w:rPr>
          <w:spacing w:val="-81"/>
        </w:rPr>
      </w:r>
      <w:r>
        <w:rPr/>
        <w:t>行领域的产品与服务优势将进一步充分体现，竞争优势更加稳固。公司与滨河创新的合并事项进展顺利， 滨河创新业务发展情况良好，</w:t>
      </w:r>
      <w:r>
        <w:rPr>
          <w:rFonts w:ascii="宋体" w:hAnsi="宋体" w:cs="宋体" w:eastAsia="宋体" w:hint="default"/>
        </w:rPr>
        <w:t>2014</w:t>
      </w:r>
      <w:r>
        <w:rPr/>
        <w:t>年实现净利润</w:t>
      </w:r>
      <w:r>
        <w:rPr>
          <w:rFonts w:ascii="宋体" w:hAnsi="宋体" w:cs="宋体" w:eastAsia="宋体" w:hint="default"/>
        </w:rPr>
        <w:t>6346.84</w:t>
      </w:r>
      <w:r>
        <w:rPr/>
        <w:t>万元，</w:t>
      </w:r>
      <w:r>
        <w:rPr>
          <w:spacing w:val="-1"/>
        </w:rPr>
        <w:t> </w:t>
      </w:r>
      <w:r>
        <w:rPr>
          <w:rFonts w:ascii="宋体" w:hAnsi="宋体" w:cs="宋体" w:eastAsia="宋体" w:hint="default"/>
        </w:rPr>
        <w:t>2014</w:t>
      </w:r>
      <w:r>
        <w:rPr/>
        <w:t>年合并期内滨河创新实现净利润 </w:t>
      </w:r>
      <w:r>
        <w:rPr>
          <w:rFonts w:ascii="宋体" w:hAnsi="宋体" w:cs="宋体" w:eastAsia="宋体" w:hint="default"/>
        </w:rPr>
        <w:t>636.34</w:t>
      </w:r>
      <w:r>
        <w:rPr/>
        <w:t>万元，占公司净利润总额的比率为</w:t>
      </w:r>
      <w:r>
        <w:rPr>
          <w:rFonts w:ascii="宋体" w:hAnsi="宋体" w:cs="宋体" w:eastAsia="宋体" w:hint="default"/>
        </w:rPr>
        <w:t>8.07%</w:t>
      </w:r>
      <w:r>
        <w:rPr/>
        <w:t>。</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公司股权激励的实施情况及其影响" w:id="59"/>
      <w:bookmarkEnd w:id="59"/>
      <w:r>
        <w:rPr>
          <w:b w:val="0"/>
          <w:bCs w:val="0"/>
        </w:rPr>
      </w: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99" w:lineRule="auto" w:before="77"/>
        <w:ind w:left="154" w:right="6762" w:firstLine="0"/>
        <w:jc w:val="left"/>
        <w:rPr>
          <w:rFonts w:ascii="宋体" w:hAnsi="宋体" w:cs="宋体" w:eastAsia="宋体" w:hint="default"/>
          <w:sz w:val="21"/>
          <w:szCs w:val="21"/>
        </w:rPr>
      </w:pPr>
      <w:r>
        <w:rPr>
          <w:rFonts w:ascii="宋体" w:hAnsi="宋体" w:cs="宋体" w:eastAsia="宋体" w:hint="default"/>
          <w:sz w:val="21"/>
          <w:szCs w:val="21"/>
        </w:rPr>
        <w:t>公司报告期无股权激励计划及其实施情况。 </w:t>
      </w:r>
      <w:bookmarkStart w:name="七、重大关联交易" w:id="60"/>
      <w:bookmarkEnd w:id="60"/>
      <w:r>
        <w:rPr>
          <w:rFonts w:ascii="宋体" w:hAnsi="宋体" w:cs="宋体" w:eastAsia="宋体" w:hint="default"/>
          <w:sz w:val="21"/>
          <w:szCs w:val="21"/>
        </w:rPr>
      </w:r>
      <w:r>
        <w:rPr>
          <w:rFonts w:ascii="宋体" w:hAnsi="宋体" w:cs="宋体" w:eastAsia="宋体" w:hint="default"/>
          <w:b/>
          <w:bCs/>
          <w:sz w:val="24"/>
          <w:szCs w:val="24"/>
        </w:rPr>
        <w:t>七、重大关联交易</w:t>
      </w:r>
      <w:r>
        <w:rPr>
          <w:rFonts w:ascii="宋体" w:hAnsi="宋体" w:cs="宋体" w:eastAsia="宋体" w:hint="default"/>
          <w:b/>
          <w:bCs/>
          <w:w w:val="99"/>
          <w:sz w:val="24"/>
          <w:szCs w:val="24"/>
        </w:rPr>
        <w:t> </w:t>
      </w:r>
      <w:bookmarkStart w:name="1、与日常经营相关的关联交易" w:id="61"/>
      <w:bookmarkEnd w:id="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before="9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公司报告期未发生与日常经营相关的关联交易。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资产收购、出售发生的关联交易" w:id="62"/>
      <w:bookmarkEnd w:id="6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公司报告期未发生资产收购、出售的关联交易。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共同对外投资的关联交易" w:id="63"/>
      <w:bookmarkEnd w:id="6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公司报告期未发生共同对外投资的关联交易。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关联债权债务往来" w:id="64"/>
      <w:bookmarkEnd w:id="6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公司报告期不存在关联债权债务往来。</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其他关联交易" w:id="65"/>
      <w:bookmarkEnd w:id="6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0" w:firstLine="423"/>
        <w:jc w:val="left"/>
      </w:pP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日，公司第三届董事会第十二次会议审议通过了《关于审议关联交易的议案》，北京中</w:t>
      </w:r>
      <w:r>
        <w:rPr/>
        <w:t> 科金财科技股份有限公司控股子公司北京中科金财电子商务有限公司与中科环嘉电子商务有限公司于 </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20</w:t>
      </w:r>
      <w:r>
        <w:rPr>
          <w:spacing w:val="-1"/>
        </w:rPr>
        <w:t>日签订了《技术开发合同》及《中科环嘉再生资源电子商务平台项目产品采购合同》。中科</w:t>
      </w:r>
      <w:r>
        <w:rPr>
          <w:spacing w:val="-82"/>
        </w:rPr>
        <w:t> </w:t>
      </w:r>
      <w:r>
        <w:rPr>
          <w:spacing w:val="-82"/>
        </w:rPr>
      </w:r>
      <w:r>
        <w:rPr/>
        <w:t>环嘉系本公司参股企业，本次交易构成关联交易，交易总金额为</w:t>
      </w:r>
      <w:r>
        <w:rPr>
          <w:rFonts w:ascii="宋体" w:hAnsi="宋体" w:cs="宋体" w:eastAsia="宋体" w:hint="default"/>
        </w:rPr>
        <w:t>1788.99</w:t>
      </w:r>
      <w:r>
        <w:rPr/>
        <w:t>万元。本次关联交易主要是利用 </w:t>
      </w:r>
      <w:r>
        <w:rPr>
          <w:spacing w:val="-1"/>
        </w:rPr>
        <w:t>中科商务在电子商务领域丰富的运营及实施经验，满足中科环嘉在电子商务领域的业务需求，为其构建专</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业、完善的再生资源收购服务体系、运营服务体系及多元化的交易结算系统，交易双方互惠互利，合作共</w:t>
      </w:r>
      <w:r>
        <w:rPr>
          <w:spacing w:val="-86"/>
        </w:rPr>
        <w:t> </w:t>
      </w:r>
      <w:r>
        <w:rPr>
          <w:spacing w:val="-86"/>
        </w:rPr>
      </w:r>
      <w:r>
        <w:rPr>
          <w:spacing w:val="-1"/>
        </w:rPr>
        <w:t>赢。关联交易定价以市场价格为依据，遵循公允、公平、公正的原则，没有损害公司及中小股东利益，未</w:t>
      </w:r>
      <w:r>
        <w:rPr>
          <w:spacing w:val="-82"/>
        </w:rPr>
        <w:t> </w:t>
      </w:r>
      <w:r>
        <w:rPr>
          <w:spacing w:val="-82"/>
        </w:rPr>
      </w:r>
      <w:r>
        <w:rPr/>
        <w:t>对公司未来的财务状况、经营成果及独立性产生负面影响。</w:t>
      </w:r>
    </w:p>
    <w:p>
      <w:pPr>
        <w:spacing w:before="35"/>
        <w:ind w:left="153" w:right="0" w:firstLine="0"/>
        <w:jc w:val="both"/>
        <w:rPr>
          <w:rFonts w:ascii="宋体" w:hAnsi="宋体" w:cs="宋体" w:eastAsia="宋体" w:hint="default"/>
          <w:sz w:val="18"/>
          <w:szCs w:val="18"/>
        </w:rPr>
      </w:pPr>
      <w:r>
        <w:rPr>
          <w:rFonts w:ascii="宋体" w:hAnsi="宋体" w:cs="宋体" w:eastAsia="宋体" w:hint="default"/>
          <w:sz w:val="18"/>
          <w:szCs w:val="18"/>
        </w:rPr>
        <w:t>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重大合同及其履行情况" w:id="66"/>
      <w:bookmarkEnd w:id="66"/>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67"/>
      <w:bookmarkEnd w:id="6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68"/>
      <w:bookmarkEnd w:id="6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公司报告期不存在托管情况。</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承包情况" w:id="69"/>
      <w:bookmarkEnd w:id="6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公司报告期不存在承包情况。</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租赁情况" w:id="70"/>
      <w:bookmarkEnd w:id="7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公司报告期不存在租赁情况。</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担保情况" w:id="71"/>
      <w:bookmarkEnd w:id="7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公司报告期不存在担保情况。</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重大合同" w:id="72"/>
      <w:bookmarkEnd w:id="72"/>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公司报告期不存在其他重大合同。</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重大交易" w:id="73"/>
      <w:bookmarkEnd w:id="73"/>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8"/>
        <w:ind w:right="0"/>
        <w:jc w:val="left"/>
      </w:pPr>
      <w:r>
        <w:rPr/>
        <w:t>公司报告期不存在其他重大交易。</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承诺事项履行情况" w:id="74"/>
      <w:bookmarkEnd w:id="74"/>
      <w:r>
        <w:rPr>
          <w:b w:val="0"/>
          <w:bCs w:val="0"/>
        </w:rPr>
      </w:r>
      <w:r>
        <w:rPr/>
        <w:t>九、承诺事项履行情况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75"/>
      <w:bookmarkEnd w:id="75"/>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56" w:firstLine="0"/>
        <w:jc w:val="right"/>
        <w:rPr>
          <w:rFonts w:ascii="宋体" w:hAnsi="宋体" w:cs="宋体" w:eastAsia="宋体" w:hint="default"/>
          <w:sz w:val="18"/>
          <w:szCs w:val="18"/>
        </w:rPr>
      </w:pPr>
      <w:r>
        <w:rPr/>
        <w:pict>
          <v:shape style="position:absolute;margin-left:56.459999pt;margin-top:-131.408279pt;width:479.2pt;height:613.8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1559"/>
                    <w:gridCol w:w="2552"/>
                    <w:gridCol w:w="1134"/>
                    <w:gridCol w:w="1134"/>
                    <w:gridCol w:w="1062"/>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9"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559" w:type="dxa"/>
                        <w:tcBorders>
                          <w:top w:val="single" w:sz="4" w:space="0" w:color="000000"/>
                          <w:left w:val="single" w:sz="13" w:space="0" w:color="D2D2D2"/>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128"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如因天津滨河顺通科技有限公 司名下土地未按期开工建设被 </w:t>
                        </w:r>
                        <w:r>
                          <w:rPr>
                            <w:rFonts w:ascii="宋体" w:hAnsi="宋体" w:cs="宋体" w:eastAsia="宋体" w:hint="default"/>
                            <w:spacing w:val="-2"/>
                            <w:sz w:val="18"/>
                            <w:szCs w:val="18"/>
                          </w:rPr>
                          <w:t>收取违约金、闲置费或被政府或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其他部门无偿收回的，因此给滨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河创新和天津滨河顺通科技有 </w:t>
                        </w:r>
                        <w:r>
                          <w:rPr>
                            <w:rFonts w:ascii="宋体" w:hAnsi="宋体" w:cs="宋体" w:eastAsia="宋体" w:hint="default"/>
                            <w:spacing w:val="-2"/>
                            <w:sz w:val="18"/>
                            <w:szCs w:val="18"/>
                          </w:rPr>
                          <w:t>限公司造成的损失，由本人承担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赔偿责任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2906" w:hRule="exact"/>
                    </w:trPr>
                    <w:tc>
                      <w:tcPr>
                        <w:tcW w:w="2128"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00" w:lineRule="auto"/>
                          <w:ind w:left="16"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2552"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1"/>
                          <w:jc w:val="left"/>
                          <w:rPr>
                            <w:rFonts w:ascii="宋体" w:hAnsi="宋体" w:cs="宋体" w:eastAsia="宋体" w:hint="default"/>
                            <w:sz w:val="18"/>
                            <w:szCs w:val="18"/>
                          </w:rPr>
                        </w:pPr>
                        <w:r>
                          <w:rPr>
                            <w:rFonts w:ascii="宋体" w:hAnsi="宋体" w:cs="宋体" w:eastAsia="宋体" w:hint="default"/>
                            <w:sz w:val="18"/>
                            <w:szCs w:val="18"/>
                          </w:rPr>
                          <w:t>交易对方关于保持中科金财和 滨河创新独立性，出具如下承 </w:t>
                        </w:r>
                        <w:r>
                          <w:rPr>
                            <w:rFonts w:ascii="宋体" w:hAnsi="宋体" w:cs="宋体" w:eastAsia="宋体" w:hint="default"/>
                            <w:spacing w:val="-2"/>
                            <w:sz w:val="18"/>
                            <w:szCs w:val="18"/>
                          </w:rPr>
                          <w:t>诺：一、保证中科金财、滨河创</w:t>
                        </w:r>
                        <w:r>
                          <w:rPr>
                            <w:rFonts w:ascii="宋体" w:hAnsi="宋体" w:cs="宋体" w:eastAsia="宋体" w:hint="default"/>
                            <w:sz w:val="18"/>
                            <w:szCs w:val="18"/>
                          </w:rPr>
                          <w:t> 新的人员独立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 </w:t>
                        </w:r>
                        <w:r>
                          <w:rPr>
                            <w:rFonts w:ascii="宋体" w:hAnsi="宋体" w:cs="宋体" w:eastAsia="宋体" w:hint="default"/>
                            <w:spacing w:val="-2"/>
                            <w:sz w:val="18"/>
                            <w:szCs w:val="18"/>
                          </w:rPr>
                          <w:t>完成后中科金财、滨河创新的劳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动、人事及薪酬管理与本人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w:t>
                        </w:r>
                        <w:r>
                          <w:rPr>
                            <w:rFonts w:ascii="宋体" w:hAnsi="宋体" w:cs="宋体" w:eastAsia="宋体" w:hint="default"/>
                            <w:spacing w:val="-76"/>
                            <w:sz w:val="18"/>
                            <w:szCs w:val="18"/>
                          </w:rPr>
                          <w:t> </w:t>
                        </w: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 司或者其他经济组织等关联方 之间完全独立。</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 </w:t>
                        </w:r>
                        <w:r>
                          <w:rPr>
                            <w:rFonts w:ascii="宋体" w:hAnsi="宋体" w:cs="宋体" w:eastAsia="宋体" w:hint="default"/>
                            <w:spacing w:val="-2"/>
                            <w:sz w:val="18"/>
                            <w:szCs w:val="18"/>
                          </w:rPr>
                          <w:t>易完成后中科金财、滨河创新的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高级管理人员均专职在中科金 财、滨河创新任职并领取薪酬， 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w:t>
                        </w:r>
                        <w:r>
                          <w:rPr>
                            <w:rFonts w:ascii="宋体" w:hAnsi="宋体" w:cs="宋体" w:eastAsia="宋体" w:hint="default"/>
                            <w:spacing w:val="-2"/>
                            <w:sz w:val="18"/>
                            <w:szCs w:val="18"/>
                          </w:rPr>
                          <w:t>控制的其他公司、企业或者其他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经济组织等关联方担任董事以 外的职务。二、保证中科金财、 滨河创新的机构独立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 </w:t>
                        </w:r>
                        <w:r>
                          <w:rPr>
                            <w:rFonts w:ascii="宋体" w:hAnsi="宋体" w:cs="宋体" w:eastAsia="宋体" w:hint="default"/>
                            <w:spacing w:val="-2"/>
                            <w:sz w:val="18"/>
                            <w:szCs w:val="18"/>
                          </w:rPr>
                          <w:t>次交易完成后中科金财、滨河创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新构建健全的公司法人治理结 </w:t>
                        </w:r>
                        <w:r>
                          <w:rPr>
                            <w:rFonts w:ascii="宋体" w:hAnsi="宋体" w:cs="宋体" w:eastAsia="宋体" w:hint="default"/>
                            <w:spacing w:val="-9"/>
                            <w:sz w:val="18"/>
                            <w:szCs w:val="18"/>
                          </w:rPr>
                          <w:t>构，拥有独立、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．保证本次交易完成后中科金 财、滨河创新的股东（大）会、 </w:t>
                        </w:r>
                        <w:r>
                          <w:rPr>
                            <w:rFonts w:ascii="宋体" w:hAnsi="宋体" w:cs="宋体" w:eastAsia="宋体" w:hint="default"/>
                            <w:spacing w:val="-2"/>
                            <w:sz w:val="18"/>
                            <w:szCs w:val="18"/>
                          </w:rPr>
                          <w:t>董事会、监事会等依照法律、法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规及中科金财、滨河创新公司章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程独立行使职权。三、保证中科</w:t>
                        </w:r>
                        <w:r>
                          <w:rPr>
                            <w:rFonts w:ascii="宋体" w:hAnsi="宋体" w:cs="宋体" w:eastAsia="宋体" w:hint="default"/>
                            <w:sz w:val="18"/>
                            <w:szCs w:val="18"/>
                          </w:rPr>
                          <w:t> </w:t>
                        </w:r>
                        <w:r>
                          <w:rPr>
                            <w:rFonts w:ascii="宋体" w:hAnsi="宋体" w:cs="宋体" w:eastAsia="宋体" w:hint="default"/>
                            <w:spacing w:val="-2"/>
                            <w:sz w:val="18"/>
                            <w:szCs w:val="18"/>
                          </w:rPr>
                          <w:t>金财、滨河创新的资产独立、完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．保证本次交易完成后中科</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391" w:hRule="exact"/>
                    </w:trPr>
                    <w:tc>
                      <w:tcPr>
                        <w:tcW w:w="21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9" w:type="dxa"/>
                        <w:vMerge/>
                        <w:tcBorders>
                          <w:left w:val="single" w:sz="9" w:space="0" w:color="D2D2D2"/>
                          <w:right w:val="single" w:sz="4" w:space="0" w:color="000000"/>
                        </w:tcBorders>
                      </w:tcPr>
                      <w:p>
                        <w:pPr/>
                      </w:p>
                    </w:tc>
                    <w:tc>
                      <w:tcPr>
                        <w:tcW w:w="2552"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5178"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9" w:space="0" w:color="D2D2D2"/>
                          <w:bottom w:val="single" w:sz="4" w:space="0" w:color="000000"/>
                          <w:right w:val="single" w:sz="4" w:space="0" w:color="000000"/>
                        </w:tcBorders>
                      </w:tcPr>
                      <w:p>
                        <w:pPr/>
                      </w:p>
                    </w:tc>
                    <w:tc>
                      <w:tcPr>
                        <w:tcW w:w="2552"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0" w:right="1156" w:firstLine="0"/>
        <w:jc w:val="right"/>
        <w:rPr>
          <w:rFonts w:ascii="宋体" w:hAnsi="宋体" w:cs="宋体" w:eastAsia="宋体" w:hint="default"/>
          <w:sz w:val="18"/>
          <w:szCs w:val="18"/>
        </w:rPr>
      </w:pPr>
      <w:r>
        <w:rPr/>
        <w:pict>
          <v:shape style="position:absolute;margin-left:299.660004pt;margin-top:19.251711pt;width:125.4pt;height:194pt;mso-position-horizontal-relative:page;mso-position-vertical-relative:paragraph;z-index:-10038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完整的组织机构。</w:t>
                  </w:r>
                </w:p>
              </w:txbxContent>
            </v:textbox>
            <w10:wrap type="none"/>
          </v:shape>
        </w:pict>
      </w:r>
      <w:r>
        <w:rPr>
          <w:rFonts w:ascii="宋体" w:hAnsi="宋体" w:cs="宋体" w:eastAsia="宋体" w:hint="default"/>
          <w:sz w:val="18"/>
          <w:szCs w:val="18"/>
        </w:rPr>
        <w:t>。</w:t>
      </w:r>
    </w:p>
    <w:p>
      <w:pPr>
        <w:spacing w:line="240" w:lineRule="auto" w:before="1"/>
        <w:rPr>
          <w:rFonts w:ascii="宋体" w:hAnsi="宋体" w:cs="宋体" w:eastAsia="宋体" w:hint="default"/>
          <w:sz w:val="8"/>
          <w:szCs w:val="8"/>
        </w:rPr>
      </w:pPr>
    </w:p>
    <w:p>
      <w:pPr>
        <w:spacing w:line="3880" w:lineRule="exact"/>
        <w:ind w:left="6397" w:right="0" w:firstLine="0"/>
        <w:rPr>
          <w:rFonts w:ascii="宋体" w:hAnsi="宋体" w:cs="宋体" w:eastAsia="宋体" w:hint="default"/>
          <w:sz w:val="20"/>
          <w:szCs w:val="20"/>
        </w:rPr>
      </w:pPr>
      <w:r>
        <w:rPr>
          <w:rFonts w:ascii="宋体" w:hAnsi="宋体" w:cs="宋体" w:eastAsia="宋体" w:hint="default"/>
          <w:position w:val="-77"/>
          <w:sz w:val="20"/>
          <w:szCs w:val="20"/>
        </w:rPr>
        <w:pict>
          <v:group style="width:56.2pt;height:194pt;mso-position-horizontal-relative:char;mso-position-vertical-relative:line" coordorigin="0,0" coordsize="1124,3880">
            <v:group style="position:absolute;left:0;top:0;width:1124;height:3880" coordorigin="0,0" coordsize="1124,3880">
              <v:shape style="position:absolute;left:0;top:0;width:1124;height:3880" coordorigin="0,0" coordsize="1124,3880" path="m0,3880l1124,3880,1124,0,0,0,0,3880xe" filled="true" fillcolor="#ffffff" stroked="false">
                <v:path arrowok="t"/>
                <v:fill type="solid"/>
              </v:shape>
            </v:group>
          </v:group>
        </w:pict>
      </w:r>
      <w:r>
        <w:rPr>
          <w:rFonts w:ascii="宋体" w:hAnsi="宋体" w:cs="宋体" w:eastAsia="宋体" w:hint="default"/>
          <w:position w:val="-77"/>
          <w:sz w:val="20"/>
          <w:szCs w:val="20"/>
        </w:rPr>
      </w:r>
    </w:p>
    <w:p>
      <w:pPr>
        <w:spacing w:after="0" w:line="388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859985pt;margin-top:72.47998pt;width:56.2pt;height:686.5pt;mso-position-horizontal-relative:page;mso-position-vertical-relative:page;z-index:-1003792" coordorigin="7377,1450" coordsize="1124,13730">
            <v:shape style="position:absolute;left:7377;top:1450;width:1124;height:13730" coordorigin="7377,1450" coordsize="1124,13730" path="m7377,15179l8501,15179,8501,1450,7377,1450,7377,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31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金财、滨河创新拥有与生产经营</w:t>
            </w: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有关的独立、完整的资产。</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．保</w:t>
            </w:r>
            <w:r>
              <w:rPr>
                <w:rFonts w:ascii="宋体" w:hAnsi="宋体" w:cs="宋体" w:eastAsia="宋体" w:hint="default"/>
                <w:sz w:val="18"/>
                <w:szCs w:val="18"/>
              </w:rPr>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证本次交易完成后中科金财、滨</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河创新的经营场所独立于本人</w:t>
            </w:r>
            <w:r>
              <w:rPr>
                <w:rFonts w:ascii="Times New Roman" w:hAnsi="Times New Roman" w:cs="Times New Roman" w:eastAsia="Times New Roman" w:hint="default"/>
                <w:sz w:val="18"/>
                <w:szCs w:val="18"/>
              </w:rPr>
              <w:t>/</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他公司、企业或者其他经济组织</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等关联方。</w:t>
            </w:r>
            <w:r>
              <w:rPr>
                <w:rFonts w:ascii="Times New Roman" w:hAnsi="Times New Roman" w:cs="Times New Roman" w:eastAsia="Times New Roman" w:hint="default"/>
                <w:sz w:val="18"/>
                <w:szCs w:val="18"/>
              </w:rPr>
              <w:t>3</w:t>
            </w:r>
            <w:r>
              <w:rPr>
                <w:rFonts w:ascii="宋体" w:hAnsi="宋体" w:cs="宋体" w:eastAsia="宋体" w:hint="default"/>
                <w:sz w:val="18"/>
                <w:szCs w:val="18"/>
              </w:rPr>
              <w:t>．除正常经营性往</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来外，保证本次交易完成后中科</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金财、滨河创新不存在资金、资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控制的其他公司、企业或者其他</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经济组织等关联方占用的情形。</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四、保证中科金财、滨河创新的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后中科金财、滨河创新拥有独立</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开展经营活动的相关资质，具有</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面向市场的独立、自主、持续的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经营能力。</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控制的其他公司、企业或者其他</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经济组织等关联方避免从事与</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中科金财、滨河创新及其控制的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其他公司、企业或者其他经济组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织具有竞争关系的业务。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企业或者其他经济组织等关联</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方减少与中科金财、滨河创新及</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其控制的其他公司、企业或者其</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他经济组织的关联交易；对于确</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有必要且无法避免的关联交易，</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保证按市场原则和公允价格进</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行公平操作，并按相关法律、法</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规及规范性文件的规定履行相</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关审批程序及信息披露义务。</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五、保证中科金财、滨河创新的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．保证中科金财、滨</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河创新本次交易完成后分别具</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备独立的财务部门以及独立的</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财务核算体系，具有规范、独立</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的财务会计制度。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．保证中科</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金财、滨河创新本次交易完成后</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独立在银行开户</w:t>
            </w:r>
            <w:r>
              <w:rPr>
                <w:rFonts w:ascii="宋体" w:hAnsi="宋体" w:cs="宋体" w:eastAsia="宋体" w:hint="default"/>
                <w:spacing w:val="-76"/>
                <w:sz w:val="18"/>
                <w:szCs w:val="18"/>
              </w:rPr>
              <w:t>，</w:t>
            </w:r>
            <w:r>
              <w:rPr>
                <w:rFonts w:ascii="宋体" w:hAnsi="宋体" w:cs="宋体" w:eastAsia="宋体" w:hint="default"/>
                <w:sz w:val="18"/>
                <w:szCs w:val="18"/>
              </w:rPr>
              <w:t>不与本人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1134"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w:t>
            </w: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80.3pt;height:692pt;mso-position-horizontal-relative:page;mso-position-vertical-relative:page;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85"/>
                  </w:tblGrid>
                  <w:tr>
                    <w:trPr>
                      <w:trHeight w:val="410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pacing w:val="-2"/>
                            <w:sz w:val="18"/>
                            <w:szCs w:val="18"/>
                          </w:rPr>
                          <w:t>司、企业或者其他经济组织等关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联方共用银行账户。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 </w:t>
                        </w:r>
                        <w:r>
                          <w:rPr>
                            <w:rFonts w:ascii="宋体" w:hAnsi="宋体" w:cs="宋体" w:eastAsia="宋体" w:hint="default"/>
                            <w:spacing w:val="-2"/>
                            <w:sz w:val="18"/>
                            <w:szCs w:val="18"/>
                          </w:rPr>
                          <w:t>次交易完成后中科金财、滨河创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新的财务人员不在本人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企业或者其他经济组织等关联 方兼职。</w:t>
                        </w:r>
                        <w:r>
                          <w:rPr>
                            <w:rFonts w:ascii="Times New Roman" w:hAnsi="Times New Roman" w:cs="Times New Roman" w:eastAsia="Times New Roman" w:hint="default"/>
                            <w:sz w:val="18"/>
                            <w:szCs w:val="18"/>
                          </w:rPr>
                          <w:t>4</w:t>
                        </w:r>
                        <w:r>
                          <w:rPr>
                            <w:rFonts w:ascii="宋体" w:hAnsi="宋体" w:cs="宋体" w:eastAsia="宋体" w:hint="default"/>
                            <w:sz w:val="18"/>
                            <w:szCs w:val="18"/>
                          </w:rPr>
                          <w:t>．保证本次交易完成 </w:t>
                        </w:r>
                        <w:r>
                          <w:rPr>
                            <w:rFonts w:ascii="宋体" w:hAnsi="宋体" w:cs="宋体" w:eastAsia="宋体" w:hint="default"/>
                            <w:spacing w:val="-2"/>
                            <w:sz w:val="18"/>
                            <w:szCs w:val="18"/>
                          </w:rPr>
                          <w:t>后中科金财、滨河创新能够独立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做出财务决策，本人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本公司不干</w:t>
                        </w:r>
                        <w:r>
                          <w:rPr>
                            <w:rFonts w:ascii="宋体" w:hAnsi="宋体" w:cs="宋体" w:eastAsia="宋体" w:hint="default"/>
                            <w:spacing w:val="-76"/>
                            <w:sz w:val="18"/>
                            <w:szCs w:val="18"/>
                          </w:rPr>
                          <w:t> </w:t>
                        </w:r>
                        <w:r>
                          <w:rPr>
                            <w:rFonts w:ascii="宋体" w:hAnsi="宋体" w:cs="宋体" w:eastAsia="宋体" w:hint="default"/>
                            <w:spacing w:val="-2"/>
                            <w:sz w:val="18"/>
                            <w:szCs w:val="18"/>
                          </w:rPr>
                          <w:t>预中科金财、滨河创新的资金使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5</w:t>
                        </w:r>
                        <w:r>
                          <w:rPr>
                            <w:rFonts w:ascii="宋体" w:hAnsi="宋体" w:cs="宋体" w:eastAsia="宋体" w:hint="default"/>
                            <w:sz w:val="18"/>
                            <w:szCs w:val="18"/>
                          </w:rPr>
                          <w:t>．保证本次交易完成后中 科金财、滨河创新依法独立纳 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9"/>
                          <w:ind w:left="23" w:right="164"/>
                          <w:jc w:val="both"/>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胡卫彬</w:t>
                        </w:r>
                        <w:r>
                          <w:rPr>
                            <w:rFonts w:ascii="Times New Roman" w:hAnsi="Times New Roman" w:cs="Times New Roman" w:eastAsia="Times New Roman" w:hint="default"/>
                            <w:sz w:val="18"/>
                            <w:szCs w:val="18"/>
                          </w:rPr>
                          <w:t>;</w:t>
                        </w:r>
                        <w:r>
                          <w:rPr>
                            <w:rFonts w:ascii="宋体" w:hAnsi="宋体" w:cs="宋体" w:eastAsia="宋体" w:hint="default"/>
                            <w:sz w:val="18"/>
                            <w:szCs w:val="18"/>
                          </w:rPr>
                          <w:t>蔡 宝宇</w:t>
                        </w:r>
                        <w:r>
                          <w:rPr>
                            <w:rFonts w:ascii="Times New Roman" w:hAnsi="Times New Roman" w:cs="Times New Roman" w:eastAsia="Times New Roman" w:hint="default"/>
                            <w:sz w:val="18"/>
                            <w:szCs w:val="18"/>
                          </w:rPr>
                          <w:t>;</w:t>
                        </w:r>
                        <w:r>
                          <w:rPr>
                            <w:rFonts w:ascii="宋体" w:hAnsi="宋体" w:cs="宋体" w:eastAsia="宋体" w:hint="default"/>
                            <w:sz w:val="18"/>
                            <w:szCs w:val="18"/>
                          </w:rPr>
                          <w:t>温长建</w:t>
                        </w:r>
                        <w:r>
                          <w:rPr>
                            <w:rFonts w:ascii="Times New Roman" w:hAnsi="Times New Roman" w:cs="Times New Roman" w:eastAsia="Times New Roman" w:hint="default"/>
                            <w:sz w:val="18"/>
                            <w:szCs w:val="18"/>
                          </w:rPr>
                          <w:t>;</w:t>
                        </w:r>
                        <w:r>
                          <w:rPr>
                            <w:rFonts w:ascii="宋体" w:hAnsi="宋体" w:cs="宋体" w:eastAsia="宋体" w:hint="default"/>
                            <w:sz w:val="18"/>
                            <w:szCs w:val="18"/>
                          </w:rPr>
                          <w:t>徐灵</w:t>
                        </w:r>
                        <w:r>
                          <w:rPr>
                            <w:rFonts w:ascii="宋体" w:hAnsi="宋体" w:cs="宋体" w:eastAsia="宋体" w:hint="default"/>
                            <w:spacing w:val="-2"/>
                            <w:sz w:val="18"/>
                            <w:szCs w:val="18"/>
                          </w:rPr>
                          <w:t> </w:t>
                        </w:r>
                        <w:r>
                          <w:rPr>
                            <w:rFonts w:ascii="宋体" w:hAnsi="宋体" w:cs="宋体" w:eastAsia="宋体" w:hint="default"/>
                            <w:sz w:val="18"/>
                            <w:szCs w:val="18"/>
                          </w:rPr>
                          <w:t>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、任职期限：刘开同及标的公 </w:t>
                        </w:r>
                        <w:r>
                          <w:rPr>
                            <w:rFonts w:ascii="宋体" w:hAnsi="宋体" w:cs="宋体" w:eastAsia="宋体" w:hint="default"/>
                            <w:spacing w:val="-2"/>
                            <w:sz w:val="18"/>
                            <w:szCs w:val="18"/>
                          </w:rPr>
                          <w:t>司核心人员胡卫彬、蔡宝宇、温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长建、徐灵慧就任职期限达成协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议如下：</w:t>
                        </w:r>
                        <w:r>
                          <w:rPr>
                            <w:rFonts w:ascii="Times New Roman" w:hAnsi="Times New Roman" w:cs="Times New Roman" w:eastAsia="Times New Roman" w:hint="default"/>
                            <w:sz w:val="18"/>
                            <w:szCs w:val="18"/>
                          </w:rPr>
                          <w:t>“</w:t>
                        </w:r>
                        <w:r>
                          <w:rPr>
                            <w:rFonts w:ascii="宋体" w:hAnsi="宋体" w:cs="宋体" w:eastAsia="宋体" w:hint="default"/>
                            <w:sz w:val="18"/>
                            <w:szCs w:val="18"/>
                          </w:rPr>
                          <w:t>乙方承诺自发行股份 购买资产实施结束之日起其在 滨河创新的服务期限不少于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w:t>
                        </w:r>
                        <w:r>
                          <w:rPr>
                            <w:rFonts w:ascii="宋体" w:hAnsi="宋体" w:cs="宋体" w:eastAsia="宋体" w:hint="default"/>
                            <w:sz w:val="18"/>
                            <w:szCs w:val="18"/>
                          </w:rPr>
                          <w:t>、竞业限制：刘开同及 </w:t>
                        </w:r>
                        <w:r>
                          <w:rPr>
                            <w:rFonts w:ascii="宋体" w:hAnsi="宋体" w:cs="宋体" w:eastAsia="宋体" w:hint="default"/>
                            <w:spacing w:val="-2"/>
                            <w:sz w:val="18"/>
                            <w:szCs w:val="18"/>
                          </w:rPr>
                          <w:t>标的公司核心人员胡卫彬、蔡宝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宇、温长建、徐灵慧就竞业限制</w:t>
                        </w:r>
                        <w:r>
                          <w:rPr>
                            <w:rFonts w:ascii="宋体" w:hAnsi="宋体" w:cs="宋体" w:eastAsia="宋体" w:hint="default"/>
                            <w:sz w:val="18"/>
                            <w:szCs w:val="18"/>
                          </w:rPr>
                          <w:t> 达成协议如下：</w:t>
                        </w:r>
                        <w:r>
                          <w:rPr>
                            <w:rFonts w:ascii="Times New Roman" w:hAnsi="Times New Roman" w:cs="Times New Roman" w:eastAsia="Times New Roman" w:hint="default"/>
                            <w:sz w:val="18"/>
                            <w:szCs w:val="18"/>
                          </w:rPr>
                          <w:t>“</w:t>
                        </w:r>
                        <w:r>
                          <w:rPr>
                            <w:rFonts w:ascii="宋体" w:hAnsi="宋体" w:cs="宋体" w:eastAsia="宋体" w:hint="default"/>
                            <w:sz w:val="18"/>
                            <w:szCs w:val="18"/>
                          </w:rPr>
                          <w:t>自本协议生效 之日至其从滨河创新离职后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2"/>
                            <w:sz w:val="18"/>
                            <w:szCs w:val="18"/>
                          </w:rPr>
                          <w:t>个月内，乙方不得从事与甲方或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滨河创新业务相同或类似的投 </w:t>
                        </w:r>
                        <w:r>
                          <w:rPr>
                            <w:rFonts w:ascii="宋体" w:hAnsi="宋体" w:cs="宋体" w:eastAsia="宋体" w:hint="default"/>
                            <w:spacing w:val="-2"/>
                            <w:sz w:val="18"/>
                            <w:szCs w:val="18"/>
                          </w:rPr>
                          <w:t>资或任职行为，即无论在何种情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况下，不得以任何方式受聘或经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营于任何与甲方及其控股子公 </w:t>
                        </w:r>
                        <w:r>
                          <w:rPr>
                            <w:rFonts w:ascii="宋体" w:hAnsi="宋体" w:cs="宋体" w:eastAsia="宋体" w:hint="default"/>
                            <w:spacing w:val="-2"/>
                            <w:sz w:val="18"/>
                            <w:szCs w:val="18"/>
                          </w:rPr>
                          <w:t>司、滨河创新及其下属公司业务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有直接或间接竞争或利益冲突 </w:t>
                        </w:r>
                        <w:r>
                          <w:rPr>
                            <w:rFonts w:ascii="宋体" w:hAnsi="宋体" w:cs="宋体" w:eastAsia="宋体" w:hint="default"/>
                            <w:spacing w:val="-2"/>
                            <w:sz w:val="18"/>
                            <w:szCs w:val="18"/>
                          </w:rPr>
                          <w:t>之公司及业务，不能到生产、开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发、经营与甲方及其控股子公 司、滨河创新及其下属公司生 </w:t>
                        </w:r>
                        <w:r>
                          <w:rPr>
                            <w:rFonts w:ascii="宋体" w:hAnsi="宋体" w:cs="宋体" w:eastAsia="宋体" w:hint="default"/>
                            <w:spacing w:val="-2"/>
                            <w:sz w:val="18"/>
                            <w:szCs w:val="18"/>
                          </w:rPr>
                          <w:t>产、开发、经营同类产品或经营</w:t>
                        </w:r>
                        <w:r>
                          <w:rPr>
                            <w:rFonts w:ascii="宋体" w:hAnsi="宋体" w:cs="宋体" w:eastAsia="宋体" w:hint="default"/>
                            <w:sz w:val="18"/>
                            <w:szCs w:val="18"/>
                          </w:rPr>
                          <w:t> 同类业务或有竞争关系的其他 </w:t>
                        </w:r>
                        <w:r>
                          <w:rPr>
                            <w:rFonts w:ascii="宋体" w:hAnsi="宋体" w:cs="宋体" w:eastAsia="宋体" w:hint="default"/>
                            <w:spacing w:val="-2"/>
                            <w:sz w:val="18"/>
                            <w:szCs w:val="18"/>
                          </w:rPr>
                          <w:t>用人单位兼职或全职；也不能自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行或以任何第三者的名义设立、 投资或控股与甲方及其控股子 </w:t>
                        </w:r>
                        <w:r>
                          <w:rPr>
                            <w:rFonts w:ascii="宋体" w:hAnsi="宋体" w:cs="宋体" w:eastAsia="宋体" w:hint="default"/>
                            <w:spacing w:val="-2"/>
                            <w:sz w:val="18"/>
                            <w:szCs w:val="18"/>
                          </w:rPr>
                          <w:t>公司、滨河创新及其下属公司有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任何竞争关系或利益冲突的同 </w:t>
                        </w:r>
                        <w:r>
                          <w:rPr>
                            <w:rFonts w:ascii="宋体" w:hAnsi="宋体" w:cs="宋体" w:eastAsia="宋体" w:hint="default"/>
                            <w:spacing w:val="-2"/>
                            <w:sz w:val="18"/>
                            <w:szCs w:val="18"/>
                          </w:rPr>
                          <w:t>类企业或经营单位，或从事与滨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河创新有竞争关系的业务；如乙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方或其所控制的除滨河创新外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line="240" w:lineRule="auto" w:before="3"/>
        <w:rPr>
          <w:rFonts w:ascii="Times New Roman" w:hAnsi="Times New Roman" w:cs="Times New Roman" w:eastAsia="Times New Roman" w:hint="default"/>
          <w:sz w:val="13"/>
          <w:szCs w:val="13"/>
        </w:rPr>
      </w:pPr>
    </w:p>
    <w:p>
      <w:pPr>
        <w:spacing w:line="4097" w:lineRule="exact"/>
        <w:ind w:left="63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1"/>
          <w:sz w:val="20"/>
          <w:szCs w:val="20"/>
        </w:rPr>
        <w:pict>
          <v:group style="width:56.2pt;height:204.9pt;mso-position-horizontal-relative:char;mso-position-vertical-relative:line" coordorigin="0,0" coordsize="1124,4098">
            <v:group style="position:absolute;left:0;top:0;width:1124;height:4098" coordorigin="0,0" coordsize="1124,4098">
              <v:shape style="position:absolute;left:0;top:0;width:1124;height:4098" coordorigin="0,0" coordsize="1124,4098" path="m0,4097l1124,4097,1124,0,0,0,0,4097xe" filled="true" fillcolor="#ffffff" stroked="false">
                <v:path arrowok="t"/>
                <v:fill type="solid"/>
              </v:shape>
            </v:group>
          </v:group>
        </w:pict>
      </w:r>
      <w:r>
        <w:rPr>
          <w:rFonts w:ascii="Times New Roman" w:hAnsi="Times New Roman" w:cs="Times New Roman" w:eastAsia="Times New Roman" w:hint="default"/>
          <w:position w:val="-8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9"/>
          <w:szCs w:val="29"/>
        </w:rPr>
      </w:pPr>
      <w:r>
        <w:rPr/>
        <w:pict>
          <v:shape style="position:absolute;margin-left:344.660004pt;margin-top:72.47998pt;width:80.4pt;height:454.5pt;mso-position-horizontal-relative:page;mso-position-vertical-relative:page;z-index:-10036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45"/>
                    <w:ind w:left="0" w:right="0" w:firstLine="0"/>
                    <w:jc w:val="left"/>
                    <w:rPr>
                      <w:rFonts w:ascii="宋体" w:hAnsi="宋体" w:cs="宋体" w:eastAsia="宋体" w:hint="default"/>
                      <w:sz w:val="18"/>
                      <w:szCs w:val="18"/>
                    </w:rPr>
                  </w:pPr>
                  <w:r>
                    <w:rPr>
                      <w:rFonts w:ascii="宋体" w:hAnsi="宋体" w:cs="宋体" w:eastAsia="宋体" w:hint="default"/>
                      <w:sz w:val="18"/>
                      <w:szCs w:val="18"/>
                    </w:rPr>
                    <w:t>拉拢、</w:t>
                  </w:r>
                </w:p>
              </w:txbxContent>
            </v:textbox>
            <w10:wrap type="none"/>
          </v:shape>
        </w:pict>
      </w:r>
      <w:r>
        <w:rPr/>
        <w:pict>
          <v:shape style="position:absolute;margin-left:56.459999pt;margin-top:72.239983pt;width:480.1pt;height:692pt;mso-position-horizontal-relative:page;mso-position-vertical-relative:page;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85"/>
                  </w:tblGrid>
                  <w:tr>
                    <w:trPr>
                      <w:trHeight w:val="9099"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的其他企业从任何第三方获得 </w:t>
                        </w:r>
                        <w:r>
                          <w:rPr>
                            <w:rFonts w:ascii="宋体" w:hAnsi="宋体" w:cs="宋体" w:eastAsia="宋体" w:hint="default"/>
                            <w:spacing w:val="-2"/>
                            <w:sz w:val="18"/>
                            <w:szCs w:val="18"/>
                          </w:rPr>
                          <w:t>的商业机会与甲方、滨河创新及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其下属公司的业务有竞争或可 </w:t>
                        </w:r>
                        <w:r>
                          <w:rPr>
                            <w:rFonts w:ascii="宋体" w:hAnsi="宋体" w:cs="宋体" w:eastAsia="宋体" w:hint="default"/>
                            <w:spacing w:val="-2"/>
                            <w:sz w:val="18"/>
                            <w:szCs w:val="18"/>
                          </w:rPr>
                          <w:t>能存在竞争，则将该商业机会让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予甲方或其控股子公司、滨河创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新或其下属公司；但滨河创新在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乙方未违反其劳动合同或者未 完成工作目标等义务的情况下 </w:t>
                        </w:r>
                        <w:r>
                          <w:rPr>
                            <w:rFonts w:ascii="宋体" w:hAnsi="宋体" w:cs="宋体" w:eastAsia="宋体" w:hint="default"/>
                            <w:spacing w:val="-2"/>
                            <w:sz w:val="18"/>
                            <w:szCs w:val="18"/>
                          </w:rPr>
                          <w:t>辞退乙方的除外。自本协议生效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之日至其从滨河创新离职后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2"/>
                            <w:sz w:val="18"/>
                            <w:szCs w:val="18"/>
                          </w:rPr>
                          <w:t>个月内，乙方不得以任何理由或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方式（包括但不限于劝喻、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雇用）导致滨河创新其他经营管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理人员离开滨河创新。同时，乙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方不得以任何名义或形式与离 开滨河创新的经营管理人员合 作或投资与滨河创新有相同或 </w:t>
                        </w:r>
                        <w:r>
                          <w:rPr>
                            <w:rFonts w:ascii="宋体" w:hAnsi="宋体" w:cs="宋体" w:eastAsia="宋体" w:hint="default"/>
                            <w:spacing w:val="-2"/>
                            <w:sz w:val="18"/>
                            <w:szCs w:val="18"/>
                          </w:rPr>
                          <w:t>有竞争关系的业务，也不得雇佣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滨河创新经营管理人员（包括离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职人员）。乙方承诺严守甲方及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其控股子公司、滨河创新及其下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属公司秘密，不泄露其所知悉或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掌握的甲方及其控股子公司、滨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河创新及其下属公司的商业秘 </w:t>
                        </w:r>
                        <w:r>
                          <w:rPr>
                            <w:rFonts w:ascii="宋体" w:hAnsi="宋体" w:cs="宋体" w:eastAsia="宋体" w:hint="default"/>
                            <w:spacing w:val="-2"/>
                            <w:sz w:val="18"/>
                            <w:szCs w:val="18"/>
                          </w:rPr>
                          <w:t>密。乙方不得以任何方式和手段</w:t>
                        </w:r>
                      </w:p>
                      <w:p>
                        <w:pPr>
                          <w:pStyle w:val="TableParagraph"/>
                          <w:spacing w:line="319" w:lineRule="auto" w:before="19"/>
                          <w:ind w:left="22" w:right="21"/>
                          <w:jc w:val="both"/>
                          <w:rPr>
                            <w:rFonts w:ascii="宋体" w:hAnsi="宋体" w:cs="宋体" w:eastAsia="宋体" w:hint="default"/>
                            <w:sz w:val="18"/>
                            <w:szCs w:val="18"/>
                          </w:rPr>
                        </w:pPr>
                        <w:r>
                          <w:rPr>
                            <w:rFonts w:ascii="宋体" w:hAnsi="宋体" w:cs="宋体" w:eastAsia="宋体" w:hint="default"/>
                            <w:spacing w:val="-2"/>
                            <w:sz w:val="18"/>
                            <w:szCs w:val="18"/>
                          </w:rPr>
                          <w:t>（包括但不限于侵占、受贿、舞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弊、盗窃、挪用等不当或不法手</w:t>
                        </w:r>
                        <w:r>
                          <w:rPr>
                            <w:rFonts w:ascii="宋体" w:hAnsi="宋体" w:cs="宋体" w:eastAsia="宋体" w:hint="default"/>
                            <w:sz w:val="18"/>
                            <w:szCs w:val="18"/>
                          </w:rPr>
                          <w:t> </w:t>
                        </w:r>
                        <w:r>
                          <w:rPr>
                            <w:rFonts w:ascii="宋体" w:hAnsi="宋体" w:cs="宋体" w:eastAsia="宋体" w:hint="default"/>
                            <w:spacing w:val="-2"/>
                            <w:sz w:val="18"/>
                            <w:szCs w:val="18"/>
                          </w:rPr>
                          <w:t>段和方式）损害或侵害滨河创新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00" w:lineRule="auto"/>
                          <w:ind w:left="23"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
                          <w:jc w:val="left"/>
                          <w:rPr>
                            <w:rFonts w:ascii="宋体" w:hAnsi="宋体" w:cs="宋体" w:eastAsia="宋体" w:hint="default"/>
                            <w:sz w:val="18"/>
                            <w:szCs w:val="18"/>
                          </w:rPr>
                        </w:pPr>
                        <w:r>
                          <w:rPr>
                            <w:rFonts w:ascii="宋体" w:hAnsi="宋体" w:cs="宋体" w:eastAsia="宋体" w:hint="default"/>
                            <w:sz w:val="18"/>
                            <w:szCs w:val="18"/>
                          </w:rPr>
                          <w:t>一、关于同业竞争：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 </w:t>
                        </w:r>
                        <w:r>
                          <w:rPr>
                            <w:rFonts w:ascii="宋体" w:hAnsi="宋体" w:cs="宋体" w:eastAsia="宋体" w:hint="default"/>
                            <w:spacing w:val="-2"/>
                            <w:sz w:val="18"/>
                            <w:szCs w:val="18"/>
                          </w:rPr>
                          <w:t>承诺函签署日，本人／本公司及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包括本人／本公司控制的其他 </w:t>
                        </w:r>
                        <w:r>
                          <w:rPr>
                            <w:rFonts w:ascii="宋体" w:hAnsi="宋体" w:cs="宋体" w:eastAsia="宋体" w:hint="default"/>
                            <w:spacing w:val="-2"/>
                            <w:sz w:val="18"/>
                            <w:szCs w:val="18"/>
                          </w:rPr>
                          <w:t>公司、企业或者其他经济组织等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关联方未从事与中科金财、滨河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创新及其控制的其他公司、企业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或者其他经济组织存在同业竞 争关系的业务。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．在作为中科 金财的股东且持股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以上（含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）期间，本人／本公司及包括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本人／本公司控制的其他公司、 企业或者其他经济组织等关联 方将避免以任何形式从事任何 </w:t>
                        </w:r>
                        <w:r>
                          <w:rPr>
                            <w:rFonts w:ascii="宋体" w:hAnsi="宋体" w:cs="宋体" w:eastAsia="宋体" w:hint="default"/>
                            <w:spacing w:val="-2"/>
                            <w:sz w:val="18"/>
                            <w:szCs w:val="18"/>
                          </w:rPr>
                          <w:t>与中科金财、滨河创新及其控制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的其他公司、企业或者其他经济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line="9089" w:lineRule="exact"/>
        <w:ind w:left="6397" w:right="0" w:firstLine="0"/>
        <w:rPr>
          <w:rFonts w:ascii="宋体" w:hAnsi="宋体" w:cs="宋体" w:eastAsia="宋体" w:hint="default"/>
          <w:sz w:val="20"/>
          <w:szCs w:val="20"/>
        </w:rPr>
      </w:pPr>
      <w:r>
        <w:rPr>
          <w:rFonts w:ascii="宋体" w:hAnsi="宋体" w:cs="宋体" w:eastAsia="宋体" w:hint="default"/>
          <w:position w:val="-181"/>
          <w:sz w:val="20"/>
          <w:szCs w:val="20"/>
        </w:rPr>
        <w:pict>
          <v:group style="width:56.2pt;height:454.5pt;mso-position-horizontal-relative:char;mso-position-vertical-relative:line" coordorigin="0,0" coordsize="1124,9090">
            <v:group style="position:absolute;left:0;top:0;width:1124;height:9090" coordorigin="0,0" coordsize="1124,9090">
              <v:shape style="position:absolute;left:0;top:0;width:1124;height:9090" coordorigin="0,0" coordsize="1124,9090" path="m0,9090l1124,9090,1124,0,0,0,0,9090xe" filled="true" fillcolor="#ffffff" stroked="false">
                <v:path arrowok="t"/>
                <v:fill type="solid"/>
              </v:shape>
            </v:group>
          </v:group>
        </w:pict>
      </w:r>
      <w:r>
        <w:rPr>
          <w:rFonts w:ascii="宋体" w:hAnsi="宋体" w:cs="宋体" w:eastAsia="宋体" w:hint="default"/>
          <w:position w:val="-18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8.660004pt;margin-top:72.47998pt;width:116.4pt;height:686.5pt;mso-position-horizontal-relative:page;mso-position-vertical-relative:page;z-index:-1003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关于资金占用：</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317"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组织相同或相似且构成或可能</w:t>
            </w:r>
          </w:p>
        </w:tc>
        <w:tc>
          <w:tcPr>
            <w:tcW w:w="1134"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2pt;height:686.5pt;mso-position-horizontal-relative:char;mso-position-vertical-relative:line" coordorigin="0,0" coordsize="1124,13730">
                  <v:group style="position:absolute;left:0;top:0;width:1124;height:13730" coordorigin="0,0" coordsize="1124,13730">
                    <v:shape style="position:absolute;left:0;top:0;width:1124;height:13730" coordorigin="0,0" coordsize="1124,13730" path="m0,13729l1124,13729,1124,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34"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构成竞争关系的业务，亦不从事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任何可能损害中科金财、滨河创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新及其控制的其他公司、企业或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者其他经济组织利益的活动。如</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本人／本公司及其控制的其他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公司、企业或者其他经济组织遇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到中科金财、滨河创新及其控制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的其他公司、企业或者其他经济</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组织主营业务范围内的业务机</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会，本人／本公司及其控制的其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他公司、企业或者其他经济组织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承诺将该等合作机会让予中科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金财、滨河创新及其控制的其他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公司、企业或者其他经济组织。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本人／本公司若违反上述承诺，</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将承担因此而给中科金财、滨河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创新及其控制的其他公司、企业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或者其他经济组织造成的一切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损失。二、关于规范及减少关联</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交易：本人／本公司在作为中科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金财的股东期间，本人／本公司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及所控制的其他公司、企业或者</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其他经济组织将尽量减少并规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范与中科金财、滨河创新及其控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制的其他公司、企业或者其他经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济组织之间的关联交易。对于无</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法避免或有合理原因而发生的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关联交易，本人／本公司及所控</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制的其他公司、企业或者其他经</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济组织将遵循市场原则以公允、</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合理的市场价格进行，根据有关</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法律、法规及规范性文件的规定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履行关联交易决策程序，依法履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行信息披露义务和办理有关报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批程序，不利用股东优势地位损</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害中科金财及其他股东的合法</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权益。本人／本公司若违反上述</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承诺，将承担因此而给中科金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财、滨河创新及其控制的其他公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司、企业或者其他经济组织造成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的一切损失。三、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除正常经营性往来外，保证本次</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8"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交易完成后中科金财、滨河创新</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80.3pt;height:687.4pt;mso-position-horizontal-relative:page;mso-position-vertical-relative:page;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85"/>
                  </w:tblGrid>
                  <w:tr>
                    <w:trPr>
                      <w:trHeight w:val="1298"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2" w:right="23"/>
                          <w:jc w:val="left"/>
                          <w:rPr>
                            <w:rFonts w:ascii="宋体" w:hAnsi="宋体" w:cs="宋体" w:eastAsia="宋体" w:hint="default"/>
                            <w:sz w:val="18"/>
                            <w:szCs w:val="18"/>
                          </w:rPr>
                        </w:pPr>
                        <w:r>
                          <w:rPr>
                            <w:rFonts w:ascii="宋体" w:hAnsi="宋体" w:cs="宋体" w:eastAsia="宋体" w:hint="default"/>
                            <w:spacing w:val="-6"/>
                            <w:sz w:val="18"/>
                            <w:szCs w:val="18"/>
                          </w:rPr>
                          <w:t>不存在资金、资产被本人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w:t>
                        </w:r>
                        <w:r>
                          <w:rPr>
                            <w:rFonts w:ascii="宋体" w:hAnsi="宋体" w:cs="宋体" w:eastAsia="宋体" w:hint="default"/>
                            <w:spacing w:val="-76"/>
                            <w:sz w:val="18"/>
                            <w:szCs w:val="18"/>
                          </w:rPr>
                          <w:t> </w:t>
                        </w: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企业或者其他经济组织等关联 方占用的情形。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7267"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00" w:lineRule="auto"/>
                          <w:ind w:left="23" w:right="35"/>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r>
                          <w:rPr>
                            <w:rFonts w:ascii="Times New Roman" w:hAnsi="Times New Roman" w:cs="Times New Roman" w:eastAsia="Times New Roman" w:hint="default"/>
                            <w:sz w:val="18"/>
                            <w:szCs w:val="18"/>
                          </w:rPr>
                          <w:t>;</w:t>
                        </w:r>
                        <w:r>
                          <w:rPr>
                            <w:rFonts w:ascii="宋体" w:hAnsi="宋体" w:cs="宋体" w:eastAsia="宋体" w:hint="default"/>
                            <w:sz w:val="18"/>
                            <w:szCs w:val="18"/>
                          </w:rPr>
                          <w:t>刘 运龙</w:t>
                        </w:r>
                        <w:r>
                          <w:rPr>
                            <w:rFonts w:ascii="Times New Roman" w:hAnsi="Times New Roman" w:cs="Times New Roman" w:eastAsia="Times New Roman" w:hint="default"/>
                            <w:sz w:val="18"/>
                            <w:szCs w:val="18"/>
                          </w:rPr>
                          <w:t>;</w:t>
                        </w:r>
                        <w:r>
                          <w:rPr>
                            <w:rFonts w:ascii="宋体" w:hAnsi="宋体" w:cs="宋体" w:eastAsia="宋体" w:hint="default"/>
                            <w:sz w:val="18"/>
                            <w:szCs w:val="18"/>
                          </w:rPr>
                          <w:t>天津滨河数据 信息技术有限公司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交易对方刘开同、董书倩、刘运</w:t>
                        </w:r>
                        <w:r>
                          <w:rPr>
                            <w:rFonts w:ascii="宋体" w:hAnsi="宋体" w:cs="宋体" w:eastAsia="宋体" w:hint="default"/>
                            <w:sz w:val="18"/>
                            <w:szCs w:val="18"/>
                          </w:rPr>
                          <w:t> 龙和滨河数据向上市公司承诺： 如标的资产交割日为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则标的公司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年度实现的合并报表 扣除非经常性损益后归属于母 公司股东的净利润分别不低于 </w:t>
                        </w:r>
                        <w:r>
                          <w:rPr>
                            <w:rFonts w:ascii="Times New Roman" w:hAnsi="Times New Roman" w:cs="Times New Roman" w:eastAsia="Times New Roman" w:hint="default"/>
                            <w:sz w:val="18"/>
                            <w:szCs w:val="18"/>
                          </w:rPr>
                          <w:t>6,100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7,250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8,650</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万元；如标的资产交割日为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年，则滨河创新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7"/>
                            <w:sz w:val="18"/>
                            <w:szCs w:val="18"/>
                          </w:rPr>
                          <w:t> </w:t>
                        </w:r>
                        <w:r>
                          <w:rPr>
                            <w:rFonts w:ascii="宋体" w:hAnsi="宋体" w:cs="宋体" w:eastAsia="宋体" w:hint="default"/>
                            <w:spacing w:val="-9"/>
                            <w:sz w:val="18"/>
                            <w:szCs w:val="18"/>
                          </w:rPr>
                          <w:t>年度、</w:t>
                        </w:r>
                        <w:r>
                          <w:rPr>
                            <w:rFonts w:ascii="Times New Roman" w:hAnsi="Times New Roman" w:cs="Times New Roman" w:eastAsia="Times New Roman" w:hint="default"/>
                            <w:spacing w:val="-9"/>
                            <w:sz w:val="18"/>
                            <w:szCs w:val="18"/>
                          </w:rPr>
                          <w:t>2016</w:t>
                        </w:r>
                      </w:p>
                      <w:p>
                        <w:pPr>
                          <w:pStyle w:val="TableParagraph"/>
                          <w:spacing w:line="31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年度实现的合并报 表扣除非经常性损益后归属于 母公司股东的净利润分别不低 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7,250</w:t>
                        </w:r>
                        <w:r>
                          <w:rPr>
                            <w:rFonts w:ascii="Times New Roman" w:hAnsi="Times New Roman" w:cs="Times New Roman" w:eastAsia="Times New Roman" w:hint="default"/>
                            <w:spacing w:val="-17"/>
                            <w:sz w:val="18"/>
                            <w:szCs w:val="18"/>
                          </w:rPr>
                          <w:t>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8,650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万元和</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9,450</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万元。本次交易的利润补偿期为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标的资产交割日起连续三个会 计年度（含标的资产交割日当 </w:t>
                        </w:r>
                        <w:r>
                          <w:rPr>
                            <w:rFonts w:ascii="宋体" w:hAnsi="宋体" w:cs="宋体" w:eastAsia="宋体" w:hint="default"/>
                            <w:spacing w:val="-7"/>
                            <w:sz w:val="18"/>
                            <w:szCs w:val="18"/>
                          </w:rPr>
                          <w:t>年），即如标的资产交割日为</w:t>
                        </w:r>
                        <w:r>
                          <w:rPr>
                            <w:rFonts w:ascii="宋体" w:hAnsi="宋体" w:cs="宋体" w:eastAsia="宋体" w:hint="default"/>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年，则利润补偿期为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如标的资产交割日为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则利润补偿期为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4146"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3" w:right="84"/>
                          <w:jc w:val="left"/>
                          <w:rPr>
                            <w:rFonts w:ascii="宋体" w:hAnsi="宋体" w:cs="宋体" w:eastAsia="宋体" w:hint="default"/>
                            <w:sz w:val="18"/>
                            <w:szCs w:val="18"/>
                          </w:rPr>
                        </w:pPr>
                        <w:r>
                          <w:rPr>
                            <w:rFonts w:ascii="宋体" w:hAnsi="宋体" w:cs="宋体" w:eastAsia="宋体" w:hint="default"/>
                            <w:sz w:val="18"/>
                            <w:szCs w:val="18"/>
                          </w:rPr>
                          <w:t>天津滨河数据信息 技术有限公司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一、中科金财本次向本公司发行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的股份自股份上市之日起三十 </w:t>
                        </w:r>
                        <w:r>
                          <w:rPr>
                            <w:rFonts w:ascii="宋体" w:hAnsi="宋体" w:cs="宋体" w:eastAsia="宋体" w:hint="default"/>
                            <w:spacing w:val="-2"/>
                            <w:sz w:val="18"/>
                            <w:szCs w:val="18"/>
                          </w:rPr>
                          <w:t>六个月内不得转让和质押。对于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无法避免或有合理原因而发生 </w:t>
                        </w:r>
                        <w:r>
                          <w:rPr>
                            <w:rFonts w:ascii="宋体" w:hAnsi="宋体" w:cs="宋体" w:eastAsia="宋体" w:hint="default"/>
                            <w:spacing w:val="-2"/>
                            <w:sz w:val="18"/>
                            <w:szCs w:val="18"/>
                          </w:rPr>
                          <w:t>的股份质押，需获得中科金财实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际控制人书面同意方可执行。 </w:t>
                        </w:r>
                        <w:r>
                          <w:rPr>
                            <w:rFonts w:ascii="宋体" w:hAnsi="宋体" w:cs="宋体" w:eastAsia="宋体" w:hint="default"/>
                            <w:spacing w:val="-2"/>
                            <w:sz w:val="18"/>
                            <w:szCs w:val="18"/>
                          </w:rPr>
                          <w:t>二、锁定期内，本公司如因中科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金财实施送红股、资本公积金转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增股本事项而增持的中科金财 </w:t>
                        </w:r>
                        <w:r>
                          <w:rPr>
                            <w:rFonts w:ascii="宋体" w:hAnsi="宋体" w:cs="宋体" w:eastAsia="宋体" w:hint="default"/>
                            <w:spacing w:val="-2"/>
                            <w:sz w:val="18"/>
                            <w:szCs w:val="18"/>
                          </w:rPr>
                          <w:t>股份，亦应遵守上述锁定期限的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约定，但相关法律法规、中国证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券监督管理委员会及深圳证券 交易所另有规定的除外。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102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刘运龙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pacing w:val="-2"/>
                            <w:sz w:val="18"/>
                            <w:szCs w:val="18"/>
                          </w:rPr>
                          <w:t>一、中科金财通过本次交易向本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人发行的中科金财股份自股份 上市之日起十二个月内不得转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line="240" w:lineRule="auto" w:before="3"/>
        <w:rPr>
          <w:rFonts w:ascii="Times New Roman" w:hAnsi="Times New Roman" w:cs="Times New Roman" w:eastAsia="Times New Roman" w:hint="default"/>
          <w:sz w:val="13"/>
          <w:szCs w:val="13"/>
        </w:rPr>
      </w:pPr>
    </w:p>
    <w:p>
      <w:pPr>
        <w:spacing w:line="1288" w:lineRule="exact"/>
        <w:ind w:left="63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56.2pt;height:64.45pt;mso-position-horizontal-relative:char;mso-position-vertical-relative:line" coordorigin="0,0" coordsize="1124,1289">
            <v:group style="position:absolute;left:0;top:0;width:1124;height:1289" coordorigin="0,0" coordsize="1124,1289">
              <v:shape style="position:absolute;left:0;top:0;width:1124;height:1289" coordorigin="0,0" coordsize="1124,1289" path="m0,1289l1124,1289,1124,0,0,0,0,1289xe" filled="true" fillcolor="#ffffff" stroked="false">
                <v:path arrowok="t"/>
                <v:fill type="solid"/>
              </v:shape>
            </v:group>
          </v:group>
        </w:pict>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p>
      <w:pPr>
        <w:spacing w:before="0"/>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6.5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3483"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
                          <w:jc w:val="left"/>
                          <w:rPr>
                            <w:rFonts w:ascii="宋体" w:hAnsi="宋体" w:cs="宋体" w:eastAsia="宋体" w:hint="default"/>
                            <w:sz w:val="18"/>
                            <w:szCs w:val="18"/>
                          </w:rPr>
                        </w:pPr>
                        <w:r>
                          <w:rPr>
                            <w:rFonts w:ascii="宋体" w:hAnsi="宋体" w:cs="宋体" w:eastAsia="宋体" w:hint="default"/>
                            <w:spacing w:val="-2"/>
                            <w:sz w:val="18"/>
                            <w:szCs w:val="18"/>
                          </w:rPr>
                          <w:t>让和质押。对于无法避免或有合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理原因而发生的股份质押，需获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得中科金财实际控制人书面同 </w:t>
                        </w:r>
                        <w:r>
                          <w:rPr>
                            <w:rFonts w:ascii="宋体" w:hAnsi="宋体" w:cs="宋体" w:eastAsia="宋体" w:hint="default"/>
                            <w:spacing w:val="-7"/>
                            <w:sz w:val="18"/>
                            <w:szCs w:val="18"/>
                          </w:rPr>
                          <w:t>意方可执行。。二、锁定期内，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本人如因中科金财实施送红股、 资本公积金转增股本事项而增 </w:t>
                        </w:r>
                        <w:r>
                          <w:rPr>
                            <w:rFonts w:ascii="宋体" w:hAnsi="宋体" w:cs="宋体" w:eastAsia="宋体" w:hint="default"/>
                            <w:spacing w:val="-2"/>
                            <w:sz w:val="18"/>
                            <w:szCs w:val="18"/>
                          </w:rPr>
                          <w:t>持的中科金财股份，亦应遵守上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述锁定期限的约定，但相关法律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法规、中国证券监督管理委员会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及深圳证券交易所另有规定的 除外。</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976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刘开同</w:t>
                        </w:r>
                        <w:r>
                          <w:rPr>
                            <w:rFonts w:ascii="Times New Roman" w:hAnsi="Times New Roman" w:cs="Times New Roman" w:eastAsia="Times New Roman" w:hint="default"/>
                            <w:sz w:val="18"/>
                            <w:szCs w:val="18"/>
                          </w:rPr>
                          <w:t>;</w:t>
                        </w:r>
                        <w:r>
                          <w:rPr>
                            <w:rFonts w:ascii="宋体" w:hAnsi="宋体" w:cs="宋体" w:eastAsia="宋体" w:hint="default"/>
                            <w:sz w:val="18"/>
                            <w:szCs w:val="18"/>
                          </w:rPr>
                          <w:t>董书倩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
                          <w:jc w:val="left"/>
                          <w:rPr>
                            <w:rFonts w:ascii="宋体" w:hAnsi="宋体" w:cs="宋体" w:eastAsia="宋体" w:hint="default"/>
                            <w:sz w:val="18"/>
                            <w:szCs w:val="18"/>
                          </w:rPr>
                        </w:pPr>
                        <w:r>
                          <w:rPr>
                            <w:rFonts w:ascii="宋体" w:hAnsi="宋体" w:cs="宋体" w:eastAsia="宋体" w:hint="default"/>
                            <w:spacing w:val="-2"/>
                            <w:sz w:val="18"/>
                            <w:szCs w:val="18"/>
                          </w:rPr>
                          <w:t>一、中科金财通过本次交易向本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人发行的中科金财股份自股份 上市之日起十二个月内不得转 </w:t>
                        </w:r>
                        <w:r>
                          <w:rPr>
                            <w:rFonts w:ascii="宋体" w:hAnsi="宋体" w:cs="宋体" w:eastAsia="宋体" w:hint="default"/>
                            <w:spacing w:val="-2"/>
                            <w:sz w:val="18"/>
                            <w:szCs w:val="18"/>
                          </w:rPr>
                          <w:t>让和质押。对于无法避免或有合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理原因而发生的股份质押，需获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得中科金财实际控制人书面同 </w:t>
                        </w:r>
                        <w:r>
                          <w:rPr>
                            <w:rFonts w:ascii="宋体" w:hAnsi="宋体" w:cs="宋体" w:eastAsia="宋体" w:hint="default"/>
                            <w:spacing w:val="-2"/>
                            <w:sz w:val="18"/>
                            <w:szCs w:val="18"/>
                          </w:rPr>
                          <w:t>意方可执行。在十二个月届满后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按如下比例逐步解除限售：（</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宋体" w:hAnsi="宋体" w:cs="宋体" w:eastAsia="宋体" w:hint="default"/>
                            <w:sz w:val="18"/>
                            <w:szCs w:val="18"/>
                          </w:rPr>
                          <w:t> 自本次股份发行交易完成之日 </w:t>
                        </w:r>
                        <w:r>
                          <w:rPr>
                            <w:rFonts w:ascii="宋体" w:hAnsi="宋体" w:cs="宋体" w:eastAsia="宋体" w:hint="default"/>
                            <w:spacing w:val="-2"/>
                            <w:sz w:val="18"/>
                            <w:szCs w:val="18"/>
                          </w:rPr>
                          <w:t>起满十二个月，且审计机构对滨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年度实际盈利情况 </w:t>
                        </w:r>
                        <w:r>
                          <w:rPr>
                            <w:rFonts w:ascii="宋体" w:hAnsi="宋体" w:cs="宋体" w:eastAsia="宋体" w:hint="default"/>
                            <w:spacing w:val="-2"/>
                            <w:sz w:val="18"/>
                            <w:szCs w:val="18"/>
                          </w:rPr>
                          <w:t>出具《专项审核报告》后，解除</w:t>
                        </w:r>
                        <w:r>
                          <w:rPr>
                            <w:rFonts w:ascii="宋体" w:hAnsi="宋体" w:cs="宋体" w:eastAsia="宋体" w:hint="default"/>
                            <w:sz w:val="18"/>
                            <w:szCs w:val="18"/>
                          </w:rPr>
                          <w:t> 锁定股份的数量为因本次交易 而获得的中科金财股份数量的 </w:t>
                        </w:r>
                        <w:r>
                          <w:rPr>
                            <w:rFonts w:ascii="Times New Roman" w:hAnsi="Times New Roman" w:cs="Times New Roman" w:eastAsia="Times New Roman" w:hint="default"/>
                            <w:spacing w:val="-6"/>
                            <w:sz w:val="18"/>
                            <w:szCs w:val="18"/>
                          </w:rPr>
                          <w:t>30%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）审计机构对滨河创新</w:t>
                        </w:r>
                      </w:p>
                      <w:p>
                        <w:pPr>
                          <w:pStyle w:val="TableParagraph"/>
                          <w:spacing w:line="312" w:lineRule="auto" w:before="1"/>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年度实际盈利情况出具《专</w:t>
                        </w:r>
                        <w:r>
                          <w:rPr>
                            <w:rFonts w:ascii="宋体" w:hAnsi="宋体" w:cs="宋体" w:eastAsia="宋体" w:hint="default"/>
                            <w:sz w:val="18"/>
                            <w:szCs w:val="18"/>
                          </w:rPr>
                          <w:t> 项审核报告》后，解除锁定股份 的数量为因本次交易而获得的 中科金财股份数量的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30%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审计机构对滨河创新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 </w:t>
                        </w:r>
                        <w:r>
                          <w:rPr>
                            <w:rFonts w:ascii="宋体" w:hAnsi="宋体" w:cs="宋体" w:eastAsia="宋体" w:hint="default"/>
                            <w:sz w:val="18"/>
                            <w:szCs w:val="18"/>
                          </w:rPr>
                          <w:t>实际盈利情况出具《专项审核报</w:t>
                        </w:r>
                        <w:r>
                          <w:rPr>
                            <w:rFonts w:ascii="宋体" w:hAnsi="宋体" w:cs="宋体" w:eastAsia="宋体" w:hint="default"/>
                            <w:sz w:val="18"/>
                            <w:szCs w:val="18"/>
                          </w:rPr>
                          <w:t> 告》及《减值测试报告》后，解 除锁定股份的数量为因本次交 易而获得的中科金财股份数量</w:t>
                        </w:r>
                      </w:p>
                      <w:p>
                        <w:pPr>
                          <w:pStyle w:val="TableParagraph"/>
                          <w:spacing w:line="314" w:lineRule="auto" w:before="22"/>
                          <w:ind w:left="22" w:right="-1"/>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。二、锁定期内，本人如</w:t>
                        </w:r>
                        <w:r>
                          <w:rPr>
                            <w:rFonts w:ascii="宋体" w:hAnsi="宋体" w:cs="宋体" w:eastAsia="宋体" w:hint="default"/>
                            <w:sz w:val="18"/>
                            <w:szCs w:val="18"/>
                          </w:rPr>
                          <w:t> </w:t>
                        </w:r>
                        <w:r>
                          <w:rPr>
                            <w:rFonts w:ascii="宋体" w:hAnsi="宋体" w:cs="宋体" w:eastAsia="宋体" w:hint="default"/>
                            <w:spacing w:val="-2"/>
                            <w:sz w:val="18"/>
                            <w:szCs w:val="18"/>
                          </w:rPr>
                          <w:t>因中科金财实施送红股、资本公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积金转增股本事项而增持的中 </w:t>
                        </w:r>
                        <w:r>
                          <w:rPr>
                            <w:rFonts w:ascii="宋体" w:hAnsi="宋体" w:cs="宋体" w:eastAsia="宋体" w:hint="default"/>
                            <w:spacing w:val="-2"/>
                            <w:sz w:val="18"/>
                            <w:szCs w:val="18"/>
                          </w:rPr>
                          <w:t>科金财股份，亦应遵守上述锁定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期限的约定，但相关法律法规、 中国证券监督管理委员会及深 圳证券交易所另有规定的除外。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67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沈飒、陈绪华、蔡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自公司首次公开发行股票并上 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承诺人严格</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6"/>
          <w:szCs w:val="26"/>
        </w:rPr>
      </w:pPr>
      <w:r>
        <w:rPr/>
        <w:pict>
          <v:shape style="position:absolute;margin-left:56.459999pt;margin-top:71.999985pt;width:479.2pt;height:694.4pt;mso-position-horizontal-relative:page;mso-position-vertical-relative:page;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2547"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所作承诺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者委托他人管理其持有的公司 </w:t>
                        </w:r>
                        <w:r>
                          <w:rPr>
                            <w:rFonts w:ascii="宋体" w:hAnsi="宋体" w:cs="宋体" w:eastAsia="宋体" w:hint="default"/>
                            <w:spacing w:val="-2"/>
                            <w:sz w:val="18"/>
                            <w:szCs w:val="18"/>
                          </w:rPr>
                          <w:t>股份，也不由公司回购该部分股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份。在前述限售期满后，本人所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持公司股份在本人和朱烨东任 </w:t>
                        </w:r>
                        <w:r>
                          <w:rPr>
                            <w:rFonts w:ascii="宋体" w:hAnsi="宋体" w:cs="宋体" w:eastAsia="宋体" w:hint="default"/>
                            <w:spacing w:val="-2"/>
                            <w:sz w:val="18"/>
                            <w:szCs w:val="18"/>
                          </w:rPr>
                          <w:t>公司董事、监事或高级管理人员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期间每年转让的比例不超过所 持股份总数的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25%</w:t>
                        </w:r>
                        <w:r>
                          <w:rPr>
                            <w:rFonts w:ascii="宋体" w:hAnsi="宋体" w:cs="宋体" w:eastAsia="宋体" w:hint="default"/>
                            <w:spacing w:val="-5"/>
                            <w:sz w:val="18"/>
                            <w:szCs w:val="18"/>
                          </w:rPr>
                          <w:t>，并且在离职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后半年内不转让本人所持股份。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履行了承诺</w:t>
                        </w:r>
                      </w:p>
                    </w:tc>
                  </w:tr>
                  <w:tr>
                    <w:trPr>
                      <w:trHeight w:val="1650"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将承担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年公司因</w:t>
                        </w:r>
                        <w:r>
                          <w:rPr>
                            <w:rFonts w:ascii="Times New Roman" w:hAnsi="Times New Roman" w:cs="Times New Roman" w:eastAsia="Times New Roman" w:hint="default"/>
                            <w:sz w:val="18"/>
                            <w:szCs w:val="18"/>
                          </w:rPr>
                          <w:t>“</w:t>
                        </w:r>
                        <w:r>
                          <w:rPr>
                            <w:rFonts w:ascii="宋体" w:hAnsi="宋体" w:cs="宋体" w:eastAsia="宋体" w:hint="default"/>
                            <w:sz w:val="18"/>
                            <w:szCs w:val="18"/>
                          </w:rPr>
                          <w:t>原 单位缴纳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新参保或所需资料 未准备齐全</w:t>
                        </w:r>
                        <w:r>
                          <w:rPr>
                            <w:rFonts w:ascii="Times New Roman" w:hAnsi="Times New Roman" w:cs="Times New Roman" w:eastAsia="Times New Roman" w:hint="default"/>
                            <w:sz w:val="18"/>
                            <w:szCs w:val="18"/>
                          </w:rPr>
                          <w:t>”</w:t>
                        </w:r>
                        <w:r>
                          <w:rPr>
                            <w:rFonts w:ascii="宋体" w:hAnsi="宋体" w:cs="宋体" w:eastAsia="宋体" w:hint="default"/>
                            <w:sz w:val="18"/>
                            <w:szCs w:val="18"/>
                          </w:rPr>
                          <w:t>而未能及时缴纳社 </w:t>
                        </w:r>
                        <w:r>
                          <w:rPr>
                            <w:rFonts w:ascii="宋体" w:hAnsi="宋体" w:cs="宋体" w:eastAsia="宋体" w:hint="default"/>
                            <w:spacing w:val="-2"/>
                            <w:sz w:val="18"/>
                            <w:szCs w:val="18"/>
                          </w:rPr>
                          <w:t>会保险、住房公积金等问题可能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产生的全部费用和经济损失。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2274"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若公司租赁房产在租赁有效期 内因出租人未办理房产证或者 未办理租赁备案登记导致中科 金财受到任何罚款或者需要变 </w:t>
                        </w:r>
                        <w:r>
                          <w:rPr>
                            <w:rFonts w:ascii="宋体" w:hAnsi="宋体" w:cs="宋体" w:eastAsia="宋体" w:hint="default"/>
                            <w:spacing w:val="-2"/>
                            <w:sz w:val="18"/>
                            <w:szCs w:val="18"/>
                          </w:rPr>
                          <w:t>更办公场所，将承担公司及其子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公司中科商务由此产生的所有 经济损失。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1962"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尽量避免不必要的关联交易发 </w:t>
                        </w:r>
                        <w:r>
                          <w:rPr>
                            <w:rFonts w:ascii="宋体" w:hAnsi="宋体" w:cs="宋体" w:eastAsia="宋体" w:hint="default"/>
                            <w:spacing w:val="-2"/>
                            <w:sz w:val="18"/>
                            <w:szCs w:val="18"/>
                          </w:rPr>
                          <w:t>生，对持续经营所发生的必要的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关联交易，应以双方协议规定的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方式进行处理，遵循市场化的定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价原则，避免损害广大中小股东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权益的情况发生。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2898"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3" w:right="35"/>
                          <w:jc w:val="both"/>
                          <w:rPr>
                            <w:rFonts w:ascii="宋体" w:hAnsi="宋体" w:cs="宋体" w:eastAsia="宋体" w:hint="default"/>
                            <w:sz w:val="18"/>
                            <w:szCs w:val="18"/>
                          </w:rPr>
                        </w:pPr>
                        <w:r>
                          <w:rPr>
                            <w:rFonts w:ascii="宋体" w:hAnsi="宋体" w:cs="宋体" w:eastAsia="宋体" w:hint="default"/>
                            <w:sz w:val="18"/>
                            <w:szCs w:val="18"/>
                          </w:rPr>
                          <w:t>朱烨东</w:t>
                        </w:r>
                        <w:r>
                          <w:rPr>
                            <w:rFonts w:ascii="Times New Roman" w:hAnsi="Times New Roman" w:cs="Times New Roman" w:eastAsia="Times New Roman" w:hint="default"/>
                            <w:sz w:val="18"/>
                            <w:szCs w:val="18"/>
                          </w:rPr>
                          <w:t>;</w:t>
                        </w:r>
                        <w:r>
                          <w:rPr>
                            <w:rFonts w:ascii="宋体" w:hAnsi="宋体" w:cs="宋体" w:eastAsia="宋体" w:hint="default"/>
                            <w:sz w:val="18"/>
                            <w:szCs w:val="18"/>
                          </w:rPr>
                          <w:t>沈飒</w:t>
                        </w:r>
                        <w:r>
                          <w:rPr>
                            <w:rFonts w:ascii="Times New Roman" w:hAnsi="Times New Roman" w:cs="Times New Roman" w:eastAsia="Times New Roman" w:hint="default"/>
                            <w:sz w:val="18"/>
                            <w:szCs w:val="18"/>
                          </w:rPr>
                          <w:t>;</w:t>
                        </w:r>
                        <w:r>
                          <w:rPr>
                            <w:rFonts w:ascii="宋体" w:hAnsi="宋体" w:cs="宋体" w:eastAsia="宋体" w:hint="default"/>
                            <w:sz w:val="18"/>
                            <w:szCs w:val="18"/>
                          </w:rPr>
                          <w:t>陈绪</w:t>
                        </w:r>
                        <w:r>
                          <w:rPr>
                            <w:rFonts w:ascii="宋体" w:hAnsi="宋体" w:cs="宋体" w:eastAsia="宋体" w:hint="default"/>
                            <w:spacing w:val="-2"/>
                            <w:sz w:val="18"/>
                            <w:szCs w:val="18"/>
                          </w:rPr>
                          <w:t> </w:t>
                        </w: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蔡迦</w:t>
                        </w:r>
                        <w:r>
                          <w:rPr>
                            <w:rFonts w:ascii="Times New Roman" w:hAnsi="Times New Roman" w:cs="Times New Roman" w:eastAsia="Times New Roman" w:hint="default"/>
                            <w:sz w:val="18"/>
                            <w:szCs w:val="18"/>
                          </w:rPr>
                          <w:t>;</w:t>
                        </w:r>
                        <w:r>
                          <w:rPr>
                            <w:rFonts w:ascii="宋体" w:hAnsi="宋体" w:cs="宋体" w:eastAsia="宋体" w:hint="default"/>
                            <w:sz w:val="18"/>
                            <w:szCs w:val="18"/>
                          </w:rPr>
                          <w:t>李彤彤</w:t>
                        </w:r>
                        <w:r>
                          <w:rPr>
                            <w:rFonts w:ascii="Times New Roman" w:hAnsi="Times New Roman" w:cs="Times New Roman" w:eastAsia="Times New Roman" w:hint="default"/>
                            <w:sz w:val="18"/>
                            <w:szCs w:val="18"/>
                          </w:rPr>
                          <w:t>;</w:t>
                        </w:r>
                        <w:r>
                          <w:rPr>
                            <w:rFonts w:ascii="宋体" w:hAnsi="宋体" w:cs="宋体" w:eastAsia="宋体" w:hint="default"/>
                            <w:sz w:val="18"/>
                            <w:szCs w:val="18"/>
                          </w:rPr>
                          <w:t>天 津达晨创富股权投 资基金中心（有限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天津常春藤 一期股权投资中心</w:t>
                        </w:r>
                      </w:p>
                      <w:p>
                        <w:pPr>
                          <w:pStyle w:val="TableParagraph"/>
                          <w:spacing w:line="240" w:lineRule="auto" w:before="27"/>
                          <w:ind w:left="23"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不存在直接或间接地从事任何 与中科金财所从事的业务构成 </w:t>
                        </w:r>
                        <w:r>
                          <w:rPr>
                            <w:rFonts w:ascii="宋体" w:hAnsi="宋体" w:cs="宋体" w:eastAsia="宋体" w:hint="default"/>
                            <w:spacing w:val="-2"/>
                            <w:sz w:val="18"/>
                            <w:szCs w:val="18"/>
                          </w:rPr>
                          <w:t>同业竞争的任何业务活动，今后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的任何时间亦不会直接或间接 </w:t>
                        </w:r>
                        <w:r>
                          <w:rPr>
                            <w:rFonts w:ascii="宋体" w:hAnsi="宋体" w:cs="宋体" w:eastAsia="宋体" w:hint="default"/>
                            <w:spacing w:val="-2"/>
                            <w:sz w:val="18"/>
                            <w:szCs w:val="18"/>
                          </w:rPr>
                          <w:t>地以任何方式（包括但不限于独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资、合营、合作和联营）参与或</w:t>
                        </w:r>
                        <w:r>
                          <w:rPr>
                            <w:rFonts w:ascii="宋体" w:hAnsi="宋体" w:cs="宋体" w:eastAsia="宋体" w:hint="default"/>
                            <w:sz w:val="18"/>
                            <w:szCs w:val="18"/>
                          </w:rPr>
                          <w:t> 进行任何与中科金财所从事的 业务有实质性竞争或可能有实 质性竞争的业务活动。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254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02" w:lineRule="auto"/>
                          <w:ind w:left="23" w:right="114"/>
                          <w:jc w:val="both"/>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w:t>
                        </w:r>
                        <w:r>
                          <w:rPr>
                            <w:rFonts w:ascii="宋体" w:hAnsi="宋体" w:cs="宋体" w:eastAsia="宋体" w:hint="default"/>
                            <w:sz w:val="18"/>
                            <w:szCs w:val="18"/>
                          </w:rPr>
                          <w:t>吴 红心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交易对方关于保持中科金财和 滨河创新独立性，出具如下承 </w:t>
                        </w:r>
                        <w:r>
                          <w:rPr>
                            <w:rFonts w:ascii="宋体" w:hAnsi="宋体" w:cs="宋体" w:eastAsia="宋体" w:hint="default"/>
                            <w:spacing w:val="-2"/>
                            <w:sz w:val="18"/>
                            <w:szCs w:val="18"/>
                          </w:rPr>
                          <w:t>诺：一、保证中科金财、滨河创</w:t>
                        </w:r>
                        <w:r>
                          <w:rPr>
                            <w:rFonts w:ascii="宋体" w:hAnsi="宋体" w:cs="宋体" w:eastAsia="宋体" w:hint="default"/>
                            <w:sz w:val="18"/>
                            <w:szCs w:val="18"/>
                          </w:rPr>
                          <w:t> 新的人员独立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 </w:t>
                        </w:r>
                        <w:r>
                          <w:rPr>
                            <w:rFonts w:ascii="宋体" w:hAnsi="宋体" w:cs="宋体" w:eastAsia="宋体" w:hint="default"/>
                            <w:spacing w:val="-2"/>
                            <w:sz w:val="18"/>
                            <w:szCs w:val="18"/>
                          </w:rPr>
                          <w:t>完成后中科金财、滨河创新的劳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动、人事及薪酬管理与本人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w:t>
                        </w:r>
                        <w:r>
                          <w:rPr>
                            <w:rFonts w:ascii="宋体" w:hAnsi="宋体" w:cs="宋体" w:eastAsia="宋体" w:hint="default"/>
                            <w:spacing w:val="-76"/>
                            <w:sz w:val="18"/>
                            <w:szCs w:val="18"/>
                          </w:rPr>
                          <w:t> </w:t>
                        </w: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 司或者其他经济组织等关联方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9.660004pt;margin-top:72.47998pt;width:125.4pt;height:686.5pt;mso-position-horizontal-relative:page;mso-position-vertical-relative:page;z-index:-1003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1"/>
                    <w:ind w:left="0" w:right="0" w:firstLine="0"/>
                    <w:jc w:val="left"/>
                    <w:rPr>
                      <w:rFonts w:ascii="宋体" w:hAnsi="宋体" w:cs="宋体" w:eastAsia="宋体" w:hint="default"/>
                      <w:sz w:val="18"/>
                      <w:szCs w:val="18"/>
                    </w:rPr>
                  </w:pPr>
                  <w:r>
                    <w:rPr>
                      <w:rFonts w:ascii="宋体" w:hAnsi="宋体" w:cs="宋体" w:eastAsia="宋体" w:hint="default"/>
                      <w:sz w:val="18"/>
                      <w:szCs w:val="18"/>
                    </w:rPr>
                    <w:t>完整的组织机构。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322"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tcPr>
          <w:p>
            <w:pPr/>
          </w:p>
        </w:tc>
        <w:tc>
          <w:tcPr>
            <w:tcW w:w="2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之间完全独立。</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w:t>
            </w:r>
          </w:p>
        </w:tc>
        <w:tc>
          <w:tcPr>
            <w:tcW w:w="1134" w:type="dxa"/>
            <w:vMerge w:val="restart"/>
            <w:tcBorders>
              <w:top w:val="single" w:sz="4" w:space="0" w:color="000000"/>
              <w:left w:val="single" w:sz="4" w:space="0" w:color="000000"/>
              <w:right w:val="single" w:sz="4" w:space="0" w:color="000000"/>
            </w:tcBorders>
          </w:tcPr>
          <w:p>
            <w:pPr>
              <w:pStyle w:val="TableParagraph"/>
              <w:spacing w:line="13729"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6.2pt;height:686.5pt;mso-position-horizontal-relative:char;mso-position-vertical-relative:line" coordorigin="0,0" coordsize="1124,13730">
                  <v:group style="position:absolute;left:0;top:0;width:1124;height:13730" coordorigin="0,0" coordsize="1124,13730">
                    <v:shape style="position:absolute;left:0;top:0;width:1124;height:13730" coordorigin="0,0" coordsize="1124,13730" path="m0,13729l1124,13729,1124,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34"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易完成后中科金财、滨河创新的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高级管理人员均专职在中科金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财、滨河创新任职并领取薪酬，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控制的其他公司、企业或者其他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经济组织等关联方担任董事以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外的职务。二、保证中科金财、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滨河创新的机构独立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次交易完成后中科金财、滨河创</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新构建健全的公司法人治理结</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9"/>
                <w:sz w:val="18"/>
                <w:szCs w:val="18"/>
              </w:rPr>
              <w:t>构，拥有独立、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．保证本次交易完成后中科金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2"/>
              <w:jc w:val="left"/>
              <w:rPr>
                <w:rFonts w:ascii="宋体" w:hAnsi="宋体" w:cs="宋体" w:eastAsia="宋体" w:hint="default"/>
                <w:sz w:val="18"/>
                <w:szCs w:val="18"/>
              </w:rPr>
            </w:pPr>
            <w:r>
              <w:rPr>
                <w:rFonts w:ascii="宋体" w:hAnsi="宋体" w:cs="宋体" w:eastAsia="宋体" w:hint="default"/>
                <w:sz w:val="18"/>
                <w:szCs w:val="18"/>
              </w:rPr>
              <w:t>财、滨河创新的股东（大）会、</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董事会、监事会等依照法律、法</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规及中科金财、滨河创新公司章</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程独立行使职权。三、保证中科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金财、滨河创新的资产独立、完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．保证本次交易完成后中科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金财、滨河创新拥有与生产经营</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1"/>
                <w:sz w:val="18"/>
                <w:szCs w:val="18"/>
              </w:rPr>
              <w:t>有关的独立、完整的资产。</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．保</w:t>
            </w:r>
            <w:r>
              <w:rPr>
                <w:rFonts w:ascii="宋体" w:hAnsi="宋体" w:cs="宋体" w:eastAsia="宋体" w:hint="default"/>
                <w:sz w:val="18"/>
                <w:szCs w:val="18"/>
              </w:rPr>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证本次交易完成后中科金财、滨</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河创新的经营场所独立于本人</w:t>
            </w:r>
            <w:r>
              <w:rPr>
                <w:rFonts w:ascii="Times New Roman" w:hAnsi="Times New Roman" w:cs="Times New Roman" w:eastAsia="Times New Roman" w:hint="default"/>
                <w:sz w:val="18"/>
                <w:szCs w:val="18"/>
              </w:rPr>
              <w:t>/</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他公司、企业或者其他经济组织</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等关联方。</w:t>
            </w:r>
            <w:r>
              <w:rPr>
                <w:rFonts w:ascii="Times New Roman" w:hAnsi="Times New Roman" w:cs="Times New Roman" w:eastAsia="Times New Roman" w:hint="default"/>
                <w:sz w:val="18"/>
                <w:szCs w:val="18"/>
              </w:rPr>
              <w:t>3</w:t>
            </w:r>
            <w:r>
              <w:rPr>
                <w:rFonts w:ascii="宋体" w:hAnsi="宋体" w:cs="宋体" w:eastAsia="宋体" w:hint="default"/>
                <w:sz w:val="18"/>
                <w:szCs w:val="18"/>
              </w:rPr>
              <w:t>．除正常经营性往</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来外，保证本次交易完成后中科</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金财、滨河创新不存在资金、资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产被本人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控制的其他公司、企业或者其他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经济组织等关联方占用的情形。</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四、保证中科金财、滨河创新的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．保证本次交易完成</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后中科金财、滨河创新拥有独立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开展经营活动的相关资质，具有</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面向市场的独立、自主、持续的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经营能力。</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．保证本次交易完</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0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控制的其他公司、企业或者其他</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经济组织等关联方避免从事与</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中科金财、滨河创新及其控制的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2"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其他公司、企业或者其他经济组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7" w:hRule="exact"/>
        </w:trPr>
        <w:tc>
          <w:tcPr>
            <w:tcW w:w="2127"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tcPr>
          <w:p>
            <w:pPr/>
          </w:p>
        </w:tc>
        <w:tc>
          <w:tcPr>
            <w:tcW w:w="2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织具有竞争关系的业务。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313"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tcPr>
          <w:p>
            <w:pP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证本次交易完成后本人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80.3pt;height:692pt;mso-position-horizontal-relative:page;mso-position-vertical-relative:page;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85"/>
                  </w:tblGrid>
                  <w:tr>
                    <w:trPr>
                      <w:trHeight w:val="10035"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企业或者其他经济组织等关联 </w:t>
                        </w:r>
                        <w:r>
                          <w:rPr>
                            <w:rFonts w:ascii="宋体" w:hAnsi="宋体" w:cs="宋体" w:eastAsia="宋体" w:hint="default"/>
                            <w:spacing w:val="-2"/>
                            <w:sz w:val="18"/>
                            <w:szCs w:val="18"/>
                          </w:rPr>
                          <w:t>方减少与中科金财、滨河创新及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其控制的其他公司、企业或者其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他经济组织的关联交易；对于确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有必要且无法避免的关联交易， 保证按市场原则和公允价格进 </w:t>
                        </w:r>
                        <w:r>
                          <w:rPr>
                            <w:rFonts w:ascii="宋体" w:hAnsi="宋体" w:cs="宋体" w:eastAsia="宋体" w:hint="default"/>
                            <w:spacing w:val="-2"/>
                            <w:sz w:val="18"/>
                            <w:szCs w:val="18"/>
                          </w:rPr>
                          <w:t>行公平操作，并按相关法律、法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规及规范性文件的规定履行相 关审批程序及信息披露义务。 </w:t>
                        </w:r>
                        <w:r>
                          <w:rPr>
                            <w:rFonts w:ascii="宋体" w:hAnsi="宋体" w:cs="宋体" w:eastAsia="宋体" w:hint="default"/>
                            <w:spacing w:val="-2"/>
                            <w:sz w:val="18"/>
                            <w:szCs w:val="18"/>
                          </w:rPr>
                          <w:t>五、保证中科金财、滨河创新的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．保证中科金财、滨 河创新本次交易完成后分别具 备独立的财务部门以及独立的 </w:t>
                        </w:r>
                        <w:r>
                          <w:rPr>
                            <w:rFonts w:ascii="宋体" w:hAnsi="宋体" w:cs="宋体" w:eastAsia="宋体" w:hint="default"/>
                            <w:spacing w:val="-2"/>
                            <w:sz w:val="18"/>
                            <w:szCs w:val="18"/>
                          </w:rPr>
                          <w:t>财务核算体系，具有规范、独立</w:t>
                        </w:r>
                        <w:r>
                          <w:rPr>
                            <w:rFonts w:ascii="宋体" w:hAnsi="宋体" w:cs="宋体" w:eastAsia="宋体" w:hint="default"/>
                            <w:sz w:val="18"/>
                            <w:szCs w:val="18"/>
                          </w:rPr>
                          <w:t> 的财务会计制度。</w:t>
                        </w:r>
                        <w:r>
                          <w:rPr>
                            <w:rFonts w:ascii="Times New Roman" w:hAnsi="Times New Roman" w:cs="Times New Roman" w:eastAsia="Times New Roman" w:hint="default"/>
                            <w:sz w:val="18"/>
                            <w:szCs w:val="18"/>
                          </w:rPr>
                          <w:t>2</w:t>
                        </w:r>
                        <w:r>
                          <w:rPr>
                            <w:rFonts w:ascii="宋体" w:hAnsi="宋体" w:cs="宋体" w:eastAsia="宋体" w:hint="default"/>
                            <w:sz w:val="18"/>
                            <w:szCs w:val="18"/>
                          </w:rPr>
                          <w:t>．保证中科 </w:t>
                        </w:r>
                        <w:r>
                          <w:rPr>
                            <w:rFonts w:ascii="宋体" w:hAnsi="宋体" w:cs="宋体" w:eastAsia="宋体" w:hint="default"/>
                            <w:spacing w:val="-2"/>
                            <w:sz w:val="18"/>
                            <w:szCs w:val="18"/>
                          </w:rPr>
                          <w:t>金财、滨河创新本次交易完成后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独立在银行开户，不与本人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w:t>
                        </w:r>
                        <w:r>
                          <w:rPr>
                            <w:rFonts w:ascii="宋体" w:hAnsi="宋体" w:cs="宋体" w:eastAsia="宋体" w:hint="default"/>
                            <w:spacing w:val="-76"/>
                            <w:sz w:val="18"/>
                            <w:szCs w:val="18"/>
                          </w:rPr>
                          <w:t> </w:t>
                        </w:r>
                        <w:r>
                          <w:rPr>
                            <w:rFonts w:ascii="宋体" w:hAnsi="宋体" w:cs="宋体" w:eastAsia="宋体" w:hint="default"/>
                            <w:sz w:val="18"/>
                            <w:szCs w:val="18"/>
                          </w:rPr>
                          <w:t>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 </w:t>
                        </w:r>
                        <w:r>
                          <w:rPr>
                            <w:rFonts w:ascii="宋体" w:hAnsi="宋体" w:cs="宋体" w:eastAsia="宋体" w:hint="default"/>
                            <w:spacing w:val="-2"/>
                            <w:sz w:val="18"/>
                            <w:szCs w:val="18"/>
                          </w:rPr>
                          <w:t>司、企业或者其他经济组织等关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联方共用银行账户。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 </w:t>
                        </w:r>
                        <w:r>
                          <w:rPr>
                            <w:rFonts w:ascii="宋体" w:hAnsi="宋体" w:cs="宋体" w:eastAsia="宋体" w:hint="default"/>
                            <w:spacing w:val="-2"/>
                            <w:sz w:val="18"/>
                            <w:szCs w:val="18"/>
                          </w:rPr>
                          <w:t>次交易完成后中科金财、滨河创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新的财务人员不在本人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企业或者其他经济组织等关联 方兼职。</w:t>
                        </w:r>
                        <w:r>
                          <w:rPr>
                            <w:rFonts w:ascii="Times New Roman" w:hAnsi="Times New Roman" w:cs="Times New Roman" w:eastAsia="Times New Roman" w:hint="default"/>
                            <w:sz w:val="18"/>
                            <w:szCs w:val="18"/>
                          </w:rPr>
                          <w:t>4</w:t>
                        </w:r>
                        <w:r>
                          <w:rPr>
                            <w:rFonts w:ascii="宋体" w:hAnsi="宋体" w:cs="宋体" w:eastAsia="宋体" w:hint="default"/>
                            <w:sz w:val="18"/>
                            <w:szCs w:val="18"/>
                          </w:rPr>
                          <w:t>．保证本次交易完成 </w:t>
                        </w:r>
                        <w:r>
                          <w:rPr>
                            <w:rFonts w:ascii="宋体" w:hAnsi="宋体" w:cs="宋体" w:eastAsia="宋体" w:hint="default"/>
                            <w:spacing w:val="-2"/>
                            <w:sz w:val="18"/>
                            <w:szCs w:val="18"/>
                          </w:rPr>
                          <w:t>后中科金财、滨河创新能够独立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做出财务决策，本人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本公司不干</w:t>
                        </w:r>
                        <w:r>
                          <w:rPr>
                            <w:rFonts w:ascii="宋体" w:hAnsi="宋体" w:cs="宋体" w:eastAsia="宋体" w:hint="default"/>
                            <w:spacing w:val="-76"/>
                            <w:sz w:val="18"/>
                            <w:szCs w:val="18"/>
                          </w:rPr>
                          <w:t> </w:t>
                        </w:r>
                        <w:r>
                          <w:rPr>
                            <w:rFonts w:ascii="宋体" w:hAnsi="宋体" w:cs="宋体" w:eastAsia="宋体" w:hint="default"/>
                            <w:spacing w:val="-2"/>
                            <w:sz w:val="18"/>
                            <w:szCs w:val="18"/>
                          </w:rPr>
                          <w:t>预中科金财、滨河创新的资金使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r>
                          <w:rPr>
                            <w:rFonts w:ascii="Times New Roman" w:hAnsi="Times New Roman" w:cs="Times New Roman" w:eastAsia="Times New Roman" w:hint="default"/>
                            <w:sz w:val="18"/>
                            <w:szCs w:val="18"/>
                          </w:rPr>
                          <w:t>5</w:t>
                        </w:r>
                        <w:r>
                          <w:rPr>
                            <w:rFonts w:ascii="宋体" w:hAnsi="宋体" w:cs="宋体" w:eastAsia="宋体" w:hint="default"/>
                            <w:sz w:val="18"/>
                            <w:szCs w:val="18"/>
                          </w:rPr>
                          <w:t>．保证本次交易完成后中 科金财、滨河创新依法独立纳 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00" w:lineRule="auto"/>
                          <w:ind w:left="23" w:right="114"/>
                          <w:jc w:val="both"/>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r>
                          <w:rPr>
                            <w:rFonts w:ascii="宋体" w:hAnsi="宋体" w:cs="宋体" w:eastAsia="宋体" w:hint="default"/>
                            <w:spacing w:val="-2"/>
                            <w:sz w:val="18"/>
                            <w:szCs w:val="18"/>
                          </w:rPr>
                          <w:t> </w:t>
                        </w: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吴红心</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w:t>
                        </w:r>
                        <w:r>
                          <w:rPr>
                            <w:rFonts w:ascii="宋体" w:hAnsi="宋体" w:cs="宋体" w:eastAsia="宋体" w:hint="default"/>
                            <w:sz w:val="18"/>
                            <w:szCs w:val="18"/>
                          </w:rPr>
                          <w:t>周 惠明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一、关于同业竞争：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 </w:t>
                        </w:r>
                        <w:r>
                          <w:rPr>
                            <w:rFonts w:ascii="宋体" w:hAnsi="宋体" w:cs="宋体" w:eastAsia="宋体" w:hint="default"/>
                            <w:spacing w:val="-2"/>
                            <w:sz w:val="18"/>
                            <w:szCs w:val="18"/>
                          </w:rPr>
                          <w:t>承诺函签署日，本人及包括本人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控制的其他公司、企业或者其他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经济组织等关联方未从事与中 </w:t>
                        </w:r>
                        <w:r>
                          <w:rPr>
                            <w:rFonts w:ascii="宋体" w:hAnsi="宋体" w:cs="宋体" w:eastAsia="宋体" w:hint="default"/>
                            <w:spacing w:val="-2"/>
                            <w:sz w:val="18"/>
                            <w:szCs w:val="18"/>
                          </w:rPr>
                          <w:t>科金财、滨河创新及其控制的其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他公司、企业或者其他经济组织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存在同业竞争关系的业务。</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．在</w:t>
                        </w:r>
                        <w:r>
                          <w:rPr>
                            <w:rFonts w:ascii="宋体" w:hAnsi="宋体" w:cs="宋体" w:eastAsia="宋体" w:hint="default"/>
                            <w:spacing w:val="-84"/>
                            <w:sz w:val="18"/>
                            <w:szCs w:val="18"/>
                          </w:rPr>
                          <w:t> </w:t>
                        </w:r>
                        <w:r>
                          <w:rPr>
                            <w:rFonts w:ascii="宋体" w:hAnsi="宋体" w:cs="宋体" w:eastAsia="宋体" w:hint="default"/>
                            <w:spacing w:val="-2"/>
                            <w:sz w:val="18"/>
                            <w:szCs w:val="18"/>
                          </w:rPr>
                          <w:t>作为中科金财的股东期间，本人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及包括本人控制的其他公司、企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业或者其他经济组织等关联方 将避免以任何形式从事任何与 </w:t>
                        </w:r>
                        <w:r>
                          <w:rPr>
                            <w:rFonts w:ascii="宋体" w:hAnsi="宋体" w:cs="宋体" w:eastAsia="宋体" w:hint="default"/>
                            <w:spacing w:val="-2"/>
                            <w:sz w:val="18"/>
                            <w:szCs w:val="18"/>
                          </w:rPr>
                          <w:t>中科金财、滨河创新及其控制的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line="240" w:lineRule="auto" w:before="3"/>
        <w:rPr>
          <w:rFonts w:ascii="Times New Roman" w:hAnsi="Times New Roman" w:cs="Times New Roman" w:eastAsia="Times New Roman" w:hint="default"/>
          <w:sz w:val="13"/>
          <w:szCs w:val="13"/>
        </w:rPr>
      </w:pPr>
    </w:p>
    <w:p>
      <w:pPr>
        <w:spacing w:line="10025" w:lineRule="exact"/>
        <w:ind w:left="639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0"/>
          <w:sz w:val="20"/>
          <w:szCs w:val="20"/>
        </w:rPr>
        <w:pict>
          <v:group style="width:56.2pt;height:501.3pt;mso-position-horizontal-relative:char;mso-position-vertical-relative:line" coordorigin="0,0" coordsize="1124,10026">
            <v:group style="position:absolute;left:0;top:0;width:1124;height:10026" coordorigin="0,0" coordsize="1124,10026">
              <v:shape style="position:absolute;left:0;top:0;width:1124;height:10026" coordorigin="0,0" coordsize="1124,10026" path="m0,10026l1124,10026,1124,0,0,0,0,10026xe" filled="true" fillcolor="#ffffff" stroked="false">
                <v:path arrowok="t"/>
                <v:fill type="solid"/>
              </v:shape>
            </v:group>
          </v:group>
        </w:pict>
      </w:r>
      <w:r>
        <w:rPr>
          <w:rFonts w:ascii="Times New Roman" w:hAnsi="Times New Roman" w:cs="Times New Roman" w:eastAsia="Times New Roman" w:hint="default"/>
          <w:position w:val="-20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8.859985pt;margin-top:72.47998pt;width:56.2pt;height:672.9pt;mso-position-horizontal-relative:page;mso-position-vertical-relative:page;z-index:-1003408" coordorigin="7377,1450" coordsize="1124,13458">
            <v:shape style="position:absolute;left:7377;top:1450;width:1124;height:13458" coordorigin="7377,1450" coordsize="1124,13458" path="m7377,14908l8501,14908,8501,1450,7377,1450,7377,1490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13468"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
              <w:jc w:val="left"/>
              <w:rPr>
                <w:rFonts w:ascii="宋体" w:hAnsi="宋体" w:cs="宋体" w:eastAsia="宋体" w:hint="default"/>
                <w:sz w:val="18"/>
                <w:szCs w:val="18"/>
              </w:rPr>
            </w:pPr>
            <w:r>
              <w:rPr>
                <w:rFonts w:ascii="宋体" w:hAnsi="宋体" w:cs="宋体" w:eastAsia="宋体" w:hint="default"/>
                <w:spacing w:val="-2"/>
                <w:sz w:val="18"/>
                <w:szCs w:val="18"/>
              </w:rPr>
              <w:t>其他公司、企业或者其他经济组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织相同或相似且构成或可能构 </w:t>
            </w:r>
            <w:r>
              <w:rPr>
                <w:rFonts w:ascii="宋体" w:hAnsi="宋体" w:cs="宋体" w:eastAsia="宋体" w:hint="default"/>
                <w:spacing w:val="-2"/>
                <w:sz w:val="18"/>
                <w:szCs w:val="18"/>
              </w:rPr>
              <w:t>成竞争关系的业务，亦不从事任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何可能损害中科金财、滨河创新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及其控制的其他公司、企业或者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其他经济组织利益的活动。如本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人及其控制的其他公司、企业或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者其他经济组织遇到中科金财、 滨河创新及其控制的其他公司、 企业或者其他经济组织主营业 </w:t>
            </w:r>
            <w:r>
              <w:rPr>
                <w:rFonts w:ascii="宋体" w:hAnsi="宋体" w:cs="宋体" w:eastAsia="宋体" w:hint="default"/>
                <w:spacing w:val="-2"/>
                <w:sz w:val="18"/>
                <w:szCs w:val="18"/>
              </w:rPr>
              <w:t>务范围内的业务机会，本人及其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控制的其他公司、企业或者其他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经济组织承诺将该等合作机会 </w:t>
            </w:r>
            <w:r>
              <w:rPr>
                <w:rFonts w:ascii="宋体" w:hAnsi="宋体" w:cs="宋体" w:eastAsia="宋体" w:hint="default"/>
                <w:spacing w:val="-2"/>
                <w:sz w:val="18"/>
                <w:szCs w:val="18"/>
              </w:rPr>
              <w:t>让予中科金财、滨河创新及其控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制的其他公司、企业或者其他经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济组织。二、关于规范及减少关</w:t>
            </w:r>
            <w:r>
              <w:rPr>
                <w:rFonts w:ascii="宋体" w:hAnsi="宋体" w:cs="宋体" w:eastAsia="宋体" w:hint="default"/>
                <w:sz w:val="18"/>
                <w:szCs w:val="18"/>
              </w:rPr>
              <w:t> </w:t>
            </w:r>
            <w:r>
              <w:rPr>
                <w:rFonts w:ascii="宋体" w:hAnsi="宋体" w:cs="宋体" w:eastAsia="宋体" w:hint="default"/>
                <w:spacing w:val="-2"/>
                <w:sz w:val="18"/>
                <w:szCs w:val="18"/>
              </w:rPr>
              <w:t>联交易：本人在作为中科金财的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股东期间，本人及所控制的其他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公司、企业或者其他经济组织将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尽量减少并规范与中科金财、滨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河创新及其控制的其他公司、企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业或者其他经济组织之间的关 </w:t>
            </w:r>
            <w:r>
              <w:rPr>
                <w:rFonts w:ascii="宋体" w:hAnsi="宋体" w:cs="宋体" w:eastAsia="宋体" w:hint="default"/>
                <w:spacing w:val="-2"/>
                <w:sz w:val="18"/>
                <w:szCs w:val="18"/>
              </w:rPr>
              <w:t>联交易。对于无法避免或有合理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原因而发生的关联交易，本人及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所控制的其他公司、企业或者其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他经济组织将遵循市场原则以 </w:t>
            </w:r>
            <w:r>
              <w:rPr>
                <w:rFonts w:ascii="宋体" w:hAnsi="宋体" w:cs="宋体" w:eastAsia="宋体" w:hint="default"/>
                <w:spacing w:val="-2"/>
                <w:sz w:val="18"/>
                <w:szCs w:val="18"/>
              </w:rPr>
              <w:t>公允、合理的市场价格进行，根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据有关法律、法规及规范性文件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的规定履行关联交易决策程序， 依法履行信息披露义务和办理 </w:t>
            </w:r>
            <w:r>
              <w:rPr>
                <w:rFonts w:ascii="宋体" w:hAnsi="宋体" w:cs="宋体" w:eastAsia="宋体" w:hint="default"/>
                <w:spacing w:val="-2"/>
                <w:sz w:val="18"/>
                <w:szCs w:val="18"/>
              </w:rPr>
              <w:t>有关报批程序，不利用股东优势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地位损害中科金财及其他股东 </w:t>
            </w:r>
            <w:r>
              <w:rPr>
                <w:rFonts w:ascii="宋体" w:hAnsi="宋体" w:cs="宋体" w:eastAsia="宋体" w:hint="default"/>
                <w:spacing w:val="-2"/>
                <w:sz w:val="18"/>
                <w:szCs w:val="18"/>
              </w:rPr>
              <w:t>的合法权益。本人若违反上述承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诺，将承担因此而给中科金财、 滨河创新及其控制的其他公司、 企业或者其他经济组织造成的 一切损失。三、关于资金占用： </w:t>
            </w:r>
            <w:r>
              <w:rPr>
                <w:rFonts w:ascii="宋体" w:hAnsi="宋体" w:cs="宋体" w:eastAsia="宋体" w:hint="default"/>
                <w:spacing w:val="-2"/>
                <w:sz w:val="18"/>
                <w:szCs w:val="18"/>
              </w:rPr>
              <w:t>除正常经营性往来外，保证本次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交易完成后中科金财、滨河创新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不存在资金、资产被本人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w:t>
            </w:r>
            <w:r>
              <w:rPr>
                <w:rFonts w:ascii="宋体" w:hAnsi="宋体" w:cs="宋体" w:eastAsia="宋体" w:hint="default"/>
                <w:spacing w:val="-76"/>
                <w:sz w:val="18"/>
                <w:szCs w:val="18"/>
              </w:rPr>
              <w:t> </w:t>
            </w: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本公司控制的其他公司 企业或者其他经济组织等关联 方占用的情形。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赫喆</w:t>
            </w:r>
            <w:r>
              <w:rPr>
                <w:rFonts w:ascii="Times New Roman" w:hAnsi="Times New Roman" w:cs="Times New Roman" w:eastAsia="Times New Roman" w:hint="default"/>
                <w:sz w:val="18"/>
                <w:szCs w:val="18"/>
              </w:rPr>
              <w:t>;</w:t>
            </w:r>
            <w:r>
              <w:rPr>
                <w:rFonts w:ascii="宋体" w:hAnsi="宋体" w:cs="宋体" w:eastAsia="宋体" w:hint="default"/>
                <w:sz w:val="18"/>
                <w:szCs w:val="18"/>
              </w:rPr>
              <w:t>杨承宏</w:t>
            </w:r>
            <w:r>
              <w:rPr>
                <w:rFonts w:ascii="Times New Roman" w:hAnsi="Times New Roman" w:cs="Times New Roman" w:eastAsia="Times New Roman" w:hint="default"/>
                <w:sz w:val="18"/>
                <w:szCs w:val="18"/>
              </w:rPr>
              <w:t>;</w:t>
            </w:r>
            <w:r>
              <w:rPr>
                <w:rFonts w:ascii="宋体" w:hAnsi="宋体" w:cs="宋体" w:eastAsia="宋体" w:hint="default"/>
                <w:sz w:val="18"/>
                <w:szCs w:val="18"/>
              </w:rPr>
              <w:t>谢晓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、本人在本次发行中认购的中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承诺人严格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2pt;height:687.4pt;mso-position-horizontal-relative:page;mso-position-vertical-relative:page;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317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114"/>
                          <w:jc w:val="left"/>
                          <w:rPr>
                            <w:rFonts w:ascii="宋体" w:hAnsi="宋体" w:cs="宋体" w:eastAsia="宋体" w:hint="default"/>
                            <w:sz w:val="18"/>
                            <w:szCs w:val="18"/>
                          </w:rPr>
                        </w:pPr>
                        <w:r>
                          <w:rPr>
                            <w:rFonts w:ascii="宋体" w:hAnsi="宋体" w:cs="宋体" w:eastAsia="宋体" w:hint="default"/>
                            <w:sz w:val="18"/>
                            <w:szCs w:val="18"/>
                          </w:rPr>
                          <w:t>梅</w:t>
                        </w:r>
                        <w:r>
                          <w:rPr>
                            <w:rFonts w:ascii="Times New Roman" w:hAnsi="Times New Roman" w:cs="Times New Roman" w:eastAsia="Times New Roman" w:hint="default"/>
                            <w:sz w:val="18"/>
                            <w:szCs w:val="18"/>
                          </w:rPr>
                          <w:t>;</w:t>
                        </w:r>
                        <w:r>
                          <w:rPr>
                            <w:rFonts w:ascii="宋体" w:hAnsi="宋体" w:cs="宋体" w:eastAsia="宋体" w:hint="default"/>
                            <w:sz w:val="18"/>
                            <w:szCs w:val="18"/>
                          </w:rPr>
                          <w:t>周惠明</w:t>
                        </w:r>
                        <w:r>
                          <w:rPr>
                            <w:rFonts w:ascii="Times New Roman" w:hAnsi="Times New Roman" w:cs="Times New Roman" w:eastAsia="Times New Roman" w:hint="default"/>
                            <w:sz w:val="18"/>
                            <w:szCs w:val="18"/>
                          </w:rPr>
                          <w:t>;</w:t>
                        </w:r>
                        <w:r>
                          <w:rPr>
                            <w:rFonts w:ascii="宋体" w:hAnsi="宋体" w:cs="宋体" w:eastAsia="宋体" w:hint="default"/>
                            <w:sz w:val="18"/>
                            <w:szCs w:val="18"/>
                          </w:rPr>
                          <w:t>张伟</w:t>
                        </w:r>
                        <w:r>
                          <w:rPr>
                            <w:rFonts w:ascii="Times New Roman" w:hAnsi="Times New Roman" w:cs="Times New Roman" w:eastAsia="Times New Roman" w:hint="default"/>
                            <w:sz w:val="18"/>
                            <w:szCs w:val="18"/>
                          </w:rPr>
                          <w:t>;</w:t>
                        </w:r>
                        <w:r>
                          <w:rPr>
                            <w:rFonts w:ascii="宋体" w:hAnsi="宋体" w:cs="宋体" w:eastAsia="宋体" w:hint="default"/>
                            <w:sz w:val="18"/>
                            <w:szCs w:val="18"/>
                          </w:rPr>
                          <w:t>吴 红心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
                          <w:jc w:val="left"/>
                          <w:rPr>
                            <w:rFonts w:ascii="宋体" w:hAnsi="宋体" w:cs="宋体" w:eastAsia="宋体" w:hint="default"/>
                            <w:sz w:val="18"/>
                            <w:szCs w:val="18"/>
                          </w:rPr>
                        </w:pPr>
                        <w:r>
                          <w:rPr>
                            <w:rFonts w:ascii="宋体" w:hAnsi="宋体" w:cs="宋体" w:eastAsia="宋体" w:hint="default"/>
                            <w:spacing w:val="-2"/>
                            <w:sz w:val="18"/>
                            <w:szCs w:val="18"/>
                          </w:rPr>
                          <w:t>科金财股份，自股份上市之日起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 行的股份在上市后遵守证券监 </w:t>
                        </w:r>
                        <w:r>
                          <w:rPr>
                            <w:rFonts w:ascii="宋体" w:hAnsi="宋体" w:cs="宋体" w:eastAsia="宋体" w:hint="default"/>
                            <w:spacing w:val="-2"/>
                            <w:sz w:val="18"/>
                            <w:szCs w:val="18"/>
                          </w:rPr>
                          <w:t>管部门关于股份锁定的要求，如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因中科金财送股、转增股本而取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得的新增股份，亦遵守上述锁定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安排。</w:t>
                        </w:r>
                        <w:r>
                          <w:rPr>
                            <w:rFonts w:ascii="Times New Roman" w:hAnsi="Times New Roman" w:cs="Times New Roman" w:eastAsia="Times New Roman" w:hint="default"/>
                            <w:sz w:val="18"/>
                            <w:szCs w:val="18"/>
                          </w:rPr>
                          <w:t>3</w:t>
                        </w:r>
                        <w:r>
                          <w:rPr>
                            <w:rFonts w:ascii="宋体" w:hAnsi="宋体" w:cs="宋体" w:eastAsia="宋体" w:hint="default"/>
                            <w:sz w:val="18"/>
                            <w:szCs w:val="18"/>
                          </w:rPr>
                          <w:t>、如监管规则或监管机 构对锁定期有更长期限要求的， 按照监管规则或监管机构的要 求执行。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履行了承诺</w:t>
                        </w:r>
                      </w:p>
                    </w:tc>
                  </w:tr>
                  <w:tr>
                    <w:trPr>
                      <w:trHeight w:val="4458"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2" w:right="11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使用闲置募集资金购买保 本型理财产品</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 </w:t>
                        </w:r>
                        <w:r>
                          <w:rPr>
                            <w:rFonts w:ascii="宋体" w:hAnsi="宋体" w:cs="宋体" w:eastAsia="宋体" w:hint="default"/>
                            <w:spacing w:val="-2"/>
                            <w:sz w:val="18"/>
                            <w:szCs w:val="18"/>
                          </w:rPr>
                          <w:t>近十二个月内，未进行证券投资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等高风险投资，并承诺本次利用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闲置募集资金购买保本型理财 产品后十二个月内不进行证券 投资等高风险投资及为他人提 </w:t>
                        </w:r>
                        <w:r>
                          <w:rPr>
                            <w:rFonts w:ascii="宋体" w:hAnsi="宋体" w:cs="宋体" w:eastAsia="宋体" w:hint="default"/>
                            <w:spacing w:val="-2"/>
                            <w:sz w:val="18"/>
                            <w:szCs w:val="18"/>
                          </w:rPr>
                          <w:t>供财务资助并对外披露。本次公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司使用闲置募集资金购买保本 型理财产品与公司募集资金投 </w:t>
                        </w:r>
                        <w:r>
                          <w:rPr>
                            <w:rFonts w:ascii="宋体" w:hAnsi="宋体" w:cs="宋体" w:eastAsia="宋体" w:hint="default"/>
                            <w:spacing w:val="-2"/>
                            <w:sz w:val="18"/>
                            <w:szCs w:val="18"/>
                          </w:rPr>
                          <w:t>资项目实施不相抵触，不影响公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司募集资金投资项目的正常进 </w:t>
                        </w:r>
                        <w:r>
                          <w:rPr>
                            <w:rFonts w:ascii="宋体" w:hAnsi="宋体" w:cs="宋体" w:eastAsia="宋体" w:hint="default"/>
                            <w:spacing w:val="-2"/>
                            <w:sz w:val="18"/>
                            <w:szCs w:val="18"/>
                          </w:rPr>
                          <w:t>行，不存在变相改变募集资金投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向和损害股东利益的情况。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5394"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部分超募资金永久性补充 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事项公司承诺最近十 </w:t>
                        </w:r>
                        <w:r>
                          <w:rPr>
                            <w:rFonts w:ascii="宋体" w:hAnsi="宋体" w:cs="宋体" w:eastAsia="宋体" w:hint="default"/>
                            <w:spacing w:val="-2"/>
                            <w:sz w:val="18"/>
                            <w:szCs w:val="18"/>
                          </w:rPr>
                          <w:t>二个月内，未进行证券投资等高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风险投资，并承诺本次利用部分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超募资金永久补充流动资金后 十二个月内不进行证券投资等 高风险投资及为他人提供财务 </w:t>
                        </w:r>
                        <w:r>
                          <w:rPr>
                            <w:rFonts w:ascii="宋体" w:hAnsi="宋体" w:cs="宋体" w:eastAsia="宋体" w:hint="default"/>
                            <w:spacing w:val="-2"/>
                            <w:sz w:val="18"/>
                            <w:szCs w:val="18"/>
                          </w:rPr>
                          <w:t>资助并对外披露，每十二个月用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于偿还银行借款或补充流动资 金的累计金额不超过超募资金 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。本次公司使用部分</w:t>
                        </w:r>
                        <w:r>
                          <w:rPr>
                            <w:rFonts w:ascii="宋体" w:hAnsi="宋体" w:cs="宋体" w:eastAsia="宋体" w:hint="default"/>
                            <w:sz w:val="18"/>
                            <w:szCs w:val="18"/>
                          </w:rPr>
                          <w:t> 超募资金永久性补充流动资金 与公司募集资金投资项目实施 </w:t>
                        </w:r>
                        <w:r>
                          <w:rPr>
                            <w:rFonts w:ascii="宋体" w:hAnsi="宋体" w:cs="宋体" w:eastAsia="宋体" w:hint="default"/>
                            <w:spacing w:val="-2"/>
                            <w:sz w:val="18"/>
                            <w:szCs w:val="18"/>
                          </w:rPr>
                          <w:t>不相抵触，不影响公司募集资金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投资项目的正常进行，不存在变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相改变募集资金投向和损害股 东利益的情况。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71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96"/>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对部分募集资金投资项目 结项并用节余募集资金永久补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line="240" w:lineRule="auto" w:before="3"/>
        <w:rPr>
          <w:rFonts w:ascii="Times New Roman" w:hAnsi="Times New Roman" w:cs="Times New Roman" w:eastAsia="Times New Roman" w:hint="default"/>
          <w:sz w:val="14"/>
          <w:szCs w:val="14"/>
        </w:rPr>
      </w:pPr>
    </w:p>
    <w:p>
      <w:pPr>
        <w:spacing w:before="0"/>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0.3pt;height:696.5pt;mso-position-horizontal-relative:page;mso-position-vertical-relative:page;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9"/>
                    <w:gridCol w:w="2552"/>
                    <w:gridCol w:w="1134"/>
                    <w:gridCol w:w="1134"/>
                    <w:gridCol w:w="1085"/>
                  </w:tblGrid>
                  <w:tr>
                    <w:trPr>
                      <w:trHeight w:val="4419" w:hRule="exact"/>
                    </w:trPr>
                    <w:tc>
                      <w:tcPr>
                        <w:tcW w:w="2127" w:type="dxa"/>
                        <w:vMerge w:val="restart"/>
                        <w:tcBorders>
                          <w:top w:val="single" w:sz="4" w:space="0" w:color="000000"/>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充流动资金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事项公司承诺最近 </w:t>
                        </w:r>
                        <w:r>
                          <w:rPr>
                            <w:rFonts w:ascii="宋体" w:hAnsi="宋体" w:cs="宋体" w:eastAsia="宋体" w:hint="default"/>
                            <w:spacing w:val="-2"/>
                            <w:sz w:val="18"/>
                            <w:szCs w:val="18"/>
                          </w:rPr>
                          <w:t>十二个月内，公司未进行证券投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资等高风险投资，并承诺本次利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用节余募集资金及利息永久性 补充流动资金后十二个月内不 进行证券投资等高风险投资及 为他人提供财务资助并对外披 </w:t>
                        </w:r>
                        <w:r>
                          <w:rPr>
                            <w:rFonts w:ascii="宋体" w:hAnsi="宋体" w:cs="宋体" w:eastAsia="宋体" w:hint="default"/>
                            <w:spacing w:val="-2"/>
                            <w:sz w:val="18"/>
                            <w:szCs w:val="18"/>
                          </w:rPr>
                          <w:t>露。本次对部分募集资金投资项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目结项并用节余募集资金永久 补充流动资金与公司募集资金 </w:t>
                        </w:r>
                        <w:r>
                          <w:rPr>
                            <w:rFonts w:ascii="宋体" w:hAnsi="宋体" w:cs="宋体" w:eastAsia="宋体" w:hint="default"/>
                            <w:spacing w:val="-2"/>
                            <w:sz w:val="18"/>
                            <w:szCs w:val="18"/>
                          </w:rPr>
                          <w:t>投资项目实施不相抵触，不影响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公司募集资金投资项目的正常 </w:t>
                        </w:r>
                        <w:r>
                          <w:rPr>
                            <w:rFonts w:ascii="宋体" w:hAnsi="宋体" w:cs="宋体" w:eastAsia="宋体" w:hint="default"/>
                            <w:spacing w:val="-2"/>
                            <w:sz w:val="18"/>
                            <w:szCs w:val="18"/>
                          </w:rPr>
                          <w:t>进行，不存在变相改变募集资金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投向和损害股东利益的情况。</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2127" w:type="dxa"/>
                        <w:vMerge/>
                        <w:tcBorders>
                          <w:left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部分超募资金永久性补充 流动资金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事项公司承诺最近十 </w:t>
                        </w:r>
                        <w:r>
                          <w:rPr>
                            <w:rFonts w:ascii="宋体" w:hAnsi="宋体" w:cs="宋体" w:eastAsia="宋体" w:hint="default"/>
                            <w:spacing w:val="-2"/>
                            <w:sz w:val="18"/>
                            <w:szCs w:val="18"/>
                          </w:rPr>
                          <w:t>二个月内，未进行证券投资等高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风险投资，并承诺本次利用部分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超募资金永久补充流动资金后 十二个月内不进行证券投资等 高风险投资及为他人提供财务 </w:t>
                        </w:r>
                        <w:r>
                          <w:rPr>
                            <w:rFonts w:ascii="宋体" w:hAnsi="宋体" w:cs="宋体" w:eastAsia="宋体" w:hint="default"/>
                            <w:spacing w:val="-2"/>
                            <w:sz w:val="18"/>
                            <w:szCs w:val="18"/>
                          </w:rPr>
                          <w:t>资助并对外披露，每十二个月用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于偿还银行借款或补充流动资 金的累计金额不超过超募资金 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30%</w:t>
                        </w:r>
                        <w:r>
                          <w:rPr>
                            <w:rFonts w:ascii="宋体" w:hAnsi="宋体" w:cs="宋体" w:eastAsia="宋体" w:hint="default"/>
                            <w:spacing w:val="-4"/>
                            <w:sz w:val="18"/>
                            <w:szCs w:val="18"/>
                          </w:rPr>
                          <w:t>。本次公司使用部分</w:t>
                        </w:r>
                        <w:r>
                          <w:rPr>
                            <w:rFonts w:ascii="宋体" w:hAnsi="宋体" w:cs="宋体" w:eastAsia="宋体" w:hint="default"/>
                            <w:sz w:val="18"/>
                            <w:szCs w:val="18"/>
                          </w:rPr>
                          <w:t> 超募资金永久性补充流动资金 与公司募集资金投资项目实施 </w:t>
                        </w:r>
                        <w:r>
                          <w:rPr>
                            <w:rFonts w:ascii="宋体" w:hAnsi="宋体" w:cs="宋体" w:eastAsia="宋体" w:hint="default"/>
                            <w:spacing w:val="-2"/>
                            <w:sz w:val="18"/>
                            <w:szCs w:val="18"/>
                          </w:rPr>
                          <w:t>不相抵触，不影响公司募集资金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投资项目的正常进行，不存在变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相改变募集资金投向和损害股 东利益的情况。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r>
                    <w:trPr>
                      <w:trHeight w:val="4107"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w:t>
                        </w:r>
                        <w:r>
                          <w:rPr>
                            <w:rFonts w:ascii="宋体" w:hAnsi="宋体" w:cs="宋体" w:eastAsia="宋体" w:hint="default"/>
                            <w:sz w:val="18"/>
                            <w:szCs w:val="18"/>
                          </w:rPr>
                          <w:t>使用闲置募集资金购买保 本型理财产品</w:t>
                        </w:r>
                        <w:r>
                          <w:rPr>
                            <w:rFonts w:ascii="Times New Roman" w:hAnsi="Times New Roman" w:cs="Times New Roman" w:eastAsia="Times New Roman" w:hint="default"/>
                            <w:sz w:val="18"/>
                            <w:szCs w:val="18"/>
                          </w:rPr>
                          <w:t>”</w:t>
                        </w:r>
                        <w:r>
                          <w:rPr>
                            <w:rFonts w:ascii="宋体" w:hAnsi="宋体" w:cs="宋体" w:eastAsia="宋体" w:hint="default"/>
                            <w:sz w:val="18"/>
                            <w:szCs w:val="18"/>
                          </w:rPr>
                          <w:t>事项公司承诺最 </w:t>
                        </w:r>
                        <w:r>
                          <w:rPr>
                            <w:rFonts w:ascii="宋体" w:hAnsi="宋体" w:cs="宋体" w:eastAsia="宋体" w:hint="default"/>
                            <w:spacing w:val="-2"/>
                            <w:sz w:val="18"/>
                            <w:szCs w:val="18"/>
                          </w:rPr>
                          <w:t>近十二个月内，公司未进行证券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投资等高风险投资，并承诺本次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利用闲置募集资金购买保本型 理财产品后十二个月内不进行 证券投资等高风险投资及为他 </w:t>
                        </w:r>
                        <w:r>
                          <w:rPr>
                            <w:rFonts w:ascii="宋体" w:hAnsi="宋体" w:cs="宋体" w:eastAsia="宋体" w:hint="default"/>
                            <w:spacing w:val="-2"/>
                            <w:sz w:val="18"/>
                            <w:szCs w:val="18"/>
                          </w:rPr>
                          <w:t>人提供财务资助并对外披露。本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次公司使用闲置募集资金购买 保本型理财产品与公司募集资 </w:t>
                        </w:r>
                        <w:r>
                          <w:rPr>
                            <w:rFonts w:ascii="宋体" w:hAnsi="宋体" w:cs="宋体" w:eastAsia="宋体" w:hint="default"/>
                            <w:spacing w:val="-2"/>
                            <w:sz w:val="18"/>
                            <w:szCs w:val="18"/>
                          </w:rPr>
                          <w:t>金投资项目实施不相抵触，不影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响公司募集资金投资项目的正 </w:t>
                        </w:r>
                        <w:r>
                          <w:rPr>
                            <w:rFonts w:ascii="宋体" w:hAnsi="宋体" w:cs="宋体" w:eastAsia="宋体" w:hint="default"/>
                            <w:spacing w:val="-2"/>
                            <w:sz w:val="18"/>
                            <w:szCs w:val="18"/>
                          </w:rPr>
                          <w:t>常进行，不存在变相改变募集资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9" w:lineRule="auto"/>
                          <w:ind w:left="22" w:right="150"/>
                          <w:jc w:val="left"/>
                          <w:rPr>
                            <w:rFonts w:ascii="宋体" w:hAnsi="宋体" w:cs="宋体" w:eastAsia="宋体" w:hint="default"/>
                            <w:sz w:val="18"/>
                            <w:szCs w:val="18"/>
                          </w:rPr>
                        </w:pPr>
                        <w:r>
                          <w:rPr>
                            <w:rFonts w:ascii="宋体" w:hAnsi="宋体" w:cs="宋体" w:eastAsia="宋体" w:hint="default"/>
                            <w:sz w:val="18"/>
                            <w:szCs w:val="18"/>
                          </w:rPr>
                          <w:t>承诺人严格 履行了承诺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44"/>
        <w:ind w:left="0" w:right="115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7"/>
        <w:gridCol w:w="1559"/>
        <w:gridCol w:w="2552"/>
        <w:gridCol w:w="1134"/>
        <w:gridCol w:w="1134"/>
        <w:gridCol w:w="1062"/>
      </w:tblGrid>
      <w:tr>
        <w:trPr>
          <w:trHeight w:val="36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
              <w:jc w:val="left"/>
              <w:rPr>
                <w:rFonts w:ascii="宋体" w:hAnsi="宋体" w:cs="宋体" w:eastAsia="宋体" w:hint="default"/>
                <w:sz w:val="18"/>
                <w:szCs w:val="18"/>
              </w:rPr>
            </w:pPr>
            <w:r>
              <w:rPr>
                <w:rFonts w:ascii="宋体" w:hAnsi="宋体" w:cs="宋体" w:eastAsia="宋体" w:hint="default"/>
                <w:sz w:val="18"/>
                <w:szCs w:val="18"/>
              </w:rPr>
              <w:t>金投向和损害股东利益的情况。</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4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公司资产或项目存在盈利预测，且报告期仍处在盈利预测期间，公司就资产或项目达到" w:id="76"/>
      <w:bookmarkEnd w:id="7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5"/>
        <w:gridCol w:w="1197"/>
        <w:gridCol w:w="1196"/>
        <w:gridCol w:w="1196"/>
        <w:gridCol w:w="1199"/>
        <w:gridCol w:w="1195"/>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2"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6,068.91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6,346.84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8">
              <w:r>
                <w:rPr>
                  <w:rFonts w:ascii="Times New Roman" w:hAnsi="Times New Roman" w:cs="Times New Roman" w:eastAsia="Times New Roman" w:hint="default"/>
                  <w:spacing w:val="-2"/>
                  <w:sz w:val="18"/>
                  <w:szCs w:val="18"/>
                </w:rPr>
                <w:t>www.cninfo.co</w:t>
              </w:r>
            </w:hyperlink>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m.cn</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聘任、解聘会计师事务所情况" w:id="77"/>
      <w:bookmarkEnd w:id="77"/>
      <w:r>
        <w:rPr>
          <w:b w:val="0"/>
          <w:bCs w:val="0"/>
        </w:rPr>
      </w:r>
      <w:r>
        <w:rPr/>
        <w:t>十、聘任、解聘会计师事务所情况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王云成、汪沛</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监事会、独立董事（如适用）对会计师事务所本报告期“非标准审计报告”的说明" w:id="78"/>
      <w:bookmarkEnd w:id="78"/>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79"/>
      <w:bookmarkEnd w:id="79"/>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right="0"/>
        <w:jc w:val="left"/>
      </w:pPr>
      <w:r>
        <w:rPr/>
        <w:t>公司报告期不存在处罚及整改情况。</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三、年度报告披露后面临暂停上市和终止上市情况" w:id="80"/>
      <w:bookmarkEnd w:id="80"/>
      <w:r>
        <w:rPr>
          <w:b w:val="0"/>
          <w:bCs w:val="0"/>
        </w:rPr>
      </w: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四、其他重大事项的说明" w:id="81"/>
      <w:bookmarkEnd w:id="81"/>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5"/>
        <w:ind w:right="0"/>
        <w:jc w:val="left"/>
      </w:pPr>
      <w:r>
        <w:rPr/>
        <w:t>公司报告期不存在需要说明的其他重大事项。</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子公司重要事项" w:id="82"/>
      <w:bookmarkEnd w:id="82"/>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六、公司发行公司债券的情况" w:id="83"/>
      <w:bookmarkEnd w:id="83"/>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4" w:right="1132" w:firstLine="498"/>
        <w:jc w:val="both"/>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日召开第二届董事会第十二次会议，审议通过了《关于公司符合发行公司债券条 </w:t>
      </w:r>
      <w:r>
        <w:rPr>
          <w:spacing w:val="-1"/>
        </w:rPr>
        <w:t>件的议案》和《关于发行公司债券的议案》，并于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日召开</w:t>
      </w:r>
      <w:r>
        <w:rPr>
          <w:rFonts w:ascii="Times New Roman" w:hAnsi="Times New Roman" w:cs="Times New Roman" w:eastAsia="Times New Roman" w:hint="default"/>
          <w:spacing w:val="-1"/>
        </w:rPr>
        <w:t>2012</w:t>
      </w:r>
      <w:r>
        <w:rPr>
          <w:spacing w:val="-1"/>
        </w:rPr>
        <w:t>年第二次临时股东大会审议通</w:t>
      </w:r>
      <w:r>
        <w:rPr>
          <w:spacing w:val="-83"/>
        </w:rPr>
        <w:t> </w:t>
      </w:r>
      <w:r>
        <w:rPr>
          <w:spacing w:val="-83"/>
        </w:rPr>
      </w:r>
      <w:r>
        <w:rPr/>
        <w:t>过了上述议案。</w:t>
      </w:r>
    </w:p>
    <w:p>
      <w:pPr>
        <w:pStyle w:val="BodyText"/>
        <w:spacing w:line="386" w:lineRule="auto" w:before="65"/>
        <w:ind w:left="154" w:right="0" w:firstLine="496"/>
        <w:jc w:val="left"/>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日，公司本次公开发行公司债券的申请获得了中国证券监督管理委员会发行审核委员会</w:t>
      </w:r>
      <w:r>
        <w:rPr/>
        <w:t> 的批准，并于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日收到了中国证券监督管理委员会《关于核准北京中科金财科技股份有限公司 </w:t>
      </w:r>
      <w:r>
        <w:rPr>
          <w:spacing w:val="-3"/>
        </w:rPr>
        <w:t>公开发行公司债券的批复》证监许可</w:t>
      </w:r>
      <w:r>
        <w:rPr>
          <w:rFonts w:ascii="Times New Roman" w:hAnsi="Times New Roman" w:cs="Times New Roman" w:eastAsia="Times New Roman" w:hint="default"/>
          <w:spacing w:val="-3"/>
        </w:rPr>
        <w:t>[2013]39</w:t>
      </w:r>
      <w:r>
        <w:rPr>
          <w:spacing w:val="-3"/>
        </w:rPr>
        <w:t>号，核准公司向社会公开发行面值不超过</w:t>
      </w:r>
      <w:r>
        <w:rPr>
          <w:rFonts w:ascii="Times New Roman" w:hAnsi="Times New Roman" w:cs="Times New Roman" w:eastAsia="Times New Roman" w:hint="default"/>
          <w:spacing w:val="-3"/>
        </w:rPr>
        <w:t>2.4</w:t>
      </w:r>
      <w:r>
        <w:rPr>
          <w:spacing w:val="-3"/>
        </w:rPr>
        <w:t>亿元的公司债券。</w:t>
      </w:r>
    </w:p>
    <w:p>
      <w:pPr>
        <w:pStyle w:val="BodyText"/>
        <w:spacing w:line="386" w:lineRule="auto" w:before="35"/>
        <w:ind w:right="1132" w:firstLine="336"/>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日，公司刊登了《</w:t>
      </w:r>
      <w:r>
        <w:rPr>
          <w:rFonts w:ascii="Times New Roman" w:hAnsi="Times New Roman" w:cs="Times New Roman" w:eastAsia="Times New Roman" w:hint="default"/>
        </w:rPr>
        <w:t>2012</w:t>
      </w:r>
      <w:r>
        <w:rPr/>
        <w:t>年公司债券发行公告》、债券募集说明书及其摘要，详细说明了本 </w:t>
      </w:r>
      <w:r>
        <w:rPr>
          <w:spacing w:val="-1"/>
        </w:rPr>
        <w:t>次公开发行公司债券的相关事宜。</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w:t>
      </w:r>
      <w:r>
        <w:rPr>
          <w:spacing w:val="-1"/>
        </w:rPr>
        <w:t>日刊登《公司债券票面利率公告》，确定本次发行公司债券票面利</w:t>
      </w:r>
      <w:r>
        <w:rPr>
          <w:spacing w:val="-84"/>
        </w:rPr>
        <w:t> </w:t>
      </w:r>
      <w:r>
        <w:rPr>
          <w:spacing w:val="-84"/>
        </w:rPr>
      </w:r>
      <w:r>
        <w:rPr/>
        <w:t>率为</w:t>
      </w:r>
      <w:r>
        <w:rPr>
          <w:rFonts w:ascii="Times New Roman" w:hAnsi="Times New Roman" w:cs="Times New Roman" w:eastAsia="Times New Roman" w:hint="default"/>
        </w:rPr>
        <w:t>6.7%</w:t>
      </w:r>
      <w:r>
        <w:rPr/>
        <w:t>。</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日刊登《</w:t>
      </w:r>
      <w:r>
        <w:rPr>
          <w:rFonts w:ascii="Times New Roman" w:hAnsi="Times New Roman" w:cs="Times New Roman" w:eastAsia="Times New Roman" w:hint="default"/>
        </w:rPr>
        <w:t>2012</w:t>
      </w:r>
      <w:r>
        <w:rPr/>
        <w:t>年公司债券发行结果公告》，公司成功发行</w:t>
      </w:r>
      <w:r>
        <w:rPr>
          <w:rFonts w:ascii="Times New Roman" w:hAnsi="Times New Roman" w:cs="Times New Roman" w:eastAsia="Times New Roman" w:hint="default"/>
        </w:rPr>
        <w:t>2.4</w:t>
      </w:r>
      <w:r>
        <w:rPr/>
        <w:t>亿元公司债券，其中网上发</w:t>
      </w:r>
      <w:r>
        <w:rPr>
          <w:spacing w:val="-99"/>
        </w:rPr>
        <w:t> </w:t>
      </w:r>
      <w:r>
        <w:rPr>
          <w:spacing w:val="-99"/>
        </w:rPr>
      </w:r>
      <w:r>
        <w:rPr/>
        <w:t>行</w:t>
      </w:r>
      <w:r>
        <w:rPr>
          <w:rFonts w:ascii="Times New Roman" w:hAnsi="Times New Roman" w:cs="Times New Roman" w:eastAsia="Times New Roman" w:hint="default"/>
        </w:rPr>
        <w:t>0.24</w:t>
      </w:r>
      <w:r>
        <w:rPr/>
        <w:t>亿元，网下发行</w:t>
      </w:r>
      <w:r>
        <w:rPr>
          <w:rFonts w:ascii="Times New Roman" w:hAnsi="Times New Roman" w:cs="Times New Roman" w:eastAsia="Times New Roman" w:hint="default"/>
        </w:rPr>
        <w:t>2.16</w:t>
      </w:r>
      <w:r>
        <w:rPr/>
        <w:t>亿元。</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84"/>
      <w:bookmarkStart w:name="第六节 股份变动及股东情况" w:id="85"/>
      <w:r>
        <w:rPr>
          <w:b w:val="0"/>
          <w:bCs w:val="0"/>
        </w:rPr>
      </w:r>
      <w:r>
        <w:rPr/>
        <w:t>第六节</w:t>
      </w:r>
      <w:r>
        <w:rPr>
          <w:spacing w:val="-8"/>
        </w:rPr>
        <w:t> </w:t>
      </w:r>
      <w:r>
        <w:rPr/>
        <w:t>股份变动及股东情况</w:t>
      </w:r>
      <w:bookmarkEnd w:id="8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86"/>
      <w:bookmarkEnd w:id="86"/>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57,783,59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55.19%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32,853,99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-6,290,904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36,861,62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94,645,22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59.72%</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57,783,59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55.19%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32,853,99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-6,290,904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36,861,62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94,645,22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59.72%</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tcBorders>
              <w:top w:val="single" w:sz="4" w:space="0" w:color="000000"/>
              <w:left w:val="single" w:sz="13" w:space="0" w:color="D2D2D2"/>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3,921,833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3,921,833</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3,921,833</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2" w:right="0"/>
              <w:jc w:val="left"/>
              <w:rPr>
                <w:rFonts w:ascii="Times New Roman" w:hAnsi="Times New Roman" w:cs="Times New Roman" w:eastAsia="Times New Roman" w:hint="default"/>
                <w:sz w:val="18"/>
                <w:szCs w:val="18"/>
              </w:rPr>
            </w:pPr>
            <w:r>
              <w:rPr>
                <w:rFonts w:ascii="Times New Roman"/>
                <w:sz w:val="18"/>
              </w:rPr>
              <w:t>2.47%</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57,783,59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55.19%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28,932,15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10,298,53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-6,290,904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32,939,79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90,723,39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57.24%</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46,912,70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44.81%</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10,640,72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6,290,904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16,931,62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63,844,32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40.28%</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46,912,70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44.81%</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10,640,72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6,290,904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16,931,62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63,844,32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40.28%</w:t>
            </w:r>
          </w:p>
        </w:tc>
      </w:tr>
      <w:tr>
        <w:trPr>
          <w:trHeight w:val="393"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104,696,3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32,853,99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20,939,26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53,793,25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158,489,5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26"/>
        <w:ind w:left="154" w:right="0"/>
        <w:jc w:val="both"/>
      </w:pPr>
      <w:r>
        <w:rPr/>
        <w:t>股份变动的原因</w:t>
      </w:r>
    </w:p>
    <w:p>
      <w:pPr>
        <w:spacing w:before="103"/>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98" w:firstLine="420"/>
        <w:jc w:val="left"/>
      </w:pPr>
      <w:r>
        <w:rPr>
          <w:rFonts w:ascii="宋体" w:hAnsi="宋体" w:cs="宋体" w:eastAsia="宋体" w:hint="default"/>
        </w:rPr>
        <w:t>1.</w:t>
      </w:r>
      <w:r>
        <w:rPr/>
        <w:t>公司股东李彤彤、盖洪涛曾任公司董事、监事会主席，于</w:t>
      </w:r>
      <w:r>
        <w:rPr>
          <w:rFonts w:ascii="宋体" w:hAnsi="宋体" w:cs="宋体" w:eastAsia="宋体" w:hint="default"/>
        </w:rPr>
        <w:t>2012</w:t>
      </w:r>
      <w:r>
        <w:rPr/>
        <w:t>年</w:t>
      </w:r>
      <w:r>
        <w:rPr>
          <w:rFonts w:ascii="宋体" w:hAnsi="宋体" w:cs="宋体" w:eastAsia="宋体" w:hint="default"/>
        </w:rPr>
        <w:t>8</w:t>
      </w:r>
      <w:r>
        <w:rPr/>
        <w:t>月辞职。李彤彤、盖洪涛所持股 份分别于</w:t>
      </w:r>
      <w:r>
        <w:rPr>
          <w:rFonts w:ascii="宋体" w:hAnsi="宋体" w:cs="宋体" w:eastAsia="宋体" w:hint="default"/>
        </w:rPr>
        <w:t>2014</w:t>
      </w:r>
      <w:r>
        <w:rPr/>
        <w:t>年</w:t>
      </w:r>
      <w:r>
        <w:rPr>
          <w:rFonts w:ascii="宋体" w:hAnsi="宋体" w:cs="宋体" w:eastAsia="宋体" w:hint="default"/>
        </w:rPr>
        <w:t>2</w:t>
      </w:r>
      <w:r>
        <w:rPr/>
        <w:t>月、</w:t>
      </w:r>
      <w:r>
        <w:rPr>
          <w:rFonts w:ascii="宋体" w:hAnsi="宋体" w:cs="宋体" w:eastAsia="宋体" w:hint="default"/>
        </w:rPr>
        <w:t>3</w:t>
      </w:r>
      <w:r>
        <w:rPr/>
        <w:t>月解除限售。</w:t>
      </w:r>
    </w:p>
    <w:p>
      <w:pPr>
        <w:pStyle w:val="BodyText"/>
        <w:spacing w:line="408" w:lineRule="auto"/>
        <w:ind w:right="0" w:firstLine="420"/>
        <w:jc w:val="left"/>
      </w:pPr>
      <w:r>
        <w:rPr>
          <w:rFonts w:ascii="宋体" w:hAnsi="宋体" w:cs="宋体" w:eastAsia="宋体" w:hint="default"/>
        </w:rPr>
        <w:t>2.</w:t>
      </w:r>
      <w:r>
        <w:rPr/>
        <w:t>公司于</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18</w:t>
      </w:r>
      <w:r>
        <w:rPr/>
        <w:t>日第三届董事会第九次会议审议通过了</w:t>
      </w:r>
      <w:r>
        <w:rPr>
          <w:rFonts w:ascii="宋体" w:hAnsi="宋体" w:cs="宋体" w:eastAsia="宋体" w:hint="default"/>
        </w:rPr>
        <w:t>2014</w:t>
      </w:r>
      <w:r>
        <w:rPr/>
        <w:t>年半年度利润分配方案，公司</w:t>
      </w:r>
      <w:r>
        <w:rPr>
          <w:rFonts w:ascii="宋体" w:hAnsi="宋体" w:cs="宋体" w:eastAsia="宋体" w:hint="default"/>
        </w:rPr>
        <w:t>2014 </w:t>
      </w:r>
      <w:r>
        <w:rPr>
          <w:spacing w:val="-1"/>
        </w:rPr>
        <w:t>年半年度利润分配方案如下：以</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日公司总股本</w:t>
      </w:r>
      <w:r>
        <w:rPr>
          <w:rFonts w:ascii="宋体" w:hAnsi="宋体" w:cs="宋体" w:eastAsia="宋体" w:hint="default"/>
          <w:spacing w:val="-1"/>
        </w:rPr>
        <w:t>104,696,301</w:t>
      </w:r>
      <w:r>
        <w:rPr>
          <w:spacing w:val="-1"/>
        </w:rPr>
        <w:t>股为基数，进行资本公积金转增股</w:t>
      </w:r>
      <w:r>
        <w:rPr>
          <w:spacing w:val="-76"/>
        </w:rPr>
        <w:t> </w:t>
      </w:r>
      <w:r>
        <w:rPr>
          <w:spacing w:val="-76"/>
        </w:rPr>
      </w:r>
      <w:r>
        <w:rPr/>
        <w:t>本，全体股东每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20,939,260</w:t>
      </w:r>
      <w:r>
        <w:rPr/>
        <w:t>股，上述转增股数于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22</w:t>
      </w:r>
      <w:r>
        <w:rPr/>
        <w:t>日记入股东账户。</w:t>
      </w:r>
    </w:p>
    <w:p>
      <w:pPr>
        <w:pStyle w:val="BodyText"/>
        <w:spacing w:line="240" w:lineRule="auto"/>
        <w:ind w:left="574" w:right="0"/>
        <w:jc w:val="left"/>
      </w:pPr>
      <w:r>
        <w:rPr>
          <w:rFonts w:ascii="宋体" w:hAnsi="宋体" w:cs="宋体" w:eastAsia="宋体" w:hint="default"/>
        </w:rPr>
        <w:t>3.</w:t>
      </w:r>
      <w:r>
        <w:rPr/>
        <w:t>经中国证券监督管理委员会《关于核准公司向刘开同等发行股份购买资产并募集配套资金的批复》</w:t>
      </w:r>
    </w:p>
    <w:p>
      <w:pPr>
        <w:spacing w:line="240" w:lineRule="auto" w:before="10"/>
        <w:rPr>
          <w:rFonts w:ascii="宋体" w:hAnsi="宋体" w:cs="宋体" w:eastAsia="宋体" w:hint="default"/>
          <w:sz w:val="14"/>
          <w:szCs w:val="14"/>
        </w:rPr>
      </w:pPr>
    </w:p>
    <w:p>
      <w:pPr>
        <w:pStyle w:val="BodyText"/>
        <w:spacing w:line="408" w:lineRule="auto" w:before="0"/>
        <w:ind w:left="154" w:right="1131"/>
        <w:jc w:val="both"/>
      </w:pPr>
      <w:r>
        <w:rPr>
          <w:spacing w:val="-1"/>
        </w:rPr>
        <w:t>（证监许可</w:t>
      </w:r>
      <w:r>
        <w:rPr>
          <w:rFonts w:ascii="宋体" w:hAnsi="宋体" w:cs="宋体" w:eastAsia="宋体" w:hint="default"/>
          <w:spacing w:val="-1"/>
        </w:rPr>
        <w:t>[2014]1218</w:t>
      </w:r>
      <w:r>
        <w:rPr>
          <w:spacing w:val="-1"/>
        </w:rPr>
        <w:t>号）核准，北京中科金财科技股份有限公司向刘开同、董书倩、刘运龙、天津滨河</w:t>
      </w:r>
      <w:r>
        <w:rPr>
          <w:spacing w:val="-78"/>
        </w:rPr>
        <w:t> </w:t>
      </w:r>
      <w:r>
        <w:rPr>
          <w:spacing w:val="-78"/>
        </w:rPr>
      </w:r>
      <w:r>
        <w:rPr>
          <w:spacing w:val="-1"/>
        </w:rPr>
        <w:t>数据信息技术有限公司发行股份并向赫喆、杨承宏、谢晓梅、周惠明、张伟、吴红心募集配套资金。公司</w:t>
      </w:r>
      <w:r>
        <w:rPr>
          <w:spacing w:val="-83"/>
        </w:rPr>
        <w:t> </w:t>
      </w:r>
      <w:r>
        <w:rPr>
          <w:spacing w:val="-83"/>
        </w:rPr>
      </w:r>
      <w:r>
        <w:rPr/>
        <w:t>本次发行股份购买资产并募集配套资金共发行股份</w:t>
      </w:r>
      <w:r>
        <w:rPr>
          <w:rFonts w:ascii="宋体" w:hAnsi="宋体" w:cs="宋体" w:eastAsia="宋体" w:hint="default"/>
        </w:rPr>
        <w:t>32,853,990</w:t>
      </w:r>
      <w:r>
        <w:rPr/>
        <w:t>股。</w:t>
      </w:r>
    </w:p>
    <w:p>
      <w:pPr>
        <w:pStyle w:val="BodyText"/>
        <w:spacing w:line="240" w:lineRule="auto" w:before="9"/>
        <w:ind w:right="0"/>
        <w:jc w:val="both"/>
      </w:pPr>
      <w:r>
        <w:rPr/>
        <w:t>股份变动的批准情况</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7" w:right="0"/>
        <w:jc w:val="left"/>
      </w:pPr>
      <w:r>
        <w:rPr>
          <w:rFonts w:ascii="宋体" w:hAnsi="宋体" w:cs="宋体" w:eastAsia="宋体" w:hint="default"/>
        </w:rPr>
        <w:t>1.</w:t>
      </w:r>
      <w:r>
        <w:rPr/>
        <w:t>公司</w:t>
      </w:r>
      <w:r>
        <w:rPr>
          <w:rFonts w:ascii="宋体" w:hAnsi="宋体" w:cs="宋体" w:eastAsia="宋体" w:hint="default"/>
        </w:rPr>
        <w:t>2014</w:t>
      </w:r>
      <w:r>
        <w:rPr/>
        <w:t>年第二次临时股东大会审议通过了</w:t>
      </w:r>
      <w:r>
        <w:rPr>
          <w:rFonts w:ascii="宋体" w:hAnsi="宋体" w:cs="宋体" w:eastAsia="宋体" w:hint="default"/>
        </w:rPr>
        <w:t>2014</w:t>
      </w:r>
      <w:r>
        <w:rPr/>
        <w:t>年半年度利润分配方案。</w:t>
      </w:r>
    </w:p>
    <w:p>
      <w:pPr>
        <w:spacing w:line="240" w:lineRule="auto" w:before="10"/>
        <w:rPr>
          <w:rFonts w:ascii="宋体" w:hAnsi="宋体" w:cs="宋体" w:eastAsia="宋体" w:hint="default"/>
          <w:sz w:val="14"/>
          <w:szCs w:val="14"/>
        </w:rPr>
      </w:pPr>
    </w:p>
    <w:p>
      <w:pPr>
        <w:pStyle w:val="BodyText"/>
        <w:spacing w:line="393" w:lineRule="auto" w:before="0"/>
        <w:ind w:right="1118" w:firstLine="423"/>
        <w:jc w:val="left"/>
      </w:pPr>
      <w:r>
        <w:rPr>
          <w:rFonts w:ascii="宋体" w:hAnsi="宋体" w:cs="宋体" w:eastAsia="宋体" w:hint="default"/>
          <w:spacing w:val="-1"/>
        </w:rPr>
        <w:t>2.</w:t>
      </w:r>
      <w:r>
        <w:rPr>
          <w:spacing w:val="-1"/>
        </w:rPr>
        <w:t>公司发行股份购买资产并募集配套资金于</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月经中国证券监督管理委员会《关于核准公司向</w:t>
      </w:r>
      <w:r>
        <w:rPr/>
        <w:t> 刘开同等发行股份购买资产并募集配套资金的批复》（证监许可</w:t>
      </w:r>
      <w:r>
        <w:rPr>
          <w:rFonts w:ascii="宋体" w:hAnsi="宋体" w:cs="宋体" w:eastAsia="宋体" w:hint="default"/>
        </w:rPr>
        <w:t>[2014]1218</w:t>
      </w:r>
      <w:r>
        <w:rPr/>
        <w:t>号）核准。 股份变动的过户情况</w:t>
      </w:r>
    </w:p>
    <w:p>
      <w:pPr>
        <w:spacing w:line="218"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154" w:right="1194" w:firstLine="423"/>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22</w:t>
      </w:r>
      <w:r>
        <w:rPr/>
        <w:t>日中国证券登记结算有限公司深圳分公司将资本公积金转增股本</w:t>
      </w:r>
      <w:r>
        <w:rPr>
          <w:rFonts w:ascii="宋体" w:hAnsi="宋体" w:cs="宋体" w:eastAsia="宋体" w:hint="default"/>
        </w:rPr>
        <w:t>20,939,260</w:t>
      </w:r>
      <w:r>
        <w:rPr/>
        <w:t>股记入各股 东账户。</w:t>
      </w:r>
    </w:p>
    <w:p>
      <w:pPr>
        <w:pStyle w:val="BodyText"/>
        <w:spacing w:line="240" w:lineRule="auto"/>
        <w:ind w:left="577" w:right="0"/>
        <w:jc w:val="left"/>
      </w:pP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日，公司发行股份购买资产并募集配套资金发行的股票已记入各股东账户。</w:t>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0" w:firstLine="423"/>
        <w:jc w:val="left"/>
      </w:pPr>
      <w:r>
        <w:rPr>
          <w:rFonts w:ascii="宋体" w:hAnsi="宋体" w:cs="宋体" w:eastAsia="宋体" w:hint="default"/>
          <w:spacing w:val="-1"/>
        </w:rPr>
        <w:t>2014</w:t>
      </w:r>
      <w:r>
        <w:rPr>
          <w:spacing w:val="-1"/>
        </w:rPr>
        <w:t>年度公司每股收益</w:t>
      </w:r>
      <w:r>
        <w:rPr>
          <w:rFonts w:ascii="宋体" w:hAnsi="宋体" w:cs="宋体" w:eastAsia="宋体" w:hint="default"/>
          <w:spacing w:val="-1"/>
        </w:rPr>
        <w:t>0.61</w:t>
      </w:r>
      <w:r>
        <w:rPr>
          <w:spacing w:val="-1"/>
        </w:rPr>
        <w:t>元，每股净资产</w:t>
      </w:r>
      <w:r>
        <w:rPr>
          <w:rFonts w:ascii="宋体" w:hAnsi="宋体" w:cs="宋体" w:eastAsia="宋体" w:hint="default"/>
          <w:spacing w:val="-1"/>
        </w:rPr>
        <w:t>6.21</w:t>
      </w:r>
      <w:r>
        <w:rPr>
          <w:spacing w:val="-1"/>
        </w:rPr>
        <w:t>元。如公司报告期内不进行资本公积转增股本及非公</w:t>
      </w:r>
      <w:r>
        <w:rPr/>
        <w:t> 开发行，则报告期每股收益</w:t>
      </w:r>
      <w:r>
        <w:rPr>
          <w:rFonts w:ascii="宋体" w:hAnsi="宋体" w:cs="宋体" w:eastAsia="宋体" w:hint="default"/>
        </w:rPr>
        <w:t>0.74</w:t>
      </w:r>
      <w:r>
        <w:rPr/>
        <w:t>元，每股净资产</w:t>
      </w:r>
      <w:r>
        <w:rPr>
          <w:rFonts w:ascii="宋体" w:hAnsi="宋体" w:cs="宋体" w:eastAsia="宋体" w:hint="default"/>
        </w:rPr>
        <w:t>7.03</w:t>
      </w:r>
      <w:r>
        <w:rPr/>
        <w:t>元。</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87"/>
      <w:bookmarkEnd w:id="87"/>
      <w:r>
        <w:rPr>
          <w:b w:val="0"/>
          <w:bCs w:val="0"/>
        </w:rPr>
      </w: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88"/>
      <w:bookmarkEnd w:id="88"/>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14,010,000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32,853,990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32,853,990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中财债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374" w:lineRule="auto" w:before="26"/>
        <w:ind w:left="533" w:right="0" w:hanging="380"/>
        <w:jc w:val="left"/>
      </w:pPr>
      <w:r>
        <w:rPr/>
        <w:t>前三年历次证券发行情况的说明 </w:t>
      </w:r>
      <w:r>
        <w:rPr>
          <w:spacing w:val="-5"/>
        </w:rPr>
        <w:t>经中国证券监督管理委员会《关于核准北京中科金财科技股份有限公司首次公开发行股票的批复》（证</w:t>
      </w:r>
    </w:p>
    <w:p>
      <w:pPr>
        <w:pStyle w:val="BodyText"/>
        <w:spacing w:line="408" w:lineRule="auto" w:before="76"/>
        <w:ind w:right="1198"/>
        <w:jc w:val="left"/>
      </w:pPr>
      <w:r>
        <w:rPr/>
        <w:t>监许可</w:t>
      </w:r>
      <w:r>
        <w:rPr>
          <w:rFonts w:ascii="宋体" w:hAnsi="宋体" w:cs="宋体" w:eastAsia="宋体" w:hint="default"/>
        </w:rPr>
        <w:t>[2012]152</w:t>
      </w:r>
      <w:r>
        <w:rPr/>
        <w:t>号）核准，北京中科金财科技股份有限公司首次公开发行人民币普通股（</w:t>
      </w:r>
      <w:r>
        <w:rPr>
          <w:rFonts w:ascii="宋体" w:hAnsi="宋体" w:cs="宋体" w:eastAsia="宋体" w:hint="default"/>
        </w:rPr>
        <w:t>A</w:t>
      </w:r>
      <w:r>
        <w:rPr/>
        <w:t>股）</w:t>
      </w:r>
      <w:r>
        <w:rPr>
          <w:spacing w:val="-2"/>
        </w:rPr>
        <w:t> </w:t>
      </w:r>
      <w:r>
        <w:rPr>
          <w:rFonts w:ascii="宋体" w:hAnsi="宋体" w:cs="宋体" w:eastAsia="宋体" w:hint="default"/>
        </w:rPr>
        <w:t>17,450,000.00</w:t>
      </w:r>
      <w:r>
        <w:rPr/>
        <w:t>股，发行价格</w:t>
      </w:r>
      <w:r>
        <w:rPr>
          <w:rFonts w:ascii="宋体" w:hAnsi="宋体" w:cs="宋体" w:eastAsia="宋体" w:hint="default"/>
        </w:rPr>
        <w:t>22</w:t>
      </w:r>
      <w:r>
        <w:rPr/>
        <w:t>元</w:t>
      </w:r>
      <w:r>
        <w:rPr>
          <w:rFonts w:ascii="宋体" w:hAnsi="宋体" w:cs="宋体" w:eastAsia="宋体" w:hint="default"/>
        </w:rPr>
        <w:t>/</w:t>
      </w:r>
      <w:r>
        <w:rPr/>
        <w:t>股，公司首次公开发行前总股本为</w:t>
      </w:r>
      <w:r>
        <w:rPr>
          <w:rFonts w:ascii="宋体" w:hAnsi="宋体" w:cs="宋体" w:eastAsia="宋体" w:hint="default"/>
        </w:rPr>
        <w:t>52,347,534.00</w:t>
      </w:r>
      <w:r>
        <w:rPr/>
        <w:t>股，发行后总股本为</w:t>
      </w:r>
    </w:p>
    <w:p>
      <w:pPr>
        <w:pStyle w:val="BodyText"/>
        <w:spacing w:line="240" w:lineRule="auto"/>
        <w:ind w:right="0"/>
        <w:jc w:val="left"/>
      </w:pPr>
      <w:r>
        <w:rPr>
          <w:rFonts w:ascii="宋体" w:hAnsi="宋体" w:cs="宋体" w:eastAsia="宋体" w:hint="default"/>
        </w:rPr>
        <w:t>69,797,534.00</w:t>
      </w:r>
      <w:r>
        <w:rPr/>
        <w:t>股。</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28</w:t>
      </w:r>
      <w:r>
        <w:rPr/>
        <w:t>日首次公开发行人民币普通股股票在深圳证券交易所挂牌上市。</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526"/>
        <w:jc w:val="left"/>
      </w:pPr>
      <w:r>
        <w:rPr/>
        <w:t>公司于</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18</w:t>
      </w:r>
      <w:r>
        <w:rPr/>
        <w:t>日收到了中国证券监督管理委员会《关于核准北京中科金财科技股份有限公司公 </w:t>
      </w:r>
      <w:r>
        <w:rPr>
          <w:spacing w:val="-1"/>
        </w:rPr>
        <w:t>开发行公司债券的批复》证监许可</w:t>
      </w:r>
      <w:r>
        <w:rPr>
          <w:rFonts w:ascii="宋体" w:hAnsi="宋体" w:cs="宋体" w:eastAsia="宋体" w:hint="default"/>
          <w:spacing w:val="-1"/>
        </w:rPr>
        <w:t>[2013]39</w:t>
      </w:r>
      <w:r>
        <w:rPr>
          <w:spacing w:val="-1"/>
        </w:rPr>
        <w:t>号，核准公司向社会公开发行面值不超过</w:t>
      </w:r>
      <w:r>
        <w:rPr>
          <w:rFonts w:ascii="宋体" w:hAnsi="宋体" w:cs="宋体" w:eastAsia="宋体" w:hint="default"/>
          <w:spacing w:val="-1"/>
        </w:rPr>
        <w:t>2.4</w:t>
      </w:r>
      <w:r>
        <w:rPr>
          <w:spacing w:val="-1"/>
        </w:rPr>
        <w:t>亿元的公司债券。</w:t>
      </w:r>
      <w:r>
        <w:rPr>
          <w:spacing w:val="-77"/>
        </w:rPr>
        <w:t> </w:t>
      </w:r>
      <w:r>
        <w:rPr>
          <w:spacing w:val="-77"/>
        </w:rPr>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w:t>
      </w:r>
      <w:r>
        <w:rPr/>
        <w:t>日刊登了《</w:t>
      </w:r>
      <w:r>
        <w:rPr>
          <w:rFonts w:ascii="宋体" w:hAnsi="宋体" w:cs="宋体" w:eastAsia="宋体" w:hint="default"/>
        </w:rPr>
        <w:t>2012</w:t>
      </w:r>
      <w:r>
        <w:rPr/>
        <w:t>年公司债券发行公告》、债券募集说明书及其摘要，详细说明了本次公开发行 公司债券的相关事宜。</w:t>
      </w:r>
      <w:r>
        <w:rPr>
          <w:rFonts w:ascii="宋体" w:hAnsi="宋体" w:cs="宋体" w:eastAsia="宋体" w:hint="default"/>
        </w:rPr>
        <w:t>4</w:t>
      </w:r>
      <w:r>
        <w:rPr/>
        <w:t>月</w:t>
      </w:r>
      <w:r>
        <w:rPr>
          <w:rFonts w:ascii="宋体" w:hAnsi="宋体" w:cs="宋体" w:eastAsia="宋体" w:hint="default"/>
        </w:rPr>
        <w:t>3</w:t>
      </w:r>
      <w:r>
        <w:rPr/>
        <w:t>日刊登《公司债券票面利率公告》，确定本次发行公司债券票面利率为</w:t>
      </w:r>
      <w:r>
        <w:rPr>
          <w:rFonts w:ascii="宋体" w:hAnsi="宋体" w:cs="宋体" w:eastAsia="宋体" w:hint="default"/>
        </w:rPr>
        <w:t>6.7%</w:t>
      </w:r>
      <w:r>
        <w:rPr/>
        <w:t>。 </w:t>
      </w:r>
      <w:r>
        <w:rPr>
          <w:rFonts w:ascii="宋体" w:hAnsi="宋体" w:cs="宋体" w:eastAsia="宋体" w:hint="default"/>
          <w:spacing w:val="-3"/>
        </w:rPr>
        <w:t>4</w:t>
      </w:r>
      <w:r>
        <w:rPr>
          <w:spacing w:val="-3"/>
        </w:rPr>
        <w:t>月</w:t>
      </w:r>
      <w:r>
        <w:rPr>
          <w:rFonts w:ascii="宋体" w:hAnsi="宋体" w:cs="宋体" w:eastAsia="宋体" w:hint="default"/>
          <w:spacing w:val="-3"/>
        </w:rPr>
        <w:t>10</w:t>
      </w:r>
      <w:r>
        <w:rPr>
          <w:spacing w:val="-3"/>
        </w:rPr>
        <w:t>日刊登《</w:t>
      </w:r>
      <w:r>
        <w:rPr>
          <w:rFonts w:ascii="宋体" w:hAnsi="宋体" w:cs="宋体" w:eastAsia="宋体" w:hint="default"/>
          <w:spacing w:val="-3"/>
        </w:rPr>
        <w:t>2012</w:t>
      </w:r>
      <w:r>
        <w:rPr>
          <w:spacing w:val="-3"/>
        </w:rPr>
        <w:t>年公司债券发行结果公告》，公司成功发行</w:t>
      </w:r>
      <w:r>
        <w:rPr>
          <w:rFonts w:ascii="宋体" w:hAnsi="宋体" w:cs="宋体" w:eastAsia="宋体" w:hint="default"/>
          <w:spacing w:val="-3"/>
        </w:rPr>
        <w:t>2.4</w:t>
      </w:r>
      <w:r>
        <w:rPr>
          <w:spacing w:val="-3"/>
        </w:rPr>
        <w:t>亿元公司债券，其中网上发行</w:t>
      </w:r>
      <w:r>
        <w:rPr>
          <w:rFonts w:ascii="宋体" w:hAnsi="宋体" w:cs="宋体" w:eastAsia="宋体" w:hint="default"/>
          <w:spacing w:val="-3"/>
        </w:rPr>
        <w:t>0.24</w:t>
      </w:r>
      <w:r>
        <w:rPr>
          <w:spacing w:val="-3"/>
        </w:rPr>
        <w:t>亿元，</w:t>
      </w:r>
      <w:r>
        <w:rPr>
          <w:spacing w:val="-78"/>
        </w:rPr>
        <w:t> </w:t>
      </w:r>
      <w:r>
        <w:rPr>
          <w:spacing w:val="-78"/>
        </w:rPr>
      </w:r>
      <w:r>
        <w:rPr/>
        <w:t>网下发行</w:t>
      </w:r>
      <w:r>
        <w:rPr>
          <w:rFonts w:ascii="宋体" w:hAnsi="宋体" w:cs="宋体" w:eastAsia="宋体" w:hint="default"/>
        </w:rPr>
        <w:t>2.16</w:t>
      </w:r>
      <w:r>
        <w:rPr/>
        <w:t>亿元。</w:t>
      </w:r>
    </w:p>
    <w:p>
      <w:pPr>
        <w:pStyle w:val="BodyText"/>
        <w:spacing w:line="240" w:lineRule="auto"/>
        <w:ind w:left="680" w:right="0"/>
        <w:jc w:val="left"/>
      </w:pPr>
      <w:r>
        <w:rPr/>
        <w:t>经中国证券监督管理委员会《关于核准公司向刘开同等发行股份购买资产并募集配套资金的批复》</w:t>
      </w:r>
    </w:p>
    <w:p>
      <w:pPr>
        <w:spacing w:line="240" w:lineRule="auto" w:before="10"/>
        <w:rPr>
          <w:rFonts w:ascii="宋体" w:hAnsi="宋体" w:cs="宋体" w:eastAsia="宋体" w:hint="default"/>
          <w:sz w:val="14"/>
          <w:szCs w:val="14"/>
        </w:rPr>
      </w:pPr>
    </w:p>
    <w:p>
      <w:pPr>
        <w:pStyle w:val="BodyText"/>
        <w:spacing w:line="408" w:lineRule="auto" w:before="0"/>
        <w:ind w:left="154" w:right="1131"/>
        <w:jc w:val="both"/>
      </w:pPr>
      <w:r>
        <w:rPr>
          <w:spacing w:val="-1"/>
        </w:rPr>
        <w:t>（证监许可</w:t>
      </w:r>
      <w:r>
        <w:rPr>
          <w:rFonts w:ascii="宋体" w:hAnsi="宋体" w:cs="宋体" w:eastAsia="宋体" w:hint="default"/>
          <w:spacing w:val="-1"/>
        </w:rPr>
        <w:t>[2014]1218</w:t>
      </w:r>
      <w:r>
        <w:rPr>
          <w:spacing w:val="-1"/>
        </w:rPr>
        <w:t>号）核准，北京中科金财科技股份有限公司向刘开同、董书倩、刘运龙、天津滨河</w:t>
      </w:r>
      <w:r>
        <w:rPr>
          <w:spacing w:val="-79"/>
        </w:rPr>
        <w:t> </w:t>
      </w:r>
      <w:r>
        <w:rPr>
          <w:spacing w:val="-79"/>
        </w:rPr>
      </w:r>
      <w:r>
        <w:rPr>
          <w:spacing w:val="-1"/>
        </w:rPr>
        <w:t>数据信息技术有限公司发行股份并向赫喆、杨承宏、谢晓梅、周惠明、张伟、吴红心募集配套资金。公司</w:t>
      </w:r>
      <w:r>
        <w:rPr>
          <w:spacing w:val="-83"/>
        </w:rPr>
        <w:t> </w:t>
      </w:r>
      <w:r>
        <w:rPr>
          <w:spacing w:val="-83"/>
        </w:rPr>
      </w:r>
      <w:r>
        <w:rPr>
          <w:spacing w:val="-1"/>
        </w:rPr>
        <w:t>本次发行股份购买资产并募集配套资金共发行股份</w:t>
      </w:r>
      <w:r>
        <w:rPr>
          <w:rFonts w:ascii="宋体" w:hAnsi="宋体" w:cs="宋体" w:eastAsia="宋体" w:hint="default"/>
          <w:spacing w:val="-1"/>
        </w:rPr>
        <w:t>32,853,990</w:t>
      </w:r>
      <w:r>
        <w:rPr>
          <w:spacing w:val="-1"/>
        </w:rPr>
        <w:t>股，截止</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17</w:t>
      </w:r>
      <w:r>
        <w:rPr>
          <w:spacing w:val="-1"/>
        </w:rPr>
        <w:t>日，本次非公开发行</w:t>
      </w:r>
      <w:r>
        <w:rPr>
          <w:spacing w:val="-78"/>
        </w:rPr>
        <w:t> </w:t>
      </w:r>
      <w:r>
        <w:rPr>
          <w:spacing w:val="-78"/>
        </w:rPr>
      </w:r>
      <w:r>
        <w:rPr/>
        <w:t>股份上市交易。</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公司股份总数及股东结构的变动、公司资产和负债结构的变动情况说明" w:id="89"/>
      <w:bookmarkEnd w:id="8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0" w:firstLine="484"/>
        <w:jc w:val="left"/>
      </w:pPr>
      <w:r>
        <w:rPr>
          <w:spacing w:val="-1"/>
        </w:rPr>
        <w:t>公司</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16</w:t>
      </w:r>
      <w:r>
        <w:rPr>
          <w:spacing w:val="-1"/>
        </w:rPr>
        <w:t>日披露了《</w:t>
      </w:r>
      <w:r>
        <w:rPr>
          <w:rFonts w:ascii="宋体" w:hAnsi="宋体" w:cs="宋体" w:eastAsia="宋体" w:hint="default"/>
          <w:spacing w:val="-1"/>
        </w:rPr>
        <w:t>2014</w:t>
      </w:r>
      <w:r>
        <w:rPr>
          <w:spacing w:val="-1"/>
        </w:rPr>
        <w:t>年半年度权益分派实施公告》：以公司截止</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日总股本</w:t>
      </w:r>
      <w:r>
        <w:rPr/>
        <w:t> </w:t>
      </w:r>
      <w:r>
        <w:rPr>
          <w:rFonts w:ascii="宋体" w:hAnsi="宋体" w:cs="宋体" w:eastAsia="宋体" w:hint="default"/>
        </w:rPr>
        <w:t>104,696,301</w:t>
      </w:r>
      <w:r>
        <w:rPr/>
        <w:t>股为基数，进行资本公积金转增股本，全体股东每</w:t>
      </w:r>
      <w:r>
        <w:rPr>
          <w:rFonts w:ascii="宋体" w:hAnsi="宋体" w:cs="宋体" w:eastAsia="宋体" w:hint="default"/>
        </w:rPr>
        <w:t>10</w:t>
      </w:r>
      <w:r>
        <w:rPr/>
        <w:t>股转增</w:t>
      </w:r>
      <w:r>
        <w:rPr>
          <w:rFonts w:ascii="宋体" w:hAnsi="宋体" w:cs="宋体" w:eastAsia="宋体" w:hint="default"/>
        </w:rPr>
        <w:t>2</w:t>
      </w:r>
      <w:r>
        <w:rPr/>
        <w:t>股，共计转增</w:t>
      </w:r>
      <w:r>
        <w:rPr>
          <w:rFonts w:ascii="宋体" w:hAnsi="宋体" w:cs="宋体" w:eastAsia="宋体" w:hint="default"/>
        </w:rPr>
        <w:t>20,939,260</w:t>
      </w:r>
      <w:r>
        <w:rPr/>
        <w:t>股。</w:t>
      </w:r>
    </w:p>
    <w:p>
      <w:pPr>
        <w:pStyle w:val="BodyText"/>
        <w:spacing w:line="408" w:lineRule="auto"/>
        <w:ind w:right="0" w:firstLine="420"/>
        <w:jc w:val="left"/>
      </w:pPr>
      <w:r>
        <w:rPr>
          <w:rFonts w:ascii="宋体" w:hAnsi="宋体" w:cs="宋体" w:eastAsia="宋体" w:hint="default"/>
        </w:rPr>
        <w:t>2014</w:t>
      </w:r>
      <w:r>
        <w:rPr/>
        <w:t>年</w:t>
      </w:r>
      <w:r>
        <w:rPr>
          <w:rFonts w:ascii="宋体" w:hAnsi="宋体" w:cs="宋体" w:eastAsia="宋体" w:hint="default"/>
        </w:rPr>
        <w:t>12</w:t>
      </w:r>
      <w:r>
        <w:rPr/>
        <w:t>月，经中国证券监督管理委员会《关于核准公司向刘开同等发行股份购买资产并募集配套资 </w:t>
      </w:r>
      <w:r>
        <w:rPr>
          <w:spacing w:val="-3"/>
        </w:rPr>
        <w:t>金的批复》（证监许可</w:t>
      </w:r>
      <w:r>
        <w:rPr>
          <w:rFonts w:ascii="宋体" w:hAnsi="宋体" w:cs="宋体" w:eastAsia="宋体" w:hint="default"/>
          <w:spacing w:val="-3"/>
        </w:rPr>
        <w:t>[2014]1218</w:t>
      </w:r>
      <w:r>
        <w:rPr>
          <w:spacing w:val="-3"/>
        </w:rPr>
        <w:t>号）核准，北京中科金财科技股份有限公司向刘开同、董书倩、刘运龙、</w:t>
      </w:r>
      <w:r>
        <w:rPr>
          <w:spacing w:val="-79"/>
        </w:rPr>
        <w:t> </w:t>
      </w:r>
      <w:r>
        <w:rPr>
          <w:spacing w:val="-79"/>
        </w:rPr>
      </w:r>
      <w:r>
        <w:rPr/>
        <w:t>天津滨河数据信息技术有限公司发行股份并向赫喆、杨承宏、谢晓梅、周惠明、张伟、吴红心募集配套资</w:t>
      </w:r>
      <w:r>
        <w:rPr/>
        <w:t> 金。公司本次发行股份购买资产并募集配套资金共发行股份</w:t>
      </w:r>
      <w:r>
        <w:rPr>
          <w:rFonts w:ascii="宋体" w:hAnsi="宋体" w:cs="宋体" w:eastAsia="宋体" w:hint="default"/>
        </w:rPr>
        <w:t>32,853,990</w:t>
      </w:r>
      <w:r>
        <w:rPr/>
        <w:t>股，截止</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日，本次非 公开发行股份上市交易。</w:t>
      </w:r>
    </w:p>
    <w:p>
      <w:pPr>
        <w:pStyle w:val="BodyText"/>
        <w:spacing w:line="408" w:lineRule="auto"/>
        <w:ind w:right="1092" w:firstLine="421"/>
        <w:jc w:val="left"/>
      </w:pPr>
      <w:r>
        <w:rPr/>
        <w:t>公司股本增加</w:t>
      </w:r>
      <w:r>
        <w:rPr>
          <w:rFonts w:ascii="宋体" w:hAnsi="宋体" w:cs="宋体" w:eastAsia="宋体" w:hint="default"/>
        </w:rPr>
        <w:t>53,793,250</w:t>
      </w:r>
      <w:r>
        <w:rPr/>
        <w:t>元，资本公积减少</w:t>
      </w:r>
      <w:r>
        <w:rPr>
          <w:rFonts w:ascii="宋体" w:hAnsi="宋体" w:cs="宋体" w:eastAsia="宋体" w:hint="default"/>
        </w:rPr>
        <w:t>20,939,260</w:t>
      </w:r>
      <w:r>
        <w:rPr/>
        <w:t>元，截止</w:t>
      </w:r>
      <w:r>
        <w:rPr>
          <w:rFonts w:ascii="宋体" w:hAnsi="宋体" w:cs="宋体" w:eastAsia="宋体" w:hint="default"/>
        </w:rPr>
        <w:t>12</w:t>
      </w:r>
      <w:r>
        <w:rPr/>
        <w:t>月底，公司资产负债率为</w:t>
      </w:r>
      <w:r>
        <w:rPr>
          <w:rFonts w:ascii="宋体" w:hAnsi="宋体" w:cs="宋体" w:eastAsia="宋体" w:hint="default"/>
        </w:rPr>
        <w:t>35.61%</w:t>
      </w:r>
      <w:r>
        <w:rPr/>
        <w:t>， 较年初有所下降。</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3、现存的内部职工股情况" w:id="90"/>
      <w:bookmarkEnd w:id="9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股东和实际控制人情况" w:id="91"/>
      <w:bookmarkEnd w:id="91"/>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1、公司股东数量及持股情况" w:id="92"/>
      <w:bookmarkEnd w:id="9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5"/>
              <w:jc w:val="right"/>
              <w:rPr>
                <w:rFonts w:ascii="Times New Roman" w:hAnsi="Times New Roman" w:cs="Times New Roman" w:eastAsia="Times New Roman" w:hint="default"/>
                <w:sz w:val="18"/>
                <w:szCs w:val="18"/>
              </w:rPr>
            </w:pPr>
            <w:r>
              <w:rPr>
                <w:rFonts w:ascii="Times New Roman"/>
                <w:sz w:val="18"/>
              </w:rPr>
              <w:t>12,334</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11,410</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3"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1"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18.01%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28,546,45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28,546,45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陈绪华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z w:val="18"/>
              </w:rPr>
              <w:t>11.29%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17,896,43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17,896,43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17,784,000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9.66%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15,316,27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15,316,27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12,600,000</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8.30%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13,150,24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13,150,24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中国农业银行－ 中邮核心优选股 票型证券投资基 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66" w:right="0"/>
              <w:jc w:val="left"/>
              <w:rPr>
                <w:rFonts w:ascii="Times New Roman" w:hAnsi="Times New Roman" w:cs="Times New Roman" w:eastAsia="Times New Roman" w:hint="default"/>
                <w:sz w:val="18"/>
                <w:szCs w:val="18"/>
              </w:rPr>
            </w:pPr>
            <w:r>
              <w:rPr>
                <w:rFonts w:ascii="Times New Roman"/>
                <w:sz w:val="18"/>
              </w:rPr>
              <w:t>2.62%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4,153,357</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left"/>
              <w:rPr>
                <w:rFonts w:ascii="Times New Roman" w:hAnsi="Times New Roman" w:cs="Times New Roman" w:eastAsia="Times New Roman" w:hint="default"/>
                <w:sz w:val="18"/>
                <w:szCs w:val="18"/>
              </w:rPr>
            </w:pPr>
            <w:r>
              <w:rPr>
                <w:rFonts w:ascii="Times New Roman"/>
                <w:sz w:val="18"/>
              </w:rPr>
              <w:t>4,153,357</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天津滨河数据信 息技术有限公司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3,921,833</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3,921,833</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融通动力先锋股 票型证券投资基 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66"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3,507,246</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left"/>
              <w:rPr>
                <w:rFonts w:ascii="Times New Roman" w:hAnsi="Times New Roman" w:cs="Times New Roman" w:eastAsia="Times New Roman" w:hint="default"/>
                <w:sz w:val="18"/>
                <w:szCs w:val="18"/>
              </w:rPr>
            </w:pPr>
            <w:r>
              <w:rPr>
                <w:rFonts w:ascii="Times New Roman"/>
                <w:sz w:val="18"/>
              </w:rPr>
              <w:t>3,507,246</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杨承宏</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3,154,830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3,154,830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 嘉实策略增长混 合型证券投资基 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66" w:right="0"/>
              <w:jc w:val="left"/>
              <w:rPr>
                <w:rFonts w:ascii="Times New Roman" w:hAnsi="Times New Roman" w:cs="Times New Roman" w:eastAsia="Times New Roman" w:hint="default"/>
                <w:sz w:val="18"/>
                <w:szCs w:val="18"/>
              </w:rPr>
            </w:pPr>
            <w:r>
              <w:rPr>
                <w:rFonts w:ascii="Times New Roman"/>
                <w:sz w:val="18"/>
              </w:rPr>
              <w:t>1.91%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3,033,295</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left"/>
              <w:rPr>
                <w:rFonts w:ascii="Times New Roman" w:hAnsi="Times New Roman" w:cs="Times New Roman" w:eastAsia="Times New Roman" w:hint="default"/>
                <w:sz w:val="18"/>
                <w:szCs w:val="18"/>
              </w:rPr>
            </w:pPr>
            <w:r>
              <w:rPr>
                <w:rFonts w:ascii="Times New Roman"/>
                <w:sz w:val="18"/>
              </w:rPr>
              <w:t>3,033,295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添富移动互联股 票型证券投资基 金</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1.71%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2,709,585</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2,709,585</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2"/>
              <w:jc w:val="both"/>
              <w:rPr>
                <w:rFonts w:ascii="宋体" w:hAnsi="宋体" w:cs="宋体" w:eastAsia="宋体" w:hint="default"/>
                <w:sz w:val="18"/>
                <w:szCs w:val="18"/>
              </w:rPr>
            </w:pPr>
            <w:r>
              <w:rPr>
                <w:rFonts w:ascii="宋体" w:hAnsi="宋体" w:cs="宋体" w:eastAsia="宋体" w:hint="default"/>
                <w:spacing w:val="-2"/>
                <w:sz w:val="18"/>
                <w:szCs w:val="18"/>
              </w:rPr>
              <w:t>上述股东中沈飒、陈绪华、蔡迦为公司一致行动人，天津滨河数据信息技术有限公司是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第四大股东刘开同控制的企业，杨承宏为公司第二大股东陈绪华之子。除上述关系外， </w:t>
            </w:r>
            <w:r>
              <w:rPr>
                <w:rFonts w:ascii="宋体" w:hAnsi="宋体" w:cs="宋体" w:eastAsia="宋体" w:hint="default"/>
                <w:spacing w:val="-2"/>
                <w:sz w:val="18"/>
                <w:szCs w:val="18"/>
              </w:rPr>
              <w:t>公司未知上述其他股东是否存在其他关联关系或属于《上市公司股东持股变动信息披露</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管理办法》中规定的一致行动人。</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29" w:type="dxa"/>
            <w:vMerge/>
            <w:tcBorders>
              <w:left w:val="single" w:sz="4" w:space="0" w:color="000000"/>
              <w:bottom w:val="single" w:sz="4" w:space="0" w:color="000000"/>
              <w:right w:val="single" w:sz="4" w:space="0" w:color="000000"/>
            </w:tcBorders>
            <w:shd w:val="clear" w:color="auto" w:fill="D2D2D2"/>
          </w:tcPr>
          <w:p>
            <w:pPr/>
          </w:p>
        </w:tc>
        <w:tc>
          <w:tcPr>
            <w:tcW w:w="410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中国农业银行－中邮核心优选股 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4,153,357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4,153,357</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中国工商银行－融通动力先锋股 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3,507,246</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中国工商银行－嘉实策略增长混 合型证券投资基金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3,033,295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3,033,295</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中国工商银行股份有限公司－汇 添富移动互联股票型证券投资基 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2,709,585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2,709,585</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融通新蓝筹证券投资基金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2,500,011</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－投连－个险投连</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1,873,855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1,873,855</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中国建设银行－华宝兴业收益增 长混合型证券投资基金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1,200,467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航天科技财务有限责任公司</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1,097,667</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全国社保基金一一六组合</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1,021,868</w:t>
            </w:r>
          </w:p>
        </w:tc>
      </w:tr>
      <w:tr>
        <w:trPr>
          <w:trHeight w:val="71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中国工商银行－南方隆元产业主 题股票型证券投资基金</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1,000,089</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6" w:right="145"/>
              <w:jc w:val="left"/>
              <w:rPr>
                <w:rFonts w:ascii="宋体" w:hAnsi="宋体" w:cs="宋体" w:eastAsia="宋体" w:hint="default"/>
                <w:sz w:val="18"/>
                <w:szCs w:val="18"/>
              </w:rPr>
            </w:pPr>
            <w:r>
              <w:rPr>
                <w:rFonts w:ascii="宋体" w:hAnsi="宋体" w:cs="宋体" w:eastAsia="宋体" w:hint="default"/>
                <w:sz w:val="18"/>
                <w:szCs w:val="18"/>
              </w:rPr>
              <w:t>公司未知上述股东是否存在关联关系或属于《上市公司股东持股变动信息披露管理办 法》中规定的一致行动人。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93"/>
      <w:bookmarkEnd w:id="9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141" w:firstLine="0"/>
        <w:jc w:val="right"/>
        <w:rPr>
          <w:rFonts w:ascii="宋体" w:hAnsi="宋体" w:cs="宋体" w:eastAsia="宋体" w:hint="default"/>
          <w:sz w:val="18"/>
          <w:szCs w:val="18"/>
        </w:rPr>
      </w:pPr>
      <w:r>
        <w:rPr/>
        <w:pict>
          <v:shape style="position:absolute;margin-left:56.459999pt;margin-top:-43.248287pt;width:479.2pt;height:80.9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近五年任职于北京中科金财科技股份有限公司，担任副董事长、运营总监一职</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公司报告期控股股东未发生变更。</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公司实际控制人情况" w:id="94"/>
      <w:bookmarkEnd w:id="9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before="44"/>
        <w:ind w:left="0" w:right="1141" w:firstLine="0"/>
        <w:jc w:val="right"/>
        <w:rPr>
          <w:rFonts w:ascii="宋体" w:hAnsi="宋体" w:cs="宋体" w:eastAsia="宋体" w:hint="default"/>
          <w:sz w:val="18"/>
          <w:szCs w:val="18"/>
        </w:rPr>
      </w:pPr>
      <w:r>
        <w:rPr/>
        <w:pict>
          <v:shape style="position:absolute;margin-left:56.459999pt;margin-top:-76.778305pt;width:479.2pt;height:116.6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
                            <w:sz w:val="18"/>
                            <w:szCs w:val="18"/>
                          </w:rPr>
                          <w:t>沈飒近五年任职于北京中科金财科技股份有限公司，担任副董事长、运营总监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一职。朱烨东近五年任职于北京中科金财科技股份有限公司，担任董事长一职</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15"/>
          <w:szCs w:val="15"/>
        </w:rPr>
      </w:pPr>
    </w:p>
    <w:p>
      <w:pPr>
        <w:spacing w:line="2772" w:lineRule="exact"/>
        <w:ind w:left="2333"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352679" cy="1760791"/>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9" cstate="print"/>
                    <a:stretch>
                      <a:fillRect/>
                    </a:stretch>
                  </pic:blipFill>
                  <pic:spPr>
                    <a:xfrm>
                      <a:off x="0" y="0"/>
                      <a:ext cx="3352679" cy="1760791"/>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95"/>
      <w:bookmarkEnd w:id="9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股东及其一致行动人在报告期提出或实施股份增持计划的情况" w:id="96"/>
      <w:bookmarkEnd w:id="96"/>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7"/>
        <w:ind w:left="153" w:right="0" w:firstLine="0"/>
        <w:jc w:val="left"/>
        <w:rPr>
          <w:rFonts w:ascii="宋体" w:hAnsi="宋体" w:cs="宋体" w:eastAsia="宋体" w:hint="default"/>
          <w:sz w:val="20"/>
          <w:szCs w:val="20"/>
        </w:rPr>
      </w:pPr>
      <w:r>
        <w:rPr>
          <w:rFonts w:ascii="宋体" w:hAnsi="宋体" w:cs="宋体" w:eastAsia="宋体" w:hint="default"/>
          <w:sz w:val="20"/>
          <w:szCs w:val="20"/>
        </w:rPr>
        <w:t>在公司所知的范围内，没有公司股东及其一致行动人在报告期提出或实施股份增持计划。</w:t>
      </w:r>
    </w:p>
    <w:p>
      <w:pPr>
        <w:spacing w:after="0"/>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97"/>
      <w:bookmarkStart w:name="第七节 优先股相关情况" w:id="98"/>
      <w:r>
        <w:rPr>
          <w:b w:val="0"/>
          <w:bCs w:val="0"/>
        </w:rPr>
      </w:r>
      <w:r>
        <w:rPr/>
        <w:t>第七节</w:t>
      </w:r>
      <w:r>
        <w:rPr>
          <w:spacing w:val="-8"/>
        </w:rPr>
        <w:t> </w:t>
      </w:r>
      <w:r>
        <w:rPr/>
        <w:t>优先股相关情况</w:t>
      </w:r>
      <w:bookmarkEnd w:id="97"/>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86"/>
        <w:ind w:left="153" w:right="0" w:firstLine="0"/>
        <w:jc w:val="left"/>
        <w:rPr>
          <w:rFonts w:ascii="宋体" w:hAnsi="宋体" w:cs="宋体" w:eastAsia="宋体" w:hint="default"/>
          <w:sz w:val="20"/>
          <w:szCs w:val="20"/>
        </w:rPr>
      </w:pPr>
      <w:r>
        <w:rPr>
          <w:rFonts w:ascii="宋体" w:hAnsi="宋体" w:cs="宋体" w:eastAsia="宋体" w:hint="default"/>
          <w:sz w:val="20"/>
          <w:szCs w:val="20"/>
        </w:rPr>
        <w:t>报告期公司不存在优先股。</w:t>
      </w:r>
    </w:p>
    <w:p>
      <w:pPr>
        <w:spacing w:after="0"/>
        <w:jc w:val="lef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99"/>
      <w:bookmarkStart w:name="第八节 董事、监事、高级管理人员和员工情况" w:id="100"/>
      <w:r>
        <w:rPr>
          <w:b w:val="0"/>
          <w:bCs w:val="0"/>
        </w:rPr>
      </w:r>
      <w:r>
        <w:rPr/>
        <w:t>第八节</w:t>
      </w:r>
      <w:r>
        <w:rPr>
          <w:spacing w:val="-16"/>
        </w:rPr>
        <w:t> </w:t>
      </w:r>
      <w:r>
        <w:rPr/>
        <w:t>董事、监事、高级管理人员和员工情况</w:t>
      </w:r>
      <w:bookmarkEnd w:id="99"/>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01"/>
      <w:bookmarkEnd w:id="10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副董事长 兼运营总 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23,788,716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28,546,459</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12,763,561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15,316,273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于志宏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经理兼董 事会秘书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孟庆涛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任宏军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5"/>
              <w:jc w:val="left"/>
              <w:rPr>
                <w:rFonts w:ascii="宋体" w:hAnsi="宋体" w:cs="宋体" w:eastAsia="宋体" w:hint="default"/>
                <w:sz w:val="18"/>
                <w:szCs w:val="18"/>
              </w:rPr>
            </w:pPr>
            <w:r>
              <w:rPr>
                <w:rFonts w:ascii="宋体" w:hAnsi="宋体" w:cs="宋体" w:eastAsia="宋体" w:hint="default"/>
                <w:sz w:val="18"/>
                <w:szCs w:val="18"/>
              </w:rPr>
              <w:t>副总经理 兼财务总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李昕照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章超英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32,063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36,587,902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43,894,795</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102"/>
      <w:bookmarkEnd w:id="102"/>
      <w:r>
        <w:rPr>
          <w:b w:val="0"/>
          <w:bCs w:val="0"/>
        </w:rPr>
      </w:r>
      <w:r>
        <w:rPr/>
        <w:t>二、任职情况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0"/>
          <w:szCs w:val="20"/>
        </w:rPr>
      </w:pPr>
      <w:r>
        <w:rPr>
          <w:rFonts w:ascii="宋体" w:hAnsi="宋体" w:cs="宋体" w:eastAsia="宋体" w:hint="default"/>
          <w:sz w:val="20"/>
          <w:szCs w:val="20"/>
        </w:rPr>
        <w:t>公司现任董事、监事、高级管理人员最近</w:t>
      </w:r>
      <w:r>
        <w:rPr>
          <w:rFonts w:ascii="宋体" w:hAnsi="宋体" w:cs="宋体" w:eastAsia="宋体" w:hint="default"/>
          <w:spacing w:val="-54"/>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年的主要工作经历</w:t>
      </w:r>
    </w:p>
    <w:p>
      <w:pPr>
        <w:pStyle w:val="Heading3"/>
        <w:spacing w:line="240" w:lineRule="auto" w:before="142"/>
        <w:ind w:left="153" w:right="0"/>
        <w:jc w:val="left"/>
        <w:rPr>
          <w:b w:val="0"/>
          <w:bCs w:val="0"/>
        </w:rPr>
      </w:pPr>
      <w:r>
        <w:rPr/>
        <w:t>公司现任董事近</w:t>
      </w:r>
      <w:r>
        <w:rPr>
          <w:rFonts w:ascii="宋体" w:hAnsi="宋体" w:cs="宋体" w:eastAsia="宋体" w:hint="default"/>
        </w:rPr>
        <w:t>5</w:t>
      </w:r>
      <w:r>
        <w:rPr/>
        <w:t>年工作经历：</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before="0"/>
        <w:ind w:right="1214" w:firstLine="421"/>
        <w:jc w:val="both"/>
      </w:pPr>
      <w:r>
        <w:rPr/>
        <w:t>朱烨东，男，中国国籍，无境外永久居留权，</w:t>
      </w:r>
      <w:r>
        <w:rPr>
          <w:rFonts w:ascii="宋体" w:hAnsi="宋体" w:cs="宋体" w:eastAsia="宋体" w:hint="default"/>
        </w:rPr>
        <w:t>1968 </w:t>
      </w:r>
      <w:r>
        <w:rPr/>
        <w:t>年</w:t>
      </w:r>
      <w:r>
        <w:rPr>
          <w:rFonts w:ascii="宋体" w:hAnsi="宋体" w:cs="宋体" w:eastAsia="宋体" w:hint="default"/>
        </w:rPr>
        <w:t>6</w:t>
      </w:r>
      <w:r>
        <w:rPr>
          <w:rFonts w:ascii="宋体" w:hAnsi="宋体" w:cs="宋体" w:eastAsia="宋体" w:hint="default"/>
          <w:spacing w:val="-5"/>
        </w:rPr>
        <w:t> </w:t>
      </w:r>
      <w:r>
        <w:rPr/>
        <w:t>月出生。南京理工大学计算机系软件专业学 士、北京大学经济学院金融学硕士、北京大学经济学院政治经济学博士、高级工程师。近</w:t>
      </w:r>
      <w:r>
        <w:rPr>
          <w:rFonts w:ascii="宋体" w:hAnsi="宋体" w:cs="宋体" w:eastAsia="宋体" w:hint="default"/>
        </w:rPr>
        <w:t>5</w:t>
      </w:r>
      <w:r>
        <w:rPr/>
        <w:t>年任职于北京 中科金财科技股份有限公司，现任公司董事长。</w:t>
      </w:r>
    </w:p>
    <w:p>
      <w:pPr>
        <w:pStyle w:val="BodyText"/>
        <w:spacing w:line="408" w:lineRule="auto"/>
        <w:ind w:right="1214" w:firstLine="421"/>
        <w:jc w:val="both"/>
      </w:pPr>
      <w:r>
        <w:rPr/>
        <w:t>沈飒，女，中国国籍，无境外永久居留权，</w:t>
      </w:r>
      <w:r>
        <w:rPr>
          <w:rFonts w:ascii="宋体" w:hAnsi="宋体" w:cs="宋体" w:eastAsia="宋体" w:hint="default"/>
        </w:rPr>
        <w:t>1973 </w:t>
      </w:r>
      <w:r>
        <w:rPr/>
        <w:t>年</w:t>
      </w:r>
      <w:r>
        <w:rPr>
          <w:rFonts w:ascii="宋体" w:hAnsi="宋体" w:cs="宋体" w:eastAsia="宋体" w:hint="default"/>
        </w:rPr>
        <w:t>2</w:t>
      </w:r>
      <w:r>
        <w:rPr>
          <w:rFonts w:ascii="宋体" w:hAnsi="宋体" w:cs="宋体" w:eastAsia="宋体" w:hint="default"/>
          <w:spacing w:val="-4"/>
        </w:rPr>
        <w:t> </w:t>
      </w:r>
      <w:r>
        <w:rPr/>
        <w:t>月出生，北京大学经济学院金融专业硕士，中 共党员。近</w:t>
      </w:r>
      <w:r>
        <w:rPr>
          <w:rFonts w:ascii="宋体" w:hAnsi="宋体" w:cs="宋体" w:eastAsia="宋体" w:hint="default"/>
        </w:rPr>
        <w:t>5</w:t>
      </w:r>
      <w:r>
        <w:rPr/>
        <w:t>年任职于北京中科金财科技股份有限公司，现任公司副董事长兼运营总监。</w:t>
      </w:r>
    </w:p>
    <w:p>
      <w:pPr>
        <w:pStyle w:val="BodyText"/>
        <w:spacing w:line="408" w:lineRule="auto"/>
        <w:ind w:left="154" w:right="1131" w:firstLine="421"/>
        <w:jc w:val="both"/>
      </w:pPr>
      <w:r>
        <w:rPr>
          <w:spacing w:val="-1"/>
        </w:rPr>
        <w:t>杨阳，男，中国国际，无境外永久居留权，</w:t>
      </w:r>
      <w:r>
        <w:rPr>
          <w:rFonts w:ascii="宋体" w:hAnsi="宋体" w:cs="宋体" w:eastAsia="宋体" w:hint="default"/>
          <w:spacing w:val="-1"/>
        </w:rPr>
        <w:t>1967</w:t>
      </w:r>
      <w:r>
        <w:rPr>
          <w:spacing w:val="-1"/>
        </w:rPr>
        <w:t>年出生，武汉工业大学计算机及应用专业学士、北京</w:t>
      </w:r>
      <w:r>
        <w:rPr/>
        <w:t> </w:t>
      </w:r>
      <w:r>
        <w:rPr>
          <w:spacing w:val="-1"/>
        </w:rPr>
        <w:t>大学经济学院金融学硕士，工程师。曾任职于北京市政交通一卡通有限公司，现任北京中科金财科技股份</w:t>
      </w:r>
      <w:r>
        <w:rPr>
          <w:spacing w:val="-83"/>
        </w:rPr>
        <w:t> </w:t>
      </w:r>
      <w:r>
        <w:rPr>
          <w:spacing w:val="-83"/>
        </w:rPr>
      </w:r>
      <w:r>
        <w:rPr/>
        <w:t>有限公司董事、总经理。</w:t>
      </w:r>
    </w:p>
    <w:p>
      <w:pPr>
        <w:pStyle w:val="BodyText"/>
        <w:spacing w:line="408" w:lineRule="auto"/>
        <w:ind w:left="154" w:right="1132" w:firstLine="421"/>
        <w:jc w:val="both"/>
      </w:pPr>
      <w:r>
        <w:rPr/>
        <w:t>蔡迦，女，中国国籍，无境外永久居留权，</w:t>
      </w:r>
      <w:r>
        <w:rPr>
          <w:rFonts w:ascii="宋体" w:hAnsi="宋体" w:cs="宋体" w:eastAsia="宋体" w:hint="default"/>
        </w:rPr>
        <w:t>1946</w:t>
      </w:r>
      <w:r>
        <w:rPr>
          <w:rFonts w:ascii="宋体" w:hAnsi="宋体" w:cs="宋体" w:eastAsia="宋体" w:hint="default"/>
          <w:spacing w:val="-25"/>
        </w:rPr>
        <w:t> </w:t>
      </w:r>
      <w:r>
        <w:rPr/>
        <w:t>年出生，大学本科学历。近</w:t>
      </w:r>
      <w:r>
        <w:rPr>
          <w:rFonts w:ascii="宋体" w:hAnsi="宋体" w:cs="宋体" w:eastAsia="宋体" w:hint="default"/>
        </w:rPr>
        <w:t>5</w:t>
      </w:r>
      <w:r>
        <w:rPr/>
        <w:t>年任职于北京中科金财 科技股份有限公司，现任公司董事。</w:t>
      </w:r>
    </w:p>
    <w:p>
      <w:pPr>
        <w:pStyle w:val="BodyText"/>
        <w:spacing w:line="408" w:lineRule="auto"/>
        <w:ind w:left="154" w:right="1215" w:firstLine="421"/>
        <w:jc w:val="both"/>
      </w:pPr>
      <w:r>
        <w:rPr/>
        <w:t>李明珠，男，中国国籍，无境外永久居留权，</w:t>
      </w:r>
      <w:r>
        <w:rPr>
          <w:rFonts w:ascii="宋体" w:hAnsi="宋体" w:cs="宋体" w:eastAsia="宋体" w:hint="default"/>
        </w:rPr>
        <w:t>1969</w:t>
      </w:r>
      <w:r>
        <w:rPr>
          <w:rFonts w:ascii="宋体" w:hAnsi="宋体" w:cs="宋体" w:eastAsia="宋体" w:hint="default"/>
          <w:spacing w:val="-4"/>
        </w:rPr>
        <w:t> </w:t>
      </w:r>
      <w:r>
        <w:rPr/>
        <w:t>年出生，毕业于南开大学金融系农村金融专业， 高级经济师。近</w:t>
      </w:r>
      <w:r>
        <w:rPr>
          <w:rFonts w:ascii="宋体" w:hAnsi="宋体" w:cs="宋体" w:eastAsia="宋体" w:hint="default"/>
        </w:rPr>
        <w:t>5</w:t>
      </w:r>
      <w:r>
        <w:rPr/>
        <w:t>年任职于北京中科金财科技股份有限公司，现任公司董事、副总经理。</w:t>
      </w:r>
    </w:p>
    <w:p>
      <w:pPr>
        <w:pStyle w:val="BodyText"/>
        <w:spacing w:line="408" w:lineRule="auto"/>
        <w:ind w:left="154" w:right="1214" w:firstLine="421"/>
        <w:jc w:val="both"/>
      </w:pPr>
      <w:r>
        <w:rPr/>
        <w:t>贺岩，男，中国国籍，无境外永久居留权，</w:t>
      </w:r>
      <w:r>
        <w:rPr>
          <w:rFonts w:ascii="宋体" w:hAnsi="宋体" w:cs="宋体" w:eastAsia="宋体" w:hint="default"/>
        </w:rPr>
        <w:t>1978</w:t>
      </w:r>
      <w:r>
        <w:rPr/>
        <w:t>年出生，南开大学</w:t>
      </w:r>
      <w:r>
        <w:rPr>
          <w:rFonts w:ascii="宋体" w:hAnsi="宋体" w:cs="宋体" w:eastAsia="宋体" w:hint="default"/>
        </w:rPr>
        <w:t>EMBA</w:t>
      </w:r>
      <w:r>
        <w:rPr/>
        <w:t>，硕士学历。近</w:t>
      </w:r>
      <w:r>
        <w:rPr>
          <w:rFonts w:ascii="宋体" w:hAnsi="宋体" w:cs="宋体" w:eastAsia="宋体" w:hint="default"/>
        </w:rPr>
        <w:t>5</w:t>
      </w:r>
      <w:r>
        <w:rPr/>
        <w:t>年任职于北 京中科金财科技股份有限公司，担任公司董事、副总经理兼董事会秘书。</w:t>
      </w:r>
    </w:p>
    <w:p>
      <w:pPr>
        <w:pStyle w:val="BodyText"/>
        <w:spacing w:line="240" w:lineRule="auto"/>
        <w:ind w:left="680" w:right="0"/>
        <w:jc w:val="left"/>
      </w:pPr>
      <w:r>
        <w:rPr/>
        <w:t>白涛，女，中国国籍，无境外永久居留权，</w:t>
      </w:r>
      <w:r>
        <w:rPr>
          <w:rFonts w:ascii="宋体" w:hAnsi="宋体" w:cs="宋体" w:eastAsia="宋体" w:hint="default"/>
        </w:rPr>
        <w:t>1965</w:t>
      </w:r>
      <w:r>
        <w:rPr>
          <w:rFonts w:ascii="宋体" w:hAnsi="宋体" w:cs="宋体" w:eastAsia="宋体" w:hint="default"/>
          <w:spacing w:val="-27"/>
        </w:rPr>
        <w:t> </w:t>
      </w:r>
      <w:r>
        <w:rPr/>
        <w:t>年出生，北京大学法学学士、美国康乃尔大学法学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98"/>
        <w:jc w:val="left"/>
      </w:pPr>
      <w:r>
        <w:rPr/>
        <w:t>博士。近</w:t>
      </w:r>
      <w:r>
        <w:rPr>
          <w:rFonts w:ascii="宋体" w:hAnsi="宋体" w:cs="宋体" w:eastAsia="宋体" w:hint="default"/>
        </w:rPr>
        <w:t>5</w:t>
      </w:r>
      <w:r>
        <w:rPr/>
        <w:t>年任职于北京市君合律师事务所，兼任公司独立董事，东易日盛家居装饰集团股份有限公司独 立董事。</w:t>
      </w:r>
    </w:p>
    <w:p>
      <w:pPr>
        <w:pStyle w:val="BodyText"/>
        <w:spacing w:line="408" w:lineRule="auto"/>
        <w:ind w:right="1110" w:firstLine="526"/>
        <w:jc w:val="both"/>
      </w:pPr>
      <w:r>
        <w:rPr/>
        <w:t>赵燕，女，中国国籍，无境外永久居留权，</w:t>
      </w:r>
      <w:r>
        <w:rPr>
          <w:rFonts w:ascii="宋体" w:hAnsi="宋体" w:cs="宋体" w:eastAsia="宋体" w:hint="default"/>
        </w:rPr>
        <w:t>1972</w:t>
      </w:r>
      <w:r>
        <w:rPr>
          <w:rFonts w:ascii="宋体" w:hAnsi="宋体" w:cs="宋体" w:eastAsia="宋体" w:hint="default"/>
          <w:spacing w:val="-22"/>
        </w:rPr>
        <w:t> </w:t>
      </w:r>
      <w:r>
        <w:rPr/>
        <w:t>年出生，北方工业大学会计专业，本科学历，中国 注册会计师、注册评估师、高级会计师。曾任职于国富浩华会计师事务所有限公司、中国证监会发审委， 现任职于瑞华会计师事务所（特殊普通合伙），兼任公司独立董事。</w:t>
      </w:r>
    </w:p>
    <w:p>
      <w:pPr>
        <w:pStyle w:val="BodyText"/>
        <w:spacing w:line="408" w:lineRule="auto"/>
        <w:ind w:right="1215" w:firstLine="421"/>
        <w:jc w:val="both"/>
      </w:pPr>
      <w:r>
        <w:rPr/>
        <w:t>宁家骏，男，中国国籍，无境外永久居留权，</w:t>
      </w:r>
      <w:r>
        <w:rPr>
          <w:rFonts w:ascii="宋体" w:hAnsi="宋体" w:cs="宋体" w:eastAsia="宋体" w:hint="default"/>
        </w:rPr>
        <w:t>1945</w:t>
      </w:r>
      <w:r>
        <w:rPr>
          <w:rFonts w:ascii="宋体" w:hAnsi="宋体" w:cs="宋体" w:eastAsia="宋体" w:hint="default"/>
          <w:spacing w:val="-4"/>
        </w:rPr>
        <w:t> </w:t>
      </w:r>
      <w:r>
        <w:rPr/>
        <w:t>年出生，南开大学数学系学士学位、北京航空航 天大学计算机应用与科学专业硕士学位，高级工程师，研究员。近</w:t>
      </w:r>
      <w:r>
        <w:rPr>
          <w:rFonts w:ascii="宋体" w:hAnsi="宋体" w:cs="宋体" w:eastAsia="宋体" w:hint="default"/>
        </w:rPr>
        <w:t>5</w:t>
      </w:r>
      <w:r>
        <w:rPr/>
        <w:t>年任职于国家信息中心专家委员会， 兼任公司独立董事。</w:t>
      </w:r>
    </w:p>
    <w:p>
      <w:pPr>
        <w:spacing w:line="408" w:lineRule="auto" w:before="46"/>
        <w:ind w:left="575" w:right="0" w:hanging="422"/>
        <w:jc w:val="left"/>
        <w:rPr>
          <w:rFonts w:ascii="宋体" w:hAnsi="宋体" w:cs="宋体" w:eastAsia="宋体" w:hint="default"/>
          <w:sz w:val="21"/>
          <w:szCs w:val="21"/>
        </w:rPr>
      </w:pPr>
      <w:r>
        <w:rPr>
          <w:rFonts w:ascii="宋体" w:hAnsi="宋体" w:cs="宋体" w:eastAsia="宋体" w:hint="default"/>
          <w:b/>
          <w:bCs/>
          <w:sz w:val="21"/>
          <w:szCs w:val="21"/>
        </w:rPr>
        <w:t>公司现任监事近</w:t>
      </w:r>
      <w:r>
        <w:rPr>
          <w:rFonts w:ascii="宋体" w:hAnsi="宋体" w:cs="宋体" w:eastAsia="宋体" w:hint="default"/>
          <w:b/>
          <w:bCs/>
          <w:sz w:val="21"/>
          <w:szCs w:val="21"/>
        </w:rPr>
        <w:t>5</w:t>
      </w:r>
      <w:r>
        <w:rPr>
          <w:rFonts w:ascii="宋体" w:hAnsi="宋体" w:cs="宋体" w:eastAsia="宋体" w:hint="default"/>
          <w:b/>
          <w:bCs/>
          <w:sz w:val="21"/>
          <w:szCs w:val="21"/>
        </w:rPr>
        <w:t>年工作经历：</w:t>
      </w:r>
      <w:r>
        <w:rPr>
          <w:rFonts w:ascii="宋体" w:hAnsi="宋体" w:cs="宋体" w:eastAsia="宋体" w:hint="default"/>
          <w:b/>
          <w:bCs/>
          <w:w w:val="99"/>
          <w:sz w:val="21"/>
          <w:szCs w:val="21"/>
        </w:rPr>
        <w:t> </w:t>
      </w:r>
      <w:r>
        <w:rPr>
          <w:rFonts w:ascii="宋体" w:hAnsi="宋体" w:cs="宋体" w:eastAsia="宋体" w:hint="default"/>
          <w:spacing w:val="-1"/>
          <w:sz w:val="21"/>
          <w:szCs w:val="21"/>
        </w:rPr>
        <w:t>孟庆涛，男，中国国籍，无境外永久居留权，</w:t>
      </w:r>
      <w:r>
        <w:rPr>
          <w:rFonts w:ascii="宋体" w:hAnsi="宋体" w:cs="宋体" w:eastAsia="宋体" w:hint="default"/>
          <w:spacing w:val="-1"/>
          <w:sz w:val="21"/>
          <w:szCs w:val="21"/>
        </w:rPr>
        <w:t>1970</w:t>
      </w:r>
      <w:r>
        <w:rPr>
          <w:rFonts w:ascii="宋体" w:hAnsi="宋体" w:cs="宋体" w:eastAsia="宋体" w:hint="default"/>
          <w:spacing w:val="-1"/>
          <w:sz w:val="21"/>
          <w:szCs w:val="21"/>
        </w:rPr>
        <w:t>年出生，毕业于北京科技大学分院金属压力加工专</w:t>
      </w:r>
    </w:p>
    <w:p>
      <w:pPr>
        <w:pStyle w:val="BodyText"/>
        <w:spacing w:line="408" w:lineRule="auto"/>
        <w:ind w:left="575" w:right="0" w:hanging="422"/>
        <w:jc w:val="left"/>
      </w:pPr>
      <w:r>
        <w:rPr/>
        <w:t>业，大学本科学历。近</w:t>
      </w:r>
      <w:r>
        <w:rPr>
          <w:rFonts w:ascii="宋体" w:hAnsi="宋体" w:cs="宋体" w:eastAsia="宋体" w:hint="default"/>
        </w:rPr>
        <w:t>5</w:t>
      </w:r>
      <w:r>
        <w:rPr/>
        <w:t>年任职于北京中科金财科技股份有限公司，现任公司监事会主席。 </w:t>
      </w:r>
      <w:r>
        <w:rPr>
          <w:spacing w:val="-1"/>
        </w:rPr>
        <w:t>任宏军，男，中国国籍，无境外永久居留权，</w:t>
      </w:r>
      <w:r>
        <w:rPr>
          <w:rFonts w:ascii="宋体" w:hAnsi="宋体" w:cs="宋体" w:eastAsia="宋体" w:hint="default"/>
          <w:spacing w:val="-1"/>
        </w:rPr>
        <w:t>1971</w:t>
      </w:r>
      <w:r>
        <w:rPr>
          <w:spacing w:val="-1"/>
        </w:rPr>
        <w:t>年出生，北京理工大学计算机应用专业毕业，大学</w:t>
      </w:r>
    </w:p>
    <w:p>
      <w:pPr>
        <w:pStyle w:val="BodyText"/>
        <w:spacing w:line="408" w:lineRule="auto"/>
        <w:ind w:left="575" w:right="1091" w:hanging="422"/>
        <w:jc w:val="left"/>
      </w:pPr>
      <w:r>
        <w:rPr/>
        <w:t>专科学历。近</w:t>
      </w:r>
      <w:r>
        <w:rPr>
          <w:rFonts w:ascii="宋体" w:hAnsi="宋体" w:cs="宋体" w:eastAsia="宋体" w:hint="default"/>
        </w:rPr>
        <w:t>5</w:t>
      </w:r>
      <w:r>
        <w:rPr/>
        <w:t>年任职于北京中科金财科技股份有限公司，现任公司监事。 汪亮，男，中国国籍，无境外永久居留权，</w:t>
      </w:r>
      <w:r>
        <w:rPr>
          <w:rFonts w:ascii="宋体" w:hAnsi="宋体" w:cs="宋体" w:eastAsia="宋体" w:hint="default"/>
        </w:rPr>
        <w:t>1982</w:t>
      </w:r>
      <w:r>
        <w:rPr/>
        <w:t>年出生，北京城市学院生物计算机专业，大专学历。</w:t>
      </w:r>
    </w:p>
    <w:p>
      <w:pPr>
        <w:spacing w:line="408" w:lineRule="auto" w:before="46"/>
        <w:ind w:left="154" w:right="4977" w:firstLine="0"/>
        <w:jc w:val="left"/>
        <w:rPr>
          <w:rFonts w:ascii="宋体" w:hAnsi="宋体" w:cs="宋体" w:eastAsia="宋体" w:hint="default"/>
          <w:sz w:val="21"/>
          <w:szCs w:val="21"/>
        </w:rPr>
      </w:pPr>
      <w:r>
        <w:rPr>
          <w:rFonts w:ascii="宋体" w:hAnsi="宋体" w:cs="宋体" w:eastAsia="宋体" w:hint="default"/>
          <w:sz w:val="21"/>
          <w:szCs w:val="21"/>
        </w:rPr>
        <w:t>近</w:t>
      </w:r>
      <w:r>
        <w:rPr>
          <w:rFonts w:ascii="宋体" w:hAnsi="宋体" w:cs="宋体" w:eastAsia="宋体" w:hint="default"/>
          <w:sz w:val="21"/>
          <w:szCs w:val="21"/>
        </w:rPr>
        <w:t>5</w:t>
      </w:r>
      <w:r>
        <w:rPr>
          <w:rFonts w:ascii="宋体" w:hAnsi="宋体" w:cs="宋体" w:eastAsia="宋体" w:hint="default"/>
          <w:sz w:val="21"/>
          <w:szCs w:val="21"/>
        </w:rPr>
        <w:t>年任职于北京中科金财科技股份有限公司，现任公司监事。 </w:t>
      </w:r>
      <w:r>
        <w:rPr>
          <w:rFonts w:ascii="宋体" w:hAnsi="宋体" w:cs="宋体" w:eastAsia="宋体" w:hint="default"/>
          <w:b/>
          <w:bCs/>
          <w:sz w:val="21"/>
          <w:szCs w:val="21"/>
        </w:rPr>
        <w:t>公司现任高级管理人员近</w:t>
      </w:r>
      <w:r>
        <w:rPr>
          <w:rFonts w:ascii="宋体" w:hAnsi="宋体" w:cs="宋体" w:eastAsia="宋体" w:hint="default"/>
          <w:b/>
          <w:bCs/>
          <w:sz w:val="21"/>
          <w:szCs w:val="21"/>
        </w:rPr>
        <w:t>5</w:t>
      </w:r>
      <w:r>
        <w:rPr>
          <w:rFonts w:ascii="宋体" w:hAnsi="宋体" w:cs="宋体" w:eastAsia="宋体" w:hint="default"/>
          <w:b/>
          <w:bCs/>
          <w:sz w:val="21"/>
          <w:szCs w:val="21"/>
        </w:rPr>
        <w:t>年工作经历：</w:t>
      </w:r>
      <w:r>
        <w:rPr>
          <w:rFonts w:ascii="宋体" w:hAnsi="宋体" w:cs="宋体" w:eastAsia="宋体" w:hint="default"/>
          <w:sz w:val="21"/>
          <w:szCs w:val="21"/>
        </w:rPr>
      </w:r>
    </w:p>
    <w:p>
      <w:pPr>
        <w:pStyle w:val="BodyText"/>
        <w:spacing w:line="408" w:lineRule="auto"/>
        <w:ind w:left="575" w:right="4871"/>
        <w:jc w:val="left"/>
      </w:pPr>
      <w:r>
        <w:rPr/>
        <w:t>杨阳，现任公司总经理，简历同上。 沈飒，现任公司运营总监，简历同上。 李明珠，现任公司副总经理，简历同上。 贺岩，现任公司董事、副总经理兼董事会秘书，简历同上。</w:t>
      </w:r>
    </w:p>
    <w:p>
      <w:pPr>
        <w:pStyle w:val="BodyText"/>
        <w:spacing w:line="408" w:lineRule="auto"/>
        <w:ind w:right="1215" w:firstLine="421"/>
        <w:jc w:val="both"/>
      </w:pPr>
      <w:r>
        <w:rPr/>
        <w:t>赵学荣，女，中国国籍，无境外永久居留权，</w:t>
      </w:r>
      <w:r>
        <w:rPr>
          <w:rFonts w:ascii="宋体" w:hAnsi="宋体" w:cs="宋体" w:eastAsia="宋体" w:hint="default"/>
        </w:rPr>
        <w:t>1973</w:t>
      </w:r>
      <w:r>
        <w:rPr>
          <w:rFonts w:ascii="宋体" w:hAnsi="宋体" w:cs="宋体" w:eastAsia="宋体" w:hint="default"/>
          <w:spacing w:val="-4"/>
        </w:rPr>
        <w:t> </w:t>
      </w:r>
      <w:r>
        <w:rPr/>
        <w:t>年出生，中国人民大学财务会计专业本科毕业， 高级会计师。近</w:t>
      </w:r>
      <w:r>
        <w:rPr>
          <w:rFonts w:ascii="宋体" w:hAnsi="宋体" w:cs="宋体" w:eastAsia="宋体" w:hint="default"/>
        </w:rPr>
        <w:t>5</w:t>
      </w:r>
      <w:r>
        <w:rPr/>
        <w:t>年任职于北京中科金财科技股份有限公司，现任公司副总经理兼财务总监。</w:t>
      </w:r>
    </w:p>
    <w:p>
      <w:pPr>
        <w:pStyle w:val="BodyText"/>
        <w:spacing w:line="408" w:lineRule="auto"/>
        <w:ind w:right="1215" w:firstLine="421"/>
        <w:jc w:val="both"/>
      </w:pPr>
      <w:r>
        <w:rPr/>
        <w:t>黄智舜，男，中国国籍，无境外永久居留权，</w:t>
      </w:r>
      <w:r>
        <w:rPr>
          <w:rFonts w:ascii="宋体" w:hAnsi="宋体" w:cs="宋体" w:eastAsia="宋体" w:hint="default"/>
        </w:rPr>
        <w:t>1969</w:t>
      </w:r>
      <w:r>
        <w:rPr>
          <w:rFonts w:ascii="宋体" w:hAnsi="宋体" w:cs="宋体" w:eastAsia="宋体" w:hint="default"/>
          <w:spacing w:val="-4"/>
        </w:rPr>
        <w:t> </w:t>
      </w:r>
      <w:r>
        <w:rPr/>
        <w:t>年出生，毕业于北京大学力学系力学专业，本科 学历，高级工程师。近</w:t>
      </w:r>
      <w:r>
        <w:rPr>
          <w:rFonts w:ascii="宋体" w:hAnsi="宋体" w:cs="宋体" w:eastAsia="宋体" w:hint="default"/>
        </w:rPr>
        <w:t>5</w:t>
      </w:r>
      <w:r>
        <w:rPr/>
        <w:t>年任职于北京中科金财科技股份有限公司，现任公司副总经理。</w:t>
      </w:r>
    </w:p>
    <w:p>
      <w:pPr>
        <w:pStyle w:val="BodyText"/>
        <w:spacing w:line="408" w:lineRule="auto"/>
        <w:ind w:right="1215" w:firstLine="421"/>
        <w:jc w:val="both"/>
      </w:pPr>
      <w:r>
        <w:rPr/>
        <w:t>杜江，男，中国国籍，无境外永久居留权，</w:t>
      </w:r>
      <w:r>
        <w:rPr>
          <w:rFonts w:ascii="宋体" w:hAnsi="宋体" w:cs="宋体" w:eastAsia="宋体" w:hint="default"/>
        </w:rPr>
        <w:t>1963</w:t>
      </w:r>
      <w:r>
        <w:rPr>
          <w:rFonts w:ascii="宋体" w:hAnsi="宋体" w:cs="宋体" w:eastAsia="宋体" w:hint="default"/>
          <w:spacing w:val="-4"/>
        </w:rPr>
        <w:t> </w:t>
      </w:r>
      <w:r>
        <w:rPr/>
        <w:t>年出生。华中理工大学博士学位，副教授。曾任北 京瑞科时代科技有限公司副总经理，</w:t>
      </w:r>
      <w:r>
        <w:rPr>
          <w:rFonts w:ascii="宋体" w:hAnsi="宋体" w:cs="宋体" w:eastAsia="宋体" w:hint="default"/>
        </w:rPr>
        <w:t>2008</w:t>
      </w:r>
      <w:r>
        <w:rPr/>
        <w:t>年</w:t>
      </w:r>
      <w:r>
        <w:rPr>
          <w:rFonts w:ascii="宋体" w:hAnsi="宋体" w:cs="宋体" w:eastAsia="宋体" w:hint="default"/>
        </w:rPr>
        <w:t>10</w:t>
      </w:r>
      <w:r>
        <w:rPr/>
        <w:t>月至今任公司副总经理。</w:t>
      </w:r>
    </w:p>
    <w:p>
      <w:pPr>
        <w:pStyle w:val="BodyText"/>
        <w:spacing w:line="408" w:lineRule="auto"/>
        <w:ind w:right="1132" w:firstLine="421"/>
        <w:jc w:val="both"/>
      </w:pPr>
      <w:r>
        <w:rPr/>
        <w:t>李昕照，女，中国国籍，无境外永久居留权，</w:t>
      </w:r>
      <w:r>
        <w:rPr>
          <w:rFonts w:ascii="宋体" w:hAnsi="宋体" w:cs="宋体" w:eastAsia="宋体" w:hint="default"/>
        </w:rPr>
        <w:t>1970</w:t>
      </w:r>
      <w:r>
        <w:rPr>
          <w:rFonts w:ascii="宋体" w:hAnsi="宋体" w:cs="宋体" w:eastAsia="宋体" w:hint="default"/>
          <w:spacing w:val="-26"/>
        </w:rPr>
        <w:t> </w:t>
      </w:r>
      <w:r>
        <w:rPr/>
        <w:t>年出生，大学本科学历，高级工程师。近</w:t>
      </w:r>
      <w:r>
        <w:rPr>
          <w:rFonts w:ascii="宋体" w:hAnsi="宋体" w:cs="宋体" w:eastAsia="宋体" w:hint="default"/>
        </w:rPr>
        <w:t>5</w:t>
      </w:r>
      <w:r>
        <w:rPr/>
        <w:t>年任职 于北京中科金财科技股份有限公司，现任公司副总经理。</w:t>
      </w:r>
    </w:p>
    <w:p>
      <w:pPr>
        <w:pStyle w:val="BodyText"/>
        <w:spacing w:line="408" w:lineRule="auto"/>
        <w:ind w:right="1132" w:firstLine="421"/>
        <w:jc w:val="both"/>
      </w:pPr>
      <w:r>
        <w:rPr>
          <w:spacing w:val="-1"/>
        </w:rPr>
        <w:t>张京辉，男，中国国籍，无境外永久居留权，</w:t>
      </w:r>
      <w:r>
        <w:rPr>
          <w:rFonts w:ascii="宋体" w:hAnsi="宋体" w:cs="宋体" w:eastAsia="宋体" w:hint="default"/>
          <w:spacing w:val="-1"/>
        </w:rPr>
        <w:t>1971</w:t>
      </w:r>
      <w:r>
        <w:rPr>
          <w:spacing w:val="-1"/>
        </w:rPr>
        <w:t>年出生，北京信息工程学院计算机软件专业本科毕</w:t>
      </w:r>
      <w:r>
        <w:rPr/>
        <w:t> 业，学士学位。曾任职于亚美亚通讯设备（中国）有限公司，</w:t>
      </w:r>
      <w:r>
        <w:rPr>
          <w:rFonts w:ascii="宋体" w:hAnsi="宋体" w:cs="宋体" w:eastAsia="宋体" w:hint="default"/>
        </w:rPr>
        <w:t>2012</w:t>
      </w:r>
      <w:r>
        <w:rPr/>
        <w:t>年</w:t>
      </w:r>
      <w:r>
        <w:rPr>
          <w:rFonts w:ascii="宋体" w:hAnsi="宋体" w:cs="宋体" w:eastAsia="宋体" w:hint="default"/>
        </w:rPr>
        <w:t>3</w:t>
      </w:r>
      <w:r>
        <w:rPr/>
        <w:t>月至今任公司副总经理。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1"/>
        <w:jc w:val="left"/>
      </w:pPr>
      <w:r>
        <w:rPr>
          <w:spacing w:val="-1"/>
        </w:rPr>
        <w:t>夏海涛，男，中国国籍，无境外永久居留权，</w:t>
      </w:r>
      <w:r>
        <w:rPr>
          <w:rFonts w:ascii="宋体" w:hAnsi="宋体" w:cs="宋体" w:eastAsia="宋体" w:hint="default"/>
          <w:spacing w:val="-1"/>
        </w:rPr>
        <w:t>1970</w:t>
      </w:r>
      <w:r>
        <w:rPr>
          <w:spacing w:val="-1"/>
        </w:rPr>
        <w:t>年出生，天津商学院商业企业管理系财会计学专业</w:t>
      </w:r>
      <w:r>
        <w:rPr/>
        <w:t> 本科毕业，高级经济师，会计师职称。曾任职于北京炎黄时代健康传媒广告有限公司，</w:t>
      </w:r>
      <w:r>
        <w:rPr>
          <w:rFonts w:ascii="宋体" w:hAnsi="宋体" w:cs="宋体" w:eastAsia="宋体" w:hint="default"/>
        </w:rPr>
        <w:t>2010</w:t>
      </w:r>
      <w:r>
        <w:rPr/>
        <w:t>年</w:t>
      </w:r>
      <w:r>
        <w:rPr>
          <w:rFonts w:ascii="宋体" w:hAnsi="宋体" w:cs="宋体" w:eastAsia="宋体" w:hint="default"/>
        </w:rPr>
        <w:t>4</w:t>
      </w:r>
      <w:r>
        <w:rPr/>
        <w:t>月至今就 职于北京中科金财科技股份有限公司，现任公司副总经理。</w:t>
      </w:r>
    </w:p>
    <w:p>
      <w:pPr>
        <w:pStyle w:val="BodyText"/>
        <w:spacing w:line="408" w:lineRule="auto"/>
        <w:ind w:right="0" w:firstLine="421"/>
        <w:jc w:val="left"/>
      </w:pPr>
      <w:r>
        <w:rPr>
          <w:spacing w:val="-1"/>
        </w:rPr>
        <w:t>章超英，女，中国国籍，无境外永久居留权，</w:t>
      </w:r>
      <w:r>
        <w:rPr>
          <w:rFonts w:ascii="宋体" w:hAnsi="宋体" w:cs="宋体" w:eastAsia="宋体" w:hint="default"/>
          <w:spacing w:val="-1"/>
        </w:rPr>
        <w:t>1958</w:t>
      </w:r>
      <w:r>
        <w:rPr>
          <w:spacing w:val="-1"/>
        </w:rPr>
        <w:t>年出生，大专学历，获得信息产业部计算机信息系</w:t>
      </w:r>
      <w:r>
        <w:rPr/>
        <w:t> 统集成项目经理证书。曾任职于太极计算机股份有限公司，现任公司副总经理。</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北京市君合律师事务所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国家信息中心专家委员会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03"/>
      <w:bookmarkEnd w:id="103"/>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1"/>
        <w:rPr>
          <w:rFonts w:ascii="宋体" w:hAnsi="宋体" w:cs="宋体" w:eastAsia="宋体" w:hint="default"/>
          <w:sz w:val="12"/>
          <w:szCs w:val="12"/>
        </w:rPr>
      </w:pPr>
    </w:p>
    <w:p>
      <w:pPr>
        <w:pStyle w:val="BodyText"/>
        <w:spacing w:line="408" w:lineRule="auto" w:before="0"/>
        <w:ind w:right="1131" w:firstLine="420"/>
        <w:jc w:val="both"/>
      </w:pPr>
      <w:r>
        <w:rPr>
          <w:spacing w:val="-1"/>
        </w:rPr>
        <w:t>高级管理人员报酬由董事会薪酬与考核委员会提出方案，经董事会审议通过后方可实施；董事的报酬</w:t>
      </w:r>
      <w:r>
        <w:rPr/>
        <w:t> </w:t>
      </w:r>
      <w:r>
        <w:rPr>
          <w:spacing w:val="-1"/>
        </w:rPr>
        <w:t>由董事会薪酬与考核委员会提出方案，经董事会审议通过后，报送股东大会审议通过方可实施；监事的报</w:t>
      </w:r>
      <w:r>
        <w:rPr>
          <w:spacing w:val="-83"/>
        </w:rPr>
        <w:t> </w:t>
      </w:r>
      <w:r>
        <w:rPr>
          <w:spacing w:val="-83"/>
        </w:rPr>
      </w:r>
      <w:r>
        <w:rPr/>
        <w:t>酬由监事会提出方案，经股东大会通过后方可实施。</w:t>
      </w:r>
    </w:p>
    <w:p>
      <w:pPr>
        <w:pStyle w:val="BodyText"/>
        <w:spacing w:line="240" w:lineRule="auto"/>
        <w:ind w:left="154" w:right="0"/>
        <w:jc w:val="left"/>
      </w:pPr>
      <w:r>
        <w:rPr/>
        <w:t>确定依据：</w:t>
      </w:r>
    </w:p>
    <w:p>
      <w:pPr>
        <w:spacing w:line="240" w:lineRule="auto" w:before="10"/>
        <w:rPr>
          <w:rFonts w:ascii="宋体" w:hAnsi="宋体" w:cs="宋体" w:eastAsia="宋体" w:hint="default"/>
          <w:sz w:val="14"/>
          <w:szCs w:val="14"/>
        </w:rPr>
      </w:pPr>
    </w:p>
    <w:p>
      <w:pPr>
        <w:pStyle w:val="BodyText"/>
        <w:spacing w:line="408" w:lineRule="auto" w:before="0"/>
        <w:ind w:left="154" w:right="1131" w:firstLine="420"/>
        <w:jc w:val="both"/>
      </w:pPr>
      <w:r>
        <w:rPr>
          <w:spacing w:val="-1"/>
        </w:rPr>
        <w:t>董事、监事及高级管理人员的报酬根据管理岗位的主要范围、职责、重要性以及其它相关企业相关岗</w:t>
      </w:r>
      <w:r>
        <w:rPr/>
        <w:t> 位的薪酬水平确定。</w:t>
      </w:r>
    </w:p>
    <w:p>
      <w:pPr>
        <w:pStyle w:val="BodyText"/>
        <w:spacing w:line="408" w:lineRule="auto"/>
        <w:ind w:left="574" w:right="2142" w:hanging="420"/>
        <w:jc w:val="left"/>
      </w:pPr>
      <w:r>
        <w:rPr/>
        <w:t>实际支付情况： 独立董事津贴每季度按标准支付，其他董事、监事、高级管理人员报酬每月按标准支付。</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朱烨东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沈飒</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副董事长、运 营总监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于志宏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李明珠</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董事、副总经 理兼董事会秘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孟庆涛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任宏军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赵学荣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副总经理兼财 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黄智舜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夏海涛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李昕照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张京辉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章超英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104"/>
      <w:bookmarkEnd w:id="104"/>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于志宏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贺岩</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经公司第三届董事会第五次会议审议通过，选举贺岩 担任公司董事。</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报告期核心技术团队或关键技术人员变动情况（非董事、监事、高级管理人员）" w:id="105"/>
      <w:bookmarkEnd w:id="105"/>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0"/>
        <w:jc w:val="left"/>
      </w:pPr>
      <w:r>
        <w:rPr/>
        <w:t>报告期内，公司核心技术人员未发生变化。</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公司员工情况" w:id="106"/>
      <w:bookmarkEnd w:id="106"/>
      <w:r>
        <w:rPr>
          <w:b w:val="0"/>
          <w:bCs w:val="0"/>
        </w:rPr>
      </w:r>
      <w:r>
        <w:rPr/>
        <w:t>六、公司员工情况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704"/>
        <w:gridCol w:w="1080"/>
        <w:gridCol w:w="2201"/>
      </w:tblGrid>
      <w:tr>
        <w:trPr>
          <w:trHeight w:val="342" w:hRule="exact"/>
        </w:trPr>
        <w:tc>
          <w:tcPr>
            <w:tcW w:w="2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4" w:right="0"/>
              <w:jc w:val="left"/>
              <w:rPr>
                <w:rFonts w:ascii="宋体" w:hAnsi="宋体" w:cs="宋体" w:eastAsia="宋体" w:hint="default"/>
                <w:sz w:val="18"/>
                <w:szCs w:val="18"/>
              </w:rPr>
            </w:pPr>
            <w:r>
              <w:rPr>
                <w:rFonts w:ascii="宋体" w:hAnsi="宋体" w:cs="宋体" w:eastAsia="宋体" w:hint="default"/>
                <w:sz w:val="18"/>
                <w:szCs w:val="18"/>
              </w:rPr>
              <w:t>在职员工的人数</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778</w:t>
            </w:r>
          </w:p>
        </w:tc>
      </w:tr>
      <w:tr>
        <w:trPr>
          <w:trHeight w:val="342" w:hRule="exact"/>
        </w:trPr>
        <w:tc>
          <w:tcPr>
            <w:tcW w:w="2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4" w:right="0"/>
              <w:jc w:val="left"/>
              <w:rPr>
                <w:rFonts w:ascii="宋体" w:hAnsi="宋体" w:cs="宋体" w:eastAsia="宋体" w:hint="default"/>
                <w:sz w:val="18"/>
                <w:szCs w:val="18"/>
              </w:rPr>
            </w:pPr>
            <w:r>
              <w:rPr>
                <w:rFonts w:ascii="宋体" w:hAnsi="宋体" w:cs="宋体" w:eastAsia="宋体" w:hint="default"/>
                <w:sz w:val="18"/>
                <w:szCs w:val="18"/>
              </w:rPr>
              <w:t>公司需承担费用的离退休职工人数</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专业结构</w:t>
            </w:r>
            <w:r>
              <w:rPr>
                <w:rFonts w:ascii="宋体" w:hAnsi="宋体" w:cs="宋体" w:eastAsia="宋体" w:hint="default"/>
                <w:sz w:val="18"/>
                <w:szCs w:val="18"/>
              </w:rPr>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74.04%</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11.70%</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其他职能人员</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14.26%</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学历</w:t>
            </w:r>
            <w:r>
              <w:rPr>
                <w:rFonts w:ascii="宋体" w:hAnsi="宋体" w:cs="宋体" w:eastAsia="宋体" w:hint="default"/>
                <w:sz w:val="18"/>
                <w:szCs w:val="18"/>
              </w:rPr>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博士</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0.39%</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硕士</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5.01%</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62.98%</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30.46%</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1.16%</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人数（人）</w:t>
            </w:r>
            <w:r>
              <w:rPr>
                <w:rFonts w:ascii="宋体" w:hAnsi="宋体" w:cs="宋体" w:eastAsia="宋体" w:hint="default"/>
                <w:sz w:val="18"/>
                <w:szCs w:val="18"/>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占员工总数的比例</w:t>
            </w:r>
            <w:r>
              <w:rPr>
                <w:rFonts w:ascii="宋体" w:hAnsi="宋体" w:cs="宋体" w:eastAsia="宋体" w:hint="default"/>
                <w:sz w:val="18"/>
                <w:szCs w:val="18"/>
              </w:rPr>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岁以上</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5.91%</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35.35%</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58.74%</w:t>
            </w:r>
          </w:p>
        </w:tc>
      </w:tr>
      <w:tr>
        <w:trPr>
          <w:trHeight w:val="34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7"/>
        <w:rPr>
          <w:rFonts w:ascii="宋体" w:hAnsi="宋体" w:cs="宋体" w:eastAsia="宋体" w:hint="default"/>
          <w:b/>
          <w:bCs/>
          <w:sz w:val="11"/>
          <w:szCs w:val="11"/>
        </w:rPr>
      </w:pPr>
    </w:p>
    <w:p>
      <w:pPr>
        <w:spacing w:line="3712" w:lineRule="exact"/>
        <w:ind w:left="154"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3979354" cy="2357437"/>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0" cstate="print"/>
                    <a:stretch>
                      <a:fillRect/>
                    </a:stretch>
                  </pic:blipFill>
                  <pic:spPr>
                    <a:xfrm>
                      <a:off x="0" y="0"/>
                      <a:ext cx="3979354" cy="2357437"/>
                    </a:xfrm>
                    <a:prstGeom prst="rect">
                      <a:avLst/>
                    </a:prstGeom>
                  </pic:spPr>
                </pic:pic>
              </a:graphicData>
            </a:graphic>
          </wp:inline>
        </w:drawing>
      </w:r>
      <w:r>
        <w:rPr>
          <w:rFonts w:ascii="宋体" w:hAnsi="宋体" w:cs="宋体" w:eastAsia="宋体" w:hint="default"/>
          <w:position w:val="-73"/>
          <w:sz w:val="20"/>
          <w:szCs w:val="20"/>
        </w:rPr>
      </w:r>
    </w:p>
    <w:p>
      <w:pPr>
        <w:spacing w:after="0" w:line="3712"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line="3240"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4"/>
          <w:sz w:val="20"/>
          <w:szCs w:val="20"/>
        </w:rPr>
        <w:drawing>
          <wp:inline distT="0" distB="0" distL="0" distR="0">
            <wp:extent cx="3343910" cy="2057400"/>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21" cstate="print"/>
                    <a:stretch>
                      <a:fillRect/>
                    </a:stretch>
                  </pic:blipFill>
                  <pic:spPr>
                    <a:xfrm>
                      <a:off x="0" y="0"/>
                      <a:ext cx="3343910" cy="2057400"/>
                    </a:xfrm>
                    <a:prstGeom prst="rect">
                      <a:avLst/>
                    </a:prstGeom>
                  </pic:spPr>
                </pic:pic>
              </a:graphicData>
            </a:graphic>
          </wp:inline>
        </w:drawing>
      </w:r>
      <w:r>
        <w:rPr>
          <w:rFonts w:ascii="Times New Roman" w:hAnsi="Times New Roman" w:cs="Times New Roman" w:eastAsia="Times New Roman" w:hint="default"/>
          <w:position w:val="-64"/>
          <w:sz w:val="20"/>
          <w:szCs w:val="20"/>
        </w:rPr>
      </w:r>
    </w:p>
    <w:p>
      <w:pPr>
        <w:spacing w:after="0" w:line="3240" w:lineRule="exac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401"/>
        <w:jc w:val="center"/>
        <w:rPr>
          <w:b w:val="0"/>
          <w:bCs w:val="0"/>
        </w:rPr>
      </w:pPr>
      <w:bookmarkStart w:name="_TOC_250003" w:id="107"/>
      <w:bookmarkStart w:name="第九节 公司治理" w:id="108"/>
      <w:r>
        <w:rPr>
          <w:b w:val="0"/>
          <w:bCs w:val="0"/>
        </w:rPr>
      </w:r>
      <w:r>
        <w:rPr/>
        <w:t>第九节</w:t>
      </w:r>
      <w:r>
        <w:rPr>
          <w:spacing w:val="-5"/>
        </w:rPr>
        <w:t> </w:t>
      </w:r>
      <w:r>
        <w:rPr/>
        <w:t>公司治理</w:t>
      </w:r>
      <w:bookmarkEnd w:id="10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09"/>
      <w:bookmarkEnd w:id="109"/>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6" w:firstLine="423"/>
        <w:jc w:val="both"/>
      </w:pPr>
      <w:r>
        <w:rPr/>
        <w:t>公司严格按照《公司法》、《证券法》、《上市公司治理准则》、《深圳证券交易所股票上市规则》 等法律、法规的要求，不断完善公司治理结构，建立健全内部管理和控制制度，规范公司运作，提高公司 </w:t>
      </w:r>
      <w:r>
        <w:rPr>
          <w:spacing w:val="-8"/>
        </w:rPr>
        <w:t>治理水平。报告期内，公司修订了《股东大会议事规则》、《对外投资管理制度》、《募集资金管理制度》、</w:t>
      </w:r>
    </w:p>
    <w:p>
      <w:pPr>
        <w:pStyle w:val="BodyText"/>
        <w:spacing w:line="408" w:lineRule="auto"/>
        <w:ind w:right="1133"/>
        <w:jc w:val="both"/>
      </w:pPr>
      <w:r>
        <w:rPr>
          <w:spacing w:val="-1"/>
        </w:rPr>
        <w:t>《规范与关联方资金往来的管理制度》。截止报告期末，公司已经形成了较为完善的法人治理结构，形成</w:t>
      </w:r>
      <w:r>
        <w:rPr>
          <w:spacing w:val="-86"/>
        </w:rPr>
        <w:t> </w:t>
      </w:r>
      <w:r>
        <w:rPr>
          <w:spacing w:val="-86"/>
        </w:rPr>
      </w:r>
      <w:r>
        <w:rPr>
          <w:spacing w:val="-1"/>
        </w:rPr>
        <w:t>了完善的决策机制、监督机制和执行机制，公司治理的实际情况与《公司法》和中国证监会相关规定的要</w:t>
      </w:r>
      <w:r>
        <w:rPr>
          <w:spacing w:val="-86"/>
        </w:rPr>
        <w:t> </w:t>
      </w:r>
      <w:r>
        <w:rPr>
          <w:spacing w:val="-86"/>
        </w:rPr>
      </w:r>
      <w:r>
        <w:rPr/>
        <w:t>求不存在差异。具体情况如下：</w:t>
      </w:r>
    </w:p>
    <w:p>
      <w:pPr>
        <w:pStyle w:val="BodyText"/>
        <w:spacing w:line="408" w:lineRule="auto"/>
        <w:ind w:left="577" w:right="0"/>
        <w:jc w:val="left"/>
      </w:pPr>
      <w:r>
        <w:rPr/>
        <w:t>（一）关于股东与股东大会 </w:t>
      </w:r>
      <w:r>
        <w:rPr>
          <w:spacing w:val="-1"/>
        </w:rPr>
        <w:t>股东大会是公司的最高权力机构，公司依据《公司法》、《公司章程》、《上市公司治理准则》等文</w:t>
      </w:r>
    </w:p>
    <w:p>
      <w:pPr>
        <w:pStyle w:val="BodyText"/>
        <w:spacing w:line="408" w:lineRule="auto"/>
        <w:ind w:right="1131"/>
        <w:jc w:val="both"/>
      </w:pPr>
      <w:r>
        <w:rPr>
          <w:spacing w:val="-1"/>
        </w:rPr>
        <w:t>件制定了《股东大会议事规则》，规范了股东大会召集、召开、表决程序，平等对待所有股东，积极采用</w:t>
      </w:r>
      <w:r>
        <w:rPr>
          <w:spacing w:val="-85"/>
        </w:rPr>
        <w:t> </w:t>
      </w:r>
      <w:r>
        <w:rPr>
          <w:spacing w:val="-85"/>
        </w:rPr>
      </w:r>
      <w:r>
        <w:rPr>
          <w:spacing w:val="-1"/>
        </w:rPr>
        <w:t>网络投票等形式，扩大中小股东参与度，保证股东对公司重大事项的知情权和参与权，确保全体股东尤其</w:t>
      </w:r>
      <w:r>
        <w:rPr>
          <w:spacing w:val="-83"/>
        </w:rPr>
        <w:t> </w:t>
      </w:r>
      <w:r>
        <w:rPr>
          <w:spacing w:val="-83"/>
        </w:rPr>
      </w:r>
      <w:r>
        <w:rPr/>
        <w:t>是中小股东享有平等地位，充分行使自己的权利。</w:t>
      </w:r>
    </w:p>
    <w:p>
      <w:pPr>
        <w:pStyle w:val="BodyText"/>
        <w:spacing w:line="408" w:lineRule="auto"/>
        <w:ind w:left="577" w:right="0"/>
        <w:jc w:val="left"/>
      </w:pPr>
      <w:r>
        <w:rPr/>
        <w:t>（二）关于公司与控股股东 </w:t>
      </w:r>
      <w:r>
        <w:rPr>
          <w:spacing w:val="-1"/>
        </w:rPr>
        <w:t>公司拥有独立的业务和自主经营能力，在业务、人员、资产、机构、财务上独立于控股股东，公司董</w:t>
      </w:r>
    </w:p>
    <w:p>
      <w:pPr>
        <w:pStyle w:val="BodyText"/>
        <w:spacing w:line="408" w:lineRule="auto" w:before="45"/>
        <w:ind w:right="1131"/>
        <w:jc w:val="both"/>
      </w:pPr>
      <w:r>
        <w:rPr>
          <w:spacing w:val="-1"/>
        </w:rPr>
        <w:t>事会、监事会和内部机构独立运作。公司控股股东严格根据《上市公司治理准则》、《深圳证券交易所股</w:t>
      </w:r>
      <w:r>
        <w:rPr>
          <w:spacing w:val="-83"/>
        </w:rPr>
        <w:t> </w:t>
      </w:r>
      <w:r>
        <w:rPr>
          <w:spacing w:val="-83"/>
        </w:rPr>
      </w:r>
      <w:r>
        <w:rPr>
          <w:spacing w:val="-1"/>
        </w:rPr>
        <w:t>票上市规则》、《公司章程》规范股东行为，通过股东大会行使股东权利，未发生超越股东大会及董事会</w:t>
      </w:r>
      <w:r>
        <w:rPr>
          <w:spacing w:val="-83"/>
        </w:rPr>
        <w:t> </w:t>
      </w:r>
      <w:r>
        <w:rPr>
          <w:spacing w:val="-83"/>
        </w:rPr>
      </w:r>
      <w:r>
        <w:rPr/>
        <w:t>而直接或间接干预公司经营与决策的行为。</w:t>
      </w:r>
    </w:p>
    <w:p>
      <w:pPr>
        <w:pStyle w:val="BodyText"/>
        <w:spacing w:line="408" w:lineRule="auto"/>
        <w:ind w:left="577" w:right="0"/>
        <w:jc w:val="left"/>
      </w:pPr>
      <w:r>
        <w:rPr/>
        <w:t>（三）关于董事与董事会 </w:t>
      </w:r>
      <w:r>
        <w:rPr>
          <w:spacing w:val="-1"/>
        </w:rPr>
        <w:t>公司严格按照《公司法》、《公司章程》等相关法律法规选举产生董事人选，公司目前有独立董事三</w:t>
      </w:r>
    </w:p>
    <w:p>
      <w:pPr>
        <w:pStyle w:val="BodyText"/>
        <w:spacing w:line="408" w:lineRule="auto"/>
        <w:ind w:left="154" w:right="1131"/>
        <w:jc w:val="both"/>
      </w:pPr>
      <w:r>
        <w:rPr>
          <w:spacing w:val="-1"/>
        </w:rPr>
        <w:t>名，占全体董事的三分之一，董事会人数及人员构成符合法律法规和《公司章程》的要求。公司董事会严</w:t>
      </w:r>
      <w:r>
        <w:rPr>
          <w:spacing w:val="-83"/>
        </w:rPr>
        <w:t> </w:t>
      </w:r>
      <w:r>
        <w:rPr>
          <w:spacing w:val="-83"/>
        </w:rPr>
      </w:r>
      <w:r>
        <w:rPr>
          <w:spacing w:val="-1"/>
        </w:rPr>
        <w:t>格按照《公司章程》、《独立董事工作制度》及《董事会议事规则》、《深圳证券交易所中小企业板上市</w:t>
      </w:r>
      <w:r>
        <w:rPr>
          <w:spacing w:val="-84"/>
        </w:rPr>
        <w:t> </w:t>
      </w:r>
      <w:r>
        <w:rPr>
          <w:spacing w:val="-84"/>
        </w:rPr>
      </w:r>
      <w:r>
        <w:rPr>
          <w:spacing w:val="-1"/>
        </w:rPr>
        <w:t>公司规范运作指引》等相关规定召集召开董事会，各董事按要求出席董事会，认真审议各项议案，勤勉尽</w:t>
      </w:r>
      <w:r>
        <w:rPr>
          <w:spacing w:val="-86"/>
        </w:rPr>
        <w:t> </w:t>
      </w:r>
      <w:r>
        <w:rPr>
          <w:spacing w:val="-86"/>
        </w:rPr>
      </w:r>
      <w:r>
        <w:rPr>
          <w:spacing w:val="-1"/>
        </w:rPr>
        <w:t>责。独立董事独立履行职责，维护公司整体利益，尤其关注中小股东的合法权益不受损害，对重要及重大</w:t>
      </w:r>
      <w:r>
        <w:rPr>
          <w:spacing w:val="-86"/>
        </w:rPr>
        <w:t> </w:t>
      </w:r>
      <w:r>
        <w:rPr>
          <w:spacing w:val="-86"/>
        </w:rPr>
      </w:r>
      <w:r>
        <w:rPr/>
        <w:t>事项发表独立意见。</w:t>
      </w:r>
    </w:p>
    <w:p>
      <w:pPr>
        <w:pStyle w:val="BodyText"/>
        <w:spacing w:line="408" w:lineRule="auto"/>
        <w:ind w:left="577" w:right="1194"/>
        <w:jc w:val="left"/>
      </w:pPr>
      <w:r>
        <w:rPr/>
        <w:t>（四）关于监事与监事会 公司严格按照《公司法》、《公司章程》等相关法律法规选举产生监事人选，公司监事会由</w:t>
      </w:r>
      <w:r>
        <w:rPr>
          <w:rFonts w:ascii="宋体" w:hAnsi="宋体" w:cs="宋体" w:eastAsia="宋体" w:hint="default"/>
        </w:rPr>
        <w:t>3</w:t>
      </w:r>
      <w:r>
        <w:rPr/>
        <w:t>名监事</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组成，监事会人数及人员构成符合法律法规的要求。公司监事会严格按照《公司章程》及《监事会议事规 </w:t>
      </w:r>
      <w:r>
        <w:rPr>
          <w:spacing w:val="-3"/>
        </w:rPr>
        <w:t>则》等相关规定召集召开监事会，各监事按要求出席监事会，认真履行职责，对公司重大事项、关联交易、</w:t>
      </w:r>
      <w:r>
        <w:rPr>
          <w:spacing w:val="-94"/>
        </w:rPr>
        <w:t> </w:t>
      </w:r>
      <w:r>
        <w:rPr>
          <w:spacing w:val="-94"/>
        </w:rPr>
      </w:r>
      <w:r>
        <w:rPr/>
        <w:t>财务状况等进行监督并发表意见，维护了公司及股东的合法权益。</w:t>
      </w:r>
    </w:p>
    <w:p>
      <w:pPr>
        <w:pStyle w:val="BodyText"/>
        <w:spacing w:line="408" w:lineRule="auto"/>
        <w:ind w:left="577" w:right="1089"/>
        <w:jc w:val="left"/>
      </w:pPr>
      <w:r>
        <w:rPr/>
        <w:t>（五）关于信息披露与透明度 公司严格执行《信息披露管理制度》、《董事会秘书工作制度》、《内幕信息知情人管理制度》等，</w:t>
      </w:r>
    </w:p>
    <w:p>
      <w:pPr>
        <w:pStyle w:val="BodyText"/>
        <w:spacing w:line="408" w:lineRule="auto"/>
        <w:ind w:right="1132"/>
        <w:jc w:val="both"/>
      </w:pPr>
      <w:r>
        <w:rPr>
          <w:spacing w:val="-1"/>
        </w:rPr>
        <w:t>由董事会秘书负责信息披露工作，建立投资者专线电话、电子邮箱，提高公司运作的透明度。</w:t>
      </w:r>
      <w:r>
        <w:rPr>
          <w:rFonts w:ascii="宋体" w:hAnsi="宋体" w:cs="宋体" w:eastAsia="宋体" w:hint="default"/>
          <w:spacing w:val="-1"/>
        </w:rPr>
        <w:t>2013</w:t>
      </w:r>
      <w:r>
        <w:rPr>
          <w:spacing w:val="-1"/>
        </w:rPr>
        <w:t>年度公</w:t>
      </w:r>
      <w:r>
        <w:rPr>
          <w:spacing w:val="-83"/>
        </w:rPr>
        <w:t> </w:t>
      </w:r>
      <w:r>
        <w:rPr>
          <w:spacing w:val="-1"/>
        </w:rPr>
        <w:t>司指定《证券时报》、《证券日报》、《中国证券报》、《上海证券报》及巨潮资讯网作为本公司信息披</w:t>
      </w:r>
      <w:r>
        <w:rPr>
          <w:spacing w:val="-86"/>
        </w:rPr>
        <w:t> </w:t>
      </w:r>
      <w:r>
        <w:rPr>
          <w:spacing w:val="-86"/>
        </w:rPr>
      </w:r>
      <w:r>
        <w:rPr>
          <w:spacing w:val="-1"/>
        </w:rPr>
        <w:t>露的法定媒体，严格按照有关规定真实、准确、完整、及时地披露有关信息，确保公司所有股东能够以平</w:t>
      </w:r>
      <w:r>
        <w:rPr>
          <w:spacing w:val="-83"/>
        </w:rPr>
        <w:t> </w:t>
      </w:r>
      <w:r>
        <w:rPr>
          <w:spacing w:val="-83"/>
        </w:rPr>
      </w:r>
      <w:r>
        <w:rPr/>
        <w:t>等的机会获取信息。</w:t>
      </w:r>
    </w:p>
    <w:p>
      <w:pPr>
        <w:pStyle w:val="BodyText"/>
        <w:spacing w:line="408" w:lineRule="auto"/>
        <w:ind w:left="577" w:right="1089"/>
        <w:jc w:val="left"/>
      </w:pPr>
      <w:r>
        <w:rPr/>
        <w:t>（六）关于相关利益者 公司充分尊重和维护相关利益者的合法权益，积极加强与相关利益者的沟通和交流，推动公司持续、</w:t>
      </w:r>
    </w:p>
    <w:p>
      <w:pPr>
        <w:pStyle w:val="BodyText"/>
        <w:spacing w:line="240" w:lineRule="auto"/>
        <w:ind w:right="0"/>
        <w:jc w:val="both"/>
      </w:pPr>
      <w:r>
        <w:rPr/>
        <w:t>稳定、健康地发展。公司的治理情况符合中国证监会有关上市公司治理的规范性文件要求。</w:t>
      </w:r>
    </w:p>
    <w:p>
      <w:pPr>
        <w:spacing w:line="240" w:lineRule="auto" w:before="10"/>
        <w:rPr>
          <w:rFonts w:ascii="宋体" w:hAnsi="宋体" w:cs="宋体" w:eastAsia="宋体" w:hint="default"/>
          <w:sz w:val="14"/>
          <w:szCs w:val="14"/>
        </w:rPr>
      </w:pPr>
    </w:p>
    <w:p>
      <w:pPr>
        <w:pStyle w:val="BodyText"/>
        <w:spacing w:line="408" w:lineRule="auto" w:before="0"/>
        <w:ind w:left="577" w:right="0"/>
        <w:jc w:val="left"/>
      </w:pPr>
      <w:r>
        <w:rPr/>
        <w:t>（七）关于公司与投资者 </w:t>
      </w:r>
      <w:r>
        <w:rPr>
          <w:spacing w:val="-1"/>
        </w:rPr>
        <w:t>公司严格执行《投资者关系管理制度》、《机构投资者接待管理办法》，公司董事会秘书为投资者关</w:t>
      </w:r>
    </w:p>
    <w:p>
      <w:pPr>
        <w:pStyle w:val="BodyText"/>
        <w:spacing w:line="408" w:lineRule="auto"/>
        <w:ind w:right="1093"/>
        <w:jc w:val="left"/>
      </w:pPr>
      <w:r>
        <w:rPr/>
        <w:t>系管理负责人，组织实施投资者关系的日常管理工作。报告期内，公司通过电话、接待投资者现场调研、 深交所投资者关系互动平台等方式，加强与投资者的沟通。</w:t>
      </w:r>
    </w:p>
    <w:p>
      <w:pPr>
        <w:pStyle w:val="BodyText"/>
        <w:spacing w:line="408" w:lineRule="auto"/>
        <w:ind w:left="577" w:right="0"/>
        <w:jc w:val="left"/>
      </w:pPr>
      <w:r>
        <w:rPr/>
        <w:t>（八）关于绩效评价与激励约束机制 </w:t>
      </w:r>
      <w:r>
        <w:rPr>
          <w:spacing w:val="-1"/>
        </w:rPr>
        <w:t>公司逐步完善和建立公正、透明的董事、监事及高级管理人员绩效评价体系和激励约束机制，高级管</w:t>
      </w:r>
    </w:p>
    <w:p>
      <w:pPr>
        <w:pStyle w:val="BodyText"/>
        <w:spacing w:line="408" w:lineRule="auto"/>
        <w:ind w:right="1131"/>
        <w:jc w:val="both"/>
      </w:pPr>
      <w:r>
        <w:rPr>
          <w:spacing w:val="-1"/>
        </w:rPr>
        <w:t>理人员的聘任公开、透明，符合有关法律法规和公司内部规章制度的要求。本公司高级管理人员实行年薪</w:t>
      </w:r>
      <w:r>
        <w:rPr>
          <w:spacing w:val="-83"/>
        </w:rPr>
        <w:t> </w:t>
      </w:r>
      <w:r>
        <w:rPr>
          <w:spacing w:val="-83"/>
        </w:rPr>
      </w:r>
      <w:r>
        <w:rPr>
          <w:spacing w:val="-1"/>
        </w:rPr>
        <w:t>制，年薪与年度经营指标完成情况挂钩，同时根据《公司章程》中对高级管理人员履职行为、权限和职责</w:t>
      </w:r>
      <w:r>
        <w:rPr>
          <w:spacing w:val="-83"/>
        </w:rPr>
        <w:t> </w:t>
      </w:r>
      <w:r>
        <w:rPr>
          <w:spacing w:val="-83"/>
        </w:rPr>
      </w:r>
      <w:r>
        <w:rPr/>
        <w:t>的规定进行综合考评。</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7"/>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pStyle w:val="Heading3"/>
        <w:spacing w:line="240" w:lineRule="auto" w:before="93"/>
        <w:ind w:left="153" w:right="0"/>
        <w:jc w:val="both"/>
        <w:rPr>
          <w:b w:val="0"/>
          <w:bCs w:val="0"/>
        </w:rPr>
      </w:pPr>
      <w:r>
        <w:rPr/>
        <w:t>公司治理专项活动开展情况以及内幕信息知情人登记管理制度的制定、实施情况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before="0"/>
        <w:ind w:left="576" w:right="0"/>
        <w:jc w:val="left"/>
      </w:pPr>
      <w:r>
        <w:rPr/>
        <w:t>公司于</w:t>
      </w:r>
      <w:r>
        <w:rPr>
          <w:spacing w:val="-52"/>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7</w:t>
      </w:r>
      <w:r>
        <w:rPr>
          <w:rFonts w:ascii="宋体" w:hAnsi="宋体" w:cs="宋体" w:eastAsia="宋体" w:hint="default"/>
          <w:spacing w:val="-52"/>
        </w:rPr>
        <w:t> </w:t>
      </w:r>
      <w:r>
        <w:rPr>
          <w:spacing w:val="-2"/>
        </w:rPr>
        <w:t>日</w:t>
      </w:r>
      <w:r>
        <w:rPr/>
        <w:t>召开的第二届董事会第八次会议制定了《内幕信息知情人管理制度</w:t>
      </w:r>
      <w:r>
        <w:rPr>
          <w:spacing w:val="-105"/>
        </w:rPr>
        <w:t>》</w:t>
      </w:r>
      <w:r>
        <w:rPr>
          <w:spacing w:val="-2"/>
        </w:rPr>
        <w:t>，</w:t>
      </w:r>
      <w:r>
        <w:rPr/>
        <w:t>并于</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日召开的第二届董事会第十次会议上根据深交所《关于上市公司建立内幕信息知情人登记</w:t>
      </w:r>
    </w:p>
    <w:p>
      <w:pPr>
        <w:spacing w:line="240" w:lineRule="auto" w:before="10"/>
        <w:rPr>
          <w:rFonts w:ascii="宋体" w:hAnsi="宋体" w:cs="宋体" w:eastAsia="宋体" w:hint="default"/>
          <w:sz w:val="14"/>
          <w:szCs w:val="14"/>
        </w:rPr>
      </w:pPr>
    </w:p>
    <w:p>
      <w:pPr>
        <w:pStyle w:val="BodyText"/>
        <w:spacing w:line="408" w:lineRule="auto" w:before="0"/>
        <w:ind w:right="1203"/>
        <w:jc w:val="left"/>
      </w:pPr>
      <w:r>
        <w:rPr>
          <w:spacing w:val="-9"/>
        </w:rPr>
        <w:t>管理制度的规定》、《中小企业板信息披露业务备忘录第</w:t>
      </w:r>
      <w:r>
        <w:rPr>
          <w:spacing w:val="-46"/>
        </w:rPr>
        <w:t> </w:t>
      </w:r>
      <w:r>
        <w:rPr>
          <w:rFonts w:ascii="宋体" w:hAnsi="宋体" w:cs="宋体" w:eastAsia="宋体" w:hint="default"/>
          <w:spacing w:val="-1"/>
        </w:rPr>
        <w:t>24</w:t>
      </w:r>
      <w:r>
        <w:rPr>
          <w:rFonts w:ascii="宋体" w:hAnsi="宋体" w:cs="宋体" w:eastAsia="宋体" w:hint="default"/>
          <w:spacing w:val="-47"/>
        </w:rPr>
        <w:t> </w:t>
      </w:r>
      <w:r>
        <w:rPr/>
        <w:t>号：内幕信息知情人员登记管理相关事项》的 相关规定对《内幕信息知情人管理制度》进行了修订。</w:t>
      </w:r>
    </w:p>
    <w:p>
      <w:pPr>
        <w:pStyle w:val="BodyText"/>
        <w:spacing w:line="240" w:lineRule="auto"/>
        <w:ind w:left="576" w:right="0"/>
        <w:jc w:val="left"/>
      </w:pPr>
      <w:r>
        <w:rPr/>
        <w:t>报告期内</w:t>
      </w:r>
      <w:r>
        <w:rPr>
          <w:spacing w:val="-9"/>
        </w:rPr>
        <w:t>，</w:t>
      </w:r>
      <w:r>
        <w:rPr/>
        <w:t>公司按</w:t>
      </w:r>
      <w:r>
        <w:rPr>
          <w:spacing w:val="-9"/>
        </w:rPr>
        <w:t>照</w:t>
      </w:r>
      <w:r>
        <w:rPr/>
        <w:t>《深圳证券交易所中小企业板上市公司规范运作指引</w:t>
      </w:r>
      <w:r>
        <w:rPr>
          <w:spacing w:val="-105"/>
        </w:rPr>
        <w:t>》</w:t>
      </w:r>
      <w:r>
        <w:rPr>
          <w:spacing w:val="-113"/>
        </w:rPr>
        <w:t>、</w:t>
      </w:r>
      <w:r>
        <w:rPr/>
        <w:t>《</w:t>
      </w:r>
      <w:r>
        <w:rPr>
          <w:spacing w:val="-2"/>
        </w:rPr>
        <w:t>内</w:t>
      </w:r>
      <w:r>
        <w:rPr/>
        <w:t>幕信息知情人登记制</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spacing w:val="-1"/>
        </w:rPr>
        <w:t>度》的要求，做好内幕信息保密和管理工作。在涉及定期报告，重大资产重组等敏感信息时，如实、完整</w:t>
      </w:r>
      <w:r>
        <w:rPr>
          <w:spacing w:val="-83"/>
        </w:rPr>
        <w:t> </w:t>
      </w:r>
      <w:r>
        <w:rPr>
          <w:spacing w:val="-83"/>
        </w:rPr>
      </w:r>
      <w:r>
        <w:rPr>
          <w:spacing w:val="-1"/>
        </w:rPr>
        <w:t>地记录内幕信息在公开前的报告、传递、编制、审核、披露等各环节所有内幕信息知情人名单，以及知情</w:t>
      </w:r>
      <w:r>
        <w:rPr>
          <w:spacing w:val="-83"/>
        </w:rPr>
        <w:t> </w:t>
      </w:r>
      <w:r>
        <w:rPr>
          <w:spacing w:val="-83"/>
        </w:rPr>
      </w:r>
      <w:r>
        <w:rPr/>
        <w:t>人知悉内幕信息的时间等相关档案。报告期内，公司未发现相关人员利用内幕信息买卖公司股票的情况。</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报告期内召开的年度股东大会和临时股东大会的有关情况" w:id="110"/>
      <w:bookmarkEnd w:id="110"/>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本报告期年度股东大会情况" w:id="111"/>
      <w:bookmarkEnd w:id="111"/>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spacing w:before="44"/>
        <w:ind w:left="0" w:right="1148" w:firstLine="0"/>
        <w:jc w:val="right"/>
        <w:rPr>
          <w:rFonts w:ascii="宋体" w:hAnsi="宋体" w:cs="宋体" w:eastAsia="宋体" w:hint="default"/>
          <w:sz w:val="18"/>
          <w:szCs w:val="18"/>
        </w:rPr>
      </w:pPr>
      <w:r>
        <w:rPr/>
        <w:pict>
          <v:shape style="position:absolute;margin-left:56.459999pt;margin-top:-145.748260pt;width:479.1pt;height:337.1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418"/>
                    <w:gridCol w:w="2410"/>
                    <w:gridCol w:w="1700"/>
                    <w:gridCol w:w="1168"/>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33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．关于审议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年董事会工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作报告的议案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关于审议</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年监事会工作报告的议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关于审议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告及其摘要的议案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年度决算报告的议案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关于审议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w:t>
                        </w:r>
                      </w:p>
                      <w:p>
                        <w:pPr>
                          <w:pStyle w:val="TableParagraph"/>
                          <w:spacing w:line="300"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配方案的议案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关于变更公 司经营地址及经营范围并修改</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77"/>
                            <w:sz w:val="18"/>
                            <w:szCs w:val="18"/>
                          </w:rPr>
                          <w:t>》</w:t>
                        </w:r>
                        <w:r>
                          <w:rPr>
                            <w:rFonts w:ascii="宋体" w:hAnsi="宋体" w:cs="宋体" w:eastAsia="宋体" w:hint="default"/>
                            <w:sz w:val="18"/>
                            <w:szCs w:val="18"/>
                          </w:rPr>
                          <w:t>的议案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关于审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年度信贷计划的议案</w:t>
                        </w:r>
                      </w:p>
                      <w:p>
                        <w:pPr>
                          <w:pStyle w:val="TableParagraph"/>
                          <w:spacing w:line="309" w:lineRule="auto" w:before="63"/>
                          <w:ind w:left="22"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关于审议部分募集资金投 资项目结项及节余募集资金永 久性补充流动资金的议案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关于审议部分超募资金永久性 补充流动资金的议案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选举公司董事的议案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关于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审议公司独立董事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302" w:lineRule="auto" w:before="63"/>
                          <w:ind w:left="22" w:right="35"/>
                          <w:jc w:val="left"/>
                          <w:rPr>
                            <w:rFonts w:ascii="宋体" w:hAnsi="宋体" w:cs="宋体" w:eastAsia="宋体" w:hint="default"/>
                            <w:sz w:val="18"/>
                            <w:szCs w:val="18"/>
                          </w:rPr>
                        </w:pPr>
                        <w:r>
                          <w:rPr>
                            <w:rFonts w:ascii="宋体" w:hAnsi="宋体" w:cs="宋体" w:eastAsia="宋体" w:hint="default"/>
                            <w:sz w:val="18"/>
                            <w:szCs w:val="18"/>
                          </w:rPr>
                          <w:t>津贴的议案 </w:t>
                        </w:r>
                        <w:r>
                          <w:rPr>
                            <w:rFonts w:ascii="Times New Roman" w:hAnsi="Times New Roman" w:cs="Times New Roman" w:eastAsia="Times New Roman" w:hint="default"/>
                            <w:sz w:val="18"/>
                            <w:szCs w:val="18"/>
                          </w:rPr>
                          <w:t>12. </w:t>
                        </w:r>
                        <w:r>
                          <w:rPr>
                            <w:rFonts w:ascii="宋体" w:hAnsi="宋体" w:cs="宋体" w:eastAsia="宋体" w:hint="default"/>
                            <w:sz w:val="18"/>
                            <w:szCs w:val="18"/>
                          </w:rPr>
                          <w:t>关于审议续聘 会计师事务所的议案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审议通过全部议案</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09" w:lineRule="auto"/>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2014-017 </w:t>
                        </w:r>
                        <w:r>
                          <w:rPr>
                            <w:rFonts w:ascii="宋体" w:hAnsi="宋体" w:cs="宋体" w:eastAsia="宋体" w:hint="default"/>
                            <w:sz w:val="18"/>
                            <w:szCs w:val="18"/>
                          </w:rPr>
                          <w:t>《北京中 科金财科技股份有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股东大会决议公告 </w:t>
                        </w:r>
                        <w:r>
                          <w:rPr>
                            <w:rFonts w:ascii="宋体" w:hAnsi="宋体" w:cs="宋体" w:eastAsia="宋体" w:hint="default"/>
                            <w:spacing w:val="-20"/>
                            <w:sz w:val="18"/>
                            <w:szCs w:val="18"/>
                          </w:rPr>
                          <w:t>刊登于《证券时报》</w:t>
                        </w:r>
                        <w:r>
                          <w:rPr>
                            <w:rFonts w:ascii="宋体" w:hAnsi="宋体" w:cs="宋体" w:eastAsia="宋体" w:hint="default"/>
                            <w:sz w:val="18"/>
                            <w:szCs w:val="18"/>
                          </w:rPr>
                        </w:r>
                      </w:p>
                      <w:p>
                        <w:pPr>
                          <w:pStyle w:val="TableParagraph"/>
                          <w:spacing w:line="319" w:lineRule="auto" w:before="24"/>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《证券日报》、《中国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证券报》、《上海证券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pStyle w:val="TableParagraph"/>
                          <w:spacing w:line="362" w:lineRule="auto" w:before="57"/>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bl>
                <w:p>
                  <w:pPr/>
                </w:p>
              </w:txbxContent>
            </v:textbox>
            <w10:wrap type="none"/>
          </v:shape>
        </w:pict>
      </w:r>
      <w:r>
        <w:rPr>
          <w:rFonts w:ascii="宋体" w:hAnsi="宋体" w:cs="宋体" w:eastAsia="宋体" w:hint="default"/>
          <w:sz w:val="18"/>
          <w:szCs w:val="18"/>
        </w:rPr>
        <w:t>》</w:t>
      </w:r>
    </w:p>
    <w:p>
      <w:pPr>
        <w:spacing w:before="76"/>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240" w:lineRule="auto" w:before="35"/>
        <w:ind w:right="0"/>
        <w:jc w:val="left"/>
        <w:rPr>
          <w:b w:val="0"/>
          <w:bCs w:val="0"/>
        </w:rPr>
      </w:pPr>
      <w:bookmarkStart w:name="2、本报告期临时股东大会情况" w:id="112"/>
      <w:bookmarkEnd w:id="112"/>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spacing w:before="44"/>
        <w:ind w:left="0" w:right="1140" w:firstLine="0"/>
        <w:jc w:val="right"/>
        <w:rPr>
          <w:rFonts w:ascii="宋体" w:hAnsi="宋体" w:cs="宋体" w:eastAsia="宋体" w:hint="default"/>
          <w:sz w:val="18"/>
          <w:szCs w:val="18"/>
        </w:rPr>
      </w:pPr>
      <w:r>
        <w:rPr/>
        <w:pict>
          <v:shape style="position:absolute;margin-left:56.459999pt;margin-top:-114.508286pt;width:479.1pt;height:163.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560"/>
                    <w:gridCol w:w="2552"/>
                    <w:gridCol w:w="1417"/>
                    <w:gridCol w:w="1168"/>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5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00"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关于公司符合发行股份及支付 现金购买资产并募集配套资金 条件的议案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关于公司发行股 份及支付现金购买资产并募集 配套资金暨关联交易方案的议 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关于本次重大资产重组构</w:t>
                        </w:r>
                      </w:p>
                      <w:p>
                        <w:pPr>
                          <w:pStyle w:val="TableParagraph"/>
                          <w:spacing w:line="309" w:lineRule="auto" w:before="5"/>
                          <w:ind w:left="22" w:right="21"/>
                          <w:jc w:val="left"/>
                          <w:rPr>
                            <w:rFonts w:ascii="宋体" w:hAnsi="宋体" w:cs="宋体" w:eastAsia="宋体" w:hint="default"/>
                            <w:sz w:val="18"/>
                            <w:szCs w:val="18"/>
                          </w:rPr>
                        </w:pPr>
                        <w:r>
                          <w:rPr>
                            <w:rFonts w:ascii="宋体" w:hAnsi="宋体" w:cs="宋体" w:eastAsia="宋体" w:hint="default"/>
                            <w:sz w:val="18"/>
                            <w:szCs w:val="18"/>
                          </w:rPr>
                          <w:t>成关联交易的议案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关于签署 </w:t>
                        </w:r>
                        <w:r>
                          <w:rPr>
                            <w:rFonts w:ascii="宋体" w:hAnsi="宋体" w:cs="宋体" w:eastAsia="宋体" w:hint="default"/>
                            <w:spacing w:val="-2"/>
                            <w:sz w:val="18"/>
                            <w:szCs w:val="18"/>
                          </w:rPr>
                          <w:t>附生效条件的《发行股份及支付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现金购买资产协议》、《盈利补偿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审议通过全部议 案</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2014-052</w:t>
                        </w:r>
                        <w:r>
                          <w:rPr>
                            <w:rFonts w:ascii="宋体" w:hAnsi="宋体" w:cs="宋体" w:eastAsia="宋体" w:hint="default"/>
                            <w:spacing w:val="-4"/>
                            <w:sz w:val="18"/>
                            <w:szCs w:val="18"/>
                          </w:rPr>
                          <w:t>《北京中科</w:t>
                        </w:r>
                        <w:r>
                          <w:rPr>
                            <w:rFonts w:ascii="宋体" w:hAnsi="宋体" w:cs="宋体" w:eastAsia="宋体" w:hint="default"/>
                            <w:sz w:val="18"/>
                            <w:szCs w:val="18"/>
                          </w:rPr>
                          <w:t> 金财科技股份有限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年年第一 次临时股东大会决 </w:t>
                        </w:r>
                        <w:r>
                          <w:rPr>
                            <w:rFonts w:ascii="宋体" w:hAnsi="宋体" w:cs="宋体" w:eastAsia="宋体" w:hint="default"/>
                            <w:spacing w:val="-10"/>
                            <w:sz w:val="18"/>
                            <w:szCs w:val="18"/>
                          </w:rPr>
                          <w:t>议公告》刊登于《证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券时报》、《证券日</w:t>
                        </w:r>
                        <w:r>
                          <w:rPr>
                            <w:rFonts w:ascii="宋体" w:hAnsi="宋体" w:cs="宋体" w:eastAsia="宋体" w:hint="default"/>
                            <w:sz w:val="18"/>
                            <w:szCs w:val="18"/>
                          </w:rPr>
                          <w:t> </w:t>
                        </w:r>
                        <w:r>
                          <w:rPr>
                            <w:rFonts w:ascii="宋体" w:hAnsi="宋体" w:cs="宋体" w:eastAsia="宋体" w:hint="default"/>
                            <w:spacing w:val="-36"/>
                            <w:sz w:val="18"/>
                            <w:szCs w:val="18"/>
                          </w:rPr>
                          <w:t>报》、《中国证券报》</w:t>
                        </w:r>
                        <w:r>
                          <w:rPr>
                            <w:rFonts w:ascii="宋体" w:hAnsi="宋体" w:cs="宋体" w:eastAsia="宋体" w:hint="default"/>
                            <w:sz w:val="18"/>
                            <w:szCs w:val="18"/>
                          </w:rPr>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《上海证券报》及巨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44"/>
        <w:ind w:left="0" w:right="1140" w:firstLine="0"/>
        <w:jc w:val="right"/>
        <w:rPr>
          <w:rFonts w:ascii="宋体" w:hAnsi="宋体" w:cs="宋体" w:eastAsia="宋体" w:hint="default"/>
          <w:sz w:val="18"/>
          <w:szCs w:val="18"/>
        </w:rPr>
      </w:pPr>
      <w:r>
        <w:rPr/>
        <w:pict>
          <v:shape style="position:absolute;margin-left:56.459999pt;margin-top:-471.348297pt;width:479.1pt;height:553.550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560"/>
                    <w:gridCol w:w="2552"/>
                    <w:gridCol w:w="1417"/>
                    <w:gridCol w:w="1168"/>
                    <w:gridCol w:w="1595"/>
                  </w:tblGrid>
                  <w:tr>
                    <w:trPr>
                      <w:trHeight w:val="7539"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
                          <w:jc w:val="left"/>
                          <w:rPr>
                            <w:rFonts w:ascii="宋体" w:hAnsi="宋体" w:cs="宋体" w:eastAsia="宋体" w:hint="default"/>
                            <w:sz w:val="18"/>
                            <w:szCs w:val="18"/>
                          </w:rPr>
                        </w:pPr>
                        <w:r>
                          <w:rPr>
                            <w:rFonts w:ascii="宋体" w:hAnsi="宋体" w:cs="宋体" w:eastAsia="宋体" w:hint="default"/>
                            <w:spacing w:val="-2"/>
                            <w:sz w:val="18"/>
                            <w:szCs w:val="18"/>
                          </w:rPr>
                          <w:t>协议》和《任职期限及竞业限制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协议》的议案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关于批准本次 </w:t>
                        </w:r>
                        <w:r>
                          <w:rPr>
                            <w:rFonts w:ascii="宋体" w:hAnsi="宋体" w:cs="宋体" w:eastAsia="宋体" w:hint="default"/>
                            <w:spacing w:val="-2"/>
                            <w:sz w:val="18"/>
                            <w:szCs w:val="18"/>
                          </w:rPr>
                          <w:t>交易相关审计报告、盈利预测审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核报告及评估报告的议案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 </w:t>
                        </w:r>
                        <w:r>
                          <w:rPr>
                            <w:rFonts w:ascii="宋体" w:hAnsi="宋体" w:cs="宋体" w:eastAsia="宋体" w:hint="default"/>
                            <w:spacing w:val="-2"/>
                            <w:sz w:val="18"/>
                            <w:szCs w:val="18"/>
                          </w:rPr>
                          <w:t>于《北京中科金财科技股份有限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公司发行股份购买资产并募集 </w:t>
                        </w:r>
                        <w:r>
                          <w:rPr>
                            <w:rFonts w:ascii="宋体" w:hAnsi="宋体" w:cs="宋体" w:eastAsia="宋体" w:hint="default"/>
                            <w:spacing w:val="-2"/>
                            <w:sz w:val="18"/>
                            <w:szCs w:val="18"/>
                          </w:rPr>
                          <w:t>配套资金暨关联交易报告书（草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案）》及其摘要的议案</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关于本 </w:t>
                        </w:r>
                        <w:r>
                          <w:rPr>
                            <w:rFonts w:ascii="宋体" w:hAnsi="宋体" w:cs="宋体" w:eastAsia="宋体" w:hint="default"/>
                            <w:spacing w:val="-2"/>
                            <w:sz w:val="18"/>
                            <w:szCs w:val="18"/>
                          </w:rPr>
                          <w:t>次交易符合《关于规范上市公司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重大资产重组若干问题的规定》 第四条规定的议案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关于本次 </w:t>
                        </w:r>
                        <w:r>
                          <w:rPr>
                            <w:rFonts w:ascii="宋体" w:hAnsi="宋体" w:cs="宋体" w:eastAsia="宋体" w:hint="default"/>
                            <w:spacing w:val="-2"/>
                            <w:sz w:val="18"/>
                            <w:szCs w:val="18"/>
                          </w:rPr>
                          <w:t>交易符合《上市公司重大资产重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组管理办法》第四十二条规定的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议案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关于公司股票价格波动 </w:t>
                        </w:r>
                        <w:r>
                          <w:rPr>
                            <w:rFonts w:ascii="宋体" w:hAnsi="宋体" w:cs="宋体" w:eastAsia="宋体" w:hint="default"/>
                            <w:spacing w:val="-2"/>
                            <w:sz w:val="18"/>
                            <w:szCs w:val="18"/>
                          </w:rPr>
                          <w:t>未达到《关于规范上市公司信息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披露及相关各方行为的通知》第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五条相关标准的议案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 公司与杨承宏、赫喆、谢晓梅、 </w:t>
                        </w:r>
                        <w:r>
                          <w:rPr>
                            <w:rFonts w:ascii="宋体" w:hAnsi="宋体" w:cs="宋体" w:eastAsia="宋体" w:hint="default"/>
                            <w:spacing w:val="-2"/>
                            <w:sz w:val="18"/>
                            <w:szCs w:val="18"/>
                          </w:rPr>
                          <w:t>周惠明、张伟、吴红心签署附生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效条件的《北京中科金财科技股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份有限公司定向发行股份认购 </w:t>
                        </w:r>
                        <w:r>
                          <w:rPr>
                            <w:rFonts w:ascii="宋体" w:hAnsi="宋体" w:cs="宋体" w:eastAsia="宋体" w:hint="default"/>
                            <w:spacing w:val="-4"/>
                            <w:sz w:val="18"/>
                            <w:szCs w:val="18"/>
                          </w:rPr>
                          <w:t>协议》议案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关于提请公司股 东大会授权董事会全权办理本 次交易相关事项的议案</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31"/>
                          <w:jc w:val="left"/>
                          <w:rPr>
                            <w:rFonts w:ascii="Times New Roman" w:hAnsi="Times New Roman" w:cs="Times New Roman" w:eastAsia="Times New Roman" w:hint="default"/>
                            <w:sz w:val="18"/>
                            <w:szCs w:val="18"/>
                          </w:rPr>
                        </w:pPr>
                        <w:hyperlink r:id="rId18">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w:t>
                        </w:r>
                      </w:p>
                    </w:tc>
                  </w:tr>
                  <w:tr>
                    <w:trPr>
                      <w:trHeight w:val="352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关于审议使用闲置募集资金</w:t>
                        </w:r>
                      </w:p>
                      <w:p>
                        <w:pPr>
                          <w:pStyle w:val="TableParagraph"/>
                          <w:spacing w:line="307" w:lineRule="auto" w:before="61"/>
                          <w:ind w:left="22" w:right="42"/>
                          <w:jc w:val="left"/>
                          <w:rPr>
                            <w:rFonts w:ascii="宋体" w:hAnsi="宋体" w:cs="宋体" w:eastAsia="宋体" w:hint="default"/>
                            <w:sz w:val="18"/>
                            <w:szCs w:val="18"/>
                          </w:rPr>
                        </w:pPr>
                        <w:r>
                          <w:rPr>
                            <w:rFonts w:ascii="宋体" w:hAnsi="宋体" w:cs="宋体" w:eastAsia="宋体" w:hint="default"/>
                            <w:sz w:val="18"/>
                            <w:szCs w:val="18"/>
                          </w:rPr>
                          <w:t>购买保本型理财产品的议案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关于审议超募资金投资项目延 期的议案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关于审议公司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年半年度利润分配方案的议案</w:t>
                        </w:r>
                      </w:p>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关于审议修改《公司章程》的</w:t>
                        </w:r>
                      </w:p>
                      <w:p>
                        <w:pPr>
                          <w:pStyle w:val="TableParagraph"/>
                          <w:spacing w:line="302" w:lineRule="auto" w:before="63"/>
                          <w:ind w:left="22" w:right="87"/>
                          <w:jc w:val="left"/>
                          <w:rPr>
                            <w:rFonts w:ascii="宋体" w:hAnsi="宋体" w:cs="宋体" w:eastAsia="宋体" w:hint="default"/>
                            <w:sz w:val="18"/>
                            <w:szCs w:val="18"/>
                          </w:rPr>
                        </w:pPr>
                        <w:r>
                          <w:rPr>
                            <w:rFonts w:ascii="宋体" w:hAnsi="宋体" w:cs="宋体" w:eastAsia="宋体" w:hint="default"/>
                            <w:sz w:val="18"/>
                            <w:szCs w:val="18"/>
                          </w:rPr>
                          <w:t>议案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关于审议修改公司内控 制度的议案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审议通过全部议 案</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2014-054</w:t>
                        </w:r>
                        <w:r>
                          <w:rPr>
                            <w:rFonts w:ascii="宋体" w:hAnsi="宋体" w:cs="宋体" w:eastAsia="宋体" w:hint="default"/>
                            <w:spacing w:val="-4"/>
                            <w:sz w:val="18"/>
                            <w:szCs w:val="18"/>
                          </w:rPr>
                          <w:t>《北京中科</w:t>
                        </w:r>
                        <w:r>
                          <w:rPr>
                            <w:rFonts w:ascii="宋体" w:hAnsi="宋体" w:cs="宋体" w:eastAsia="宋体" w:hint="default"/>
                            <w:sz w:val="18"/>
                            <w:szCs w:val="18"/>
                          </w:rPr>
                          <w:t> 金财科技股份有限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年年第二 次临时股东大会决 </w:t>
                        </w:r>
                        <w:r>
                          <w:rPr>
                            <w:rFonts w:ascii="宋体" w:hAnsi="宋体" w:cs="宋体" w:eastAsia="宋体" w:hint="default"/>
                            <w:spacing w:val="-10"/>
                            <w:sz w:val="18"/>
                            <w:szCs w:val="18"/>
                          </w:rPr>
                          <w:t>议公告》刊登于《证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0"/>
                            <w:sz w:val="18"/>
                            <w:szCs w:val="18"/>
                          </w:rPr>
                          <w:t>券时报》、《证券日</w:t>
                        </w:r>
                        <w:r>
                          <w:rPr>
                            <w:rFonts w:ascii="宋体" w:hAnsi="宋体" w:cs="宋体" w:eastAsia="宋体" w:hint="default"/>
                            <w:sz w:val="18"/>
                            <w:szCs w:val="18"/>
                          </w:rPr>
                          <w:t> </w:t>
                        </w:r>
                        <w:r>
                          <w:rPr>
                            <w:rFonts w:ascii="宋体" w:hAnsi="宋体" w:cs="宋体" w:eastAsia="宋体" w:hint="default"/>
                            <w:spacing w:val="-36"/>
                            <w:sz w:val="18"/>
                            <w:szCs w:val="18"/>
                          </w:rPr>
                          <w:t>报》、《中国证券报》</w:t>
                        </w:r>
                        <w:r>
                          <w:rPr>
                            <w:rFonts w:ascii="宋体" w:hAnsi="宋体" w:cs="宋体" w:eastAsia="宋体" w:hint="default"/>
                            <w:sz w:val="18"/>
                            <w:szCs w:val="18"/>
                          </w:rPr>
                        </w:r>
                      </w:p>
                      <w:p>
                        <w:pPr>
                          <w:pStyle w:val="TableParagraph"/>
                          <w:spacing w:line="338" w:lineRule="auto" w:before="22"/>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《上海证券报》及巨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 </w:t>
                        </w:r>
                        <w:hyperlink r:id="rId18">
                          <w:r>
                            <w:rPr>
                              <w:rFonts w:ascii="Times New Roman" w:hAnsi="Times New Roman" w:cs="Times New Roman" w:eastAsia="Times New Roman" w:hint="default"/>
                              <w:sz w:val="18"/>
                              <w:szCs w:val="18"/>
                            </w:rPr>
                            <w:t>http://www.cninfo.co</w:t>
                          </w:r>
                        </w:hyperlink>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m.cn</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spacing w:line="240" w:lineRule="auto" w:before="35"/>
        <w:ind w:right="0"/>
        <w:jc w:val="left"/>
        <w:rPr>
          <w:b w:val="0"/>
          <w:bCs w:val="0"/>
        </w:rPr>
      </w:pPr>
      <w:bookmarkStart w:name="3、表决权恢夊的优先股股东请求召开临时股东大会" w:id="113"/>
      <w:bookmarkEnd w:id="113"/>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报告期内独立董事履行职责的情况" w:id="114"/>
      <w:bookmarkEnd w:id="114"/>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15"/>
      <w:bookmarkEnd w:id="11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赵燕</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324" w:lineRule="auto" w:before="35"/>
        <w:ind w:left="153" w:right="4453" w:firstLine="0"/>
        <w:jc w:val="left"/>
        <w:rPr>
          <w:rFonts w:ascii="宋体" w:hAnsi="宋体" w:cs="宋体" w:eastAsia="宋体" w:hint="default"/>
          <w:sz w:val="20"/>
          <w:szCs w:val="20"/>
        </w:rPr>
      </w:pPr>
      <w:r>
        <w:rPr>
          <w:rFonts w:ascii="宋体" w:hAnsi="宋体" w:cs="宋体" w:eastAsia="宋体" w:hint="default"/>
          <w:sz w:val="20"/>
          <w:szCs w:val="20"/>
        </w:rPr>
        <w:t>连续两次未亲自出席董事会的说明</w:t>
      </w:r>
      <w:r>
        <w:rPr>
          <w:rFonts w:ascii="宋体" w:hAnsi="宋体" w:cs="宋体" w:eastAsia="宋体" w:hint="default"/>
          <w:w w:val="100"/>
          <w:sz w:val="20"/>
          <w:szCs w:val="20"/>
        </w:rPr>
        <w:t> </w:t>
      </w:r>
      <w:r>
        <w:rPr>
          <w:rFonts w:ascii="宋体" w:hAnsi="宋体" w:cs="宋体" w:eastAsia="宋体" w:hint="default"/>
          <w:spacing w:val="-1"/>
          <w:sz w:val="20"/>
          <w:szCs w:val="20"/>
        </w:rPr>
        <w:t>公司独立董事不存在连续两次未亲自出席董事会的情况。</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独立董事对公司有关事项提出异议的情况" w:id="116"/>
      <w:bookmarkEnd w:id="11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86"/>
        <w:ind w:left="153" w:right="0" w:firstLine="0"/>
        <w:jc w:val="left"/>
        <w:rPr>
          <w:rFonts w:ascii="宋体" w:hAnsi="宋体" w:cs="宋体" w:eastAsia="宋体" w:hint="default"/>
          <w:sz w:val="20"/>
          <w:szCs w:val="20"/>
        </w:rPr>
      </w:pPr>
      <w:r>
        <w:rPr>
          <w:rFonts w:ascii="宋体" w:hAnsi="宋体" w:cs="宋体" w:eastAsia="宋体" w:hint="default"/>
          <w:sz w:val="20"/>
          <w:szCs w:val="20"/>
        </w:rPr>
        <w:t>报告期内独立董事对公司有关事项未提出异议。</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独立董事履行职责的其他说明" w:id="117"/>
      <w:bookmarkEnd w:id="11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1131" w:firstLine="423"/>
        <w:jc w:val="both"/>
      </w:pPr>
      <w:r>
        <w:rPr>
          <w:spacing w:val="-1"/>
        </w:rPr>
        <w:t>公司独立董事在</w:t>
      </w:r>
      <w:r>
        <w:rPr>
          <w:rFonts w:ascii="宋体" w:hAnsi="宋体" w:cs="宋体" w:eastAsia="宋体" w:hint="default"/>
          <w:spacing w:val="-1"/>
        </w:rPr>
        <w:t>2014</w:t>
      </w:r>
      <w:r>
        <w:rPr>
          <w:spacing w:val="-1"/>
        </w:rPr>
        <w:t>年度勤勉尽责，积极了解公司的生产经营情况和财务状况；及时关注经济形势以</w:t>
      </w:r>
      <w:r>
        <w:rPr/>
        <w:t> </w:t>
      </w:r>
      <w:r>
        <w:rPr>
          <w:spacing w:val="-1"/>
        </w:rPr>
        <w:t>及市场变化对公司经营状况的影响；关注传媒、网络有关公司的相关报道；及时获悉公司重大事项的进展</w:t>
      </w:r>
      <w:r>
        <w:rPr>
          <w:spacing w:val="-83"/>
        </w:rPr>
        <w:t> </w:t>
      </w:r>
      <w:r>
        <w:rPr>
          <w:spacing w:val="-83"/>
        </w:rPr>
      </w:r>
      <w:r>
        <w:rPr>
          <w:spacing w:val="-1"/>
        </w:rPr>
        <w:t>情况，定期审阅公司提供的定期报告、临时公告；对报告期内公司发生的相关事项出具了独立、公正的独</w:t>
      </w:r>
      <w:r>
        <w:rPr>
          <w:spacing w:val="-86"/>
        </w:rPr>
        <w:t> </w:t>
      </w:r>
      <w:r>
        <w:rPr>
          <w:spacing w:val="-86"/>
        </w:rPr>
      </w:r>
      <w:r>
        <w:rPr/>
        <w:t>立董事意见，有效地履行了独立董事的职责，维护了公司和中小股东的合法权益。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董事会下设专门委员会在报告期内履行职责情况" w:id="118"/>
      <w:bookmarkEnd w:id="118"/>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7" w:right="0"/>
        <w:jc w:val="left"/>
      </w:pPr>
      <w:r>
        <w:rPr>
          <w:rFonts w:ascii="宋体" w:hAnsi="宋体" w:cs="宋体" w:eastAsia="宋体" w:hint="default"/>
        </w:rPr>
        <w:t>1</w:t>
      </w:r>
      <w:r>
        <w:rPr/>
        <w:t>、战略委员会 </w:t>
      </w:r>
      <w:r>
        <w:rPr>
          <w:spacing w:val="-1"/>
        </w:rPr>
        <w:t>报告期内，战略委员会根据《董事会战略委员会工作制度》及其他有关规定积极开展工作，认真履行</w:t>
      </w:r>
    </w:p>
    <w:p>
      <w:pPr>
        <w:pStyle w:val="BodyText"/>
        <w:spacing w:line="408" w:lineRule="auto"/>
        <w:ind w:right="0"/>
        <w:jc w:val="left"/>
      </w:pPr>
      <w:r>
        <w:rPr>
          <w:spacing w:val="-1"/>
        </w:rPr>
        <w:t>职责。报告期内，战略委员会召开了</w:t>
      </w:r>
      <w:r>
        <w:rPr>
          <w:rFonts w:ascii="宋体" w:hAnsi="宋体" w:cs="宋体" w:eastAsia="宋体" w:hint="default"/>
          <w:spacing w:val="-1"/>
        </w:rPr>
        <w:t>2</w:t>
      </w:r>
      <w:r>
        <w:rPr>
          <w:spacing w:val="-1"/>
        </w:rPr>
        <w:t>次战略委员会会议，向董事会提出的建议，明晰了公司的经营策略，</w:t>
      </w:r>
      <w:r>
        <w:rPr>
          <w:spacing w:val="-86"/>
        </w:rPr>
        <w:t> </w:t>
      </w:r>
      <w:r>
        <w:rPr>
          <w:spacing w:val="-86"/>
        </w:rPr>
      </w:r>
      <w:r>
        <w:rPr/>
        <w:t>对公司持续稳定健康的发展起到了及其重要的促进作用，对公司重要投资事项进行深入的分析研究，为公</w:t>
      </w:r>
      <w:r>
        <w:rPr/>
        <w:t> 司发展战略的实施提出了合理的建议。</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7" w:right="0"/>
        <w:jc w:val="left"/>
      </w:pPr>
      <w:r>
        <w:rPr>
          <w:rFonts w:ascii="宋体" w:hAnsi="宋体" w:cs="宋体" w:eastAsia="宋体" w:hint="default"/>
        </w:rPr>
        <w:t>2</w:t>
      </w:r>
      <w:r>
        <w:rPr/>
        <w:t>、审计委员会 </w:t>
      </w:r>
      <w:r>
        <w:rPr>
          <w:spacing w:val="-1"/>
        </w:rPr>
        <w:t>报告期内，审计委员会根据《公司董事会审计委员会工作制度》及其他有关规定积极开展工作，认真</w:t>
      </w:r>
    </w:p>
    <w:p>
      <w:pPr>
        <w:pStyle w:val="BodyText"/>
        <w:spacing w:line="408" w:lineRule="auto"/>
        <w:ind w:right="1118"/>
        <w:jc w:val="left"/>
      </w:pPr>
      <w:r>
        <w:rPr>
          <w:spacing w:val="-1"/>
        </w:rPr>
        <w:t>履行职责</w:t>
      </w:r>
      <w:r>
        <w:rPr>
          <w:rFonts w:ascii="宋体" w:hAnsi="宋体" w:cs="宋体" w:eastAsia="宋体" w:hint="default"/>
          <w:spacing w:val="-1"/>
        </w:rPr>
        <w:t>,</w:t>
      </w:r>
      <w:r>
        <w:rPr>
          <w:spacing w:val="-1"/>
        </w:rPr>
        <w:t>本着勤勉尽责的原则，充分发挥监督作用，维护审计的独立性，审计委员会共召开</w:t>
      </w:r>
      <w:r>
        <w:rPr>
          <w:rFonts w:ascii="宋体" w:hAnsi="宋体" w:cs="宋体" w:eastAsia="宋体" w:hint="default"/>
          <w:spacing w:val="-1"/>
        </w:rPr>
        <w:t>6</w:t>
      </w:r>
      <w:r>
        <w:rPr>
          <w:spacing w:val="-1"/>
        </w:rPr>
        <w:t>次会议，审</w:t>
      </w:r>
      <w:r>
        <w:rPr>
          <w:spacing w:val="-85"/>
        </w:rPr>
        <w:t> </w:t>
      </w:r>
      <w:r>
        <w:rPr>
          <w:spacing w:val="-85"/>
        </w:rPr>
      </w:r>
      <w:r>
        <w:rPr/>
        <w:t>议通过了审计部</w:t>
      </w:r>
      <w:r>
        <w:rPr>
          <w:rFonts w:ascii="宋体" w:hAnsi="宋体" w:cs="宋体" w:eastAsia="宋体" w:hint="default"/>
        </w:rPr>
        <w:t>2014</w:t>
      </w:r>
      <w:r>
        <w:rPr/>
        <w:t>年各项审计工作汇报，对公司内部控制建立健全情况和财务审计情况进行了监督检 </w:t>
      </w:r>
      <w:r>
        <w:rPr>
          <w:spacing w:val="-1"/>
        </w:rPr>
        <w:t>查。审核了公司所有重要的会计政策，定期了解公司财务状况和经营情况，督促和指导公司审计部门对公</w:t>
      </w:r>
      <w:r>
        <w:rPr>
          <w:spacing w:val="-83"/>
        </w:rPr>
        <w:t> </w:t>
      </w:r>
      <w:r>
        <w:rPr>
          <w:spacing w:val="-83"/>
        </w:rPr>
      </w:r>
      <w:r>
        <w:rPr>
          <w:spacing w:val="-5"/>
        </w:rPr>
        <w:t>司财务管理运行情况进行定期和不定期的检查和评估，委员会认为公司内控制度体系符合法律、法规及《公</w:t>
      </w:r>
      <w:r>
        <w:rPr>
          <w:spacing w:val="-101"/>
        </w:rPr>
        <w:t> </w:t>
      </w:r>
      <w:r>
        <w:rPr>
          <w:spacing w:val="-101"/>
        </w:rPr>
      </w:r>
      <w:r>
        <w:rPr/>
        <w:t>司章程》的要求，适应当前公司生产经营实际情况的需要。</w:t>
      </w:r>
    </w:p>
    <w:p>
      <w:pPr>
        <w:pStyle w:val="BodyText"/>
        <w:spacing w:line="408" w:lineRule="auto"/>
        <w:ind w:left="577" w:right="0"/>
        <w:jc w:val="left"/>
      </w:pPr>
      <w:r>
        <w:rPr>
          <w:rFonts w:ascii="宋体" w:hAnsi="宋体" w:cs="宋体" w:eastAsia="宋体" w:hint="default"/>
        </w:rPr>
        <w:t>3</w:t>
      </w:r>
      <w:r>
        <w:rPr/>
        <w:t>、薪酬与考核委员会 </w:t>
      </w:r>
      <w:r>
        <w:rPr>
          <w:spacing w:val="-1"/>
        </w:rPr>
        <w:t>报告期内，薪酬与考核委员会根据《董事会薪酬与考核委员会工作制度》及其他有关规定积极开展工</w:t>
      </w:r>
    </w:p>
    <w:p>
      <w:pPr>
        <w:pStyle w:val="BodyText"/>
        <w:spacing w:line="408" w:lineRule="auto"/>
        <w:ind w:right="1132"/>
        <w:jc w:val="both"/>
      </w:pPr>
      <w:r>
        <w:rPr/>
        <w:t>作，认真履行职责。报告期内，薪酬与考核委员会召开了</w:t>
      </w:r>
      <w:r>
        <w:rPr>
          <w:rFonts w:ascii="宋体" w:hAnsi="宋体" w:cs="宋体" w:eastAsia="宋体" w:hint="default"/>
        </w:rPr>
        <w:t>1</w:t>
      </w:r>
      <w:r>
        <w:rPr>
          <w:rFonts w:ascii="宋体" w:hAnsi="宋体" w:cs="宋体" w:eastAsia="宋体" w:hint="default"/>
          <w:spacing w:val="-24"/>
        </w:rPr>
        <w:t> </w:t>
      </w:r>
      <w:r>
        <w:rPr/>
        <w:t>次会议，根据《公司章程》及《公司董事会薪 </w:t>
      </w:r>
      <w:r>
        <w:rPr>
          <w:spacing w:val="-1"/>
        </w:rPr>
        <w:t>酬与考核委员会工作制度》，结合公司经营规模等实际情况并参照行业薪酬水平，对公司董事、监事和高</w:t>
      </w:r>
      <w:r>
        <w:rPr>
          <w:spacing w:val="-85"/>
        </w:rPr>
        <w:t> </w:t>
      </w:r>
      <w:r>
        <w:rPr>
          <w:spacing w:val="-85"/>
        </w:rPr>
      </w:r>
      <w:r>
        <w:rPr/>
        <w:t>级管理人员的薪酬情况进行了审核，并对公司薪酬体系的改善提出了合理化的建议。</w:t>
      </w:r>
    </w:p>
    <w:p>
      <w:pPr>
        <w:pStyle w:val="BodyText"/>
        <w:spacing w:line="408" w:lineRule="auto"/>
        <w:ind w:left="577" w:right="0"/>
        <w:jc w:val="left"/>
      </w:pPr>
      <w:r>
        <w:rPr>
          <w:rFonts w:ascii="宋体" w:hAnsi="宋体" w:cs="宋体" w:eastAsia="宋体" w:hint="default"/>
        </w:rPr>
        <w:t>4</w:t>
      </w:r>
      <w:r>
        <w:rPr/>
        <w:t>、提名委员会 </w:t>
      </w:r>
      <w:r>
        <w:rPr>
          <w:spacing w:val="-1"/>
        </w:rPr>
        <w:t>报告期内，提名委员会根据《公司董事会提名委员会工作制度》及其他有关规定积极开展工作，认真</w:t>
      </w:r>
    </w:p>
    <w:p>
      <w:pPr>
        <w:pStyle w:val="BodyText"/>
        <w:spacing w:line="408" w:lineRule="auto"/>
        <w:ind w:right="0"/>
        <w:jc w:val="left"/>
      </w:pPr>
      <w:r>
        <w:rPr/>
        <w:t>履行职责。报告期内，提名委员会召开了</w:t>
      </w:r>
      <w:r>
        <w:rPr>
          <w:rFonts w:ascii="宋体" w:hAnsi="宋体" w:cs="宋体" w:eastAsia="宋体" w:hint="default"/>
        </w:rPr>
        <w:t>2</w:t>
      </w:r>
      <w:r>
        <w:rPr/>
        <w:t>次会议，对公司董事的任职资格及公司董监高人员构成情况等 </w:t>
      </w:r>
      <w:r>
        <w:rPr>
          <w:spacing w:val="-1"/>
        </w:rPr>
        <w:t>相关事宜进行了认真的审核，认为公司新任董事及各管理人员具有丰富的行业经验和管理经验，完全胜任</w:t>
      </w:r>
      <w:r>
        <w:rPr>
          <w:spacing w:val="-81"/>
        </w:rPr>
        <w:t> </w:t>
      </w:r>
      <w:r>
        <w:rPr>
          <w:spacing w:val="-81"/>
        </w:rPr>
      </w:r>
      <w:r>
        <w:rPr/>
        <w:t>各自的工作。</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五、监事会工作情况" w:id="119"/>
      <w:bookmarkEnd w:id="119"/>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40" w:lineRule="auto" w:before="78"/>
        <w:ind w:right="0"/>
        <w:jc w:val="left"/>
      </w:pPr>
      <w:r>
        <w:rPr/>
        <w:t>监事会对报告期内的监督事项无异议。</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公司相对于控股股东在业务、人员、资产、机构、财务等方面的独立完整情况" w:id="120"/>
      <w:bookmarkEnd w:id="120"/>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8" w:firstLine="423"/>
        <w:jc w:val="left"/>
      </w:pPr>
      <w:r>
        <w:rPr>
          <w:spacing w:val="-1"/>
        </w:rPr>
        <w:t>公司与控股股东在业务、人员、资产、机构、财务等方面完全分开，具有独立完整的业务及自主经营</w:t>
      </w:r>
      <w:r>
        <w:rPr/>
        <w:t> 能力。</w:t>
      </w:r>
    </w:p>
    <w:p>
      <w:pPr>
        <w:pStyle w:val="BodyText"/>
        <w:spacing w:line="408" w:lineRule="auto"/>
        <w:ind w:right="1118" w:firstLine="423"/>
        <w:jc w:val="left"/>
      </w:pPr>
      <w:r>
        <w:rPr/>
        <w:t>（一）业务独立：公司拥有独立完整的业务体系及自主经营能力</w:t>
      </w:r>
      <w:r>
        <w:rPr>
          <w:rFonts w:ascii="宋体" w:hAnsi="宋体" w:cs="宋体" w:eastAsia="宋体" w:hint="default"/>
        </w:rPr>
        <w:t>,</w:t>
      </w:r>
      <w:r>
        <w:rPr/>
        <w:t>能够面向市场独立经营、核算和决 </w:t>
      </w:r>
      <w:r>
        <w:rPr>
          <w:spacing w:val="-1"/>
        </w:rPr>
        <w:t>策，独立承担责任与风险。公司的业务开展完全独立于控股股东，不存在受制于公司股东及其它关联方的</w:t>
      </w:r>
      <w:r>
        <w:rPr>
          <w:spacing w:val="-83"/>
        </w:rPr>
        <w:t> </w:t>
      </w:r>
      <w:r>
        <w:rPr>
          <w:spacing w:val="-83"/>
        </w:rPr>
      </w:r>
      <w:r>
        <w:rPr/>
        <w:t>情况。</w:t>
      </w:r>
    </w:p>
    <w:p>
      <w:pPr>
        <w:pStyle w:val="BodyText"/>
        <w:spacing w:line="240" w:lineRule="auto"/>
        <w:ind w:left="577" w:right="0"/>
        <w:jc w:val="left"/>
      </w:pPr>
      <w:r>
        <w:rPr/>
        <w:t>（二）人员独立：公司董事</w:t>
      </w:r>
      <w:r>
        <w:rPr>
          <w:rFonts w:ascii="宋体" w:hAnsi="宋体" w:cs="宋体" w:eastAsia="宋体" w:hint="default"/>
        </w:rPr>
        <w:t>(</w:t>
      </w:r>
      <w:r>
        <w:rPr/>
        <w:t>含独立董事</w:t>
      </w:r>
      <w:r>
        <w:rPr>
          <w:rFonts w:ascii="宋体" w:hAnsi="宋体" w:cs="宋体" w:eastAsia="宋体" w:hint="default"/>
        </w:rPr>
        <w:t>)</w:t>
      </w:r>
      <w:r>
        <w:rPr/>
        <w:t>、监事及高级管理人员严格按照《公司法》、《公司章程》</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的有关规定产生，公司的总经理、副总经理、财务负责人、董事会秘书等高级管理人员均在公司专职工作</w:t>
      </w:r>
      <w:r>
        <w:rPr>
          <w:spacing w:val="-85"/>
        </w:rPr>
        <w:t> </w:t>
      </w:r>
      <w:r>
        <w:rPr>
          <w:spacing w:val="-85"/>
        </w:rPr>
      </w:r>
      <w:r>
        <w:rPr>
          <w:spacing w:val="-1"/>
        </w:rPr>
        <w:t>并领取薪酬，不存在在关联企业兼职领薪的情况；公司高级管理人员的任免均由公司董事会通过合法程序</w:t>
      </w:r>
      <w:r>
        <w:rPr>
          <w:spacing w:val="-81"/>
        </w:rPr>
        <w:t> </w:t>
      </w:r>
      <w:r>
        <w:rPr>
          <w:spacing w:val="-81"/>
        </w:rPr>
      </w:r>
      <w:r>
        <w:rPr>
          <w:spacing w:val="-1"/>
        </w:rPr>
        <w:t>决定，不存在控股股东干涉人事任免决定的现象；公司拥有独立的员工队伍，并已建立较为完善的劳动用</w:t>
      </w:r>
      <w:r>
        <w:rPr>
          <w:spacing w:val="-83"/>
        </w:rPr>
        <w:t> </w:t>
      </w:r>
      <w:r>
        <w:rPr>
          <w:spacing w:val="-83"/>
        </w:rPr>
      </w:r>
      <w:r>
        <w:rPr>
          <w:spacing w:val="-1"/>
        </w:rPr>
        <w:t>工和人事管理制度。公司已依据国家的法律法规与公司全体员工签定了劳动合同并缴纳社会保险费用，公</w:t>
      </w:r>
      <w:r>
        <w:rPr>
          <w:spacing w:val="-81"/>
        </w:rPr>
        <w:t> </w:t>
      </w:r>
      <w:r>
        <w:rPr>
          <w:spacing w:val="-81"/>
        </w:rPr>
      </w:r>
      <w:r>
        <w:rPr/>
        <w:t>司拥有独立的劳动用工权利，不存在受控股股东控制的情形。</w:t>
      </w:r>
    </w:p>
    <w:p>
      <w:pPr>
        <w:pStyle w:val="BodyText"/>
        <w:spacing w:line="408" w:lineRule="auto"/>
        <w:ind w:right="1109" w:firstLine="423"/>
        <w:jc w:val="both"/>
      </w:pPr>
      <w:r>
        <w:rPr>
          <w:spacing w:val="-1"/>
        </w:rPr>
        <w:t>（三）资产独立：公司的资产完整，拥有与生产经营范围相适应的各项资质、设备、专利等资产。公</w:t>
      </w:r>
      <w:r>
        <w:rPr/>
        <w:t> 司的各项资产均不存在被抵押、质押的情况，并对其拥有完整的所有权。公司资产独立于公司控股股东， </w:t>
      </w:r>
      <w:r>
        <w:rPr>
          <w:spacing w:val="-1"/>
        </w:rPr>
        <w:t>对所有资产有完全的控制支配权，不存在资产、资金被控股股东占用而损害公司利益的情况，亦不存在为</w:t>
      </w:r>
      <w:r>
        <w:rPr>
          <w:spacing w:val="-83"/>
        </w:rPr>
        <w:t> </w:t>
      </w:r>
      <w:r>
        <w:rPr>
          <w:spacing w:val="-83"/>
        </w:rPr>
      </w:r>
      <w:r>
        <w:rPr/>
        <w:t>股东和其他个人提供担保的情形。</w:t>
      </w:r>
    </w:p>
    <w:p>
      <w:pPr>
        <w:pStyle w:val="BodyText"/>
        <w:spacing w:line="408" w:lineRule="auto"/>
        <w:ind w:right="1026" w:firstLine="423"/>
        <w:jc w:val="both"/>
      </w:pPr>
      <w:r>
        <w:rPr>
          <w:spacing w:val="-3"/>
        </w:rPr>
        <w:t>（四）机构独立：本公司依照《公司法》和《公司章程》的规定，设置了股东大会、董事会、监事会，</w:t>
      </w:r>
      <w:r>
        <w:rPr/>
        <w:t> </w:t>
      </w:r>
      <w:r>
        <w:rPr>
          <w:spacing w:val="-3"/>
        </w:rPr>
        <w:t>制定了议事规则，公司独立行使经营管理职权，独立于公司的控股股东、实际控制人及其控制的其他企业，</w:t>
      </w:r>
      <w:r>
        <w:rPr>
          <w:spacing w:val="-90"/>
        </w:rPr>
        <w:t> </w:t>
      </w:r>
      <w:r>
        <w:rPr>
          <w:spacing w:val="-90"/>
        </w:rPr>
      </w:r>
      <w:r>
        <w:rPr/>
        <w:t>不存在机构混同的情形。公司的办公场所独立于股东单位，不存在混合经营、合署办公的情形。</w:t>
      </w:r>
    </w:p>
    <w:p>
      <w:pPr>
        <w:pStyle w:val="BodyText"/>
        <w:spacing w:line="408" w:lineRule="auto"/>
        <w:ind w:right="0" w:firstLine="421"/>
        <w:jc w:val="left"/>
      </w:pPr>
      <w:r>
        <w:rPr>
          <w:spacing w:val="-1"/>
        </w:rPr>
        <w:t>（五）财务独立：公司设立了独立的财务部门，配备了专职财务人员，建立了独立的会计核算体系和</w:t>
      </w:r>
      <w:r>
        <w:rPr/>
        <w:t> 财务管理制度。公司在银行独立开户，依法独立纳税，具有独立作出财务决策的能力。</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七、同业竞争情况" w:id="121"/>
      <w:bookmarkEnd w:id="121"/>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7" w:right="1824"/>
        <w:jc w:val="left"/>
      </w:pPr>
      <w:r>
        <w:rPr/>
        <w:t>公司与控股股东、实际控制人及持股</w:t>
      </w:r>
      <w:r>
        <w:rPr>
          <w:rFonts w:ascii="宋体" w:hAnsi="宋体" w:cs="宋体" w:eastAsia="宋体" w:hint="default"/>
        </w:rPr>
        <w:t>5%</w:t>
      </w:r>
      <w:r>
        <w:rPr/>
        <w:t>以上股东之间不存在同业竞争情况。 公司控股股东及持股</w:t>
      </w:r>
      <w:r>
        <w:rPr>
          <w:rFonts w:ascii="宋体" w:hAnsi="宋体" w:cs="宋体" w:eastAsia="宋体" w:hint="default"/>
        </w:rPr>
        <w:t>5%</w:t>
      </w:r>
      <w:r>
        <w:rPr/>
        <w:t>以上的股东于</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28</w:t>
      </w:r>
      <w:r>
        <w:rPr/>
        <w:t>日出具了避免同业竞争的承诺，内容如下： 公司控股股东沈飒、朱烨东承诺：</w:t>
      </w:r>
    </w:p>
    <w:p>
      <w:pPr>
        <w:pStyle w:val="BodyText"/>
        <w:spacing w:line="408" w:lineRule="auto"/>
        <w:ind w:right="0" w:firstLine="423"/>
        <w:jc w:val="left"/>
      </w:pPr>
      <w:r>
        <w:rPr>
          <w:spacing w:val="-1"/>
        </w:rPr>
        <w:t>（</w:t>
      </w:r>
      <w:r>
        <w:rPr>
          <w:rFonts w:ascii="宋体" w:hAnsi="宋体" w:cs="宋体" w:eastAsia="宋体" w:hint="default"/>
          <w:spacing w:val="-1"/>
        </w:rPr>
        <w:t>1</w:t>
      </w:r>
      <w:r>
        <w:rPr>
          <w:spacing w:val="-1"/>
        </w:rPr>
        <w:t>）本人目前并没有直接或间接地从事任何与中科金财所从事的业务构成同业竞争的任何业务活动，</w:t>
      </w:r>
      <w:r>
        <w:rPr/>
        <w:t> 今后的任何时间亦不会直接或间接地以任何方式（包括但不限于独资、合资、合作和联营）参与或进行任 何与中科金财所从事的业务有实质性竞争或可能有实质性竞争的业务活动。</w:t>
      </w:r>
    </w:p>
    <w:p>
      <w:pPr>
        <w:pStyle w:val="BodyText"/>
        <w:spacing w:line="408" w:lineRule="auto"/>
        <w:ind w:right="0" w:firstLine="423"/>
        <w:jc w:val="left"/>
      </w:pPr>
      <w:r>
        <w:rPr/>
        <w:t>（</w:t>
      </w:r>
      <w:r>
        <w:rPr>
          <w:rFonts w:ascii="宋体" w:hAnsi="宋体" w:cs="宋体" w:eastAsia="宋体" w:hint="default"/>
        </w:rPr>
        <w:t>2</w:t>
      </w:r>
      <w:r>
        <w:rPr/>
        <w:t>）对于本人将来可能出现的下属全资、控股、参股企业所生产的产品或所从事的业务与中科金财 </w:t>
      </w:r>
      <w:r>
        <w:rPr>
          <w:spacing w:val="-1"/>
        </w:rPr>
        <w:t>有竞争或构成竞争的情况，承诺在中科金财提出要求时出让本人在该等企业中的全部出资或股份，并承诺</w:t>
      </w:r>
      <w:r>
        <w:rPr>
          <w:spacing w:val="-81"/>
        </w:rPr>
        <w:t> </w:t>
      </w:r>
      <w:r>
        <w:rPr>
          <w:spacing w:val="-81"/>
        </w:rPr>
      </w:r>
      <w:r>
        <w:rPr>
          <w:spacing w:val="-1"/>
        </w:rPr>
        <w:t>给予中科金财对该等出资或股份的优先购买权，并将尽最大努力促使有关交易的价格是经公平合理的及与</w:t>
      </w:r>
      <w:r>
        <w:rPr>
          <w:spacing w:val="-81"/>
        </w:rPr>
        <w:t> </w:t>
      </w:r>
      <w:r>
        <w:rPr>
          <w:spacing w:val="-81"/>
        </w:rPr>
      </w:r>
      <w:r>
        <w:rPr/>
        <w:t>独立第三者进行正常商业交易的基础上确定的。</w:t>
      </w:r>
    </w:p>
    <w:p>
      <w:pPr>
        <w:pStyle w:val="BodyText"/>
        <w:spacing w:line="408" w:lineRule="auto"/>
        <w:ind w:right="0" w:firstLine="423"/>
        <w:jc w:val="left"/>
      </w:pPr>
      <w:r>
        <w:rPr/>
        <w:t>（</w:t>
      </w:r>
      <w:r>
        <w:rPr>
          <w:rFonts w:ascii="宋体" w:hAnsi="宋体" w:cs="宋体" w:eastAsia="宋体" w:hint="default"/>
        </w:rPr>
        <w:t>3</w:t>
      </w:r>
      <w:r>
        <w:rPr/>
        <w:t>）本人承诺不向业务与中科金财及中科金财的下属企业（含直接或间接控制的企业）所生产的产 </w:t>
      </w:r>
      <w:r>
        <w:rPr>
          <w:spacing w:val="-1"/>
        </w:rPr>
        <w:t>品或所从事的业务构成竞争的其他公司、企业或其他机构、组织或个人提供专有技术或提供销售渠道、客</w:t>
      </w:r>
      <w:r>
        <w:rPr>
          <w:spacing w:val="-83"/>
        </w:rPr>
        <w:t> </w:t>
      </w:r>
      <w:r>
        <w:rPr>
          <w:spacing w:val="-83"/>
        </w:rPr>
      </w:r>
      <w:r>
        <w:rPr/>
        <w:t>户信息等商业秘密。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2" w:firstLine="423"/>
        <w:jc w:val="both"/>
      </w:pPr>
      <w:r>
        <w:rPr/>
        <w:t>（</w:t>
      </w:r>
      <w:r>
        <w:rPr>
          <w:rFonts w:ascii="宋体" w:hAnsi="宋体" w:cs="宋体" w:eastAsia="宋体" w:hint="default"/>
        </w:rPr>
        <w:t>4</w:t>
      </w:r>
      <w:r>
        <w:rPr/>
        <w:t>）除非中科金财明示同意，本人将不采用代销、特约经销、指定代理商等形式经营销售其他商家 生产的与中科金财产品有同业竞争关系的产品。</w:t>
      </w:r>
    </w:p>
    <w:p>
      <w:pPr>
        <w:pStyle w:val="BodyText"/>
        <w:spacing w:line="408" w:lineRule="auto"/>
        <w:ind w:right="1212" w:firstLine="423"/>
        <w:jc w:val="both"/>
      </w:pPr>
      <w:r>
        <w:rPr/>
        <w:t>（</w:t>
      </w:r>
      <w:r>
        <w:rPr>
          <w:rFonts w:ascii="宋体" w:hAnsi="宋体" w:cs="宋体" w:eastAsia="宋体" w:hint="default"/>
        </w:rPr>
        <w:t>5</w:t>
      </w:r>
      <w:r>
        <w:rPr/>
        <w:t>）如出现因本人或本人控制的其他企业或组织违反上述承诺而导致中科金财的权益受到损害的情 况，本人将依法承担相应的赔偿责任。</w:t>
      </w:r>
    </w:p>
    <w:p>
      <w:pPr>
        <w:pStyle w:val="BodyText"/>
        <w:spacing w:line="408" w:lineRule="auto"/>
        <w:ind w:right="1131" w:firstLine="423"/>
        <w:jc w:val="both"/>
      </w:pPr>
      <w:r>
        <w:rPr>
          <w:spacing w:val="-1"/>
        </w:rPr>
        <w:t>公司持股</w:t>
      </w:r>
      <w:r>
        <w:rPr>
          <w:rFonts w:ascii="宋体" w:hAnsi="宋体" w:cs="宋体" w:eastAsia="宋体" w:hint="default"/>
          <w:spacing w:val="-1"/>
        </w:rPr>
        <w:t>5%</w:t>
      </w:r>
      <w:r>
        <w:rPr>
          <w:spacing w:val="-1"/>
        </w:rPr>
        <w:t>以上的股东陈绪华、蔡迦承诺：截至本承诺书出具之日，本人未直接或间接投资于任何与</w:t>
      </w:r>
      <w:r>
        <w:rPr/>
        <w:t> </w:t>
      </w:r>
      <w:r>
        <w:rPr>
          <w:spacing w:val="-1"/>
        </w:rPr>
        <w:t>中科金财存在相同或类似业务的公司、企业或其他经营实体，未自己经营或为他人经营与中科金财相同或</w:t>
      </w:r>
      <w:r>
        <w:rPr>
          <w:spacing w:val="-81"/>
        </w:rPr>
        <w:t> </w:t>
      </w:r>
      <w:r>
        <w:rPr>
          <w:spacing w:val="-81"/>
        </w:rPr>
      </w:r>
      <w:r>
        <w:rPr/>
        <w:t>类似的业务。</w:t>
      </w:r>
    </w:p>
    <w:p>
      <w:pPr>
        <w:pStyle w:val="BodyText"/>
        <w:spacing w:line="408" w:lineRule="auto"/>
        <w:ind w:right="1110" w:firstLine="423"/>
        <w:jc w:val="both"/>
      </w:pPr>
      <w:r>
        <w:rPr>
          <w:spacing w:val="-1"/>
        </w:rPr>
        <w:t>自本承诺书出具之日起，将不以任何方式（包括但不限于单独经营、通过合资经营或拥有另一公司或</w:t>
      </w:r>
      <w:r>
        <w:rPr/>
        <w:t> </w:t>
      </w:r>
      <w:r>
        <w:rPr>
          <w:spacing w:val="-1"/>
        </w:rPr>
        <w:t>企业的股份及其他权益）在中国境内或境外任何地区直接或间接地从事与中科金财主营业务构成或可能构</w:t>
      </w:r>
      <w:r>
        <w:rPr>
          <w:spacing w:val="-81"/>
        </w:rPr>
        <w:t> </w:t>
      </w:r>
      <w:r>
        <w:rPr>
          <w:spacing w:val="-81"/>
        </w:rPr>
      </w:r>
      <w:r>
        <w:rPr>
          <w:spacing w:val="-1"/>
        </w:rPr>
        <w:t>成竞争的业务；不以任何方式从事或参与生产任何与中科金财产品、服务相同、相似或可以取代中科金财</w:t>
      </w:r>
      <w:r>
        <w:rPr>
          <w:spacing w:val="-83"/>
        </w:rPr>
        <w:t> </w:t>
      </w:r>
      <w:r>
        <w:rPr>
          <w:spacing w:val="-83"/>
        </w:rPr>
      </w:r>
      <w:r>
        <w:rPr/>
        <w:t>产品、服务的业务或活动；如从第三方获得的任何商业机会与中科金财经营的业务有竞争或可能有竞争， 则立即通知中科金财，并尽力将该商业机会让予中科金财。</w:t>
      </w:r>
    </w:p>
    <w:p>
      <w:pPr>
        <w:pStyle w:val="BodyText"/>
        <w:spacing w:line="408" w:lineRule="auto"/>
        <w:ind w:right="0" w:firstLine="423"/>
        <w:jc w:val="left"/>
      </w:pPr>
      <w:r>
        <w:rPr>
          <w:spacing w:val="-1"/>
        </w:rPr>
        <w:t>如违反本承诺书所述内容，本人将采取积极措施消除同业竞争，并愿意承担由此给中科金财或中科金</w:t>
      </w:r>
      <w:r>
        <w:rPr/>
        <w:t> 财中除本人以外的其他股东造成的直接或间接经济损失、索赔责任及额外的费用支出。 报告期内，公司股东均严格履行了承诺。</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22"/>
      <w:bookmarkEnd w:id="12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30" w:firstLine="423"/>
        <w:jc w:val="both"/>
      </w:pPr>
      <w:r>
        <w:rPr>
          <w:spacing w:val="-1"/>
        </w:rPr>
        <w:t>公司建立了较为合理的高级管理人员的绩效评价标准和激励约束机制，根据高级管理人员的年度履职</w:t>
      </w:r>
      <w:r>
        <w:rPr/>
        <w:t> </w:t>
      </w:r>
      <w:r>
        <w:rPr>
          <w:spacing w:val="-1"/>
        </w:rPr>
        <w:t>情况、绩效考核结果和公司经营业绩的情况决定其年度薪酬。</w:t>
      </w:r>
      <w:r>
        <w:rPr>
          <w:rFonts w:ascii="宋体" w:hAnsi="宋体" w:cs="宋体" w:eastAsia="宋体" w:hint="default"/>
          <w:spacing w:val="-1"/>
        </w:rPr>
        <w:t>2014</w:t>
      </w:r>
      <w:r>
        <w:rPr>
          <w:spacing w:val="-1"/>
        </w:rPr>
        <w:t>年公司高级管理人员能够严格按照《公</w:t>
      </w:r>
      <w:r>
        <w:rPr>
          <w:spacing w:val="-81"/>
        </w:rPr>
        <w:t> </w:t>
      </w:r>
      <w:r>
        <w:rPr>
          <w:spacing w:val="-81"/>
        </w:rPr>
      </w:r>
      <w:r>
        <w:rPr>
          <w:spacing w:val="-1"/>
        </w:rPr>
        <w:t>司法》、《公司章程》及国家有关法律法规认真履行职责，积极落实公司股东大会和董事会相关决议，认</w:t>
      </w:r>
      <w:r>
        <w:rPr>
          <w:spacing w:val="-83"/>
        </w:rPr>
        <w:t> </w:t>
      </w:r>
      <w:r>
        <w:rPr>
          <w:spacing w:val="-83"/>
        </w:rPr>
      </w:r>
      <w:r>
        <w:rPr>
          <w:spacing w:val="-1"/>
        </w:rPr>
        <w:t>真履行了工作职责，较好的完成了既定目标。公司各项考评及激励机制执行情况良好，起到了应有的激励</w:t>
      </w:r>
      <w:r>
        <w:rPr>
          <w:spacing w:val="-82"/>
        </w:rPr>
        <w:t> </w:t>
      </w:r>
      <w:r>
        <w:rPr>
          <w:spacing w:val="-82"/>
        </w:rPr>
      </w:r>
      <w:r>
        <w:rPr/>
        <w:t>和约束作用。</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401"/>
        <w:jc w:val="center"/>
        <w:rPr>
          <w:b w:val="0"/>
          <w:bCs w:val="0"/>
        </w:rPr>
      </w:pPr>
      <w:bookmarkStart w:name="_TOC_250002" w:id="123"/>
      <w:bookmarkStart w:name="第十节 内部控制" w:id="124"/>
      <w:r>
        <w:rPr>
          <w:b w:val="0"/>
          <w:bCs w:val="0"/>
        </w:rPr>
      </w:r>
      <w:r>
        <w:rPr/>
        <w:t>第十节</w:t>
      </w:r>
      <w:r>
        <w:rPr>
          <w:spacing w:val="-5"/>
        </w:rPr>
        <w:t> </w:t>
      </w:r>
      <w:r>
        <w:rPr/>
        <w:t>内部控制</w:t>
      </w:r>
      <w:bookmarkEnd w:id="1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内部控制建设情况" w:id="125"/>
      <w:bookmarkEnd w:id="125"/>
      <w:r>
        <w:rPr>
          <w:b w:val="0"/>
          <w:bCs w:val="0"/>
        </w:rPr>
      </w: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0" w:firstLine="423"/>
        <w:jc w:val="both"/>
      </w:pPr>
      <w:r>
        <w:rPr>
          <w:spacing w:val="-3"/>
        </w:rPr>
        <w:t>为规范经营管理，控制风险，保证经营业务活动的正常开展</w:t>
      </w:r>
      <w:r>
        <w:rPr>
          <w:rFonts w:ascii="宋体" w:hAnsi="宋体" w:cs="宋体" w:eastAsia="宋体" w:hint="default"/>
          <w:spacing w:val="-3"/>
        </w:rPr>
        <w:t>,</w:t>
      </w:r>
      <w:r>
        <w:rPr>
          <w:spacing w:val="-3"/>
        </w:rPr>
        <w:t>公司根据《公司法》、《证券法》、《上</w:t>
      </w:r>
      <w:r>
        <w:rPr/>
        <w:t> 市公司内部控制指引》、《深圳证券交易所中小板上市公司规范运作指引》及其他法律法规的有关规定， </w:t>
      </w:r>
      <w:r>
        <w:rPr>
          <w:spacing w:val="-1"/>
        </w:rPr>
        <w:t>结合公司实际情况和经营特点，围绕公司治理、经营决策、会计及财务管理、信息披露等方面，形成了以</w:t>
      </w:r>
    </w:p>
    <w:p>
      <w:pPr>
        <w:pStyle w:val="BodyText"/>
        <w:spacing w:line="408" w:lineRule="auto"/>
        <w:ind w:right="1109"/>
        <w:jc w:val="both"/>
      </w:pPr>
      <w:r>
        <w:rPr>
          <w:spacing w:val="-1"/>
        </w:rPr>
        <w:t>《公司章程》为基础，规范三会运作为重点，以信息披露、内控机制、投资决策、股权管理、投资者关系</w:t>
      </w:r>
      <w:r>
        <w:rPr>
          <w:spacing w:val="-84"/>
        </w:rPr>
        <w:t> </w:t>
      </w:r>
      <w:r>
        <w:rPr>
          <w:spacing w:val="-84"/>
        </w:rPr>
      </w:r>
      <w:r>
        <w:rPr/>
        <w:t>管理等方面为主要内容的合规有效的制度体系。公司的内部控制体系，涵盖了公司财务管理、战略管理、 </w:t>
      </w:r>
      <w:r>
        <w:rPr>
          <w:spacing w:val="-1"/>
        </w:rPr>
        <w:t>投资管理、人力资源管理、信息化管理、采购管理等方面，并建立相应授权、检查和问责制度，对其运行</w:t>
      </w:r>
      <w:r>
        <w:rPr>
          <w:spacing w:val="-83"/>
        </w:rPr>
        <w:t> </w:t>
      </w:r>
      <w:r>
        <w:rPr>
          <w:spacing w:val="-83"/>
        </w:rPr>
      </w:r>
      <w:r>
        <w:rPr>
          <w:spacing w:val="-1"/>
        </w:rPr>
        <w:t>情况进行持续检查和监督，及时进行修订完善。内部控制体系确保股东大会、董事会、监事会及其他各专</w:t>
      </w:r>
      <w:r>
        <w:rPr>
          <w:spacing w:val="-86"/>
        </w:rPr>
        <w:t> </w:t>
      </w:r>
      <w:r>
        <w:rPr>
          <w:spacing w:val="-86"/>
        </w:rPr>
      </w:r>
      <w:r>
        <w:rPr>
          <w:spacing w:val="-1"/>
        </w:rPr>
        <w:t>门委员会、经理层的规范运作，有效防范经营决策及管理风险。公司内部控制建设符合有关法规和监管理</w:t>
      </w:r>
      <w:r>
        <w:rPr>
          <w:spacing w:val="-83"/>
        </w:rPr>
        <w:t> </w:t>
      </w:r>
      <w:r>
        <w:rPr>
          <w:spacing w:val="-83"/>
        </w:rPr>
      </w:r>
      <w:r>
        <w:rPr>
          <w:spacing w:val="-1"/>
        </w:rPr>
        <w:t>部门的要求，符合当前公司经营管理需要。报告期内，公司不断完善公司法人治理结构，修订补充内部控</w:t>
      </w:r>
      <w:r>
        <w:rPr>
          <w:spacing w:val="-86"/>
        </w:rPr>
        <w:t> </w:t>
      </w:r>
      <w:r>
        <w:rPr>
          <w:spacing w:val="-86"/>
        </w:rPr>
      </w:r>
      <w:r>
        <w:rPr/>
        <w:t>制制度，公司内部控制制度得到有效的执行，内部控制总体情况良好，未发现内部控制重大缺陷的情形。</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二、董事会关于内部控制责任的声明" w:id="126"/>
      <w:bookmarkEnd w:id="126"/>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4" w:firstLine="420"/>
        <w:jc w:val="left"/>
      </w:pPr>
      <w:r>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 公司内部控制的目标是合理保证经营管理合法合规、资产安全、财务报告及相关信息真实完整，提高经营 </w:t>
      </w:r>
      <w:r>
        <w:rPr>
          <w:spacing w:val="-3"/>
        </w:rPr>
        <w:t>效率和效果，促进实现发展战略。由于内部控制存在的固有局限性，故仅能为实现上述目标提供合理保证。</w:t>
      </w:r>
      <w:r>
        <w:rPr>
          <w:spacing w:val="-90"/>
        </w:rPr>
        <w:t> </w:t>
      </w:r>
      <w:r>
        <w:rPr>
          <w:spacing w:val="-90"/>
        </w:rPr>
      </w:r>
      <w:r>
        <w:rPr/>
        <w:t>此外，由于情况的变化可能导致内部控制变得不恰当，或对控制政策和程序遵循的程度降低，根据内部控</w:t>
      </w:r>
      <w:r>
        <w:rPr/>
        <w:t> 制评价结果推测未来内部控制的有效性具有一定的风险。</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三、建立财务报告内部控制的依据" w:id="127"/>
      <w:bookmarkEnd w:id="127"/>
      <w:r>
        <w:rPr>
          <w:b w:val="0"/>
          <w:bCs w:val="0"/>
        </w:rPr>
      </w:r>
      <w:r>
        <w:rPr/>
        <w:t>三、建立财务报告内部控制的依据</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0" w:firstLine="423"/>
        <w:jc w:val="both"/>
      </w:pPr>
      <w:r>
        <w:rPr>
          <w:spacing w:val="-7"/>
        </w:rPr>
        <w:t>公司依据《企业内部控制基本规范》（财会〔</w:t>
      </w:r>
      <w:r>
        <w:rPr>
          <w:rFonts w:ascii="宋体" w:hAnsi="宋体" w:cs="宋体" w:eastAsia="宋体" w:hint="default"/>
          <w:spacing w:val="-7"/>
        </w:rPr>
        <w:t>2008</w:t>
      </w:r>
      <w:r>
        <w:rPr>
          <w:spacing w:val="-7"/>
        </w:rPr>
        <w:t>〕</w:t>
      </w:r>
      <w:r>
        <w:rPr>
          <w:rFonts w:ascii="宋体" w:hAnsi="宋体" w:cs="宋体" w:eastAsia="宋体" w:hint="default"/>
          <w:spacing w:val="-7"/>
        </w:rPr>
        <w:t>7</w:t>
      </w:r>
      <w:r>
        <w:rPr>
          <w:spacing w:val="-7"/>
        </w:rPr>
        <w:t>号）、《企业内部控制配套指引》（财会</w:t>
      </w:r>
      <w:r>
        <w:rPr>
          <w:rFonts w:ascii="宋体" w:hAnsi="宋体" w:cs="宋体" w:eastAsia="宋体" w:hint="default"/>
          <w:spacing w:val="-7"/>
        </w:rPr>
        <w:t>[2010]11</w:t>
      </w:r>
      <w:r>
        <w:rPr>
          <w:rFonts w:ascii="宋体" w:hAnsi="宋体" w:cs="宋体" w:eastAsia="宋体" w:hint="default"/>
        </w:rPr>
        <w:t> </w:t>
      </w:r>
      <w:r>
        <w:rPr>
          <w:spacing w:val="-1"/>
        </w:rPr>
        <w:t>号）、《中小企业板上市公司规范运作指引》、《会计法》、《企业会计准则》、《企业财务通则》等相</w:t>
      </w:r>
      <w:r>
        <w:rPr>
          <w:spacing w:val="-89"/>
        </w:rPr>
        <w:t> </w:t>
      </w:r>
      <w:r>
        <w:rPr>
          <w:spacing w:val="-89"/>
        </w:rPr>
      </w:r>
      <w:r>
        <w:rPr>
          <w:spacing w:val="-1"/>
        </w:rPr>
        <w:t>关法律、法规以及公司章程的规定，结合公司实际情况制定了《北京中科金财科技股份有限公司财务管理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制度》，对公司财务机构设置、财务核算规范、资金资产管理、收入费用核算、财务报告披露等方面做出</w:t>
      </w:r>
      <w:r>
        <w:rPr>
          <w:spacing w:val="-83"/>
        </w:rPr>
        <w:t> </w:t>
      </w:r>
      <w:r>
        <w:rPr>
          <w:spacing w:val="-83"/>
        </w:rPr>
      </w:r>
      <w:r>
        <w:rPr>
          <w:spacing w:val="-1"/>
        </w:rPr>
        <w:t>了严格的规定，对公司加强财务管理和内部控制，规范公司财务行为，维护股东、债权人及公司的合法权</w:t>
      </w:r>
      <w:r>
        <w:rPr>
          <w:spacing w:val="-86"/>
        </w:rPr>
        <w:t> </w:t>
      </w:r>
      <w:r>
        <w:rPr>
          <w:spacing w:val="-86"/>
        </w:rPr>
      </w:r>
      <w:r>
        <w:rPr/>
        <w:t>益起了重要作用。</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四、内部控制评价报告" w:id="128"/>
      <w:bookmarkEnd w:id="128"/>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29"/>
      <w:bookmarkEnd w:id="129"/>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1026"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出具了信会师报字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10089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号《内部控制鉴证报告</w:t>
            </w:r>
            <w:r>
              <w:rPr>
                <w:rFonts w:ascii="宋体" w:hAnsi="宋体" w:cs="宋体" w:eastAsia="宋体" w:hint="default"/>
                <w:spacing w:val="-90"/>
                <w:sz w:val="18"/>
                <w:szCs w:val="18"/>
              </w:rPr>
              <w:t>》</w:t>
            </w:r>
            <w:r>
              <w:rPr>
                <w:rFonts w:ascii="宋体" w:hAnsi="宋体" w:cs="宋体" w:eastAsia="宋体" w:hint="default"/>
                <w:sz w:val="18"/>
                <w:szCs w:val="18"/>
              </w:rPr>
              <w:t>，鉴</w:t>
            </w:r>
          </w:p>
          <w:p>
            <w:pPr>
              <w:pStyle w:val="TableParagraph"/>
              <w:spacing w:line="302" w:lineRule="auto" w:before="61"/>
              <w:ind w:left="22" w:right="84"/>
              <w:jc w:val="left"/>
              <w:rPr>
                <w:rFonts w:ascii="宋体" w:hAnsi="宋体" w:cs="宋体" w:eastAsia="宋体" w:hint="default"/>
                <w:sz w:val="18"/>
                <w:szCs w:val="18"/>
              </w:rPr>
            </w:pPr>
            <w:r>
              <w:rPr>
                <w:rFonts w:ascii="宋体" w:hAnsi="宋体" w:cs="宋体" w:eastAsia="宋体" w:hint="default"/>
                <w:sz w:val="18"/>
                <w:szCs w:val="18"/>
              </w:rPr>
              <w:t>证结论为：贵公司按照财政部等五部委颁发的《企业内部控制基本规范》及相关规定于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 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年度报告重大差错责任追究制度的建立与执行情况" w:id="130"/>
      <w:bookmarkEnd w:id="130"/>
      <w:r>
        <w:rPr>
          <w:b w:val="0"/>
          <w:bCs w:val="0"/>
        </w:rPr>
      </w: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24" w:firstLine="423"/>
        <w:jc w:val="left"/>
      </w:pPr>
      <w:r>
        <w:rPr/>
        <w:t>公司为进一步提高规范运作水平，加大年报信息披露责任人的问责力度，提高年报信息披露的质量和 透明度，增强年报信息披露的真实性、准确性、完整性和及时性，根据《中华人民共和国公司法》、《中 华人民共和国证券法》、《中华人民共和国会计法》、中国证券监督管理委员会发布的《上市公司信息披 </w:t>
      </w:r>
      <w:r>
        <w:rPr>
          <w:spacing w:val="-3"/>
        </w:rPr>
        <w:t>露管理办法》、《深圳证券交易所股票上市规则》、《深圳证券交易所中小企业板上市公司规范运作指引》</w:t>
      </w:r>
      <w:r>
        <w:rPr>
          <w:spacing w:val="-94"/>
        </w:rPr>
        <w:t> </w:t>
      </w:r>
      <w:r>
        <w:rPr>
          <w:spacing w:val="-94"/>
        </w:rPr>
      </w:r>
      <w:r>
        <w:rPr/>
        <w:t>等有关法律、法规、规章、规范性文件和《北京中科金财科技股份有限公司章程》、《北京中科金财科技</w:t>
      </w:r>
      <w:r>
        <w:rPr/>
        <w:t> 股份有限公司信息披露管理制度》的有关规定，并结合本公司的实际情况，制定并发布了《年报信息披露 重大差错责任追究制度》。制度中对财务报告重大会计差错的认定及处理程序、其他年报信息披露重大差 错的认定及处理程序、年报信息披露重大差错的责任追究等进行了规定。公司严格按照上述制度执行，制 度及流程运行状况良好，本年度未发生年报披露信息重大差错。</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_TOC_250001" w:id="131"/>
      <w:bookmarkStart w:name="第十一节 财务报告" w:id="132"/>
      <w:r>
        <w:rPr>
          <w:b w:val="0"/>
          <w:bCs w:val="0"/>
        </w:rPr>
      </w:r>
      <w:r>
        <w:rPr/>
        <w:t>第十一节</w:t>
      </w:r>
      <w:r>
        <w:rPr>
          <w:spacing w:val="-6"/>
        </w:rPr>
        <w:t> </w:t>
      </w:r>
      <w:r>
        <w:rPr/>
        <w:t>财务报告</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33"/>
      <w:bookmarkEnd w:id="133"/>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210092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王云成、汪沛</w:t>
            </w:r>
          </w:p>
        </w:tc>
      </w:tr>
    </w:tbl>
    <w:p>
      <w:pPr>
        <w:pStyle w:val="BodyText"/>
        <w:spacing w:line="240" w:lineRule="auto" w:before="26"/>
        <w:ind w:left="2424" w:right="3400"/>
        <w:jc w:val="center"/>
      </w:pPr>
      <w:r>
        <w:rPr/>
        <w:t>审计报告正文</w:t>
      </w:r>
    </w:p>
    <w:p>
      <w:pPr>
        <w:spacing w:line="240" w:lineRule="auto" w:before="2"/>
        <w:rPr>
          <w:rFonts w:ascii="宋体" w:hAnsi="宋体" w:cs="宋体" w:eastAsia="宋体" w:hint="default"/>
          <w:sz w:val="9"/>
          <w:szCs w:val="9"/>
        </w:rPr>
      </w:pPr>
    </w:p>
    <w:p>
      <w:pPr>
        <w:pStyle w:val="BodyText"/>
        <w:spacing w:line="408" w:lineRule="auto" w:before="35"/>
        <w:ind w:left="574" w:right="0" w:hanging="420"/>
        <w:jc w:val="left"/>
        <w:rPr>
          <w:rFonts w:ascii="宋体" w:hAnsi="宋体" w:cs="宋体" w:eastAsia="宋体" w:hint="default"/>
        </w:rPr>
      </w:pPr>
      <w:r>
        <w:rPr/>
        <w:t>北京中科金财科技股份有限公司全体股东： </w:t>
      </w:r>
      <w:r>
        <w:rPr>
          <w:spacing w:val="-1"/>
        </w:rPr>
        <w:t>我们审计了后附的北京中科金财科技股份有限公司（以下简称“贵公司”）财务报表，包括</w:t>
      </w:r>
      <w:r>
        <w:rPr>
          <w:rFonts w:ascii="宋体" w:hAnsi="宋体" w:cs="宋体" w:eastAsia="宋体" w:hint="default"/>
          <w:spacing w:val="-1"/>
        </w:rPr>
        <w:t>2014</w:t>
      </w:r>
      <w:r>
        <w:rPr>
          <w:spacing w:val="-1"/>
        </w:rPr>
        <w:t>年</w:t>
      </w:r>
      <w:r>
        <w:rPr>
          <w:rFonts w:ascii="宋体" w:hAnsi="宋体" w:cs="宋体" w:eastAsia="宋体" w:hint="default"/>
          <w:spacing w:val="-1"/>
        </w:rPr>
        <w:t>12</w:t>
      </w:r>
      <w:r>
        <w:rPr>
          <w:rFonts w:ascii="宋体" w:hAnsi="宋体" w:cs="宋体" w:eastAsia="宋体" w:hint="default"/>
        </w:rPr>
      </w:r>
    </w:p>
    <w:p>
      <w:pPr>
        <w:pStyle w:val="BodyText"/>
        <w:spacing w:line="408" w:lineRule="auto"/>
        <w:ind w:left="154" w:right="0"/>
        <w:jc w:val="left"/>
      </w:pPr>
      <w:r>
        <w:rPr>
          <w:spacing w:val="-1"/>
        </w:rPr>
        <w:t>月</w:t>
      </w:r>
      <w:r>
        <w:rPr>
          <w:rFonts w:ascii="宋体" w:hAnsi="宋体" w:cs="宋体" w:eastAsia="宋体" w:hint="default"/>
          <w:spacing w:val="-1"/>
        </w:rPr>
        <w:t>31</w:t>
      </w:r>
      <w:r>
        <w:rPr>
          <w:spacing w:val="-1"/>
        </w:rPr>
        <w:t>日的合并及公司资产负债表、</w:t>
      </w:r>
      <w:r>
        <w:rPr>
          <w:rFonts w:ascii="宋体" w:hAnsi="宋体" w:cs="宋体" w:eastAsia="宋体" w:hint="default"/>
          <w:spacing w:val="-1"/>
        </w:rPr>
        <w:t>2014</w:t>
      </w:r>
      <w:r>
        <w:rPr>
          <w:spacing w:val="-1"/>
        </w:rPr>
        <w:t>年度的合并及公司利润表、合并及公司现金流量表、合并及公司所</w:t>
      </w:r>
      <w:r>
        <w:rPr>
          <w:spacing w:val="-83"/>
        </w:rPr>
        <w:t> </w:t>
      </w:r>
      <w:r>
        <w:rPr>
          <w:spacing w:val="-83"/>
        </w:rPr>
      </w:r>
      <w:r>
        <w:rPr/>
        <w:t>有者权益变动表以及财务报表附注。</w:t>
      </w:r>
    </w:p>
    <w:p>
      <w:pPr>
        <w:pStyle w:val="BodyText"/>
        <w:spacing w:line="408" w:lineRule="auto"/>
        <w:ind w:left="577" w:right="1194"/>
        <w:jc w:val="left"/>
      </w:pPr>
      <w:r>
        <w:rPr/>
        <w:t>一、管理层对财务报表的责任 编制和公允列报财务报表是贵公司管理层的责任。这种责任包括：（</w:t>
      </w:r>
      <w:r>
        <w:rPr>
          <w:rFonts w:ascii="宋体" w:hAnsi="宋体" w:cs="宋体" w:eastAsia="宋体" w:hint="default"/>
        </w:rPr>
        <w:t>1</w:t>
      </w:r>
      <w:r>
        <w:rPr/>
        <w:t>）按照企业会计准则的规定编</w:t>
      </w:r>
    </w:p>
    <w:p>
      <w:pPr>
        <w:pStyle w:val="BodyText"/>
        <w:spacing w:line="408" w:lineRule="auto"/>
        <w:ind w:left="154" w:right="1197"/>
        <w:jc w:val="left"/>
      </w:pPr>
      <w:r>
        <w:rPr/>
        <w:t>制财务报表，并使其实现公允反映；（</w:t>
      </w:r>
      <w:r>
        <w:rPr>
          <w:rFonts w:ascii="宋体" w:hAnsi="宋体" w:cs="宋体" w:eastAsia="宋体" w:hint="default"/>
        </w:rPr>
        <w:t>2</w:t>
      </w:r>
      <w:r>
        <w:rPr/>
        <w:t>）设计、执行和维护必要的内部控制，以使财务报表不存在由于 舞弊或错误导致的重大错报。</w:t>
      </w:r>
    </w:p>
    <w:p>
      <w:pPr>
        <w:pStyle w:val="BodyText"/>
        <w:spacing w:line="408" w:lineRule="auto"/>
        <w:ind w:left="577" w:right="0"/>
        <w:jc w:val="left"/>
      </w:pPr>
      <w:r>
        <w:rPr/>
        <w:t>二、注册会计师的责任 </w:t>
      </w:r>
      <w:r>
        <w:rPr>
          <w:spacing w:val="-1"/>
        </w:rPr>
        <w:t>我们的责任是在执行审计工作的基础上对财务报表发表审计意见。我们按照中国注册会计师审计准则</w:t>
      </w:r>
    </w:p>
    <w:p>
      <w:pPr>
        <w:pStyle w:val="BodyText"/>
        <w:spacing w:line="408" w:lineRule="auto"/>
        <w:ind w:left="154"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left="154" w:right="1131" w:firstLine="423"/>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8" w:lineRule="auto"/>
        <w:ind w:left="577" w:right="2979"/>
        <w:jc w:val="left"/>
      </w:pPr>
      <w:r>
        <w:rPr/>
        <w:t>我们相信，我们获取的审计证据是充分、适当的，为发表审计意见提供了基础。 三、审计意见</w:t>
      </w:r>
    </w:p>
    <w:p>
      <w:pPr>
        <w:pStyle w:val="BodyText"/>
        <w:spacing w:line="240" w:lineRule="auto"/>
        <w:ind w:left="577" w:right="0"/>
        <w:jc w:val="left"/>
      </w:pPr>
      <w:r>
        <w:rPr/>
        <w:t>我们认为，贵公司财务报表在所有重大方面按照企业会计准则的规定编制，公允反映了贵公司</w:t>
      </w:r>
      <w:r>
        <w:rPr>
          <w:rFonts w:ascii="宋体" w:hAnsi="宋体" w:cs="宋体" w:eastAsia="宋体" w:hint="default"/>
        </w:rPr>
        <w:t>2014</w:t>
      </w:r>
      <w:r>
        <w:rPr/>
        <w:t>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2014</w:t>
      </w:r>
      <w:r>
        <w:rPr/>
        <w:t>年度的合并及公司经营成果和现金流量。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508" w:lineRule="auto" w:before="0"/>
        <w:ind w:left="153" w:right="7393" w:firstLine="0"/>
        <w:jc w:val="left"/>
        <w:rPr>
          <w:rFonts w:ascii="宋体" w:hAnsi="宋体" w:cs="宋体" w:eastAsia="宋体" w:hint="default"/>
          <w:sz w:val="21"/>
          <w:szCs w:val="21"/>
        </w:rPr>
      </w:pPr>
      <w:bookmarkStart w:name="二、财务报表" w:id="134"/>
      <w:bookmarkEnd w:id="134"/>
      <w:r>
        <w:rPr/>
      </w: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1"/>
          <w:szCs w:val="21"/>
        </w:rPr>
        <w:t>财务附注中报表的单位为：人民币元 </w:t>
      </w:r>
      <w:bookmarkStart w:name="1、合并资产负债表" w:id="135"/>
      <w:bookmarkEnd w:id="135"/>
      <w:r>
        <w:rPr>
          <w:rFonts w:ascii="宋体" w:hAnsi="宋体" w:cs="宋体" w:eastAsia="宋体" w:hint="default"/>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after="0" w:line="508" w:lineRule="auto"/>
        <w:jc w:val="left"/>
        <w:rPr>
          <w:rFonts w:ascii="宋体" w:hAnsi="宋体" w:cs="宋体" w:eastAsia="宋体" w:hint="default"/>
          <w:sz w:val="21"/>
          <w:szCs w:val="21"/>
        </w:rPr>
        <w:sectPr>
          <w:pgSz w:w="11910" w:h="16840"/>
          <w:pgMar w:header="747" w:footer="979" w:top="1060" w:bottom="1160" w:left="980" w:right="0"/>
        </w:sectPr>
      </w:pPr>
    </w:p>
    <w:p>
      <w:pPr>
        <w:spacing w:before="88"/>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编制单位：北京中科金财科技股份有限公司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5"/>
          <w:szCs w:val="15"/>
        </w:rPr>
      </w:pPr>
    </w:p>
    <w:p>
      <w:pPr>
        <w:spacing w:before="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691,799,630.78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540,241,217.39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15,921,161.85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58,856,687.46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35,943,554.02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9,748,571.90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53,017,869.51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38,738,200.59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29,740,746.31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428,768,115.95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370,897,977.16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112,514,998.94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137,566,689.48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1,352,273,805.62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1,183,329,215.72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27,119,839.51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103,282,710.55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81,557,425.24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5,887,828.81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143,136,524.09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77,335,362.55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42,472,969.20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59,128,183.32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624,031,391.94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1,406,799.84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2,033,354.29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9,087,747.90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7,949,404.33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3,413,334.25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984,739,146.09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228,003,729.73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2,337,012,951.71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1,411,332,945.45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112,854,595.70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108,136,451.16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310,660,697.48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198,871,173.10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8,462,798.18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7,307,832.83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10,526,934.21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3,022,405.73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106,988,935.73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54,368,512.69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561,553,961.30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422,489,575.51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32,242,266.66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40,932,033.33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270,682,266.66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278,892,033.33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832,236,227.96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701,381,608.84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158,489,551.00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104,696,301.00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997,623,258.03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324,857,209.72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36,778,236.69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29,910,824.83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308,215,956.06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244,709,200.13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1,501,107,899.39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704,174,127.30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3,668,824.36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5,777,209.31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1,504,776,723.75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709,951,336.61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2,337,012,951.71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1,411,332,945.45</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会计机构负责人：尹亚楠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36"/>
      <w:bookmarkEnd w:id="13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528,337,632.55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468,590,670.65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15,921,161.85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40,845,109.27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34,562,757.73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7,584,353.56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20,901,913.88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37,444,638.80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29,321,046.90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381,156,386.59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360,940,936.22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107,536,525.87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135,338,705.41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1,114,752,246.64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1,065,577,192.64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945,879,851.11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123,975,160.80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64,900,412.29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73,756,767.00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70,383,139.96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41,136,461.40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38,665,791.24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59,128,183.32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1,406,799.84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2,033,354.29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6,554,948.88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6,502,585.04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2,455,334.25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1,130,246,277.57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306,532,511.85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2,244,998,524.21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1,372,109,704.49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95,418,170.72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104,173,363.80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252,504,783.03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193,961,283.90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6,083,497.46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6,807,475.27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2,336,651.55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1,254,780.97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106,086,563.21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24,715,651.48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474,489,665.97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381,695,755.42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32,242,266.66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40,532,033.33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270,682,266.66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278,492,033.33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745,171,932.63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660,187,788.75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158,489,551.00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104,696,301.00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997,591,931.83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324,825,883.52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36,820,311.71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29,952,899.85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306,924,797.04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252,446,831.37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1,499,826,591.58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711,921,915.74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2,244,998,524.21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1,372,109,704.49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37"/>
      <w:bookmarkEnd w:id="13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1,098,367,226.38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1,022,822,674.03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1,098,367,226.38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1,022,822,674.03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1,045,765,117.81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995,295,354.11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61.519958pt;width:157.7pt;height:19.650pt;mso-position-horizontal-relative:page;mso-position-vertical-relative:page;z-index:-1003216" coordorigin="4245,11230" coordsize="3154,393">
            <v:shape style="position:absolute;left:4245;top:11230;width:3154;height:393" coordorigin="4245,11230" coordsize="3154,393" path="m4245,11623l7399,11623,7399,11230,4245,11230,4245,1162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9" w:right="0"/>
              <w:jc w:val="left"/>
              <w:rPr>
                <w:rFonts w:ascii="Times New Roman" w:hAnsi="Times New Roman" w:cs="Times New Roman" w:eastAsia="Times New Roman" w:hint="default"/>
                <w:sz w:val="18"/>
                <w:szCs w:val="18"/>
              </w:rPr>
            </w:pPr>
            <w:r>
              <w:rPr>
                <w:rFonts w:ascii="Times New Roman"/>
                <w:sz w:val="18"/>
              </w:rPr>
              <w:t>831,234,411.64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755,401,977.94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3,305,056.89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3,116,003.19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24,619,642.82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40,383,429.56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169,933,498.61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180,114,157.44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16,924,047.07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16,410,063.72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-130,277.74</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4,698,868.72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974,371.91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1,774,481.65</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57,300,977.29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28,501,691.83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27,611,158.54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35,814,571.23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73,196.24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331,053.03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223,947.90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318,265.88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162,619.40</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84,581,082.80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64,092,315.16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5,705,685.49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7,969,671.92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78,875,397.31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56,122,643.24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77,702,908.86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56,021,607.58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1,172,488.45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101,035.66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-291.17</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718.39</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591.62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591.62</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305.99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591.62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-597.16</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126.77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78,875,106.14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56,123,361.63</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77,703,214.85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56,022,199.20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1,171,891.29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101,162.43</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法定代表人：朱烨东</w:t>
        <w:tab/>
        <w:t>主管会计工作负责人：赵学荣</w:t>
        <w:tab/>
        <w:t>会计机构负责人：尹亚楠</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38"/>
      <w:bookmarkEnd w:id="13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969,255,302.71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903,810,767.90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734,775,051.12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650,348,140.42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3,007,952.76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2,814,533.27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23,404,836.33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36,983,301.42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140,335,978.38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149,071,301.66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18,258,085.11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16,997,788.20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2,148,994.77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-168,795.82</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4,400,666.94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1,277,884.74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1,178,821.65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420,750.23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51,725,071.18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49,042,383.49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22,236,798.39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32,550,930.47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73,196.24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322,409.22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213,277.52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317,021.07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151,949.02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73,639,460.35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81,380,036.44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4,965,341.75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7,679,749.87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68,674,118.60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73,700,286.57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68,674,118.60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73,700,286.57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39"/>
      <w:bookmarkEnd w:id="13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1,422,888,423.89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1,245,418,515.63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14,457,215.09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24,887,274.53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145,605,369.89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250,936,724.35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1,582,951,008.87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1,521,242,514.51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1,050,985,404.22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975,016,009.33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89,278,868.66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111,086,033.03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31,361,550.64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48,691,006.22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168,904,773.05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236,482,656.70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1,340,530,596.57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1,371,275,705.28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242,420,412.30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149,966,809.23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3,221,645.29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974,371.91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2,411,240.00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380,538.45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533,338.15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501,266,223.44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229,354,910.36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54,220,725.81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75,347,886.13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517,100,000.00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228,749,997.09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800,070,722.90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397,947,886.13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-298,804,499.46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-168,592,975.77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266,179,986.56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80,499,344.98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981,613.06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2,244,279.27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327,161,599.62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332,763,624.25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169,239,009.98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25,836,907.36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16,530,772.17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其中：子公司支付给少数股东的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3,702,765.99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3,712,240.00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119,539,673.35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189,482,022.15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207,621,926.27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143,281,602.10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-128.66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641.82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151,237,710.45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124,656,077.38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526,342,128.37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401,686,050.99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677,579,838.82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526,342,128.37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40"/>
      <w:bookmarkEnd w:id="14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1,207,353,673.51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1,101,642,487.76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9,483,833.11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22,778,633.77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135,346,025.53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292,076,678.15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1,352,183,532.15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1,416,497,799.68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884,712,929.05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815,572,703.21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80,630,006.08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93,473,399.34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22,822,267.39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46,617,150.71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177,583,036.76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300,701,921.67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1,165,748,239.28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1,256,365,174.93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186,435,292.87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160,132,624.75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3,607,976.63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857,134.51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2,410,940.00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373,485.57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501,426,916.63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179,230,620.08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购建固定资产、无形资产和其他</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49,557,876.81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56,199,604.13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769,320,000.00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818,877,876.81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337,879,604.13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-317,450,960.18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-158,648,984.05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248,999,986.56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80,499,344.98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981,613.06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2,244,279.27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309,981,599.62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320,343,624.25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169,239,009.98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25,836,907.36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16,530,772.17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3,702,765.99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3,712,240.00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119,539,673.35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189,482,022.15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190,441,926.27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130,861,602.10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59,426,258.96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132,345,242.80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454,691,581.63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322,346,338.83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514,117,840.59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454,691,581.63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41"/>
      <w:bookmarkEnd w:id="14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50"/>
        <w:gridCol w:w="551"/>
        <w:gridCol w:w="530"/>
        <w:gridCol w:w="532"/>
        <w:gridCol w:w="530"/>
        <w:gridCol w:w="665"/>
        <w:gridCol w:w="665"/>
        <w:gridCol w:w="665"/>
        <w:gridCol w:w="665"/>
        <w:gridCol w:w="664"/>
        <w:gridCol w:w="666"/>
        <w:gridCol w:w="665"/>
        <w:gridCol w:w="665"/>
        <w:gridCol w:w="659"/>
      </w:tblGrid>
      <w:tr>
        <w:trPr>
          <w:trHeight w:val="402" w:hRule="exact"/>
        </w:trPr>
        <w:tc>
          <w:tcPr>
            <w:tcW w:w="1450"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50" w:type="dxa"/>
            <w:vMerge/>
            <w:tcBorders>
              <w:left w:val="single" w:sz="4" w:space="0" w:color="000000"/>
              <w:right w:val="single" w:sz="4" w:space="0" w:color="000000"/>
            </w:tcBorders>
            <w:shd w:val="clear" w:color="auto" w:fill="D2D2D2"/>
          </w:tcPr>
          <w:p>
            <w:pPr/>
          </w:p>
        </w:tc>
        <w:tc>
          <w:tcPr>
            <w:tcW w:w="679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6798"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50"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50"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4"/>
              <w:ind w:left="61" w:right="0"/>
              <w:jc w:val="left"/>
              <w:rPr>
                <w:rFonts w:ascii="Times New Roman" w:hAnsi="Times New Roman" w:cs="Times New Roman" w:eastAsia="Times New Roman" w:hint="default"/>
                <w:sz w:val="18"/>
                <w:szCs w:val="18"/>
              </w:rPr>
            </w:pPr>
            <w:r>
              <w:rPr>
                <w:rFonts w:ascii="Times New Roman"/>
                <w:sz w:val="18"/>
              </w:rPr>
              <w:t>6,301.</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324,857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,209.72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591.62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824.83</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244,709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,200.13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5,777,2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09.31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709,951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,336.61</w:t>
            </w:r>
          </w:p>
        </w:tc>
      </w:tr>
      <w:tr>
        <w:trPr>
          <w:trHeight w:val="392" w:hRule="exact"/>
        </w:trPr>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6,301.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324,857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,209.72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824.83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244,709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,200.13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5,777,2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09.31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709,951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,336.61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672,766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,048.31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63,506,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755.93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-2,108,3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84.95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794,825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,387.14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77,702,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908.86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1,171,8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91.29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78,875,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106.14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693,705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-3,280,2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723,279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,022.07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693,705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,308.31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17,180,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743,739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,298.31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-20,460,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276.24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-20,460,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276.24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-14,196,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152.93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41.07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09" w:right="0"/>
              <w:jc w:val="center"/>
              <w:rPr>
                <w:rFonts w:ascii="Times New Roman" w:hAnsi="Times New Roman" w:cs="Times New Roman" w:eastAsia="Times New Roman" w:hint="default"/>
                <w:sz w:val="18"/>
                <w:szCs w:val="18"/>
              </w:rPr>
            </w:pPr>
            <w:r>
              <w:rPr>
                <w:rFonts w:ascii="Times New Roman"/>
                <w:sz w:val="18"/>
              </w:rPr>
              <w:t>11.86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11.86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-7,328,7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41.07</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-20,939,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158,48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9,551.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997,623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,258.03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897.61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36,778,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236.69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308,215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,956.06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3,668,8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1,504,7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76,723.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359,755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,976.72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871.20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206,485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,176.26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256,046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658,877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,605.06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359,755</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,976.72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22,582,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871.20</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206,485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,176.26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256,046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.88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658,877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,605.06</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,767.0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591.62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7,327,9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53.63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38,224,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023.87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5,521,1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62.43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51,073,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731.55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56,021,</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607.58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101,162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56,123,</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361.63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5,420,0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5,420,0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5,420,0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5,420,0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7,327,9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53.63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-17,797,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583.71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630.08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7,327,9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53.63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-7,327,9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53.63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630.08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630.08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-34,898,</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767.00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104,69</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7" w:right="0"/>
              <w:jc w:val="left"/>
              <w:rPr>
                <w:rFonts w:ascii="Times New Roman" w:hAnsi="Times New Roman" w:cs="Times New Roman" w:eastAsia="Times New Roman" w:hint="default"/>
                <w:sz w:val="18"/>
                <w:szCs w:val="18"/>
              </w:rPr>
            </w:pPr>
            <w:r>
              <w:rPr>
                <w:rFonts w:ascii="Times New Roman"/>
                <w:sz w:val="18"/>
              </w:rPr>
              <w:t>324,857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29,910,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244,709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5,777,2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0" w:right="0"/>
              <w:jc w:val="left"/>
              <w:rPr>
                <w:rFonts w:ascii="Times New Roman" w:hAnsi="Times New Roman" w:cs="Times New Roman" w:eastAsia="Times New Roman" w:hint="default"/>
                <w:sz w:val="18"/>
                <w:szCs w:val="18"/>
              </w:rPr>
            </w:pPr>
            <w:r>
              <w:rPr>
                <w:rFonts w:ascii="Times New Roman"/>
                <w:sz w:val="18"/>
              </w:rPr>
              <w:t>709,951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61"/>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6,301.</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Times New Roman" w:hAnsi="Times New Roman" w:cs="Times New Roman" w:eastAsia="Times New Roman" w:hint="default"/>
                <w:sz w:val="18"/>
                <w:szCs w:val="18"/>
              </w:rPr>
            </w:pPr>
            <w:r>
              <w:rPr>
                <w:rFonts w:ascii="Times New Roman"/>
                <w:sz w:val="18"/>
              </w:rPr>
              <w:t>,209.72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824.83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Times New Roman" w:hAnsi="Times New Roman" w:cs="Times New Roman" w:eastAsia="Times New Roman" w:hint="default"/>
                <w:sz w:val="18"/>
                <w:szCs w:val="18"/>
              </w:rPr>
            </w:pPr>
            <w:r>
              <w:rPr>
                <w:rFonts w:ascii="Times New Roman"/>
                <w:sz w:val="18"/>
              </w:rPr>
              <w:t>,200.13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09.31</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Times New Roman" w:hAnsi="Times New Roman" w:cs="Times New Roman" w:eastAsia="Times New Roman" w:hint="default"/>
                <w:sz w:val="18"/>
                <w:szCs w:val="18"/>
              </w:rPr>
            </w:pPr>
            <w:r>
              <w:rPr>
                <w:rFonts w:ascii="Times New Roman"/>
                <w:sz w:val="18"/>
              </w:rPr>
              <w:t>,336.61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42"/>
      <w:bookmarkEnd w:id="14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324,825,8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83.52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29,952,89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252,446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,831.37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34" w:right="0"/>
              <w:jc w:val="left"/>
              <w:rPr>
                <w:rFonts w:ascii="Times New Roman" w:hAnsi="Times New Roman" w:cs="Times New Roman" w:eastAsia="Times New Roman" w:hint="default"/>
                <w:sz w:val="18"/>
                <w:szCs w:val="18"/>
              </w:rPr>
            </w:pPr>
            <w:r>
              <w:rPr>
                <w:rFonts w:ascii="Times New Roman"/>
                <w:sz w:val="18"/>
              </w:rPr>
              <w:t>711,921,9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15.74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301.00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324,825,8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83.52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29,952,89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252,446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,831.37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711,921,9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15.74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53,793,2</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672,766,0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6,867,411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54,477,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965.67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787,904,6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75.84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118.60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68,674,11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32,853,9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693,705,3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726,559,2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98.31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32,853,9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693,705,3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08.31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726,559,2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98.31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-14,196,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152.93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-7,328,74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1.07</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6,867,411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-6,867,4</w:t>
            </w:r>
          </w:p>
          <w:p>
            <w:pPr>
              <w:pStyle w:val="TableParagraph"/>
              <w:spacing w:line="240" w:lineRule="auto" w:before="105"/>
              <w:ind w:left="244" w:right="0"/>
              <w:jc w:val="left"/>
              <w:rPr>
                <w:rFonts w:ascii="Times New Roman" w:hAnsi="Times New Roman" w:cs="Times New Roman" w:eastAsia="Times New Roman" w:hint="default"/>
                <w:sz w:val="18"/>
                <w:szCs w:val="18"/>
              </w:rPr>
            </w:pPr>
            <w:r>
              <w:rPr>
                <w:rFonts w:ascii="Times New Roman"/>
                <w:sz w:val="18"/>
              </w:rPr>
              <w:t>11.86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-7,328,7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7" w:right="0"/>
              <w:jc w:val="left"/>
              <w:rPr>
                <w:rFonts w:ascii="Times New Roman" w:hAnsi="Times New Roman" w:cs="Times New Roman" w:eastAsia="Times New Roman" w:hint="default"/>
                <w:sz w:val="18"/>
                <w:szCs w:val="18"/>
              </w:rPr>
            </w:pPr>
            <w:r>
              <w:rPr>
                <w:rFonts w:ascii="Times New Roman"/>
                <w:sz w:val="18"/>
              </w:rPr>
              <w:t>-7,328,74</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8" w:right="0"/>
              <w:jc w:val="left"/>
              <w:rPr>
                <w:rFonts w:ascii="Times New Roman" w:hAnsi="Times New Roman" w:cs="Times New Roman" w:eastAsia="Times New Roman" w:hint="default"/>
                <w:sz w:val="18"/>
                <w:szCs w:val="18"/>
              </w:rPr>
            </w:pPr>
            <w:r>
              <w:rPr>
                <w:rFonts w:ascii="Times New Roman"/>
                <w:sz w:val="18"/>
              </w:rPr>
              <w:t>41.07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-20,939,2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158,489,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551.00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997,591,9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31.83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36,820,31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306,924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,797.04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1,499,826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,591.58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69,797,5</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34.00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359,724,6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50.52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22,582,87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1.20</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196,586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,203.53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648,691,2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59.25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69,797,5</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34.00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359,724,6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50.52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22,582,87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1.20</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196,586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,203.53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648,691,2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59.25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34,898,7</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-34,898,7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7,370,028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55,860,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627.84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63,230,65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6.49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73,700,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286.57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73,700,28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（二）所有者投入</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3"/>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-17,839,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658.73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30.08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7,370,028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-7,370,0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28.65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-10,469,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630.08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30.08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34,898,7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-34,898,7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34,898,7</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-34,898,7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324,825,8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83.52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29,952,89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252,446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,831.37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711,921,9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15.74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43"/>
      <w:bookmarkEnd w:id="143"/>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027" w:firstLine="423"/>
        <w:jc w:val="both"/>
      </w:pPr>
      <w:r>
        <w:rPr/>
        <w:t>北京中科金财科技股份有限公司（以下简称“公司”或“本公司”）系于</w:t>
      </w:r>
      <w:r>
        <w:rPr>
          <w:rFonts w:ascii="宋体" w:hAnsi="宋体" w:cs="宋体" w:eastAsia="宋体" w:hint="default"/>
        </w:rPr>
        <w:t>2007</w:t>
      </w:r>
      <w:r>
        <w:rPr/>
        <w:t>年</w:t>
      </w:r>
      <w:r>
        <w:rPr>
          <w:rFonts w:ascii="宋体" w:hAnsi="宋体" w:cs="宋体" w:eastAsia="宋体" w:hint="default"/>
        </w:rPr>
        <w:t>7</w:t>
      </w:r>
      <w:r>
        <w:rPr/>
        <w:t>月</w:t>
      </w:r>
      <w:r>
        <w:rPr>
          <w:rFonts w:ascii="宋体" w:hAnsi="宋体" w:cs="宋体" w:eastAsia="宋体" w:hint="default"/>
        </w:rPr>
        <w:t>26</w:t>
      </w:r>
      <w:r>
        <w:rPr/>
        <w:t>日经北京市工 商行政管理局批准，由北京中科金财科技有限公司整体改制的股份有限公司。公司的企业法人营业执照注 册号：</w:t>
      </w:r>
      <w:r>
        <w:rPr>
          <w:rFonts w:ascii="宋体" w:hAnsi="宋体" w:cs="宋体" w:eastAsia="宋体" w:hint="default"/>
        </w:rPr>
        <w:t>110108006333023</w:t>
      </w:r>
      <w:r>
        <w:rPr/>
        <w:t>。</w:t>
      </w:r>
      <w:r>
        <w:rPr>
          <w:spacing w:val="-25"/>
        </w:rPr>
        <w:t> </w:t>
      </w:r>
      <w:r>
        <w:rPr>
          <w:rFonts w:ascii="宋体" w:hAnsi="宋体" w:cs="宋体" w:eastAsia="宋体" w:hint="default"/>
        </w:rPr>
        <w:t>2012</w:t>
      </w:r>
      <w:r>
        <w:rPr/>
        <w:t>年</w:t>
      </w:r>
      <w:r>
        <w:rPr>
          <w:rFonts w:ascii="宋体" w:hAnsi="宋体" w:cs="宋体" w:eastAsia="宋体" w:hint="default"/>
        </w:rPr>
        <w:t>2</w:t>
      </w:r>
      <w:r>
        <w:rPr/>
        <w:t>月在深圳证券交易所上市，所属行业为电子类软件和信息技术服务业。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3"/>
        <w:jc w:val="both"/>
      </w:pPr>
      <w:r>
        <w:rPr>
          <w:spacing w:val="-1"/>
        </w:rPr>
        <w:t>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日，本公司累计发行股本总数</w:t>
      </w:r>
      <w:r>
        <w:rPr>
          <w:rFonts w:ascii="宋体" w:hAnsi="宋体" w:cs="宋体" w:eastAsia="宋体" w:hint="default"/>
          <w:spacing w:val="-1"/>
        </w:rPr>
        <w:t>158,489,551</w:t>
      </w:r>
      <w:r>
        <w:rPr>
          <w:spacing w:val="-1"/>
        </w:rPr>
        <w:t>股，注册资本为</w:t>
      </w:r>
      <w:r>
        <w:rPr>
          <w:rFonts w:ascii="宋体" w:hAnsi="宋体" w:cs="宋体" w:eastAsia="宋体" w:hint="default"/>
          <w:spacing w:val="-1"/>
        </w:rPr>
        <w:t>125,635,561</w:t>
      </w:r>
      <w:r>
        <w:rPr>
          <w:spacing w:val="-1"/>
        </w:rPr>
        <w:t>元（工商变</w:t>
      </w:r>
      <w:r>
        <w:rPr/>
        <w:t> 更登记手续正在办理过程中）。注册地</w:t>
      </w:r>
      <w:r>
        <w:rPr>
          <w:rFonts w:ascii="宋体" w:hAnsi="宋体" w:cs="宋体" w:eastAsia="宋体" w:hint="default"/>
        </w:rPr>
        <w:t>:</w:t>
      </w:r>
      <w:r>
        <w:rPr>
          <w:rFonts w:ascii="宋体" w:hAnsi="宋体" w:cs="宋体" w:eastAsia="宋体" w:hint="default"/>
          <w:spacing w:val="32"/>
        </w:rPr>
        <w:t> </w:t>
      </w:r>
      <w:r>
        <w:rPr/>
        <w:t>北京市海淀区学院路</w:t>
      </w:r>
      <w:r>
        <w:rPr>
          <w:spacing w:val="39"/>
        </w:rPr>
        <w:t> </w:t>
      </w:r>
      <w:r>
        <w:rPr>
          <w:rFonts w:ascii="宋体" w:hAnsi="宋体" w:cs="宋体" w:eastAsia="宋体" w:hint="default"/>
        </w:rPr>
        <w:t>39</w:t>
      </w:r>
      <w:r>
        <w:rPr/>
        <w:t>号唯实大厦</w:t>
      </w:r>
      <w:r>
        <w:rPr>
          <w:rFonts w:ascii="宋体" w:hAnsi="宋体" w:cs="宋体" w:eastAsia="宋体" w:hint="default"/>
        </w:rPr>
        <w:t>1006</w:t>
      </w:r>
      <w:r>
        <w:rPr/>
        <w:t>室，总部地址：北京市</w:t>
      </w:r>
      <w:r>
        <w:rPr>
          <w:spacing w:val="-101"/>
        </w:rPr>
        <w:t> </w:t>
      </w:r>
      <w:r>
        <w:rPr>
          <w:spacing w:val="-101"/>
        </w:rPr>
      </w:r>
      <w:r>
        <w:rPr/>
        <w:t>海淀区学院路</w:t>
      </w:r>
      <w:r>
        <w:rPr>
          <w:rFonts w:ascii="宋体" w:hAnsi="宋体" w:cs="宋体" w:eastAsia="宋体" w:hint="default"/>
        </w:rPr>
        <w:t>39</w:t>
      </w:r>
      <w:r>
        <w:rPr/>
        <w:t>号唯实大厦</w:t>
      </w:r>
      <w:r>
        <w:rPr>
          <w:rFonts w:ascii="宋体" w:hAnsi="宋体" w:cs="宋体" w:eastAsia="宋体" w:hint="default"/>
        </w:rPr>
        <w:t>10</w:t>
      </w:r>
      <w:r>
        <w:rPr/>
        <w:t>层</w:t>
      </w:r>
      <w:r>
        <w:rPr>
          <w:spacing w:val="64"/>
        </w:rPr>
        <w:t> </w:t>
      </w:r>
      <w:r>
        <w:rPr/>
        <w:t>。本公司主要经营活动为：计算机软件技术开发；计算机系统集成及服</w:t>
      </w:r>
      <w:r>
        <w:rPr>
          <w:spacing w:val="-96"/>
        </w:rPr>
        <w:t> </w:t>
      </w:r>
      <w:r>
        <w:rPr>
          <w:spacing w:val="-96"/>
        </w:rPr>
      </w:r>
      <w:r>
        <w:rPr>
          <w:spacing w:val="-1"/>
        </w:rPr>
        <w:t>务；销售计算机及外部设备、电子产品；货物进出口、技术进出口、代理进出口；专业承包；计算机技术</w:t>
      </w:r>
      <w:r>
        <w:rPr>
          <w:spacing w:val="-85"/>
        </w:rPr>
        <w:t> </w:t>
      </w:r>
      <w:r>
        <w:rPr>
          <w:spacing w:val="-85"/>
        </w:rPr>
      </w:r>
      <w:r>
        <w:rPr/>
        <w:t>培训；技术咨询；建筑智能化工程设计与施工（工程设计资质证书有效期至</w:t>
      </w:r>
      <w:r>
        <w:rPr>
          <w:rFonts w:ascii="宋体" w:hAnsi="宋体" w:cs="宋体" w:eastAsia="宋体" w:hint="default"/>
        </w:rPr>
        <w:t>2015 </w:t>
      </w:r>
      <w:r>
        <w:rPr/>
        <w:t>年 </w:t>
      </w:r>
      <w:r>
        <w:rPr>
          <w:rFonts w:ascii="宋体" w:hAnsi="宋体" w:cs="宋体" w:eastAsia="宋体" w:hint="default"/>
        </w:rPr>
        <w:t>11 </w:t>
      </w:r>
      <w:r>
        <w:rPr/>
        <w:t>月 </w:t>
      </w:r>
      <w:r>
        <w:rPr>
          <w:rFonts w:ascii="宋体" w:hAnsi="宋体" w:cs="宋体" w:eastAsia="宋体" w:hint="default"/>
        </w:rPr>
        <w:t>22</w:t>
      </w:r>
      <w:r>
        <w:rPr>
          <w:rFonts w:ascii="宋体" w:hAnsi="宋体" w:cs="宋体" w:eastAsia="宋体" w:hint="default"/>
          <w:spacing w:val="76"/>
        </w:rPr>
        <w:t> </w:t>
      </w:r>
      <w:r>
        <w:rPr/>
        <w:t>日）。本 公司的实际控制人为沈飒、朱烨东夫妇。</w:t>
      </w:r>
    </w:p>
    <w:p>
      <w:pPr>
        <w:spacing w:line="240" w:lineRule="auto" w:before="5"/>
        <w:rPr>
          <w:rFonts w:ascii="宋体" w:hAnsi="宋体" w:cs="宋体" w:eastAsia="宋体" w:hint="default"/>
          <w:sz w:val="21"/>
          <w:szCs w:val="21"/>
        </w:rPr>
      </w:pPr>
    </w:p>
    <w:p>
      <w:pPr>
        <w:pStyle w:val="BodyText"/>
        <w:spacing w:line="240" w:lineRule="auto" w:before="0"/>
        <w:ind w:left="871"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47" w:hRule="exact"/>
        </w:trPr>
        <w:tc>
          <w:tcPr>
            <w:tcW w:w="7771"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47" w:hRule="exact"/>
        </w:trPr>
        <w:tc>
          <w:tcPr>
            <w:tcW w:w="7771"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天津滨河创新科技有限公司</w:t>
            </w:r>
          </w:p>
        </w:tc>
      </w:tr>
      <w:tr>
        <w:trPr>
          <w:trHeight w:val="347" w:hRule="exact"/>
        </w:trPr>
        <w:tc>
          <w:tcPr>
            <w:tcW w:w="7771"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北京中科金财电子商务有限公司</w:t>
            </w:r>
          </w:p>
        </w:tc>
      </w:tr>
      <w:tr>
        <w:trPr>
          <w:trHeight w:val="348" w:hRule="exact"/>
        </w:trPr>
        <w:tc>
          <w:tcPr>
            <w:tcW w:w="7771"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北京中科金财信息技术有限公司</w:t>
            </w:r>
          </w:p>
        </w:tc>
      </w:tr>
      <w:tr>
        <w:trPr>
          <w:trHeight w:val="347" w:hRule="exact"/>
        </w:trPr>
        <w:tc>
          <w:tcPr>
            <w:tcW w:w="7771" w:type="dxa"/>
            <w:tcBorders>
              <w:top w:val="single" w:sz="6" w:space="0" w:color="000000"/>
              <w:left w:val="nil" w:sz="6" w:space="0" w:color="auto"/>
              <w:bottom w:val="single" w:sz="6" w:space="0" w:color="000000"/>
              <w:right w:val="nil" w:sz="6" w:space="0" w:color="auto"/>
            </w:tcBorders>
          </w:tcPr>
          <w:p>
            <w:pPr>
              <w:pStyle w:val="TableParagraph"/>
              <w:spacing w:line="270"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北京中科金财软件技术有限公司</w:t>
            </w:r>
          </w:p>
        </w:tc>
      </w:tr>
      <w:tr>
        <w:trPr>
          <w:trHeight w:val="347" w:hRule="exact"/>
        </w:trPr>
        <w:tc>
          <w:tcPr>
            <w:tcW w:w="7771"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北京中科金财投资管理有限公司</w:t>
            </w:r>
          </w:p>
        </w:tc>
      </w:tr>
    </w:tbl>
    <w:p>
      <w:pPr>
        <w:pStyle w:val="BodyText"/>
        <w:spacing w:line="260" w:lineRule="exact" w:before="0"/>
        <w:ind w:left="742" w:right="0"/>
        <w:jc w:val="left"/>
      </w:pPr>
      <w:r>
        <w:rPr/>
        <w:t>本期合并财务报表范围及其变化情况详见本附注八、合并范围的变更。</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四、财务报表的编制基础" w:id="144"/>
      <w:bookmarkEnd w:id="144"/>
      <w:r>
        <w:rPr>
          <w:b w:val="0"/>
          <w:bCs w:val="0"/>
        </w:rPr>
      </w:r>
      <w:r>
        <w:rPr/>
        <w:t>四、财务报表的编制基础</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45"/>
      <w:bookmarkEnd w:id="14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7" w:firstLine="423"/>
        <w:jc w:val="left"/>
      </w:pPr>
      <w:r>
        <w:rPr>
          <w:spacing w:val="-1"/>
        </w:rPr>
        <w:t>公司以持续经营为基础，根据实际发生的交易和事项，按照财政部颁布的《企业会计准则——基本准</w:t>
      </w:r>
      <w:r>
        <w:rPr/>
        <w:t> 则》和各项具体会计准则、企业会计准则应用指南、企业会计准则解释及其他相关规定</w:t>
      </w:r>
      <w:r>
        <w:rPr>
          <w:rFonts w:ascii="宋体" w:hAnsi="宋体" w:cs="宋体" w:eastAsia="宋体" w:hint="default"/>
        </w:rPr>
        <w:t>(</w:t>
      </w:r>
      <w:r>
        <w:rPr/>
        <w:t>以下合称“企业 会计准则”</w:t>
      </w:r>
      <w:r>
        <w:rPr>
          <w:rFonts w:ascii="宋体" w:hAnsi="宋体" w:cs="宋体" w:eastAsia="宋体" w:hint="default"/>
        </w:rPr>
        <w:t>)</w:t>
      </w:r>
      <w:r>
        <w:rPr/>
        <w:t>、以及中国证券监督管理委员会《公开发行证券的公司信息披露编报规则第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24"/>
        </w:rPr>
        <w:t> </w:t>
      </w:r>
      <w:r>
        <w:rPr/>
        <w:t>号——财务报 告的一般规定》的披露规定编制财务报表。</w:t>
      </w:r>
    </w:p>
    <w:p>
      <w:pPr>
        <w:spacing w:line="240" w:lineRule="auto" w:before="8"/>
        <w:rPr>
          <w:rFonts w:ascii="宋体" w:hAnsi="宋体" w:cs="宋体" w:eastAsia="宋体" w:hint="default"/>
          <w:sz w:val="20"/>
          <w:szCs w:val="20"/>
        </w:rPr>
      </w:pPr>
    </w:p>
    <w:p>
      <w:pPr>
        <w:spacing w:line="496" w:lineRule="auto" w:before="0"/>
        <w:ind w:left="153" w:right="1933" w:firstLine="0"/>
        <w:jc w:val="left"/>
        <w:rPr>
          <w:rFonts w:ascii="宋体" w:hAnsi="宋体" w:cs="宋体" w:eastAsia="宋体" w:hint="default"/>
          <w:sz w:val="24"/>
          <w:szCs w:val="24"/>
        </w:rPr>
      </w:pPr>
      <w:bookmarkStart w:name="2、持续经营"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公司自报告期末起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个月的持续经营能力强，不存在导致对持续经营能力产生重大怀疑的因素。 </w:t>
      </w:r>
      <w:bookmarkStart w:name="五、重要会计政策及会计估计" w:id="147"/>
      <w:bookmarkEnd w:id="147"/>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Heading3"/>
        <w:spacing w:line="240" w:lineRule="auto" w:before="65"/>
        <w:ind w:left="153" w:right="0"/>
        <w:jc w:val="left"/>
        <w:rPr>
          <w:b w:val="0"/>
          <w:bCs w:val="0"/>
        </w:rPr>
      </w:pPr>
      <w:bookmarkStart w:name="1、遵循企业会计准则的声明" w:id="148"/>
      <w:bookmarkEnd w:id="14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0" w:firstLine="420"/>
        <w:jc w:val="left"/>
      </w:pPr>
      <w:r>
        <w:rPr>
          <w:spacing w:val="-1"/>
        </w:rPr>
        <w:t>公司所编制的财务报表符合企业会计准则的要求，真实、完整地反映了报告期公司的财务状况、经营</w:t>
      </w:r>
      <w:r>
        <w:rPr/>
        <w:t> 成果、现金流量等有关信息。</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20" w:lineRule="auto" w:before="35"/>
        <w:ind w:left="153" w:right="6553" w:firstLine="0"/>
        <w:jc w:val="left"/>
        <w:rPr>
          <w:rFonts w:ascii="宋体" w:hAnsi="宋体" w:cs="宋体" w:eastAsia="宋体" w:hint="default"/>
          <w:sz w:val="21"/>
          <w:szCs w:val="21"/>
        </w:rPr>
      </w:pPr>
      <w:bookmarkStart w:name="2、会计期间" w:id="149"/>
      <w:bookmarkEnd w:id="1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日止为一个会计年度。 </w:t>
      </w:r>
      <w:bookmarkStart w:name="3、营业周期" w:id="150"/>
      <w:bookmarkEnd w:id="150"/>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06" w:lineRule="auto" w:before="49"/>
        <w:ind w:left="154" w:right="8232" w:firstLine="0"/>
        <w:jc w:val="left"/>
        <w:rPr>
          <w:rFonts w:ascii="宋体" w:hAnsi="宋体" w:cs="宋体" w:eastAsia="宋体" w:hint="default"/>
          <w:sz w:val="21"/>
          <w:szCs w:val="21"/>
        </w:rPr>
      </w:pP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bookmarkStart w:name="4、记账本位币" w:id="151"/>
      <w:bookmarkEnd w:id="151"/>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3"/>
        <w:spacing w:line="240" w:lineRule="auto" w:before="105"/>
        <w:ind w:right="0"/>
        <w:jc w:val="left"/>
        <w:rPr>
          <w:b w:val="0"/>
          <w:bCs w:val="0"/>
        </w:rPr>
      </w:pPr>
      <w:bookmarkStart w:name="5、同一控制下和非同一控制下企业合并的会计处理方法" w:id="152"/>
      <w:bookmarkEnd w:id="15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1" w:firstLine="423"/>
        <w:jc w:val="both"/>
      </w:pPr>
      <w:r>
        <w:rPr>
          <w:spacing w:val="-6"/>
        </w:rPr>
        <w:t>同一控制下企业合并：本公司在企业合并中取得的资产和负债，按照合并日在被合并方资产、负债（包</w:t>
      </w:r>
      <w:r>
        <w:rPr/>
        <w:t> </w:t>
      </w: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408" w:lineRule="auto"/>
        <w:ind w:left="154" w:right="1131" w:firstLine="423"/>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2"/>
        </w:rPr>
        <w:t> </w:t>
      </w:r>
      <w:r>
        <w:rPr>
          <w:spacing w:val="-82"/>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408" w:lineRule="auto"/>
        <w:ind w:left="154" w:right="1133" w:firstLine="423"/>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6、合并财务报表的编制方法" w:id="153"/>
      <w:bookmarkEnd w:id="15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6" w:right="0"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ind w:right="0"/>
        <w:jc w:val="left"/>
      </w:pPr>
      <w:r>
        <w:rPr/>
        <w:t>割的部分）均纳入合并财务报表。</w:t>
      </w:r>
    </w:p>
    <w:p>
      <w:pPr>
        <w:spacing w:line="240" w:lineRule="auto" w:before="10"/>
        <w:rPr>
          <w:rFonts w:ascii="宋体" w:hAnsi="宋体" w:cs="宋体" w:eastAsia="宋体" w:hint="default"/>
          <w:sz w:val="14"/>
          <w:szCs w:val="14"/>
        </w:rPr>
      </w:pPr>
    </w:p>
    <w:p>
      <w:pPr>
        <w:pStyle w:val="BodyText"/>
        <w:spacing w:line="408" w:lineRule="auto" w:before="0"/>
        <w:ind w:left="576" w:right="0" w:firstLine="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408" w:lineRule="auto"/>
        <w:ind w:right="0"/>
        <w:jc w:val="left"/>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240" w:lineRule="auto"/>
        <w:ind w:left="576" w:right="0"/>
        <w:jc w:val="left"/>
      </w:pPr>
      <w:r>
        <w:rPr/>
        <w:t>所有纳入合并财务报表合并范围的子公司所采用的会计政策、会计期间与本公司一致，如子公司采用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408" w:lineRule="auto"/>
        <w:ind w:right="1131" w:firstLine="422"/>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408" w:lineRule="auto"/>
        <w:ind w:left="576" w:right="0"/>
        <w:jc w:val="left"/>
      </w:pPr>
      <w:r>
        <w:rPr>
          <w:rFonts w:ascii="宋体" w:hAnsi="宋体" w:cs="宋体" w:eastAsia="宋体" w:hint="default"/>
        </w:rPr>
        <w:t>a.</w:t>
      </w:r>
      <w:r>
        <w:rPr/>
        <w:t>增加子公司或业务 </w:t>
      </w:r>
      <w:r>
        <w:rPr>
          <w:spacing w:val="-1"/>
        </w:rPr>
        <w:t>在报告期内，若因同一控制下企业合并增加子公司或业务的，则调整合并资产负债表的期初数；将子</w:t>
      </w:r>
    </w:p>
    <w:p>
      <w:pPr>
        <w:pStyle w:val="BodyText"/>
        <w:spacing w:line="408" w:lineRule="auto"/>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408" w:lineRule="auto"/>
        <w:ind w:right="1130" w:firstLine="422"/>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0"/>
        </w:rPr>
        <w:t> </w:t>
      </w:r>
      <w:r>
        <w:rPr>
          <w:spacing w:val="-80"/>
        </w:rPr>
      </w:r>
      <w:r>
        <w:rPr/>
        <w:t>资产变动，分别冲减比较报表期间的期初留存收益或当期损益。</w:t>
      </w:r>
    </w:p>
    <w:p>
      <w:pPr>
        <w:pStyle w:val="BodyText"/>
        <w:spacing w:line="408" w:lineRule="auto"/>
        <w:ind w:right="1131" w:firstLine="422"/>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408" w:lineRule="auto"/>
        <w:ind w:right="1131" w:firstLine="422"/>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6" w:right="0"/>
        <w:jc w:val="left"/>
      </w:pPr>
      <w:r>
        <w:rPr>
          <w:rFonts w:ascii="宋体" w:hAnsi="宋体" w:cs="宋体" w:eastAsia="宋体" w:hint="default"/>
        </w:rPr>
        <w:t>b.</w:t>
      </w:r>
      <w:r>
        <w:rPr/>
        <w:t>处置子公司或业务</w:t>
      </w:r>
    </w:p>
    <w:p>
      <w:pPr>
        <w:spacing w:line="240" w:lineRule="auto" w:before="10"/>
        <w:rPr>
          <w:rFonts w:ascii="宋体" w:hAnsi="宋体" w:cs="宋体" w:eastAsia="宋体" w:hint="default"/>
          <w:sz w:val="14"/>
          <w:szCs w:val="14"/>
        </w:rPr>
      </w:pPr>
    </w:p>
    <w:p>
      <w:pPr>
        <w:pStyle w:val="BodyText"/>
        <w:spacing w:line="408" w:lineRule="auto" w:before="0"/>
        <w:ind w:left="576" w:right="0"/>
        <w:jc w:val="left"/>
      </w:pPr>
      <w:r>
        <w:rPr/>
        <w:t>①一般处理方法 </w:t>
      </w:r>
      <w:r>
        <w:rPr>
          <w:spacing w:val="-1"/>
        </w:rPr>
        <w:t>在报告期内，本公司处置子公司或业务，则该子公司或业务期初至处置日的收入、费用、利润纳入合</w:t>
      </w:r>
    </w:p>
    <w:p>
      <w:pPr>
        <w:pStyle w:val="BodyText"/>
        <w:spacing w:line="408" w:lineRule="auto"/>
        <w:ind w:left="576" w:right="0" w:hanging="423"/>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240" w:lineRule="auto"/>
        <w:ind w:right="0"/>
        <w:jc w:val="both"/>
      </w:pPr>
      <w:r>
        <w:rPr/>
        <w:t>照其在丧失控制权日的公允价值进行重新计量。处置股权取得的对价与剩余股权公允价值之和，减去按原</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408" w:lineRule="auto"/>
        <w:ind w:left="576" w:right="0"/>
        <w:jc w:val="left"/>
      </w:pPr>
      <w:r>
        <w:rPr/>
        <w:t>②分步处置子公司 </w:t>
      </w:r>
      <w:r>
        <w:rPr>
          <w:spacing w:val="-1"/>
        </w:rPr>
        <w:t>通过多次交易分步处置对子公司股权投资直至丧失控制权的，处置对子公司股权投资的各项交易的条</w:t>
      </w:r>
    </w:p>
    <w:p>
      <w:pPr>
        <w:pStyle w:val="BodyText"/>
        <w:spacing w:line="408" w:lineRule="auto"/>
        <w:ind w:right="113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408" w:lineRule="auto"/>
        <w:ind w:left="576"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408"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408" w:lineRule="auto"/>
        <w:ind w:right="1131" w:firstLine="422"/>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408" w:lineRule="auto"/>
        <w:ind w:left="576" w:right="0"/>
        <w:jc w:val="left"/>
      </w:pPr>
      <w:r>
        <w:rPr>
          <w:rFonts w:ascii="宋体" w:hAnsi="宋体" w:cs="宋体" w:eastAsia="宋体" w:hint="default"/>
        </w:rPr>
        <w:t>c.</w:t>
      </w:r>
      <w:r>
        <w:rPr/>
        <w:t>购买子公司少数股权 </w:t>
      </w:r>
      <w:r>
        <w:rPr>
          <w:spacing w:val="-1"/>
        </w:rPr>
        <w:t>本公司因购买少数股权新取得的长期股权投资与按照新增持股比例计算应享有子公司自购买日（或合</w:t>
      </w:r>
    </w:p>
    <w:p>
      <w:pPr>
        <w:pStyle w:val="BodyText"/>
        <w:spacing w:line="408" w:lineRule="auto"/>
        <w:ind w:right="1130"/>
        <w:jc w:val="both"/>
      </w:pPr>
      <w:r>
        <w:rPr>
          <w:spacing w:val="-1"/>
        </w:rPr>
        <w:t>并日）开始持续计算的净资产份额之间的差额，调整合并资产负债表中的资本公积中的股本溢价，资本公</w:t>
      </w:r>
      <w:r>
        <w:rPr>
          <w:spacing w:val="-82"/>
        </w:rPr>
        <w:t> </w:t>
      </w:r>
      <w:r>
        <w:rPr>
          <w:spacing w:val="-82"/>
        </w:rPr>
      </w:r>
      <w:r>
        <w:rPr/>
        <w:t>积中的股本溢价不足冲减的，调整留存收益。</w:t>
      </w:r>
    </w:p>
    <w:p>
      <w:pPr>
        <w:pStyle w:val="BodyText"/>
        <w:spacing w:line="408" w:lineRule="auto"/>
        <w:ind w:left="576" w:right="0"/>
        <w:jc w:val="left"/>
      </w:pPr>
      <w:r>
        <w:rPr>
          <w:rFonts w:ascii="宋体" w:hAnsi="宋体" w:cs="宋体" w:eastAsia="宋体" w:hint="default"/>
        </w:rPr>
        <w:t>d.</w:t>
      </w:r>
      <w:r>
        <w:rPr/>
        <w:t>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408" w:lineRule="auto"/>
        <w:ind w:right="1132"/>
        <w:jc w:val="both"/>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7、合营安排分类及共同经营会计处理方法" w:id="154"/>
      <w:bookmarkEnd w:id="15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7" w:right="0"/>
        <w:jc w:val="left"/>
      </w:pPr>
      <w:r>
        <w:rPr/>
        <w:t>合营安排分为共同经营和合营企业。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7" w:right="1089"/>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7"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77"/>
        <w:ind w:left="577"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77"/>
        <w:ind w:left="577"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77"/>
        <w:ind w:left="577"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86" w:lineRule="auto" w:before="177"/>
        <w:ind w:left="577" w:right="3294"/>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本公司对合营企业投资的会计政策见本附注五、（十三）长期股权投资</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3"/>
        <w:spacing w:line="240" w:lineRule="auto"/>
        <w:ind w:left="153" w:right="0"/>
        <w:jc w:val="left"/>
        <w:rPr>
          <w:b w:val="0"/>
          <w:bCs w:val="0"/>
        </w:rPr>
      </w:pPr>
      <w:bookmarkStart w:name="8、现金及现金等价物的确定标准" w:id="155"/>
      <w:bookmarkEnd w:id="15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10" w:firstLine="423"/>
        <w:jc w:val="both"/>
      </w:pPr>
      <w:r>
        <w:rPr>
          <w:spacing w:val="-1"/>
        </w:rPr>
        <w:t>在编制现金流量表时，将本公司库存现金以及可以随时用于支付的存款确认为现金。将同时具备期限</w:t>
      </w:r>
      <w:r>
        <w:rPr/>
        <w:t> 短（从购买日起三个月内到期）、流动性强、易于转换为已知现金、价值变动风险很小四个条件的投资， 确定为现金等价物。</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9、外币业务和外币报表折算" w:id="156"/>
      <w:bookmarkEnd w:id="15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386" w:lineRule="auto" w:before="0"/>
        <w:ind w:left="576" w:right="2770" w:firstLine="1"/>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外币业务</w:t>
      </w:r>
      <w:r>
        <w:rPr>
          <w:rFonts w:ascii="宋体" w:hAnsi="宋体" w:cs="宋体" w:eastAsia="宋体" w:hint="default"/>
          <w:b/>
          <w:bCs/>
          <w:spacing w:val="1"/>
          <w:w w:val="99"/>
        </w:rPr>
        <w:t> </w:t>
      </w:r>
      <w:r>
        <w:rPr/>
        <w:t>外币业务采用交易发生日的即期汇率作为折算汇率将外币金额折合成人民币记账。</w:t>
      </w:r>
    </w:p>
    <w:p>
      <w:pPr>
        <w:pStyle w:val="BodyText"/>
        <w:spacing w:line="408" w:lineRule="auto" w:before="65"/>
        <w:ind w:right="1131" w:firstLine="422"/>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386" w:lineRule="auto" w:before="46"/>
        <w:ind w:left="576"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386" w:lineRule="auto" w:before="35"/>
        <w:ind w:right="0"/>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5"/>
        </w:rPr>
        <w:t> </w:t>
      </w:r>
      <w:r>
        <w:rPr>
          <w:spacing w:val="-25"/>
        </w:rPr>
      </w:r>
      <w:r>
        <w:rPr/>
        <w:t>汇率折算，按照上述折算产生的外币财务报表折算差额，在资产负债表所有者权益项目下单独列示。</w:t>
      </w:r>
    </w:p>
    <w:p>
      <w:pPr>
        <w:pStyle w:val="BodyText"/>
        <w:spacing w:line="240" w:lineRule="auto" w:before="65"/>
        <w:ind w:left="576" w:right="0"/>
        <w:jc w:val="left"/>
      </w:pPr>
      <w:r>
        <w:rPr/>
        <w:t>处置境外经营时，将与该境外经营相关的外币财务报表折算差额，自所有者权益项目转入处置当期损</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益。</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bookmarkStart w:name="10、金融工具" w:id="157"/>
      <w:bookmarkEnd w:id="15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7" w:right="0"/>
        <w:jc w:val="left"/>
      </w:pPr>
      <w:r>
        <w:rPr/>
        <w:t>金融工具包括金融资产、金融负债和权益工具。</w:t>
      </w:r>
    </w:p>
    <w:p>
      <w:pPr>
        <w:spacing w:line="240" w:lineRule="auto" w:before="10"/>
        <w:rPr>
          <w:rFonts w:ascii="宋体" w:hAnsi="宋体" w:cs="宋体" w:eastAsia="宋体" w:hint="default"/>
          <w:sz w:val="14"/>
          <w:szCs w:val="14"/>
        </w:rPr>
      </w:pPr>
    </w:p>
    <w:p>
      <w:pPr>
        <w:pStyle w:val="Heading3"/>
        <w:spacing w:line="240" w:lineRule="auto"/>
        <w:ind w:left="580" w:right="0"/>
        <w:jc w:val="left"/>
        <w:rPr>
          <w:b w:val="0"/>
          <w:bCs w:val="0"/>
        </w:rPr>
      </w:pPr>
      <w:r>
        <w:rPr/>
        <w:t>（</w:t>
      </w:r>
      <w:r>
        <w:rPr>
          <w:rFonts w:ascii="宋体" w:hAnsi="宋体" w:cs="宋体" w:eastAsia="宋体" w:hint="default"/>
        </w:rPr>
        <w:t>1</w:t>
      </w:r>
      <w:r>
        <w:rPr/>
        <w:t>）金融工具的分类</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2" w:firstLine="423"/>
        <w:jc w:val="both"/>
      </w:pPr>
      <w:r>
        <w:rPr>
          <w:spacing w:val="-1"/>
        </w:rPr>
        <w:t>金融资产和金融负债于初始确认时分类为：以公允价值计量且其变动计入当期损益的金融资产或金融</w:t>
      </w:r>
      <w:r>
        <w:rPr/>
        <w:t> </w:t>
      </w: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577" w:right="1118"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）金融工具的确认依据和计量方法</w:t>
      </w:r>
      <w:r>
        <w:rPr>
          <w:rFonts w:ascii="宋体" w:hAnsi="宋体" w:cs="宋体" w:eastAsia="宋体" w:hint="default"/>
          <w:b/>
          <w:bCs/>
          <w:w w:val="99"/>
        </w:rPr>
        <w:t> </w:t>
      </w:r>
      <w:r>
        <w:rPr>
          <w:rFonts w:ascii="宋体" w:hAnsi="宋体" w:cs="宋体" w:eastAsia="宋体" w:hint="default"/>
        </w:rPr>
        <w:t>a.</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408" w:lineRule="auto"/>
        <w:ind w:left="577" w:right="1014" w:hanging="424"/>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b.</w:t>
      </w:r>
      <w:r>
        <w:rPr/>
        <w:t>持有至到期投资 </w:t>
      </w:r>
      <w:r>
        <w:rPr>
          <w:spacing w:val="-3"/>
        </w:rPr>
        <w:t>取得时按公允价值（扣除已到付息期但尚未领取的债券利息）和相关交易费用之和作为初始确认金额。</w:t>
      </w:r>
      <w:r>
        <w:rPr/>
        <w:t> 持有期间按照摊余成本和实际利率计算确认利息收入，计入投资收益。实际利率在取得时确定，在该</w:t>
      </w:r>
    </w:p>
    <w:p>
      <w:pPr>
        <w:pStyle w:val="BodyText"/>
        <w:spacing w:line="408" w:lineRule="auto"/>
        <w:ind w:left="577" w:right="4029" w:hanging="424"/>
        <w:jc w:val="left"/>
      </w:pPr>
      <w:r>
        <w:rPr/>
        <w:t>预期存续期间或适用的更短期间内保持不变。 处置时，将所取得价款与该投资账面价值之间的差额计入投资收益。 </w:t>
      </w:r>
      <w:r>
        <w:rPr>
          <w:rFonts w:ascii="宋体" w:hAnsi="宋体" w:cs="宋体" w:eastAsia="宋体" w:hint="default"/>
        </w:rPr>
        <w:t>c.</w:t>
      </w:r>
      <w:r>
        <w:rPr/>
        <w:t>应收款项</w:t>
      </w:r>
    </w:p>
    <w:p>
      <w:pPr>
        <w:pStyle w:val="BodyText"/>
        <w:spacing w:line="408" w:lineRule="auto"/>
        <w:ind w:left="154" w:right="1131" w:firstLine="423"/>
        <w:jc w:val="both"/>
      </w:pPr>
      <w:r>
        <w:rPr>
          <w:spacing w:val="-1"/>
        </w:rPr>
        <w:t>公司对外销售商品或提供劳务形成的应收债权，以及公司持有的其他企业的不包括在活跃市场上有报</w:t>
      </w:r>
      <w:r>
        <w:rPr/>
        <w:t> </w:t>
      </w: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408" w:lineRule="auto"/>
        <w:ind w:left="577" w:right="1130"/>
        <w:jc w:val="left"/>
      </w:pPr>
      <w:r>
        <w:rPr/>
        <w:t>收回或处置时，将取得的价款与该应收款项账面价值之间的差额计入当期损益。 </w:t>
      </w:r>
      <w:r>
        <w:rPr>
          <w:rFonts w:ascii="宋体" w:hAnsi="宋体" w:cs="宋体" w:eastAsia="宋体" w:hint="default"/>
        </w:rPr>
        <w:t>d.</w:t>
      </w:r>
      <w:r>
        <w:rPr/>
        <w:t>可供出售金融资产 </w:t>
      </w:r>
      <w:r>
        <w:rPr>
          <w:spacing w:val="-1"/>
        </w:rPr>
        <w:t>取得时按公允价值（扣除已宣告但尚未发放的现金股利或已到付息期但尚未领取的债券利息）和相关</w:t>
      </w:r>
    </w:p>
    <w:p>
      <w:pPr>
        <w:pStyle w:val="BodyText"/>
        <w:spacing w:line="408" w:lineRule="auto"/>
        <w:ind w:left="577" w:right="0" w:hanging="424"/>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408" w:lineRule="auto"/>
        <w:ind w:right="0"/>
        <w:jc w:val="left"/>
      </w:pPr>
      <w:r>
        <w:rPr>
          <w:spacing w:val="-1"/>
        </w:rPr>
        <w:t>综合收益。但是，在活跃市场中没有报价且其公允价值不能可靠计量的权益工具投资，以及与该权益工具</w:t>
      </w:r>
      <w:r>
        <w:rPr>
          <w:spacing w:val="-82"/>
        </w:rPr>
        <w:t> </w:t>
      </w:r>
      <w:r>
        <w:rPr>
          <w:spacing w:val="-82"/>
        </w:rPr>
      </w:r>
      <w:r>
        <w:rPr/>
        <w:t>挂钩并须通过交付该权益工具结算的衍生金融资产，按照成本计量。</w:t>
      </w:r>
    </w:p>
    <w:p>
      <w:pPr>
        <w:pStyle w:val="BodyText"/>
        <w:spacing w:line="408" w:lineRule="auto"/>
        <w:ind w:right="1131" w:firstLine="423"/>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408" w:lineRule="auto"/>
        <w:ind w:left="577" w:right="2559"/>
        <w:jc w:val="left"/>
      </w:pPr>
      <w:r>
        <w:rPr>
          <w:rFonts w:ascii="宋体" w:hAnsi="宋体" w:cs="宋体" w:eastAsia="宋体" w:hint="default"/>
        </w:rPr>
        <w:t>e.</w:t>
      </w:r>
      <w:r>
        <w:rPr/>
        <w:t>其他金融负债 按其公允价值和相关交易费用之和作为初始确认金额。采用摊余成本进行后续计量。</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408" w:lineRule="auto" w:before="174"/>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BodyText"/>
        <w:spacing w:line="408" w:lineRule="auto"/>
        <w:ind w:left="577" w:right="0" w:hanging="424"/>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408" w:lineRule="auto"/>
        <w:ind w:left="154"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7" w:right="0"/>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before="0"/>
        <w:ind w:left="154" w:right="1138" w:firstLine="423"/>
        <w:jc w:val="both"/>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pStyle w:val="BodyText"/>
        <w:spacing w:line="408" w:lineRule="auto"/>
        <w:ind w:left="154" w:right="1133" w:firstLine="423"/>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7" w:right="0"/>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before="0"/>
        <w:ind w:left="154" w:right="1138" w:firstLine="423"/>
        <w:jc w:val="both"/>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BodyText"/>
        <w:spacing w:line="408" w:lineRule="auto"/>
        <w:ind w:left="577" w:right="1118"/>
        <w:jc w:val="left"/>
      </w:pPr>
      <w:r>
        <w:rPr/>
        <w:t>金融资产转移不满足终止确认条件的，继续确认该金融资产，所收到的对价确认为一项金融负债。 </w:t>
      </w:r>
      <w:r>
        <w:rPr>
          <w:rFonts w:ascii="宋体" w:hAnsi="宋体" w:cs="宋体" w:eastAsia="宋体" w:hint="default"/>
          <w:b/>
          <w:bCs/>
        </w:rPr>
        <w:t>4</w:t>
      </w:r>
      <w:r>
        <w:rPr>
          <w:rFonts w:ascii="宋体" w:hAnsi="宋体" w:cs="宋体" w:eastAsia="宋体" w:hint="default"/>
          <w:b/>
          <w:bCs/>
        </w:rPr>
        <w:t>、</w:t>
      </w:r>
      <w:r>
        <w:rPr>
          <w:rFonts w:ascii="宋体" w:hAnsi="宋体" w:cs="宋体" w:eastAsia="宋体" w:hint="default"/>
          <w:b/>
          <w:bCs/>
          <w:spacing w:val="-9"/>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1"/>
        </w:rPr>
        <w:t>金融负债的现时义务全部或部分已经解除的，则终止确认该金融负债或其一部分；本公司若与债权人</w:t>
      </w:r>
    </w:p>
    <w:p>
      <w:pPr>
        <w:pStyle w:val="BodyText"/>
        <w:spacing w:line="408" w:lineRule="auto"/>
        <w:ind w:right="0"/>
        <w:jc w:val="left"/>
      </w:pPr>
      <w:r>
        <w:rPr>
          <w:spacing w:val="-1"/>
        </w:rPr>
        <w:t>签定协议，以承担新金融负债方式替换现存金融负债，且新金融负债与现存金融负债的合同条款实质上不</w:t>
      </w:r>
      <w:r>
        <w:rPr>
          <w:spacing w:val="-80"/>
        </w:rPr>
        <w:t> </w:t>
      </w:r>
      <w:r>
        <w:rPr>
          <w:spacing w:val="-80"/>
        </w:rPr>
      </w:r>
      <w:r>
        <w:rPr/>
        <w:t>同的，则终止确认现存金融负债，并同时确认新金融负债。</w:t>
      </w:r>
    </w:p>
    <w:p>
      <w:pPr>
        <w:pStyle w:val="BodyText"/>
        <w:spacing w:line="408" w:lineRule="auto"/>
        <w:ind w:right="1133" w:firstLine="423"/>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408" w:lineRule="auto"/>
        <w:ind w:right="1133" w:firstLine="423"/>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408" w:lineRule="auto"/>
        <w:ind w:right="1131" w:firstLine="423"/>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408" w:lineRule="auto" w:before="46"/>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BodyText"/>
        <w:spacing w:line="408" w:lineRule="auto"/>
        <w:ind w:left="154" w:right="1092"/>
        <w:jc w:val="left"/>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line="408" w:lineRule="auto" w:before="46"/>
        <w:ind w:left="577"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10"/>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40" w:lineRule="auto"/>
        <w:ind w:left="154" w:right="0"/>
        <w:jc w:val="left"/>
      </w:pPr>
      <w:r>
        <w:rPr/>
        <w:t>值进行检查，如果有客观证据表明某项金融资产发生减值的，计提减值准备。</w:t>
      </w:r>
    </w:p>
    <w:p>
      <w:pPr>
        <w:spacing w:line="240" w:lineRule="auto" w:before="10"/>
        <w:rPr>
          <w:rFonts w:ascii="宋体" w:hAnsi="宋体" w:cs="宋体" w:eastAsia="宋体" w:hint="default"/>
          <w:sz w:val="14"/>
          <w:szCs w:val="14"/>
        </w:rPr>
      </w:pPr>
    </w:p>
    <w:p>
      <w:pPr>
        <w:pStyle w:val="BodyText"/>
        <w:spacing w:line="408" w:lineRule="auto" w:before="0"/>
        <w:ind w:left="577" w:right="0"/>
        <w:jc w:val="left"/>
      </w:pPr>
      <w:r>
        <w:rPr/>
        <w:t>（</w:t>
      </w:r>
      <w:r>
        <w:rPr>
          <w:rFonts w:ascii="宋体" w:hAnsi="宋体" w:cs="宋体" w:eastAsia="宋体" w:hint="default"/>
        </w:rPr>
        <w:t>1</w:t>
      </w:r>
      <w:r>
        <w:rPr/>
        <w:t>）可供出售金融资产的减值准备： </w:t>
      </w:r>
      <w:r>
        <w:rPr>
          <w:spacing w:val="-1"/>
        </w:rPr>
        <w:t>期末如果可供出售金融资产的公允价值发生严重下降，或在综合考虑各种相关因素后，预期这种下降</w:t>
      </w:r>
    </w:p>
    <w:p>
      <w:pPr>
        <w:pStyle w:val="BodyText"/>
        <w:spacing w:line="408" w:lineRule="auto"/>
        <w:ind w:left="154"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408" w:lineRule="auto"/>
        <w:ind w:left="154" w:right="0" w:firstLine="423"/>
        <w:jc w:val="left"/>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ind w:left="577" w:right="0"/>
        <w:jc w:val="left"/>
      </w:pPr>
      <w:r>
        <w:rPr/>
        <w:t>可供出售权益工具投资发生的减值损失，不通过损益转回。</w:t>
      </w:r>
    </w:p>
    <w:p>
      <w:pPr>
        <w:spacing w:line="240" w:lineRule="auto" w:before="10"/>
        <w:rPr>
          <w:rFonts w:ascii="宋体" w:hAnsi="宋体" w:cs="宋体" w:eastAsia="宋体" w:hint="default"/>
          <w:sz w:val="14"/>
          <w:szCs w:val="14"/>
        </w:rPr>
      </w:pPr>
    </w:p>
    <w:p>
      <w:pPr>
        <w:pStyle w:val="BodyText"/>
        <w:spacing w:line="408" w:lineRule="auto" w:before="0"/>
        <w:ind w:left="577" w:right="3819"/>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1、应收款项" w:id="158"/>
      <w:bookmarkEnd w:id="158"/>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59"/>
      <w:bookmarkEnd w:id="15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67.808281pt;width:479.2pt;height:87.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应收款项余额前五名的款项。</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期末对于单项金额重大的应收款项单独进行减值测试。如有 客观证据表明其已发生了减值，按预计未来现金流量现值低 于其账面价值的差额计提坏账准备，计入当期损益。单独测 </w:t>
                        </w:r>
                        <w:r>
                          <w:rPr>
                            <w:rFonts w:ascii="宋体" w:hAnsi="宋体" w:cs="宋体" w:eastAsia="宋体" w:hint="default"/>
                            <w:spacing w:val="-2"/>
                            <w:sz w:val="18"/>
                            <w:szCs w:val="18"/>
                          </w:rPr>
                          <w:t>试未发生减值的应收款项，将其归入相应组合计提坏账准备</w:t>
                        </w:r>
                      </w:p>
                    </w:tc>
                  </w:tr>
                </w:tbl>
                <w:p>
                  <w:pPr/>
                </w:p>
              </w:txbxContent>
            </v:textbox>
            <w10:wrap type="none"/>
          </v:shape>
        </w:pict>
      </w:r>
      <w:r>
        <w:rPr>
          <w:rFonts w:ascii="宋体" w:hAnsi="宋体" w:cs="宋体" w:eastAsia="宋体" w:hint="default"/>
          <w:sz w:val="18"/>
          <w:szCs w:val="18"/>
        </w:rPr>
        <w:t>。</w:t>
      </w:r>
    </w:p>
    <w:p>
      <w:pPr>
        <w:spacing w:line="240" w:lineRule="auto" w:before="12"/>
        <w:rPr>
          <w:rFonts w:ascii="宋体" w:hAnsi="宋体" w:cs="宋体" w:eastAsia="宋体" w:hint="default"/>
          <w:sz w:val="27"/>
          <w:szCs w:val="27"/>
        </w:rPr>
      </w:pPr>
    </w:p>
    <w:p>
      <w:pPr>
        <w:pStyle w:val="Heading3"/>
        <w:spacing w:line="240" w:lineRule="auto" w:before="35"/>
        <w:ind w:right="0"/>
        <w:jc w:val="left"/>
        <w:rPr>
          <w:b w:val="0"/>
          <w:bCs w:val="0"/>
        </w:rPr>
      </w:pPr>
      <w:bookmarkStart w:name="（2）按信用风险特征组合计提坏账准备的应收款项" w:id="160"/>
      <w:bookmarkEnd w:id="16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61"/>
      <w:bookmarkEnd w:id="16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单项金额不重大的应收款项，如有客观证据表明其已发生了 减值，按预计未来现金流量现值低于其账面价值的差额计提 坏账准备，计入当期损益。</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62"/>
      <w:bookmarkEnd w:id="162"/>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line="506" w:lineRule="auto" w:before="0"/>
        <w:ind w:left="574" w:right="550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本公司存货分为库存商品、发出商品、周转材料等。</w:t>
      </w:r>
    </w:p>
    <w:p>
      <w:pPr>
        <w:spacing w:line="506" w:lineRule="auto" w:before="104"/>
        <w:ind w:left="574" w:right="7906"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计价方法：个别认定法</w:t>
      </w:r>
    </w:p>
    <w:p>
      <w:pPr>
        <w:pStyle w:val="Heading3"/>
        <w:spacing w:line="240" w:lineRule="auto" w:before="103"/>
        <w:ind w:left="576"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0"/>
        <w:jc w:val="left"/>
      </w:pP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w:t>
      </w:r>
    </w:p>
    <w:p>
      <w:pPr>
        <w:pStyle w:val="BodyText"/>
        <w:spacing w:line="408" w:lineRule="auto"/>
        <w:ind w:left="154"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408" w:lineRule="auto"/>
        <w:ind w:left="154" w:right="1131"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以前减记存货价值的影响因素已经消失的，减记的金额予以恢复，并在原已计提的存货跌价准备金额</w:t>
      </w:r>
      <w:r>
        <w:rPr/>
        <w:t> 内转回，转回的金额计入当期损益。</w:t>
      </w:r>
    </w:p>
    <w:p>
      <w:pPr>
        <w:pStyle w:val="BodyText"/>
        <w:spacing w:line="408" w:lineRule="auto"/>
        <w:ind w:right="1131" w:firstLine="420"/>
        <w:jc w:val="both"/>
      </w:pPr>
      <w:r>
        <w:rPr>
          <w:spacing w:val="-1"/>
        </w:rPr>
        <w:t>除有明确证据表明资产负债表日市场价格异常外，存货项目的可变现净值以资产负债表日市场价格为</w:t>
      </w:r>
      <w:r>
        <w:rPr/>
        <w:t> 基础确定。</w:t>
      </w:r>
    </w:p>
    <w:p>
      <w:pPr>
        <w:pStyle w:val="BodyText"/>
        <w:spacing w:line="408" w:lineRule="auto"/>
        <w:ind w:left="573" w:right="3823"/>
        <w:jc w:val="left"/>
      </w:pPr>
      <w:r>
        <w:rPr/>
        <w:t>资产负债表日市场价格异常的判断依据为： 本期期末存货项目的可变现净值以资产负债表日市场价格为基础确定。</w:t>
      </w:r>
    </w:p>
    <w:p>
      <w:pPr>
        <w:spacing w:line="240" w:lineRule="auto" w:before="6"/>
        <w:rPr>
          <w:rFonts w:ascii="宋体" w:hAnsi="宋体" w:cs="宋体" w:eastAsia="宋体" w:hint="default"/>
          <w:sz w:val="20"/>
          <w:szCs w:val="20"/>
        </w:rPr>
      </w:pPr>
    </w:p>
    <w:p>
      <w:pPr>
        <w:spacing w:line="506" w:lineRule="auto" w:before="0"/>
        <w:ind w:left="573" w:right="8233"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盘存制度：永续盘存制</w:t>
      </w:r>
    </w:p>
    <w:p>
      <w:pPr>
        <w:pStyle w:val="Heading3"/>
        <w:spacing w:line="240" w:lineRule="auto" w:before="103"/>
        <w:ind w:left="576"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8863"/>
        <w:jc w:val="left"/>
      </w:pPr>
      <w:r>
        <w:rPr/>
        <w:t>低值易耗品 摊销方法：其他</w:t>
      </w:r>
    </w:p>
    <w:p>
      <w:pPr>
        <w:pStyle w:val="BodyText"/>
        <w:spacing w:line="240" w:lineRule="auto"/>
        <w:ind w:left="573" w:right="0"/>
        <w:jc w:val="left"/>
      </w:pPr>
      <w:r>
        <w:rPr/>
        <w:t>（</w:t>
      </w:r>
      <w:r>
        <w:rPr>
          <w:rFonts w:ascii="宋体" w:hAnsi="宋体" w:cs="宋体" w:eastAsia="宋体" w:hint="default"/>
        </w:rPr>
        <w:t>1</w:t>
      </w:r>
      <w:r>
        <w:rPr/>
        <w:t>）低值易耗品采用一次转销法。</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spacing w:val="-1"/>
        </w:rPr>
        <w:t>（</w:t>
      </w:r>
      <w:r>
        <w:rPr>
          <w:rFonts w:ascii="宋体" w:hAnsi="宋体" w:cs="宋体" w:eastAsia="宋体" w:hint="default"/>
          <w:spacing w:val="-1"/>
        </w:rPr>
        <w:t>2</w:t>
      </w:r>
      <w:r>
        <w:rPr>
          <w:spacing w:val="-1"/>
        </w:rPr>
        <w:t>）周转材料采用分次摊销法，在领用或出借周转材料（备品备件）时先摊销其成本的</w:t>
      </w:r>
      <w:r>
        <w:rPr>
          <w:rFonts w:ascii="宋体" w:hAnsi="宋体" w:cs="宋体" w:eastAsia="宋体" w:hint="default"/>
          <w:spacing w:val="-1"/>
        </w:rPr>
        <w:t>50%</w:t>
      </w:r>
      <w:r>
        <w:rPr>
          <w:spacing w:val="-1"/>
        </w:rPr>
        <w:t>，在报废</w:t>
      </w:r>
      <w:r>
        <w:rPr/>
        <w:t> 时再摊销其成本的</w:t>
      </w:r>
      <w:r>
        <w:rPr>
          <w:rFonts w:ascii="宋体" w:hAnsi="宋体" w:cs="宋体" w:eastAsia="宋体" w:hint="default"/>
        </w:rPr>
        <w:t>50%</w:t>
      </w:r>
      <w:r>
        <w:rPr/>
        <w:t>。</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3、长期股权投资" w:id="163"/>
      <w:bookmarkEnd w:id="163"/>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30"/>
          <w:szCs w:val="30"/>
        </w:rPr>
      </w:pPr>
    </w:p>
    <w:p>
      <w:pPr>
        <w:spacing w:line="408" w:lineRule="auto" w:before="0"/>
        <w:ind w:left="576"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408" w:lineRule="auto"/>
        <w:ind w:left="154" w:right="0"/>
        <w:jc w:val="left"/>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408" w:lineRule="auto"/>
        <w:ind w:left="154" w:right="1131" w:firstLine="422"/>
        <w:jc w:val="both"/>
      </w:pPr>
      <w:r>
        <w:rPr>
          <w:spacing w:val="-1"/>
        </w:rPr>
        <w:t>重大影响，是指对一个企业的财务和经营决策有参与决策的权力，但并不能够控制或者与其他方一起</w:t>
      </w:r>
      <w:r>
        <w:rPr/>
        <w:t> 共同控制这些政策的制定。本能够对被投资单位施加重大影响的，被投资单位为本公司联营企业。</w:t>
      </w:r>
    </w:p>
    <w:p>
      <w:pPr>
        <w:spacing w:line="408" w:lineRule="auto" w:before="46"/>
        <w:ind w:left="576" w:right="739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企业合并形成的长期股权投资</w:t>
      </w:r>
    </w:p>
    <w:p>
      <w:pPr>
        <w:pStyle w:val="BodyText"/>
        <w:spacing w:line="408" w:lineRule="auto"/>
        <w:ind w:right="1130" w:firstLine="422"/>
        <w:jc w:val="both"/>
      </w:pPr>
      <w:r>
        <w:rPr>
          <w:spacing w:val="-1"/>
        </w:rPr>
        <w:t>同一控制下的企业合并：公司以支付现金、转让非现金资产或承担债务方式以及以发行权益性证券作</w:t>
      </w:r>
      <w:r>
        <w:rPr/>
        <w:t> </w:t>
      </w: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408" w:lineRule="auto"/>
        <w:ind w:left="154" w:right="1131" w:firstLine="422"/>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408" w:lineRule="auto"/>
        <w:ind w:left="576" w:right="0"/>
        <w:jc w:val="left"/>
      </w:pPr>
      <w:r>
        <w:rPr>
          <w:rFonts w:ascii="宋体" w:hAnsi="宋体" w:cs="宋体" w:eastAsia="宋体" w:hint="default"/>
        </w:rPr>
        <w:t>b.</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408" w:lineRule="auto"/>
        <w:ind w:right="113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6" w:right="0"/>
        <w:jc w:val="left"/>
      </w:pPr>
      <w:r>
        <w:rPr/>
        <w:t>通过债务重组取得的长期股权投资，其初始投资成本按照公允价值为基础确定。</w:t>
      </w:r>
    </w:p>
    <w:p>
      <w:pPr>
        <w:spacing w:line="240" w:lineRule="auto" w:before="10"/>
        <w:rPr>
          <w:rFonts w:ascii="宋体" w:hAnsi="宋体" w:cs="宋体" w:eastAsia="宋体" w:hint="default"/>
          <w:sz w:val="14"/>
          <w:szCs w:val="14"/>
        </w:rPr>
      </w:pPr>
    </w:p>
    <w:p>
      <w:pPr>
        <w:spacing w:line="408" w:lineRule="auto" w:before="0"/>
        <w:ind w:left="576" w:right="7482"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成本法核算的长期股权投资</w:t>
      </w:r>
    </w:p>
    <w:p>
      <w:pPr>
        <w:pStyle w:val="BodyText"/>
        <w:spacing w:line="408" w:lineRule="auto"/>
        <w:ind w:right="1130" w:firstLine="422"/>
        <w:jc w:val="both"/>
      </w:pPr>
      <w:r>
        <w:rPr>
          <w:spacing w:val="-1"/>
        </w:rPr>
        <w:t>公司对子公司的长期股权投资，采用成本法核算。除取得投资时实际支付的价款或对价中包含的已宣</w:t>
      </w:r>
      <w:r>
        <w:rPr/>
        <w:t> </w:t>
      </w:r>
      <w:r>
        <w:rPr>
          <w:spacing w:val="-1"/>
        </w:rPr>
        <w:t>告但尚未发放的现金股利或利润外，公司按照享有被投资单位宣告发放的现金股利或利润确认当期投资收</w:t>
      </w:r>
      <w:r>
        <w:rPr>
          <w:spacing w:val="-80"/>
        </w:rPr>
        <w:t> </w:t>
      </w:r>
      <w:r>
        <w:rPr>
          <w:spacing w:val="-80"/>
        </w:rPr>
      </w:r>
      <w:r>
        <w:rPr/>
        <w:t>益。</w:t>
      </w:r>
    </w:p>
    <w:p>
      <w:pPr>
        <w:pStyle w:val="BodyText"/>
        <w:spacing w:line="408" w:lineRule="auto"/>
        <w:ind w:left="576" w:right="0"/>
        <w:jc w:val="left"/>
      </w:pPr>
      <w:r>
        <w:rPr>
          <w:rFonts w:ascii="宋体" w:hAnsi="宋体" w:cs="宋体" w:eastAsia="宋体" w:hint="default"/>
        </w:rPr>
        <w:t>b.</w:t>
      </w:r>
      <w:r>
        <w:rPr/>
        <w:t>权益法核算的长期股权投资 </w:t>
      </w:r>
      <w:r>
        <w:rPr>
          <w:spacing w:val="-1"/>
        </w:rPr>
        <w:t>对联营企业和合营企业的长期股权投资，采用权益法核算。初始投资成本大于投资时应享有被投资单</w:t>
      </w:r>
    </w:p>
    <w:p>
      <w:pPr>
        <w:pStyle w:val="BodyText"/>
        <w:spacing w:line="408" w:lineRule="auto"/>
        <w:ind w:left="154" w:right="1131"/>
        <w:jc w:val="both"/>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408" w:lineRule="auto"/>
        <w:ind w:right="1130" w:firstLine="422"/>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408" w:lineRule="auto"/>
        <w:ind w:right="1131" w:firstLine="422"/>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6"/>
        </w:rPr>
        <w:t> </w:t>
      </w:r>
      <w:r>
        <w:rPr>
          <w:spacing w:val="-86"/>
        </w:rPr>
      </w:r>
      <w:r>
        <w:rPr>
          <w:spacing w:val="-1"/>
        </w:rPr>
        <w:t>资单位编制合并财务报表的，以合并财务报表中的净利润、其他综合收益和其他所有者权益变动中归属于</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6" w:right="0" w:hanging="423"/>
        <w:jc w:val="left"/>
      </w:pPr>
      <w:r>
        <w:rPr/>
        <w:t>被投资单位的金额为基础进行核算。 </w:t>
      </w:r>
      <w:r>
        <w:rPr>
          <w:spacing w:val="3"/>
        </w:rPr>
        <w:t>公司与联营企业、合营企业之间发生的未实现内部交易损益按照应享有的比例计算归属于公司的部</w:t>
      </w:r>
    </w:p>
    <w:p>
      <w:pPr>
        <w:pStyle w:val="BodyText"/>
        <w:spacing w:line="408" w:lineRule="auto"/>
        <w:ind w:right="1130"/>
        <w:jc w:val="both"/>
      </w:pPr>
      <w:r>
        <w:rPr>
          <w:spacing w:val="-1"/>
        </w:rPr>
        <w:t>分，予以抵销，在此基础上确认投资收益。与被投资单位发生的未实现内部交易损失，属于资产减值损失</w:t>
      </w:r>
      <w:r>
        <w:rPr>
          <w:spacing w:val="-86"/>
        </w:rPr>
        <w:t> </w:t>
      </w:r>
      <w:r>
        <w:rPr>
          <w:spacing w:val="-86"/>
        </w:rPr>
      </w:r>
      <w:r>
        <w:rPr>
          <w:spacing w:val="-1"/>
        </w:rPr>
        <w:t>的，全额确认。公司与联营企业、合营企业之间发生投出或出售资产的交易，该资产构成业务的，按照本</w:t>
      </w:r>
      <w:r>
        <w:rPr>
          <w:spacing w:val="-83"/>
        </w:rPr>
        <w:t> </w:t>
      </w:r>
      <w:r>
        <w:rPr>
          <w:spacing w:val="-83"/>
        </w:rPr>
      </w:r>
      <w:r>
        <w:rPr>
          <w:spacing w:val="-1"/>
        </w:rPr>
        <w:t>附注“三、（五）同一控制下和非同一控制下企业合并的会计处理方法”和“三、（六）合并财务报表的</w:t>
      </w:r>
      <w:r>
        <w:rPr>
          <w:spacing w:val="-83"/>
        </w:rPr>
        <w:t> </w:t>
      </w:r>
      <w:r>
        <w:rPr>
          <w:spacing w:val="-83"/>
        </w:rPr>
      </w:r>
      <w:r>
        <w:rPr/>
        <w:t>编制方法”中披露的相关政策进行会计处理。</w:t>
      </w:r>
    </w:p>
    <w:p>
      <w:pPr>
        <w:pStyle w:val="BodyText"/>
        <w:spacing w:line="408" w:lineRule="auto"/>
        <w:ind w:left="154" w:right="1131" w:firstLine="422"/>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408" w:lineRule="auto"/>
        <w:ind w:left="576" w:right="3610"/>
        <w:jc w:val="left"/>
      </w:pPr>
      <w:r>
        <w:rPr>
          <w:rFonts w:ascii="宋体" w:hAnsi="宋体" w:cs="宋体" w:eastAsia="宋体" w:hint="default"/>
        </w:rPr>
        <w:t>c.</w:t>
      </w:r>
      <w:r>
        <w:rPr/>
        <w:t>长期股权投资的处置 处置长期股权投资，其账面价值与实际取得价款的差额，计入当期损益。</w:t>
      </w:r>
    </w:p>
    <w:p>
      <w:pPr>
        <w:pStyle w:val="BodyText"/>
        <w:spacing w:line="408" w:lineRule="auto"/>
        <w:ind w:right="1130" w:firstLine="422"/>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0"/>
        </w:rPr>
        <w:t> </w:t>
      </w:r>
      <w:r>
        <w:rPr>
          <w:spacing w:val="-80"/>
        </w:rPr>
      </w:r>
      <w:r>
        <w:rPr/>
        <w:t>新计量设定受益计划净负债或净资产变动而产生的其他综合收益除外。</w:t>
      </w:r>
    </w:p>
    <w:p>
      <w:pPr>
        <w:pStyle w:val="BodyText"/>
        <w:spacing w:line="408" w:lineRule="auto"/>
        <w:ind w:right="1131" w:firstLine="422"/>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408" w:lineRule="auto"/>
        <w:ind w:right="1131" w:firstLine="422"/>
        <w:jc w:val="both"/>
      </w:pPr>
      <w:r>
        <w:rPr>
          <w:spacing w:val="-1"/>
        </w:rPr>
        <w:t>因处置部分股权投资等原因丧失了对被投资单位控制权的，在编制个别财务报表时，处置后的剩余股</w:t>
      </w:r>
      <w:r>
        <w:rPr/>
        <w:t> </w:t>
      </w:r>
      <w:r>
        <w:rPr>
          <w:spacing w:val="-1"/>
        </w:rPr>
        <w:t>权能够对被投资单位实施共同控制或重大影响的，改按权益法核算，并对该剩余股权视同自取得时即采用</w:t>
      </w:r>
      <w:r>
        <w:rPr>
          <w:spacing w:val="-81"/>
        </w:rPr>
        <w:t> </w:t>
      </w:r>
      <w:r>
        <w:rPr>
          <w:spacing w:val="-81"/>
        </w:rPr>
      </w:r>
      <w:r>
        <w:rPr>
          <w:spacing w:val="-1"/>
        </w:rPr>
        <w:t>权益法核算进行调整；处置后的剩余股权不能对被投资单位实施共同控制或施加重大影响的，改按金融工</w:t>
      </w:r>
      <w:r>
        <w:rPr>
          <w:spacing w:val="-81"/>
        </w:rPr>
        <w:t> </w:t>
      </w:r>
      <w:r>
        <w:rPr>
          <w:spacing w:val="-81"/>
        </w:rPr>
      </w:r>
      <w:r>
        <w:rPr>
          <w:spacing w:val="-1"/>
        </w:rPr>
        <w:t>具确认和计量准则的有关规定进行会计处理，其在丧失控制之日的公允价值与账面价值间的差额计入当期</w:t>
      </w:r>
      <w:r>
        <w:rPr>
          <w:spacing w:val="-81"/>
        </w:rPr>
        <w:t> </w:t>
      </w:r>
      <w:r>
        <w:rPr>
          <w:spacing w:val="-81"/>
        </w:rPr>
      </w:r>
      <w:r>
        <w:rPr/>
        <w:t>损益。</w:t>
      </w:r>
    </w:p>
    <w:p>
      <w:pPr>
        <w:pStyle w:val="BodyText"/>
        <w:spacing w:line="408" w:lineRule="auto"/>
        <w:ind w:right="1131" w:firstLine="422"/>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4、固定资产" w:id="164"/>
      <w:bookmarkEnd w:id="164"/>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65"/>
      <w:bookmarkEnd w:id="16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0" w:firstLine="420"/>
        <w:jc w:val="both"/>
      </w:pPr>
      <w:r>
        <w:rPr>
          <w:spacing w:val="-1"/>
        </w:rPr>
        <w:t>固定资产指为生产商品、提供劳务、出租或经营管理而持有，并且使用寿命超过一个会计年度的有形</w:t>
      </w:r>
      <w:r>
        <w:rPr/>
        <w:t> </w:t>
      </w:r>
      <w:r>
        <w:rPr>
          <w:spacing w:val="-1"/>
        </w:rPr>
        <w:t>资产。固定资产在同时满足下列条件时予以确认：①与该固定资产有关的经济利益很可能流入企业；②该</w:t>
      </w:r>
      <w:r>
        <w:rPr>
          <w:spacing w:val="-82"/>
        </w:rPr>
        <w:t> </w:t>
      </w:r>
      <w:r>
        <w:rPr>
          <w:spacing w:val="-82"/>
        </w:rPr>
      </w:r>
      <w:r>
        <w:rPr/>
        <w:t>固定资产的成本能够可靠地计量。</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折旧方法" w:id="166"/>
      <w:bookmarkEnd w:id="16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408" w:lineRule="auto" w:before="63"/>
        <w:ind w:left="577" w:right="0"/>
        <w:jc w:val="left"/>
      </w:pPr>
      <w:r>
        <w:rPr/>
        <w:t>各类固定资产的折旧方法 </w:t>
      </w:r>
      <w:r>
        <w:rPr>
          <w:spacing w:val="-1"/>
        </w:rPr>
        <w:t>固定资产折旧采用年限平均法分类计提，根据固定资产类别、预计使用寿命和预计净残值率确定折旧</w:t>
      </w:r>
    </w:p>
    <w:p>
      <w:pPr>
        <w:pStyle w:val="BodyText"/>
        <w:spacing w:line="408" w:lineRule="auto"/>
        <w:ind w:right="0"/>
        <w:jc w:val="left"/>
      </w:pPr>
      <w:r>
        <w:rPr>
          <w:spacing w:val="-1"/>
        </w:rPr>
        <w:t>率。如固定资产各组成部分的使用寿命不同或者以不同方式为企业提供经济利益，则选择不同折旧率或折</w:t>
      </w:r>
      <w:r>
        <w:rPr>
          <w:spacing w:val="-81"/>
        </w:rPr>
        <w:t> </w:t>
      </w:r>
      <w:r>
        <w:rPr>
          <w:spacing w:val="-81"/>
        </w:rPr>
      </w:r>
      <w:r>
        <w:rPr/>
        <w:t>旧方法，分别计提折旧。</w:t>
      </w:r>
    </w:p>
    <w:p>
      <w:pPr>
        <w:pStyle w:val="BodyText"/>
        <w:spacing w:line="408" w:lineRule="auto"/>
        <w:ind w:right="1131" w:firstLine="423"/>
        <w:jc w:val="both"/>
      </w:pPr>
      <w:r>
        <w:rPr>
          <w:spacing w:val="-1"/>
        </w:rPr>
        <w:t>融资租赁方式租入的固定资产，能合理确定租赁期届满时将会取得租赁资产所有权的，在租赁资产尚</w:t>
      </w:r>
      <w:r>
        <w:rPr/>
        <w:t> </w:t>
      </w:r>
      <w:r>
        <w:rPr>
          <w:spacing w:val="-1"/>
        </w:rPr>
        <w:t>可使用年限内计提折旧；无法合理确定租赁期届满时能够取得租赁资产所有权的，在租赁期与租赁资产尚</w:t>
      </w:r>
      <w:r>
        <w:rPr>
          <w:spacing w:val="-81"/>
        </w:rPr>
        <w:t> </w:t>
      </w:r>
      <w:r>
        <w:rPr>
          <w:spacing w:val="-81"/>
        </w:rPr>
      </w:r>
      <w:r>
        <w:rPr/>
        <w:t>可使用年限两者中较短的期间内计提折旧。</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5、在建工程" w:id="167"/>
      <w:bookmarkEnd w:id="167"/>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23" w:firstLine="423"/>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6、无形资产" w:id="168"/>
      <w:bookmarkEnd w:id="168"/>
      <w:r>
        <w:rPr>
          <w:b w:val="0"/>
          <w:bCs w:val="0"/>
        </w:rPr>
      </w:r>
      <w:r>
        <w:rPr>
          <w:rFonts w:ascii="Times New Roman" w:hAnsi="Times New Roman" w:cs="Times New Roman" w:eastAsia="Times New Roman" w:hint="default"/>
        </w:rPr>
        <w:t>16</w:t>
      </w:r>
      <w:r>
        <w:rPr/>
        <w:t>、无形资产</w:t>
      </w:r>
      <w:r>
        <w:rPr>
          <w:b w:val="0"/>
          <w:bCs w:val="0"/>
        </w:rPr>
      </w:r>
    </w:p>
    <w:p>
      <w:pPr>
        <w:pStyle w:val="Heading3"/>
        <w:spacing w:line="690" w:lineRule="exact" w:before="15"/>
        <w:ind w:left="577" w:right="7275" w:hanging="424"/>
        <w:jc w:val="left"/>
        <w:rPr>
          <w:b w:val="0"/>
          <w:bCs w:val="0"/>
        </w:rPr>
      </w:pPr>
      <w:bookmarkStart w:name="（1）计价方法、使用寿命、减值测试" w:id="169"/>
      <w:bookmarkEnd w:id="169"/>
      <w:r>
        <w:rPr>
          <w:b w:val="0"/>
          <w:bCs w:val="0"/>
        </w:rPr>
      </w:r>
      <w:r>
        <w:rPr/>
        <w:t>（</w:t>
      </w:r>
      <w:r>
        <w:rPr>
          <w:rFonts w:ascii="Times New Roman" w:hAnsi="Times New Roman" w:cs="Times New Roman" w:eastAsia="Times New Roman" w:hint="default"/>
        </w:rPr>
        <w:t>1</w:t>
      </w:r>
      <w:r>
        <w:rPr/>
        <w:t>）计价方法、使用寿命、减值测试</w:t>
      </w:r>
      <w:r>
        <w:rPr>
          <w:w w:val="99"/>
        </w:rPr>
        <w:t> </w:t>
      </w:r>
      <w:r>
        <w:rPr>
          <w:rFonts w:ascii="宋体" w:hAnsi="宋体" w:cs="宋体" w:eastAsia="宋体" w:hint="default"/>
        </w:rPr>
        <w:t>1</w:t>
      </w:r>
      <w:r>
        <w:rPr/>
        <w:t>、</w:t>
      </w:r>
      <w:r>
        <w:rPr>
          <w:spacing w:val="-9"/>
        </w:rPr>
        <w:t> </w:t>
      </w:r>
      <w:r>
        <w:rPr/>
        <w:t>无形资产的计价方法</w:t>
      </w:r>
      <w:r>
        <w:rPr>
          <w:b w:val="0"/>
          <w:bCs w:val="0"/>
        </w:rPr>
      </w:r>
    </w:p>
    <w:p>
      <w:pPr>
        <w:pStyle w:val="BodyText"/>
        <w:spacing w:line="240" w:lineRule="auto" w:before="84"/>
        <w:ind w:left="576" w:right="0"/>
        <w:jc w:val="left"/>
      </w:pPr>
      <w:r>
        <w:rPr/>
        <w:t>（</w:t>
      </w:r>
      <w:r>
        <w:rPr>
          <w:rFonts w:ascii="宋体" w:hAnsi="宋体" w:cs="宋体" w:eastAsia="宋体" w:hint="default"/>
        </w:rPr>
        <w:t>1</w:t>
      </w:r>
      <w:r>
        <w:rPr/>
        <w:t>）公司取得无形资产时按成本进行初始计量；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2"/>
        <w:jc w:val="both"/>
      </w:pPr>
      <w:r>
        <w:rPr>
          <w:spacing w:val="-1"/>
        </w:rPr>
        <w:t>外购无形资产的成本，包括购买价款、相关税费以及直接归属于使该项资产达到预定用途所发生的其</w:t>
      </w:r>
      <w:r>
        <w:rPr/>
        <w:t> </w:t>
      </w: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408" w:lineRule="auto"/>
        <w:ind w:right="1131" w:firstLine="422"/>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408" w:lineRule="auto"/>
        <w:ind w:right="1130" w:firstLine="422"/>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408" w:lineRule="auto"/>
        <w:ind w:left="576" w:right="6550"/>
        <w:jc w:val="left"/>
      </w:pPr>
      <w:r>
        <w:rPr/>
        <w:t>（</w:t>
      </w:r>
      <w:r>
        <w:rPr>
          <w:rFonts w:ascii="宋体" w:hAnsi="宋体" w:cs="宋体" w:eastAsia="宋体" w:hint="default"/>
        </w:rPr>
        <w:t>2</w:t>
      </w:r>
      <w:r>
        <w:rPr/>
        <w:t>）后续计量 在取得无形资产时分析判断其使用寿命。</w:t>
      </w:r>
    </w:p>
    <w:p>
      <w:pPr>
        <w:pStyle w:val="BodyText"/>
        <w:spacing w:line="408" w:lineRule="auto"/>
        <w:ind w:right="1131" w:firstLine="422"/>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Heading3"/>
        <w:spacing w:line="240" w:lineRule="auto" w:before="46"/>
        <w:ind w:left="577" w:right="0"/>
        <w:jc w:val="left"/>
        <w:rPr>
          <w:b w:val="0"/>
          <w:bCs w:val="0"/>
        </w:rPr>
      </w:pPr>
      <w:r>
        <w:rPr>
          <w:rFonts w:ascii="宋体" w:hAnsi="宋体" w:cs="宋体" w:eastAsia="宋体" w:hint="default"/>
        </w:rPr>
        <w:t>2</w:t>
      </w:r>
      <w:r>
        <w:rPr/>
        <w:t>、</w:t>
      </w:r>
      <w:r>
        <w:rPr>
          <w:spacing w:val="-12"/>
        </w:rPr>
        <w:t> </w:t>
      </w:r>
      <w:r>
        <w:rPr/>
        <w:t>使用寿命有限的无形资产的使用寿命估计情况：</w:t>
      </w:r>
      <w:r>
        <w:rPr>
          <w:b w:val="0"/>
          <w:bCs w:val="0"/>
        </w:rPr>
      </w:r>
    </w:p>
    <w:p>
      <w:pPr>
        <w:spacing w:line="240" w:lineRule="auto" w:before="12"/>
        <w:rPr>
          <w:rFonts w:ascii="宋体" w:hAnsi="宋体" w:cs="宋体" w:eastAsia="宋体" w:hint="default"/>
          <w:b/>
          <w:bCs/>
          <w:sz w:val="9"/>
          <w:szCs w:val="9"/>
        </w:rPr>
      </w:pPr>
    </w:p>
    <w:tbl>
      <w:tblPr>
        <w:tblW w:w="0" w:type="auto"/>
        <w:jc w:val="left"/>
        <w:tblInd w:w="858" w:type="dxa"/>
        <w:tblLayout w:type="fixed"/>
        <w:tblCellMar>
          <w:top w:w="0" w:type="dxa"/>
          <w:left w:w="0" w:type="dxa"/>
          <w:bottom w:w="0" w:type="dxa"/>
          <w:right w:w="0" w:type="dxa"/>
        </w:tblCellMar>
        <w:tblLook w:val="01E0"/>
      </w:tblPr>
      <w:tblGrid>
        <w:gridCol w:w="2552"/>
        <w:gridCol w:w="2555"/>
        <w:gridCol w:w="2554"/>
      </w:tblGrid>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依</w:t>
            </w:r>
            <w:r>
              <w:rPr>
                <w:rFonts w:ascii="宋体" w:hAnsi="宋体" w:cs="宋体" w:eastAsia="宋体" w:hint="default"/>
                <w:spacing w:val="63"/>
                <w:sz w:val="21"/>
                <w:szCs w:val="21"/>
              </w:rPr>
              <w:t> </w:t>
            </w:r>
            <w:r>
              <w:rPr>
                <w:rFonts w:ascii="宋体" w:hAnsi="宋体" w:cs="宋体" w:eastAsia="宋体" w:hint="default"/>
                <w:sz w:val="21"/>
                <w:szCs w:val="21"/>
              </w:rPr>
              <w:t>据</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预计受益年限</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土地使用权证</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专利权有效期限</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4" w:right="0"/>
              <w:jc w:val="left"/>
              <w:rPr>
                <w:rFonts w:ascii="宋体" w:hAnsi="宋体" w:cs="宋体" w:eastAsia="宋体" w:hint="default"/>
                <w:sz w:val="21"/>
                <w:szCs w:val="21"/>
              </w:rPr>
            </w:pPr>
            <w:r>
              <w:rPr>
                <w:rFonts w:ascii="宋体" w:hAnsi="宋体" w:cs="宋体" w:eastAsia="宋体" w:hint="default"/>
                <w:sz w:val="21"/>
                <w:szCs w:val="21"/>
              </w:rPr>
              <w:t>预计受益年限</w:t>
            </w:r>
          </w:p>
        </w:tc>
      </w:tr>
    </w:tbl>
    <w:p>
      <w:pPr>
        <w:spacing w:line="400" w:lineRule="auto" w:before="63"/>
        <w:ind w:left="721" w:right="0"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、使用寿命不确定的无形资产的判断依据以及对其使用寿命进行复核的程序</w:t>
      </w:r>
      <w:r>
        <w:rPr>
          <w:rFonts w:ascii="宋体" w:hAnsi="宋体" w:cs="宋体" w:eastAsia="宋体" w:hint="default"/>
          <w:b/>
          <w:bCs/>
          <w:spacing w:val="44"/>
          <w:w w:val="95"/>
          <w:sz w:val="21"/>
          <w:szCs w:val="21"/>
        </w:rPr>
        <w:t> </w:t>
      </w:r>
      <w:r>
        <w:rPr>
          <w:rFonts w:ascii="宋体" w:hAnsi="宋体" w:cs="宋体" w:eastAsia="宋体" w:hint="default"/>
          <w:b/>
          <w:bCs/>
          <w:spacing w:val="44"/>
          <w:w w:val="95"/>
          <w:sz w:val="21"/>
          <w:szCs w:val="21"/>
        </w:rPr>
      </w:r>
      <w:r>
        <w:rPr>
          <w:rFonts w:ascii="宋体" w:hAnsi="宋体" w:cs="宋体" w:eastAsia="宋体" w:hint="default"/>
          <w:sz w:val="21"/>
          <w:szCs w:val="21"/>
        </w:rPr>
        <w:t>截至资产负债表日</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本公司没有使用寿命不确定的无形资产。</w:t>
      </w:r>
    </w:p>
    <w:p>
      <w:pPr>
        <w:spacing w:line="240" w:lineRule="auto" w:before="9"/>
        <w:rPr>
          <w:rFonts w:ascii="宋体" w:hAnsi="宋体" w:cs="宋体" w:eastAsia="宋体" w:hint="default"/>
          <w:sz w:val="18"/>
          <w:szCs w:val="18"/>
        </w:rPr>
      </w:pPr>
    </w:p>
    <w:p>
      <w:pPr>
        <w:pStyle w:val="Heading3"/>
        <w:spacing w:line="240" w:lineRule="auto"/>
        <w:ind w:left="153" w:right="0"/>
        <w:jc w:val="left"/>
        <w:rPr>
          <w:b w:val="0"/>
          <w:bCs w:val="0"/>
        </w:rPr>
      </w:pPr>
      <w:bookmarkStart w:name="（2）内部研究开发支出会计政策" w:id="170"/>
      <w:bookmarkEnd w:id="17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82" w:right="1128" w:hanging="4"/>
        <w:jc w:val="left"/>
      </w:pPr>
      <w:r>
        <w:rPr>
          <w:rFonts w:ascii="宋体" w:hAnsi="宋体" w:cs="宋体" w:eastAsia="宋体" w:hint="default"/>
          <w:b/>
          <w:bCs/>
        </w:rPr>
        <w:t>1</w:t>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spacing w:line="408" w:lineRule="auto" w:before="46"/>
        <w:ind w:left="578" w:right="5443" w:hanging="365"/>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 </w:t>
      </w:r>
      <w:r>
        <w:rPr>
          <w:rFonts w:ascii="宋体" w:hAnsi="宋体" w:cs="宋体" w:eastAsia="宋体" w:hint="default"/>
          <w:b/>
          <w:bCs/>
          <w:sz w:val="21"/>
          <w:szCs w:val="21"/>
        </w:rPr>
        <w:t>2</w:t>
      </w:r>
      <w:r>
        <w:rPr>
          <w:rFonts w:ascii="宋体" w:hAnsi="宋体" w:cs="宋体" w:eastAsia="宋体" w:hint="default"/>
          <w:b/>
          <w:bCs/>
          <w:sz w:val="21"/>
          <w:szCs w:val="21"/>
        </w:rPr>
        <w:t>、开发阶段支出符合资本化的具体标准</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240" w:lineRule="auto" w:before="174"/>
        <w:ind w:left="582" w:right="0"/>
        <w:jc w:val="left"/>
      </w:pPr>
      <w:r>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pStyle w:val="BodyText"/>
        <w:spacing w:line="240" w:lineRule="auto" w:before="0"/>
        <w:ind w:left="522" w:right="0"/>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22" w:right="0"/>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1130" w:firstLine="368"/>
        <w:jc w:val="left"/>
      </w:pPr>
      <w:r>
        <w:rPr>
          <w:spacing w:val="-2"/>
        </w:rPr>
        <w:t>（</w:t>
      </w:r>
      <w:r>
        <w:rPr>
          <w:rFonts w:ascii="宋体" w:hAnsi="宋体" w:cs="宋体" w:eastAsia="宋体" w:hint="default"/>
          <w:spacing w:val="-2"/>
        </w:rPr>
        <w:t>3</w:t>
      </w:r>
      <w:r>
        <w:rPr>
          <w:spacing w:val="-2"/>
        </w:rPr>
        <w:t>）无形资产产生经济利益的方式，包括能够证明运用该无形资产生产的产品存在市场或无形资产自</w:t>
      </w:r>
      <w:r>
        <w:rPr/>
        <w:t> 身存在市场，无形资产将在内部使用的，能够证明其有用性；</w:t>
      </w:r>
    </w:p>
    <w:p>
      <w:pPr>
        <w:pStyle w:val="BodyText"/>
        <w:spacing w:line="408" w:lineRule="auto"/>
        <w:ind w:right="1130" w:firstLine="368"/>
        <w:jc w:val="left"/>
      </w:pPr>
      <w:r>
        <w:rPr>
          <w:spacing w:val="-2"/>
        </w:rPr>
        <w:t>（</w:t>
      </w:r>
      <w:r>
        <w:rPr>
          <w:rFonts w:ascii="宋体" w:hAnsi="宋体" w:cs="宋体" w:eastAsia="宋体" w:hint="default"/>
          <w:spacing w:val="-2"/>
        </w:rPr>
        <w:t>4</w:t>
      </w:r>
      <w:r>
        <w:rPr>
          <w:spacing w:val="-2"/>
        </w:rPr>
        <w:t>）有足够的技术、财务资源和其他资源支持，以完成该无形资产的开发，并有能力使用或出售该无</w:t>
      </w:r>
      <w:r>
        <w:rPr/>
        <w:t> 形资产；</w:t>
      </w:r>
    </w:p>
    <w:p>
      <w:pPr>
        <w:pStyle w:val="BodyText"/>
        <w:spacing w:line="408" w:lineRule="auto"/>
        <w:ind w:left="522" w:right="0"/>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w:t>
      </w:r>
    </w:p>
    <w:p>
      <w:pPr>
        <w:pStyle w:val="BodyText"/>
        <w:spacing w:line="240" w:lineRule="auto"/>
        <w:ind w:right="0"/>
        <w:jc w:val="both"/>
      </w:pPr>
      <w:r>
        <w:rPr/>
        <w:t>期损益。</w:t>
      </w:r>
    </w:p>
    <w:p>
      <w:pPr>
        <w:pStyle w:val="BodyText"/>
        <w:spacing w:line="670" w:lineRule="atLeast" w:before="37"/>
        <w:ind w:left="577" w:right="0" w:hanging="424"/>
        <w:jc w:val="left"/>
      </w:pPr>
      <w:bookmarkStart w:name="17、长期资产减值" w:id="171"/>
      <w:bookmarkEnd w:id="171"/>
      <w:r>
        <w:rPr/>
      </w:r>
      <w:r>
        <w:rPr>
          <w:rFonts w:ascii="Times New Roman" w:hAnsi="Times New Roman" w:cs="Times New Roman" w:eastAsia="Times New Roman" w:hint="default"/>
          <w:b/>
          <w:bCs/>
        </w:rPr>
        <w:t>17</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长期股权投资、采用成本模式计量的投资性房地产、固定资产、在建工程、无形资产等长期资产，于</w:t>
      </w:r>
    </w:p>
    <w:p>
      <w:pPr>
        <w:spacing w:line="240" w:lineRule="auto" w:before="10"/>
        <w:rPr>
          <w:rFonts w:ascii="宋体" w:hAnsi="宋体" w:cs="宋体" w:eastAsia="宋体" w:hint="default"/>
          <w:sz w:val="14"/>
          <w:szCs w:val="14"/>
        </w:rPr>
      </w:pPr>
    </w:p>
    <w:p>
      <w:pPr>
        <w:pStyle w:val="BodyText"/>
        <w:spacing w:line="408" w:lineRule="auto" w:before="0"/>
        <w:ind w:left="154" w:right="1109"/>
        <w:jc w:val="both"/>
      </w:pPr>
      <w:r>
        <w:rPr/>
        <w:t>资产负债表日存在减值迹象的，进行减值测试。减值测试结果表明资产的可收回金额低于其账面价值的， </w:t>
      </w:r>
      <w:r>
        <w:rPr>
          <w:spacing w:val="-1"/>
        </w:rPr>
        <w:t>按其差额计提减值准备并计入减值损失。可收回金额为资产的公允价值减去处置费用后的净额与资产预计</w:t>
      </w:r>
      <w:r>
        <w:rPr>
          <w:spacing w:val="-81"/>
        </w:rPr>
        <w:t> </w:t>
      </w:r>
      <w:r>
        <w:rPr>
          <w:spacing w:val="-81"/>
        </w:rPr>
      </w:r>
      <w:r>
        <w:rPr>
          <w:spacing w:val="-1"/>
        </w:rPr>
        <w:t>未来现金流量的现值两者之间的较高者。资产减值准备按单项资产为基础计算并确认，如果难以对单项资</w:t>
      </w:r>
      <w:r>
        <w:rPr>
          <w:spacing w:val="-81"/>
        </w:rPr>
        <w:t> </w:t>
      </w:r>
      <w:r>
        <w:rPr>
          <w:spacing w:val="-81"/>
        </w:rPr>
      </w:r>
      <w:r>
        <w:rPr>
          <w:spacing w:val="-1"/>
        </w:rPr>
        <w:t>产的可收回金额进行估计的，以该资产所属的资产组确定资产组的可收回金额。资产组是能够独立产生现</w:t>
      </w:r>
      <w:r>
        <w:rPr>
          <w:spacing w:val="-81"/>
        </w:rPr>
        <w:t> </w:t>
      </w:r>
      <w:r>
        <w:rPr>
          <w:spacing w:val="-81"/>
        </w:rPr>
      </w:r>
      <w:r>
        <w:rPr/>
        <w:t>金流入的最小资产组合。</w:t>
      </w:r>
    </w:p>
    <w:p>
      <w:pPr>
        <w:pStyle w:val="BodyText"/>
        <w:spacing w:line="408" w:lineRule="auto"/>
        <w:ind w:left="577"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408" w:lineRule="auto"/>
        <w:ind w:right="1131"/>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408" w:lineRule="auto"/>
        <w:ind w:right="1010" w:firstLine="423"/>
        <w:jc w:val="left"/>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r>
        <w:rPr>
          <w:spacing w:val="-22"/>
        </w:rPr>
        <w:t> </w:t>
      </w:r>
      <w:r>
        <w:rPr/>
        <w:t>上述资产减值损失一经确认，</w:t>
      </w:r>
      <w:r>
        <w:rPr/>
        <w:t> 在以后会计期间不予转回。</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8、长期待摊费用" w:id="172"/>
      <w:bookmarkEnd w:id="172"/>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0" w:firstLine="423"/>
        <w:jc w:val="left"/>
      </w:pPr>
      <w:r>
        <w:rPr>
          <w:spacing w:val="-1"/>
        </w:rPr>
        <w:t>长期待摊费用为已经发生但应由本期和以后各期负担的分摊期限在一年以上的各项费用。本公司长期</w:t>
      </w:r>
      <w:r>
        <w:rPr/>
        <w:t> 待摊费用包括装修费。</w:t>
      </w:r>
    </w:p>
    <w:p>
      <w:pPr>
        <w:spacing w:line="408" w:lineRule="auto" w:before="46"/>
        <w:ind w:left="577" w:right="6969"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 </w:t>
      </w:r>
      <w:r>
        <w:rPr>
          <w:rFonts w:ascii="宋体" w:hAnsi="宋体" w:cs="宋体" w:eastAsia="宋体"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sz w:val="21"/>
          <w:szCs w:val="21"/>
        </w:rPr>
      </w:r>
    </w:p>
    <w:p>
      <w:pPr>
        <w:pStyle w:val="BodyText"/>
        <w:spacing w:line="240" w:lineRule="auto"/>
        <w:ind w:left="577" w:right="0"/>
        <w:jc w:val="left"/>
      </w:pPr>
      <w:r>
        <w:rPr/>
        <w:t>装修费按照预计可使用年限和剩余租赁期限孰短原则确认摊销年限。</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19、职工薪酬" w:id="173"/>
      <w:bookmarkEnd w:id="173"/>
      <w:r>
        <w:rPr>
          <w:b w:val="0"/>
          <w:bCs w:val="0"/>
        </w:rPr>
      </w:r>
      <w:r>
        <w:rPr>
          <w:rFonts w:ascii="Times New Roman" w:hAnsi="Times New Roman" w:cs="Times New Roman" w:eastAsia="Times New Roman" w:hint="default"/>
        </w:rPr>
        <w:t>19</w:t>
      </w:r>
      <w:r>
        <w:rPr/>
        <w:t>、职工薪酬</w:t>
      </w:r>
      <w:r>
        <w:rPr>
          <w:b w:val="0"/>
          <w:bCs w:val="0"/>
        </w:rPr>
      </w:r>
    </w:p>
    <w:p>
      <w:pPr>
        <w:spacing w:line="690" w:lineRule="exact" w:before="15"/>
        <w:ind w:left="577" w:right="0" w:hanging="424"/>
        <w:jc w:val="left"/>
        <w:rPr>
          <w:rFonts w:ascii="宋体" w:hAnsi="宋体" w:cs="宋体" w:eastAsia="宋体" w:hint="default"/>
          <w:sz w:val="21"/>
          <w:szCs w:val="21"/>
        </w:rPr>
      </w:pPr>
      <w:bookmarkStart w:name="（1）短期薪酬的会计处理方法" w:id="174"/>
      <w:bookmarkEnd w:id="1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408" w:lineRule="auto" w:before="84"/>
        <w:ind w:left="577" w:right="1118" w:hanging="424"/>
        <w:jc w:val="left"/>
      </w:pPr>
      <w:r>
        <w:rPr/>
        <w:t>相关资产成本。 </w:t>
      </w:r>
      <w:r>
        <w:rPr>
          <w:spacing w:val="-1"/>
        </w:rPr>
        <w:t>本公司为职工缴纳的社会保险费和住房公积金，以及按规定提取的工会经费和职工教育经费，在职工</w:t>
      </w:r>
    </w:p>
    <w:p>
      <w:pPr>
        <w:pStyle w:val="BodyText"/>
        <w:spacing w:line="408" w:lineRule="auto"/>
        <w:ind w:left="577" w:right="1933" w:hanging="424"/>
        <w:jc w:val="left"/>
      </w:pPr>
      <w:r>
        <w:rPr/>
        <w:t>为本公司提供服务的会计期间，根据规定的计提基础和计提比例计算确定相应的职工薪酬金额。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离职后福利的会计处理方法" w:id="175"/>
      <w:bookmarkEnd w:id="17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18" w:right="0" w:firstLine="60"/>
        <w:jc w:val="left"/>
      </w:pPr>
      <w:r>
        <w:rPr/>
        <w:t>设定提存计划 本公司按当地政府的相关规定为职工缴纳基本养老保险和失业保险，在职工为本公司提供服务的会计</w:t>
      </w:r>
    </w:p>
    <w:p>
      <w:pPr>
        <w:pStyle w:val="BodyText"/>
        <w:spacing w:line="240" w:lineRule="auto"/>
        <w:ind w:left="154" w:right="0"/>
        <w:jc w:val="left"/>
      </w:pPr>
      <w:r>
        <w:rPr/>
        <w:t>期间，按以当地规定的缴纳基数和比例计算应缴纳金额，确认为负债，并计入当期损益或相关资产成本。</w:t>
      </w:r>
    </w:p>
    <w:p>
      <w:pPr>
        <w:spacing w:line="670" w:lineRule="atLeast" w:before="37"/>
        <w:ind w:left="577" w:right="0" w:hanging="424"/>
        <w:jc w:val="left"/>
        <w:rPr>
          <w:rFonts w:ascii="宋体" w:hAnsi="宋体" w:cs="宋体" w:eastAsia="宋体" w:hint="default"/>
          <w:sz w:val="21"/>
          <w:szCs w:val="21"/>
        </w:rPr>
      </w:pPr>
      <w:bookmarkStart w:name="（3）辞退福利的会计处理方法"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20、收入" w:id="177"/>
      <w:bookmarkEnd w:id="177"/>
      <w:r>
        <w:rPr>
          <w:b w:val="0"/>
          <w:bCs w:val="0"/>
        </w:rPr>
      </w:r>
      <w:r>
        <w:rPr>
          <w:rFonts w:ascii="Times New Roman" w:hAnsi="Times New Roman" w:cs="Times New Roman" w:eastAsia="Times New Roman" w:hint="default"/>
        </w:rPr>
        <w:t>20</w:t>
      </w:r>
      <w:r>
        <w:rPr/>
        <w:t>、收入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6" w:right="1510" w:firstLine="1"/>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）销售商品收入的确认一般原则</w:t>
      </w:r>
      <w:r>
        <w:rPr>
          <w:rFonts w:ascii="宋体" w:hAnsi="宋体" w:cs="宋体" w:eastAsia="宋体" w:hint="default"/>
          <w:b/>
          <w:bCs/>
          <w:w w:val="99"/>
        </w:rPr>
        <w:t> </w:t>
      </w:r>
      <w:r>
        <w:rPr>
          <w:rFonts w:ascii="宋体" w:hAnsi="宋体" w:cs="宋体" w:eastAsia="宋体" w:hint="default"/>
        </w:rPr>
        <w:t>a.</w:t>
      </w:r>
      <w:r>
        <w:rPr/>
        <w:t>本公司已将商品所有权上的主要风险和报酬转移给购货方； </w:t>
      </w:r>
      <w:r>
        <w:rPr>
          <w:rFonts w:ascii="宋体" w:hAnsi="宋体" w:cs="宋体" w:eastAsia="宋体" w:hint="default"/>
        </w:rPr>
        <w:t>b.</w:t>
      </w:r>
      <w:r>
        <w:rPr/>
        <w:t>本公司既没有保留通常与所有权相联系的继续管理权，也没有对已售出的商品实施有效控制；</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6" w:right="5500"/>
        <w:jc w:val="left"/>
      </w:pPr>
      <w:r>
        <w:rPr>
          <w:rFonts w:ascii="宋体" w:hAnsi="宋体" w:cs="宋体" w:eastAsia="宋体" w:hint="default"/>
        </w:rPr>
        <w:t>c.</w:t>
      </w:r>
      <w:r>
        <w:rPr/>
        <w:t>收入的金额能够可靠地计量； </w:t>
      </w:r>
      <w:r>
        <w:rPr>
          <w:rFonts w:ascii="宋体" w:hAnsi="宋体" w:cs="宋体" w:eastAsia="宋体" w:hint="default"/>
        </w:rPr>
        <w:t>d.</w:t>
      </w:r>
      <w:r>
        <w:rPr/>
        <w:t>相关的经济利益很可能流入本公司； </w:t>
      </w:r>
      <w:r>
        <w:rPr>
          <w:rFonts w:ascii="宋体" w:hAnsi="宋体" w:cs="宋体" w:eastAsia="宋体" w:hint="default"/>
        </w:rPr>
        <w:t>e.</w:t>
      </w:r>
      <w:r>
        <w:rPr/>
        <w:t>相关的、已发生或将发生的成本能够可靠地计量。</w:t>
      </w:r>
    </w:p>
    <w:p>
      <w:pPr>
        <w:spacing w:line="408" w:lineRule="auto" w:before="46"/>
        <w:ind w:left="576"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）确认让渡资产使用权收入确认和计量的总体原则</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408" w:lineRule="auto"/>
        <w:ind w:left="576" w:right="3190" w:hanging="423"/>
        <w:jc w:val="left"/>
      </w:pPr>
      <w:r>
        <w:rPr/>
        <w:t>使用权收入金额： </w:t>
      </w:r>
      <w:r>
        <w:rPr>
          <w:rFonts w:ascii="宋体" w:hAnsi="宋体" w:cs="宋体" w:eastAsia="宋体" w:hint="default"/>
        </w:rPr>
        <w:t>a.</w:t>
      </w:r>
      <w:r>
        <w:rPr/>
        <w:t>利息收入金额，按照他人使用本企业货币资金的时间和实际利率计算确定。 </w:t>
      </w:r>
      <w:r>
        <w:rPr>
          <w:rFonts w:ascii="宋体" w:hAnsi="宋体" w:cs="宋体" w:eastAsia="宋体" w:hint="default"/>
        </w:rPr>
        <w:t>b.</w:t>
      </w:r>
      <w:r>
        <w:rPr/>
        <w:t>使用费收入金额，按照有关合同或协议约定的收费时间和方法计算确定。</w:t>
      </w:r>
    </w:p>
    <w:p>
      <w:pPr>
        <w:spacing w:line="408" w:lineRule="auto" w:before="46"/>
        <w:ind w:left="576"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）按完工百分比法确认提供劳务的收入和建造合同收入的确认和计量的总体原则</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408" w:lineRule="auto"/>
        <w:ind w:left="576" w:right="0" w:hanging="423"/>
        <w:jc w:val="left"/>
      </w:pPr>
      <w:r>
        <w:rPr/>
        <w:t>务交易的完工进度，依据已完工作的测量确定。 </w:t>
      </w:r>
      <w:r>
        <w:rPr>
          <w:spacing w:val="-1"/>
        </w:rPr>
        <w:t>按照已收或应收的合同或协议价款确定提供劳务收入总额，但已收或应收的合同或协议价款不公允的</w:t>
      </w:r>
    </w:p>
    <w:p>
      <w:pPr>
        <w:pStyle w:val="BodyText"/>
        <w:spacing w:line="408" w:lineRule="auto"/>
        <w:ind w:left="154" w:right="1131"/>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408" w:lineRule="auto"/>
        <w:ind w:left="576" w:right="0"/>
        <w:jc w:val="left"/>
      </w:pPr>
      <w:r>
        <w:rPr/>
        <w:t>在资产负债表日提供劳务交易结果不能够可靠估计的，分别下列情况处理： </w:t>
      </w:r>
      <w:r>
        <w:rPr>
          <w:rFonts w:ascii="宋体" w:hAnsi="宋体" w:cs="宋体" w:eastAsia="宋体" w:hint="default"/>
          <w:spacing w:val="-1"/>
        </w:rPr>
        <w:t>a.</w:t>
      </w:r>
      <w:r>
        <w:rPr>
          <w:spacing w:val="-1"/>
        </w:rPr>
        <w:t>已经发生的劳务成本预计能够得到补偿的，按照已经发生的劳务成本金额确认提供劳务收入，并按</w:t>
      </w:r>
    </w:p>
    <w:p>
      <w:pPr>
        <w:pStyle w:val="BodyText"/>
        <w:spacing w:line="408" w:lineRule="auto"/>
        <w:ind w:left="576" w:right="0" w:hanging="423"/>
        <w:jc w:val="left"/>
      </w:pPr>
      <w:r>
        <w:rPr/>
        <w:t>相同金额结转劳务成本。 </w:t>
      </w:r>
      <w:r>
        <w:rPr>
          <w:rFonts w:ascii="宋体" w:hAnsi="宋体" w:cs="宋体" w:eastAsia="宋体" w:hint="default"/>
          <w:spacing w:val="-1"/>
        </w:rPr>
        <w:t>b.</w:t>
      </w:r>
      <w:r>
        <w:rPr>
          <w:spacing w:val="-1"/>
        </w:rPr>
        <w:t>已经发生的劳务成本预计不能够得到补偿的，将已经发生的劳务成本计入当期损益，不确认提供劳</w:t>
      </w:r>
    </w:p>
    <w:p>
      <w:pPr>
        <w:pStyle w:val="BodyText"/>
        <w:spacing w:line="240" w:lineRule="auto"/>
        <w:ind w:right="0"/>
        <w:jc w:val="left"/>
      </w:pPr>
      <w:r>
        <w:rPr/>
        <w:t>务收入。</w:t>
      </w:r>
    </w:p>
    <w:p>
      <w:pPr>
        <w:spacing w:line="240" w:lineRule="auto" w:before="10"/>
        <w:rPr>
          <w:rFonts w:ascii="宋体" w:hAnsi="宋体" w:cs="宋体" w:eastAsia="宋体" w:hint="default"/>
          <w:sz w:val="14"/>
          <w:szCs w:val="14"/>
        </w:rPr>
      </w:pPr>
    </w:p>
    <w:p>
      <w:pPr>
        <w:spacing w:line="408" w:lineRule="auto" w:before="0"/>
        <w:ind w:left="576" w:right="0" w:firstLine="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）本公司收入确认的确认标准及收入确认时间的具体判断标准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公司主营业务为应用软件开发、技术服务及相关的计算机信息系统集成服务。。包括集成服务、技术</w:t>
      </w:r>
    </w:p>
    <w:p>
      <w:pPr>
        <w:pStyle w:val="BodyText"/>
        <w:spacing w:line="408" w:lineRule="auto"/>
        <w:ind w:left="576" w:right="0" w:hanging="423"/>
        <w:jc w:val="left"/>
      </w:pPr>
      <w:r>
        <w:rPr/>
        <w:t>服务、软件产品销售、硬件销售、合作运营，各类业务销售收入确认的具体方法如下： </w:t>
      </w:r>
      <w:r>
        <w:rPr>
          <w:rFonts w:ascii="宋体" w:hAnsi="宋体" w:cs="宋体" w:eastAsia="宋体" w:hint="default"/>
          <w:spacing w:val="-1"/>
        </w:rPr>
        <w:t>a.</w:t>
      </w:r>
      <w:r>
        <w:rPr>
          <w:spacing w:val="-1"/>
        </w:rPr>
        <w:t>集成服务收入：主要包括</w:t>
      </w:r>
      <w:r>
        <w:rPr>
          <w:rFonts w:ascii="宋体" w:hAnsi="宋体" w:cs="宋体" w:eastAsia="宋体" w:hint="default"/>
          <w:spacing w:val="-1"/>
        </w:rPr>
        <w:t>IT</w:t>
      </w:r>
      <w:r>
        <w:rPr>
          <w:spacing w:val="-1"/>
        </w:rPr>
        <w:t>硬件设备供货，</w:t>
      </w:r>
      <w:r>
        <w:rPr>
          <w:rFonts w:ascii="宋体" w:hAnsi="宋体" w:cs="宋体" w:eastAsia="宋体" w:hint="default"/>
          <w:spacing w:val="-1"/>
        </w:rPr>
        <w:t>IT</w:t>
      </w:r>
      <w:r>
        <w:rPr>
          <w:spacing w:val="-1"/>
        </w:rPr>
        <w:t>硬件设备的安装、调试业务收入。按合同约定在产品</w:t>
      </w:r>
    </w:p>
    <w:p>
      <w:pPr>
        <w:pStyle w:val="BodyText"/>
        <w:spacing w:line="408" w:lineRule="auto"/>
        <w:ind w:left="576" w:right="1018" w:hanging="423"/>
        <w:jc w:val="left"/>
      </w:pPr>
      <w:r>
        <w:rPr/>
        <w:t>交付购货方，并经对方验收合格后确认收入。 </w:t>
      </w:r>
      <w:r>
        <w:rPr>
          <w:rFonts w:ascii="宋体" w:hAnsi="宋体" w:cs="宋体" w:eastAsia="宋体" w:hint="default"/>
          <w:spacing w:val="-3"/>
        </w:rPr>
        <w:t>b.</w:t>
      </w:r>
      <w:r>
        <w:rPr>
          <w:spacing w:val="-3"/>
        </w:rPr>
        <w:t>技术服务收入：主要包括为用户提供技术开发、技术咨询、技术服务、技术培训等业务取得的收入。</w:t>
      </w:r>
    </w:p>
    <w:p>
      <w:pPr>
        <w:pStyle w:val="BodyText"/>
        <w:spacing w:line="408" w:lineRule="auto"/>
        <w:ind w:left="154" w:right="1131"/>
        <w:jc w:val="both"/>
      </w:pPr>
      <w:r>
        <w:rPr>
          <w:spacing w:val="-1"/>
        </w:rPr>
        <w:t>按合同约定提供服务完成并经对方验收合格后，或服务期满后确认收入。技术开发收入按合同约定开发进</w:t>
      </w:r>
      <w:r>
        <w:rPr>
          <w:spacing w:val="-81"/>
        </w:rPr>
        <w:t> </w:t>
      </w:r>
      <w:r>
        <w:rPr>
          <w:spacing w:val="-81"/>
        </w:rPr>
      </w:r>
      <w:r>
        <w:rPr/>
        <w:t>度，并经对方阶段验收合格后按进度确认收入。</w:t>
      </w:r>
    </w:p>
    <w:p>
      <w:pPr>
        <w:pStyle w:val="BodyText"/>
        <w:spacing w:line="408" w:lineRule="auto"/>
        <w:ind w:left="154" w:right="0" w:firstLine="422"/>
        <w:jc w:val="left"/>
      </w:pPr>
      <w:r>
        <w:rPr>
          <w:rFonts w:ascii="宋体" w:hAnsi="宋体" w:cs="宋体" w:eastAsia="宋体" w:hint="default"/>
          <w:spacing w:val="-1"/>
        </w:rPr>
        <w:t>c.</w:t>
      </w:r>
      <w:r>
        <w:rPr>
          <w:spacing w:val="-1"/>
        </w:rPr>
        <w:t>软件产品销售收入：按合同约定，需安装调试的，在安装调试完成、投入运行并经对方验收合格后</w:t>
      </w:r>
      <w:r>
        <w:rPr/>
        <w:t> 确认收入；不需安装的，于产品发出且到货验收合格后确认收入。</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2"/>
        <w:jc w:val="both"/>
      </w:pPr>
      <w:r>
        <w:rPr>
          <w:rFonts w:ascii="宋体" w:hAnsi="宋体" w:cs="宋体" w:eastAsia="宋体" w:hint="default"/>
          <w:spacing w:val="-1"/>
        </w:rPr>
        <w:t>d.</w:t>
      </w:r>
      <w:r>
        <w:rPr>
          <w:spacing w:val="-1"/>
        </w:rPr>
        <w:t>硬件销售收入：按合同约定，需开通上线的，在设备开通上线，经对方验收确认后确认收入；不需</w:t>
      </w:r>
      <w:r>
        <w:rPr/>
        <w:t> 开通上线的，于产品发出且到货验收合格后确认收入。</w:t>
      </w:r>
    </w:p>
    <w:p>
      <w:pPr>
        <w:pStyle w:val="BodyText"/>
        <w:spacing w:line="240" w:lineRule="auto"/>
        <w:ind w:left="576" w:right="0"/>
        <w:jc w:val="left"/>
      </w:pPr>
      <w:r>
        <w:rPr>
          <w:rFonts w:ascii="宋体" w:hAnsi="宋体" w:cs="宋体" w:eastAsia="宋体" w:hint="default"/>
        </w:rPr>
        <w:t>e.</w:t>
      </w:r>
      <w:r>
        <w:rPr/>
        <w:t>合作运营：在每个运营期，依据合同约定比例以及经确认的交易金额，予以确认收入。</w:t>
      </w:r>
    </w:p>
    <w:p>
      <w:pPr>
        <w:spacing w:line="240" w:lineRule="auto" w:before="0"/>
        <w:rPr>
          <w:rFonts w:ascii="宋体" w:hAnsi="宋体" w:cs="宋体" w:eastAsia="宋体" w:hint="default"/>
          <w:sz w:val="20"/>
          <w:szCs w:val="20"/>
        </w:rPr>
      </w:pPr>
    </w:p>
    <w:p>
      <w:pPr>
        <w:pStyle w:val="Heading3"/>
        <w:spacing w:line="240" w:lineRule="auto" w:before="155"/>
        <w:ind w:left="153" w:right="0"/>
        <w:jc w:val="left"/>
        <w:rPr>
          <w:b w:val="0"/>
          <w:bCs w:val="0"/>
        </w:rPr>
      </w:pPr>
      <w:bookmarkStart w:name="21、政府补助" w:id="178"/>
      <w:bookmarkEnd w:id="178"/>
      <w:r>
        <w:rPr>
          <w:b w:val="0"/>
          <w:bCs w:val="0"/>
        </w:rPr>
      </w:r>
      <w:r>
        <w:rPr>
          <w:rFonts w:ascii="Times New Roman" w:hAnsi="Times New Roman" w:cs="Times New Roman" w:eastAsia="Times New Roman" w:hint="default"/>
        </w:rPr>
        <w:t>21</w:t>
      </w:r>
      <w:r>
        <w:rPr/>
        <w:t>、政府补助</w:t>
      </w:r>
      <w:r>
        <w:rPr>
          <w:b w:val="0"/>
          <w:bCs w:val="0"/>
        </w:rPr>
      </w:r>
    </w:p>
    <w:p>
      <w:pPr>
        <w:pStyle w:val="Heading3"/>
        <w:spacing w:line="690" w:lineRule="exact" w:before="15"/>
        <w:ind w:left="577" w:right="5799" w:hanging="424"/>
        <w:jc w:val="left"/>
        <w:rPr>
          <w:b w:val="0"/>
          <w:bCs w:val="0"/>
        </w:rPr>
      </w:pPr>
      <w:bookmarkStart w:name="（1）与资产相关的政府补助判断依据及会计处理方法" w:id="179"/>
      <w:bookmarkEnd w:id="179"/>
      <w:r>
        <w:rPr>
          <w:b w:val="0"/>
          <w:bCs w:val="0"/>
        </w:rPr>
      </w:r>
      <w:r>
        <w:rPr/>
        <w:t>（</w:t>
      </w:r>
      <w:r>
        <w:rPr>
          <w:rFonts w:ascii="Times New Roman" w:hAnsi="Times New Roman" w:cs="Times New Roman" w:eastAsia="Times New Roman" w:hint="default"/>
        </w:rPr>
        <w:t>1</w:t>
      </w:r>
      <w:r>
        <w:rPr/>
        <w:t>）与资产相关的政府补助判断依据及会计处理方法</w:t>
      </w:r>
      <w:r>
        <w:rPr>
          <w:w w:val="99"/>
        </w:rPr>
        <w:t> </w:t>
      </w:r>
      <w:r>
        <w:rPr>
          <w:rFonts w:ascii="宋体" w:hAnsi="宋体" w:cs="宋体" w:eastAsia="宋体" w:hint="default"/>
        </w:rPr>
        <w:t>A.</w:t>
      </w:r>
      <w:r>
        <w:rPr/>
        <w:t>类型</w:t>
      </w:r>
      <w:r>
        <w:rPr>
          <w:b w:val="0"/>
          <w:bCs w:val="0"/>
        </w:rPr>
      </w:r>
    </w:p>
    <w:p>
      <w:pPr>
        <w:pStyle w:val="BodyText"/>
        <w:spacing w:line="408" w:lineRule="auto" w:before="84"/>
        <w:ind w:left="154" w:right="1131" w:firstLine="422"/>
        <w:jc w:val="both"/>
      </w:pPr>
      <w:r>
        <w:rPr>
          <w:spacing w:val="-1"/>
        </w:rPr>
        <w:t>政府补助，是本公司从政府无偿取得的货币性资产与非货币性资产。分为与资产相关的政府补助和与</w:t>
      </w:r>
      <w:r>
        <w:rPr/>
        <w:t> 收益相关的政府补助。</w:t>
      </w:r>
    </w:p>
    <w:p>
      <w:pPr>
        <w:pStyle w:val="BodyText"/>
        <w:spacing w:line="408" w:lineRule="auto"/>
        <w:ind w:left="154" w:right="1130" w:firstLine="422"/>
        <w:jc w:val="both"/>
      </w:pPr>
      <w:r>
        <w:rPr>
          <w:spacing w:val="-1"/>
        </w:rPr>
        <w:t>与资产相关的政府补助，是指企业取得的、用于购建或以其他方式形成长期资产的政府补助，包括购</w:t>
      </w:r>
      <w:r>
        <w:rPr/>
        <w:t> </w:t>
      </w:r>
      <w:r>
        <w:rPr>
          <w:spacing w:val="-1"/>
        </w:rPr>
        <w:t>买固定资产或无形资产的财政拨款、固定资产专门借款的财政贴息等。与收益相关的政府补助，是指除与</w:t>
      </w:r>
      <w:r>
        <w:rPr>
          <w:spacing w:val="-82"/>
        </w:rPr>
        <w:t> </w:t>
      </w:r>
      <w:r>
        <w:rPr>
          <w:spacing w:val="-82"/>
        </w:rPr>
      </w:r>
      <w:r>
        <w:rPr/>
        <w:t>资产相关的政府补助之外的政府补助。</w:t>
      </w:r>
    </w:p>
    <w:p>
      <w:pPr>
        <w:pStyle w:val="BodyText"/>
        <w:spacing w:line="408" w:lineRule="auto"/>
        <w:ind w:left="154" w:right="1131" w:firstLine="422"/>
        <w:jc w:val="both"/>
      </w:pPr>
      <w:r>
        <w:rPr>
          <w:spacing w:val="-1"/>
        </w:rPr>
        <w:t>本公司将政府补助划分为与资产相关的具体标准为：企业取得的，用于购建或以其他方式形成长期资</w:t>
      </w:r>
      <w:r>
        <w:rPr/>
        <w:t> 产的政府补助；</w:t>
      </w:r>
    </w:p>
    <w:p>
      <w:pPr>
        <w:pStyle w:val="BodyText"/>
        <w:spacing w:line="408" w:lineRule="auto"/>
        <w:ind w:left="576" w:right="0"/>
        <w:jc w:val="left"/>
      </w:pPr>
      <w:r>
        <w:rPr/>
        <w:t>本公司将政府补助划分为与收益相关的具体标准为：除与资产相关的政府补助之外的政府补助； </w:t>
      </w:r>
      <w:r>
        <w:rPr>
          <w:spacing w:val="-1"/>
        </w:rPr>
        <w:t>对于政府文件未明确规定补助对象的，本公司将该政府补助划分为与资产相关或与收益相关的判断依</w:t>
      </w:r>
    </w:p>
    <w:p>
      <w:pPr>
        <w:spacing w:line="408" w:lineRule="auto" w:before="46"/>
        <w:ind w:left="577" w:right="6133" w:hanging="424"/>
        <w:jc w:val="left"/>
        <w:rPr>
          <w:rFonts w:ascii="宋体" w:hAnsi="宋体" w:cs="宋体" w:eastAsia="宋体" w:hint="default"/>
          <w:sz w:val="21"/>
          <w:szCs w:val="21"/>
        </w:rPr>
      </w:pPr>
      <w:r>
        <w:rPr>
          <w:rFonts w:ascii="宋体" w:hAnsi="宋体" w:cs="宋体" w:eastAsia="宋体" w:hint="default"/>
          <w:sz w:val="21"/>
          <w:szCs w:val="21"/>
        </w:rPr>
        <w:t>据为：是否用于购建或以其他方式形成长期资产； </w:t>
      </w:r>
      <w:r>
        <w:rPr>
          <w:rFonts w:ascii="宋体" w:hAnsi="宋体" w:cs="宋体" w:eastAsia="宋体" w:hint="default"/>
          <w:b/>
          <w:bCs/>
          <w:sz w:val="21"/>
          <w:szCs w:val="21"/>
        </w:rPr>
        <w:t>B.</w:t>
      </w:r>
      <w:r>
        <w:rPr>
          <w:rFonts w:ascii="宋体" w:hAnsi="宋体" w:cs="宋体" w:eastAsia="宋体" w:hint="default"/>
          <w:b/>
          <w:bCs/>
          <w:sz w:val="21"/>
          <w:szCs w:val="21"/>
        </w:rPr>
        <w:t>会计处理</w:t>
      </w:r>
      <w:r>
        <w:rPr>
          <w:rFonts w:ascii="宋体" w:hAnsi="宋体" w:cs="宋体" w:eastAsia="宋体" w:hint="default"/>
          <w:sz w:val="21"/>
          <w:szCs w:val="21"/>
        </w:rPr>
      </w:r>
    </w:p>
    <w:p>
      <w:pPr>
        <w:pStyle w:val="BodyText"/>
        <w:spacing w:line="408" w:lineRule="auto"/>
        <w:ind w:right="1133" w:firstLine="422"/>
        <w:jc w:val="both"/>
      </w:pPr>
      <w:r>
        <w:rPr>
          <w:spacing w:val="-1"/>
        </w:rPr>
        <w:t>与购建固定资产、无形资产等长期资产相关的政府补助，确认为递延收益，按照所建造或购买的资产</w:t>
      </w:r>
      <w:r>
        <w:rPr/>
        <w:t> 使用年限分期计入营业外收入；</w:t>
      </w:r>
    </w:p>
    <w:p>
      <w:pPr>
        <w:pStyle w:val="BodyText"/>
        <w:spacing w:line="408" w:lineRule="auto"/>
        <w:ind w:right="1131" w:firstLine="422"/>
        <w:jc w:val="both"/>
      </w:pPr>
      <w:r>
        <w:rPr>
          <w:spacing w:val="-1"/>
        </w:rPr>
        <w:t>与收益相关的政府补助，用于补偿企业以后期间的相关费用或损失的，取得时确认为递延收益，在确</w:t>
      </w:r>
      <w:r>
        <w:rPr/>
        <w:t> </w:t>
      </w:r>
      <w:r>
        <w:rPr>
          <w:spacing w:val="-1"/>
        </w:rPr>
        <w:t>认相关费用的期间计入当期营业外收入；用于补偿企业已发生的相关费用或损失的，取得时直接计入当期</w:t>
      </w:r>
      <w:r>
        <w:rPr>
          <w:spacing w:val="-81"/>
        </w:rPr>
        <w:t> </w:t>
      </w:r>
      <w:r>
        <w:rPr>
          <w:spacing w:val="-81"/>
        </w:rPr>
      </w:r>
      <w:r>
        <w:rPr/>
        <w:t>营业外收入。</w:t>
      </w:r>
    </w:p>
    <w:p>
      <w:pPr>
        <w:pStyle w:val="BodyText"/>
        <w:spacing w:line="408" w:lineRule="auto"/>
        <w:ind w:left="576" w:right="3190" w:firstLine="1"/>
        <w:jc w:val="left"/>
      </w:pPr>
      <w:r>
        <w:rPr>
          <w:rFonts w:ascii="宋体" w:hAnsi="宋体" w:cs="宋体" w:eastAsia="宋体" w:hint="default"/>
          <w:b/>
          <w:bCs/>
        </w:rPr>
        <w:t>C.</w:t>
      </w:r>
      <w:r>
        <w:rPr>
          <w:rFonts w:ascii="宋体" w:hAnsi="宋体" w:cs="宋体" w:eastAsia="宋体" w:hint="default"/>
          <w:b/>
          <w:bCs/>
        </w:rPr>
        <w:t>确认时点</w:t>
      </w:r>
      <w:r>
        <w:rPr>
          <w:rFonts w:ascii="宋体" w:hAnsi="宋体" w:cs="宋体" w:eastAsia="宋体" w:hint="default"/>
          <w:b/>
          <w:bCs/>
          <w:w w:val="99"/>
        </w:rPr>
        <w:t> </w:t>
      </w:r>
      <w:r>
        <w:rPr/>
        <w:t>与资产相关的政府补助，以建造或购买的资产达到可使用状态作为确认时点；</w:t>
      </w:r>
    </w:p>
    <w:p>
      <w:pPr>
        <w:pStyle w:val="BodyText"/>
        <w:spacing w:line="408" w:lineRule="auto"/>
        <w:ind w:right="1024" w:firstLine="422"/>
        <w:jc w:val="left"/>
      </w:pPr>
      <w:r>
        <w:rPr/>
        <w:t>与收益相关的政府补助，用于补偿企业以后期间的相关费用或损失的，如政府补助相关文件规定需要 </w:t>
      </w:r>
      <w:r>
        <w:rPr>
          <w:spacing w:val="-3"/>
        </w:rPr>
        <w:t>验收，以验收报告确认的完成时点作为确认时点，未规定是否验收，以确认相关费用的期间作为确认时点；</w:t>
      </w:r>
      <w:r>
        <w:rPr>
          <w:spacing w:val="-90"/>
        </w:rPr>
        <w:t> </w:t>
      </w:r>
      <w:r>
        <w:rPr>
          <w:spacing w:val="-90"/>
        </w:rPr>
      </w:r>
      <w:r>
        <w:rPr/>
        <w:t>用于补偿企业已发生的相关费用或损失的，以实际收到政府补助款项作为确认时点。</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2、递延所得税资产/递延所得税负债" w:id="180"/>
      <w:bookmarkEnd w:id="180"/>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3" w:firstLine="423"/>
        <w:jc w:val="both"/>
      </w:pPr>
      <w:r>
        <w:rPr>
          <w:spacing w:val="-1"/>
        </w:rPr>
        <w:t>对于可抵扣暂时性差异确认递延所得税资产，以未来期间很可能取得的用来抵扣可抵扣暂时性差异的</w:t>
      </w:r>
      <w:r>
        <w:rPr/>
        <w:t> 应纳税所得额为限。</w:t>
      </w:r>
    </w:p>
    <w:p>
      <w:pPr>
        <w:pStyle w:val="BodyText"/>
        <w:spacing w:line="408" w:lineRule="auto"/>
        <w:ind w:left="577"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408" w:lineRule="auto"/>
        <w:ind w:left="577" w:right="0" w:hanging="424"/>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408" w:lineRule="auto"/>
        <w:ind w:left="577" w:right="0" w:hanging="424"/>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3、租赁" w:id="181"/>
      <w:bookmarkEnd w:id="181"/>
      <w:r>
        <w:rPr>
          <w:b w:val="0"/>
          <w:bCs w:val="0"/>
        </w:rPr>
      </w:r>
      <w:r>
        <w:rPr>
          <w:rFonts w:ascii="Times New Roman" w:hAnsi="Times New Roman" w:cs="Times New Roman" w:eastAsia="Times New Roman" w:hint="default"/>
        </w:rPr>
        <w:t>23</w:t>
      </w:r>
      <w:r>
        <w:rPr/>
        <w:t>、租赁</w:t>
      </w:r>
      <w:r>
        <w:rPr>
          <w:b w:val="0"/>
          <w:bCs w:val="0"/>
        </w:rPr>
      </w:r>
    </w:p>
    <w:p>
      <w:pPr>
        <w:spacing w:line="690" w:lineRule="exact" w:before="15"/>
        <w:ind w:left="577" w:right="0" w:hanging="424"/>
        <w:jc w:val="left"/>
        <w:rPr>
          <w:rFonts w:ascii="宋体" w:hAnsi="宋体" w:cs="宋体" w:eastAsia="宋体" w:hint="default"/>
          <w:sz w:val="21"/>
          <w:szCs w:val="21"/>
        </w:rPr>
      </w:pPr>
      <w:bookmarkStart w:name="（1）经营租赁的会计处理方法" w:id="182"/>
      <w:bookmarkEnd w:id="1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a.</w:t>
      </w:r>
      <w:r>
        <w:rPr>
          <w:rFonts w:ascii="宋体" w:hAnsi="宋体" w:cs="宋体" w:eastAsia="宋体" w:hint="default"/>
          <w:spacing w:val="-1"/>
          <w:sz w:val="21"/>
          <w:szCs w:val="21"/>
        </w:rPr>
        <w:t>公司租入资产所支付的租赁费，在不扣除免租期的整个租赁期内，按直线法进行分摊，计入当期费</w:t>
      </w:r>
    </w:p>
    <w:p>
      <w:pPr>
        <w:pStyle w:val="BodyText"/>
        <w:spacing w:line="408" w:lineRule="auto" w:before="84"/>
        <w:ind w:left="577" w:right="0" w:hanging="424"/>
        <w:jc w:val="left"/>
      </w:pPr>
      <w:r>
        <w:rPr/>
        <w:t>用。公司支付的与租赁交易相关的初始直接费用，计入当期费用。 </w:t>
      </w:r>
      <w:r>
        <w:rPr>
          <w:spacing w:val="-1"/>
        </w:rPr>
        <w:t>资产出租方承担了应由公司承担的与租赁相关的费用时，公司将该部分费用从租金总额中扣除，按扣</w:t>
      </w:r>
    </w:p>
    <w:p>
      <w:pPr>
        <w:pStyle w:val="BodyText"/>
        <w:spacing w:line="408" w:lineRule="auto"/>
        <w:ind w:left="577" w:right="0" w:hanging="424"/>
        <w:jc w:val="left"/>
      </w:pPr>
      <w:r>
        <w:rPr/>
        <w:t>除后的租金费用在租赁期内分摊，计入当期费用。 </w:t>
      </w:r>
      <w:r>
        <w:rPr>
          <w:rFonts w:ascii="宋体" w:hAnsi="宋体" w:cs="宋体" w:eastAsia="宋体" w:hint="default"/>
          <w:spacing w:val="-1"/>
        </w:rPr>
        <w:t>b.</w:t>
      </w:r>
      <w:r>
        <w:rPr>
          <w:spacing w:val="-1"/>
        </w:rPr>
        <w:t>公司出租资产所收取的租赁费，在不扣除免租期的整个租赁期内，按直线法进行分摊，确认为租赁</w:t>
      </w:r>
    </w:p>
    <w:p>
      <w:pPr>
        <w:pStyle w:val="BodyText"/>
        <w:spacing w:line="408" w:lineRule="auto"/>
        <w:ind w:right="1133"/>
        <w:jc w:val="both"/>
      </w:pPr>
      <w:r>
        <w:rPr>
          <w:spacing w:val="-1"/>
        </w:rPr>
        <w:t>收入。公司支付的与租赁交易相关的初始直接费用，计入当期费用；如金额较大的，则予以资本化，在整</w:t>
      </w:r>
      <w:r>
        <w:rPr>
          <w:spacing w:val="-83"/>
        </w:rPr>
        <w:t> </w:t>
      </w:r>
      <w:r>
        <w:rPr>
          <w:spacing w:val="-83"/>
        </w:rPr>
      </w:r>
      <w:r>
        <w:rPr/>
        <w:t>个租赁期间内按照与租赁收入确认相同的基础分期计入当期收益。</w:t>
      </w:r>
    </w:p>
    <w:p>
      <w:pPr>
        <w:pStyle w:val="BodyText"/>
        <w:spacing w:line="408" w:lineRule="auto"/>
        <w:ind w:right="1133" w:firstLine="423"/>
        <w:jc w:val="both"/>
      </w:pPr>
      <w:r>
        <w:rPr>
          <w:spacing w:val="-1"/>
        </w:rPr>
        <w:t>公司承担了应由承租方承担的与租赁相关的费用时，公司将该部分费用从租金收入总额中扣除，按扣</w:t>
      </w:r>
      <w:r>
        <w:rPr/>
        <w:t> 除后的租金费用在租赁期内分配。</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融资租赁的会计处理方法" w:id="183"/>
      <w:bookmarkEnd w:id="18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①融资租入资产：公司在承租开始日，将租赁资产公允价值与最低租赁付款额现值两者中较低者作为</w:t>
      </w:r>
      <w:r>
        <w:rPr/>
        <w:t> </w:t>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用，计入租入资产价值。</w:t>
      </w:r>
    </w:p>
    <w:p>
      <w:pPr>
        <w:spacing w:line="240" w:lineRule="auto" w:before="10"/>
        <w:rPr>
          <w:rFonts w:ascii="宋体" w:hAnsi="宋体" w:cs="宋体" w:eastAsia="宋体" w:hint="default"/>
          <w:sz w:val="14"/>
          <w:szCs w:val="14"/>
        </w:rPr>
      </w:pPr>
    </w:p>
    <w:p>
      <w:pPr>
        <w:pStyle w:val="BodyText"/>
        <w:spacing w:line="408" w:lineRule="auto" w:before="0"/>
        <w:ind w:right="1024" w:firstLine="420"/>
        <w:jc w:val="left"/>
      </w:pPr>
      <w:r>
        <w:rPr/>
        <w:t>②融资租出资产：公司在租赁开始日，将应收融资租赁款，未担保余值之和与其现值的差额确认为未 </w:t>
      </w:r>
      <w:r>
        <w:rPr>
          <w:spacing w:val="-3"/>
        </w:rPr>
        <w:t>实现融资收益，在将来收到租金的各期间内确认为租赁收入。公司发生的与出租交易相关的初始直接费用，</w:t>
      </w:r>
      <w:r>
        <w:rPr>
          <w:spacing w:val="-91"/>
        </w:rPr>
        <w:t> </w:t>
      </w:r>
      <w:r>
        <w:rPr>
          <w:spacing w:val="-91"/>
        </w:rPr>
      </w:r>
      <w:r>
        <w:rPr/>
        <w:t>计入应收融资租赁款的初始计量中，并减少租赁期内确认的收益金额。</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4、重要会计政策和会计估计变更" w:id="184"/>
      <w:bookmarkEnd w:id="184"/>
      <w:r>
        <w:rPr>
          <w:b w:val="0"/>
          <w:bCs w:val="0"/>
        </w:rPr>
      </w:r>
      <w:r>
        <w:rPr>
          <w:rFonts w:ascii="Times New Roman" w:hAnsi="Times New Roman" w:cs="Times New Roman" w:eastAsia="Times New Roman" w:hint="default"/>
        </w:rPr>
        <w:t>24</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185"/>
      <w:bookmarkEnd w:id="18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年颁布的新的及修订的企 业会计准则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第三届董事会第十二次会议审议通过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left="577" w:right="3819"/>
        <w:jc w:val="left"/>
      </w:pPr>
      <w:r>
        <w:rPr/>
        <w:t>执行财政部于</w:t>
      </w:r>
      <w:r>
        <w:rPr>
          <w:rFonts w:ascii="宋体" w:hAnsi="宋体" w:cs="宋体" w:eastAsia="宋体" w:hint="default"/>
        </w:rPr>
        <w:t>2014</w:t>
      </w:r>
      <w:r>
        <w:rPr/>
        <w:t>年修订及新颁布的准则 本公司已执行财政部于</w:t>
      </w:r>
      <w:r>
        <w:rPr>
          <w:rFonts w:ascii="宋体" w:hAnsi="宋体" w:cs="宋体" w:eastAsia="宋体" w:hint="default"/>
        </w:rPr>
        <w:t>2014</w:t>
      </w:r>
      <w:r>
        <w:rPr/>
        <w:t>年颁布的下列新的及修订的企业会计准则：</w:t>
      </w:r>
    </w:p>
    <w:p>
      <w:pPr>
        <w:pStyle w:val="BodyText"/>
        <w:spacing w:line="240" w:lineRule="auto"/>
        <w:ind w:left="577" w:right="0"/>
        <w:jc w:val="left"/>
      </w:pPr>
      <w:r>
        <w:rPr/>
        <w:t>《企业会计准则—基本准则》（修订）、</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2</w:t>
      </w:r>
      <w:r>
        <w:rPr/>
        <w:t>号——长期股权投资》（修订）、</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9</w:t>
      </w:r>
      <w:r>
        <w:rPr/>
        <w:t>号——职工薪酬》（修订）、</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30</w:t>
      </w:r>
      <w:r>
        <w:rPr/>
        <w:t>号——财务报表列报》（修订）、</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33</w:t>
      </w:r>
      <w:r>
        <w:rPr/>
        <w:t>号——合并财务报表》（修订）、</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37</w:t>
      </w:r>
      <w:r>
        <w:rPr/>
        <w:t>号——金融工具列报》（修订）、</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39</w:t>
      </w:r>
      <w:r>
        <w:rPr/>
        <w:t>号——公允价值计量》、</w:t>
      </w:r>
    </w:p>
    <w:p>
      <w:pPr>
        <w:spacing w:line="240" w:lineRule="auto" w:before="10"/>
        <w:rPr>
          <w:rFonts w:ascii="宋体" w:hAnsi="宋体" w:cs="宋体" w:eastAsia="宋体" w:hint="default"/>
          <w:sz w:val="14"/>
          <w:szCs w:val="14"/>
        </w:rPr>
      </w:pPr>
    </w:p>
    <w:p>
      <w:pPr>
        <w:pStyle w:val="BodyText"/>
        <w:spacing w:line="240" w:lineRule="auto" w:before="0"/>
        <w:ind w:left="577" w:right="0"/>
        <w:jc w:val="left"/>
      </w:pPr>
      <w:r>
        <w:rPr/>
        <w:t>《企业会计准则第</w:t>
      </w:r>
      <w:r>
        <w:rPr>
          <w:rFonts w:ascii="宋体" w:hAnsi="宋体" w:cs="宋体" w:eastAsia="宋体" w:hint="default"/>
        </w:rPr>
        <w:t>40</w:t>
      </w:r>
      <w:r>
        <w:rPr/>
        <w:t>号——合营安排》、</w:t>
      </w:r>
    </w:p>
    <w:p>
      <w:pPr>
        <w:spacing w:line="240" w:lineRule="auto" w:before="10"/>
        <w:rPr>
          <w:rFonts w:ascii="宋体" w:hAnsi="宋体" w:cs="宋体" w:eastAsia="宋体" w:hint="default"/>
          <w:sz w:val="14"/>
          <w:szCs w:val="14"/>
        </w:rPr>
      </w:pPr>
    </w:p>
    <w:p>
      <w:pPr>
        <w:pStyle w:val="BodyText"/>
        <w:spacing w:line="408" w:lineRule="auto" w:before="0"/>
        <w:ind w:left="577" w:right="1118"/>
        <w:jc w:val="left"/>
      </w:pPr>
      <w:r>
        <w:rPr/>
        <w:t>《企业会计准则第</w:t>
      </w:r>
      <w:r>
        <w:rPr>
          <w:rFonts w:ascii="宋体" w:hAnsi="宋体" w:cs="宋体" w:eastAsia="宋体" w:hint="default"/>
        </w:rPr>
        <w:t>41</w:t>
      </w:r>
      <w:r>
        <w:rPr/>
        <w:t>号——在其他主体中权益的披露》。 本公司执行上述企业会计准则的主要影响如下： </w:t>
      </w:r>
      <w:r>
        <w:rPr>
          <w:rFonts w:ascii="宋体" w:hAnsi="宋体" w:cs="宋体" w:eastAsia="宋体" w:hint="default"/>
        </w:rPr>
        <w:t>a.</w:t>
      </w:r>
      <w:r>
        <w:rPr/>
        <w:t>执行《企业会计准则第</w:t>
      </w:r>
      <w:r>
        <w:rPr>
          <w:rFonts w:ascii="宋体" w:hAnsi="宋体" w:cs="宋体" w:eastAsia="宋体" w:hint="default"/>
        </w:rPr>
        <w:t>2</w:t>
      </w:r>
      <w:r>
        <w:rPr/>
        <w:t>号——长期股权投资》（修订） 本公司根据《企业会计准则第</w:t>
      </w:r>
      <w:r>
        <w:rPr>
          <w:rFonts w:ascii="宋体" w:hAnsi="宋体" w:cs="宋体" w:eastAsia="宋体" w:hint="default"/>
        </w:rPr>
        <w:t>2</w:t>
      </w:r>
      <w:r>
        <w:rPr/>
        <w:t>号——长期股权投资》（修订）将本公司对被投资单位不具有共同控</w:t>
      </w:r>
    </w:p>
    <w:p>
      <w:pPr>
        <w:pStyle w:val="BodyText"/>
        <w:spacing w:line="408" w:lineRule="auto"/>
        <w:ind w:right="0"/>
        <w:jc w:val="left"/>
      </w:pPr>
      <w:r>
        <w:rPr>
          <w:spacing w:val="-1"/>
        </w:rPr>
        <w:t>制或重大影响，并且在活跃市场中没有报价、公允价值不能可靠计量的投资从长期股权投资中分类至可供</w:t>
      </w:r>
      <w:r>
        <w:rPr>
          <w:spacing w:val="-81"/>
        </w:rPr>
        <w:t> </w:t>
      </w:r>
      <w:r>
        <w:rPr>
          <w:spacing w:val="-81"/>
        </w:rPr>
      </w:r>
      <w:r>
        <w:rPr/>
        <w:t>出售金融资产核算，并进行了追溯调整。</w:t>
      </w:r>
    </w:p>
    <w:p>
      <w:pPr>
        <w:pStyle w:val="BodyText"/>
        <w:spacing w:line="408" w:lineRule="auto"/>
        <w:ind w:left="577" w:right="0"/>
        <w:jc w:val="left"/>
      </w:pPr>
      <w:r>
        <w:rPr>
          <w:rFonts w:ascii="宋体" w:hAnsi="宋体" w:cs="宋体" w:eastAsia="宋体" w:hint="default"/>
        </w:rPr>
        <w:t>b.</w:t>
      </w:r>
      <w:r>
        <w:rPr/>
        <w:t>执行《企业会计准则第</w:t>
      </w:r>
      <w:r>
        <w:rPr>
          <w:rFonts w:ascii="宋体" w:hAnsi="宋体" w:cs="宋体" w:eastAsia="宋体" w:hint="default"/>
        </w:rPr>
        <w:t>9</w:t>
      </w:r>
      <w:r>
        <w:rPr/>
        <w:t>号——职工薪酬》（修订） 本公司根据《企业会计准则第</w:t>
      </w:r>
      <w:r>
        <w:rPr>
          <w:rFonts w:ascii="宋体" w:hAnsi="宋体" w:cs="宋体" w:eastAsia="宋体" w:hint="default"/>
        </w:rPr>
        <w:t>9</w:t>
      </w:r>
      <w:r>
        <w:rPr/>
        <w:t>号——职工薪酬》将本公司劳务派遣用工的薪酬分类至应付职工薪酬</w:t>
      </w:r>
    </w:p>
    <w:p>
      <w:pPr>
        <w:pStyle w:val="BodyText"/>
        <w:spacing w:line="240" w:lineRule="auto"/>
        <w:ind w:right="0"/>
        <w:jc w:val="left"/>
      </w:pPr>
      <w:r>
        <w:rPr/>
        <w:t>核算，并进行了追溯调整。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jc w:val="left"/>
      </w:pPr>
      <w:r>
        <w:rPr>
          <w:rFonts w:ascii="宋体" w:hAnsi="宋体" w:cs="宋体" w:eastAsia="宋体" w:hint="default"/>
        </w:rPr>
        <w:t>c.</w:t>
      </w:r>
      <w:r>
        <w:rPr/>
        <w:t>执行《企业会计准则第</w:t>
      </w:r>
      <w:r>
        <w:rPr>
          <w:rFonts w:ascii="宋体" w:hAnsi="宋体" w:cs="宋体" w:eastAsia="宋体" w:hint="default"/>
        </w:rPr>
        <w:t>30</w:t>
      </w:r>
      <w:r>
        <w:rPr>
          <w:rFonts w:ascii="宋体" w:hAnsi="宋体" w:cs="宋体" w:eastAsia="宋体" w:hint="default"/>
          <w:spacing w:val="-3"/>
        </w:rPr>
        <w:t> </w:t>
      </w:r>
      <w:r>
        <w:rPr/>
        <w:t>号——财务报表列报》（修订）</w:t>
      </w:r>
    </w:p>
    <w:p>
      <w:pPr>
        <w:spacing w:line="240" w:lineRule="auto" w:before="10"/>
        <w:rPr>
          <w:rFonts w:ascii="宋体" w:hAnsi="宋体" w:cs="宋体" w:eastAsia="宋体" w:hint="default"/>
          <w:sz w:val="14"/>
          <w:szCs w:val="14"/>
        </w:rPr>
      </w:pPr>
    </w:p>
    <w:p>
      <w:pPr>
        <w:pStyle w:val="BodyText"/>
        <w:spacing w:line="408" w:lineRule="auto" w:before="0"/>
        <w:ind w:left="154" w:right="1133" w:firstLine="423"/>
        <w:jc w:val="left"/>
      </w:pPr>
      <w:r>
        <w:rPr/>
        <w:t>本公司根据《企业会计准则第</w:t>
      </w:r>
      <w:r>
        <w:rPr>
          <w:rFonts w:ascii="宋体" w:hAnsi="宋体" w:cs="宋体" w:eastAsia="宋体" w:hint="default"/>
        </w:rPr>
        <w:t>30</w:t>
      </w:r>
      <w:r>
        <w:rPr>
          <w:rFonts w:ascii="宋体" w:hAnsi="宋体" w:cs="宋体" w:eastAsia="宋体" w:hint="default"/>
          <w:spacing w:val="61"/>
        </w:rPr>
        <w:t> </w:t>
      </w:r>
      <w:r>
        <w:rPr/>
        <w:t>号——财务报表列报》修改了财务报表中的列报，将资产负债表中 原其他非流动负债下列报的递延收益分为一类单独列报；将利润表中其他综合收益项目分为两类列报：</w:t>
      </w:r>
    </w:p>
    <w:p>
      <w:pPr>
        <w:pStyle w:val="BodyText"/>
        <w:spacing w:line="240" w:lineRule="auto"/>
        <w:ind w:left="577" w:right="0"/>
        <w:jc w:val="left"/>
      </w:pPr>
      <w:r>
        <w:rPr/>
        <w:t>（</w:t>
      </w:r>
      <w:r>
        <w:rPr>
          <w:rFonts w:ascii="宋体" w:hAnsi="宋体" w:cs="宋体" w:eastAsia="宋体" w:hint="default"/>
        </w:rPr>
        <w:t>1</w:t>
      </w:r>
      <w:r>
        <w:rPr/>
        <w:t>）以后会计期间在满足规定条件时将重分类进损益的项目；</w:t>
      </w:r>
    </w:p>
    <w:p>
      <w:pPr>
        <w:spacing w:line="240" w:lineRule="auto" w:before="10"/>
        <w:rPr>
          <w:rFonts w:ascii="宋体" w:hAnsi="宋体" w:cs="宋体" w:eastAsia="宋体" w:hint="default"/>
          <w:sz w:val="14"/>
          <w:szCs w:val="14"/>
        </w:rPr>
      </w:pPr>
    </w:p>
    <w:p>
      <w:pPr>
        <w:pStyle w:val="BodyText"/>
        <w:spacing w:line="408" w:lineRule="auto" w:before="0"/>
        <w:ind w:left="577" w:right="2769"/>
        <w:jc w:val="left"/>
      </w:pPr>
      <w:r>
        <w:rPr/>
        <w:t>（</w:t>
      </w:r>
      <w:r>
        <w:rPr>
          <w:rFonts w:ascii="宋体" w:hAnsi="宋体" w:cs="宋体" w:eastAsia="宋体" w:hint="default"/>
        </w:rPr>
        <w:t>2</w:t>
      </w:r>
      <w:r>
        <w:rPr/>
        <w:t>）以后会计期间不能重分类进损益的项目； 除上述事项外，本公司执行上述企业会计准则对本期和上期财务报表无其它影响。</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重要会计估计变更" w:id="186"/>
      <w:bookmarkEnd w:id="18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7"/>
        <w:gridCol w:w="2388"/>
        <w:gridCol w:w="2392"/>
        <w:gridCol w:w="2392"/>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1"/>
              <w:jc w:val="left"/>
              <w:rPr>
                <w:rFonts w:ascii="宋体" w:hAnsi="宋体" w:cs="宋体" w:eastAsia="宋体" w:hint="default"/>
                <w:sz w:val="18"/>
                <w:szCs w:val="18"/>
              </w:rPr>
            </w:pPr>
            <w:r>
              <w:rPr>
                <w:rFonts w:ascii="宋体" w:hAnsi="宋体" w:cs="宋体" w:eastAsia="宋体" w:hint="default"/>
                <w:sz w:val="18"/>
                <w:szCs w:val="18"/>
              </w:rPr>
              <w:t>房屋建筑物的折旧年限</w:t>
            </w:r>
            <w:r>
              <w:rPr>
                <w:rFonts w:ascii="Times New Roman" w:hAnsi="Times New Roman" w:cs="Times New Roman" w:eastAsia="Times New Roman" w:hint="default"/>
                <w:sz w:val="18"/>
                <w:szCs w:val="18"/>
              </w:rPr>
              <w:t>/</w:t>
            </w:r>
            <w:r>
              <w:rPr>
                <w:rFonts w:ascii="宋体" w:hAnsi="宋体" w:cs="宋体" w:eastAsia="宋体" w:hint="default"/>
                <w:sz w:val="18"/>
                <w:szCs w:val="18"/>
              </w:rPr>
              <w:t>适应 公司实际业务发展</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第三届董事会第十二次会议 审议通过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63"/>
        <w:ind w:right="1129" w:firstLine="423"/>
        <w:jc w:val="left"/>
      </w:pPr>
      <w:r>
        <w:rPr>
          <w:rFonts w:ascii="宋体" w:hAnsi="宋体" w:cs="宋体" w:eastAsia="宋体" w:hint="default"/>
          <w:spacing w:val="-2"/>
        </w:rPr>
        <w:t>a.</w:t>
      </w:r>
      <w:r>
        <w:rPr>
          <w:spacing w:val="-2"/>
        </w:rPr>
        <w:t>公司对会计估计变更适用时点的确定原则：为自董事会等相关机构正式批准后生效</w:t>
      </w:r>
      <w:r>
        <w:rPr>
          <w:rFonts w:ascii="Times New Roman" w:hAnsi="Times New Roman" w:cs="Times New Roman" w:eastAsia="Times New Roman" w:hint="default"/>
          <w:spacing w:val="-2"/>
        </w:rPr>
        <w:t>,</w:t>
      </w:r>
      <w:r>
        <w:rPr>
          <w:spacing w:val="-2"/>
        </w:rPr>
        <w:t>自最近一期尚未</w:t>
      </w:r>
      <w:r>
        <w:rPr/>
        <w:t> 公布的定期报告开始实施。</w:t>
      </w:r>
    </w:p>
    <w:p>
      <w:pPr>
        <w:pStyle w:val="BodyText"/>
        <w:spacing w:line="240" w:lineRule="auto" w:before="65"/>
        <w:ind w:left="577" w:right="0"/>
        <w:jc w:val="left"/>
      </w:pPr>
      <w:r>
        <w:rPr>
          <w:rFonts w:ascii="宋体" w:hAnsi="宋体" w:cs="宋体" w:eastAsia="宋体" w:hint="default"/>
        </w:rPr>
        <w:t>b.</w:t>
      </w:r>
      <w:r>
        <w:rPr/>
        <w:t>本期主要会计估计变更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tbl>
      <w:tblPr>
        <w:tblW w:w="0" w:type="auto"/>
        <w:jc w:val="left"/>
        <w:tblInd w:w="759" w:type="dxa"/>
        <w:tblLayout w:type="fixed"/>
        <w:tblCellMar>
          <w:top w:w="0" w:type="dxa"/>
          <w:left w:w="0" w:type="dxa"/>
          <w:bottom w:w="0" w:type="dxa"/>
          <w:right w:w="0" w:type="dxa"/>
        </w:tblCellMar>
        <w:tblLook w:val="01E0"/>
      </w:tblPr>
      <w:tblGrid>
        <w:gridCol w:w="3218"/>
        <w:gridCol w:w="1559"/>
        <w:gridCol w:w="1424"/>
        <w:gridCol w:w="1554"/>
      </w:tblGrid>
      <w:tr>
        <w:trPr>
          <w:trHeight w:val="654"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154" w:right="971" w:hanging="180"/>
              <w:jc w:val="left"/>
              <w:rPr>
                <w:rFonts w:ascii="宋体" w:hAnsi="宋体" w:cs="宋体" w:eastAsia="宋体" w:hint="default"/>
                <w:sz w:val="18"/>
                <w:szCs w:val="18"/>
              </w:rPr>
            </w:pPr>
            <w:r>
              <w:rPr>
                <w:rFonts w:ascii="宋体" w:hAnsi="宋体" w:cs="宋体" w:eastAsia="宋体" w:hint="default"/>
                <w:sz w:val="18"/>
                <w:szCs w:val="18"/>
              </w:rPr>
              <w:t>会计估计变更的 内容和原因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开始适用时点</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21" w:right="51" w:hanging="271"/>
              <w:jc w:val="left"/>
              <w:rPr>
                <w:rFonts w:ascii="宋体" w:hAnsi="宋体" w:cs="宋体" w:eastAsia="宋体" w:hint="default"/>
                <w:sz w:val="18"/>
                <w:szCs w:val="18"/>
              </w:rPr>
            </w:pPr>
            <w:r>
              <w:rPr>
                <w:rFonts w:ascii="宋体" w:hAnsi="宋体" w:cs="宋体" w:eastAsia="宋体" w:hint="default"/>
                <w:sz w:val="18"/>
                <w:szCs w:val="18"/>
              </w:rPr>
              <w:t>受影响的报表项目 名称和金额</w:t>
            </w:r>
          </w:p>
        </w:tc>
      </w:tr>
      <w:tr>
        <w:trPr>
          <w:trHeight w:val="1278" w:hRule="exact"/>
        </w:trPr>
        <w:tc>
          <w:tcPr>
            <w:tcW w:w="32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5" w:right="3"/>
              <w:jc w:val="left"/>
              <w:rPr>
                <w:rFonts w:ascii="宋体" w:hAnsi="宋体" w:cs="宋体" w:eastAsia="宋体" w:hint="default"/>
                <w:sz w:val="18"/>
                <w:szCs w:val="18"/>
              </w:rPr>
            </w:pPr>
            <w:r>
              <w:rPr>
                <w:rFonts w:ascii="宋体" w:hAnsi="宋体" w:cs="宋体" w:eastAsia="宋体" w:hint="default"/>
                <w:sz w:val="18"/>
                <w:szCs w:val="18"/>
              </w:rPr>
              <w:t>固定资产折旧年限的变更 房屋建筑物类固定资产折旧年限原定为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年，根据业务发展需要将该类固定资产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折旧年限调整为</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20-50</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15" w:right="53" w:hanging="360"/>
              <w:jc w:val="left"/>
              <w:rPr>
                <w:rFonts w:ascii="宋体" w:hAnsi="宋体" w:cs="宋体" w:eastAsia="宋体" w:hint="default"/>
                <w:sz w:val="18"/>
                <w:szCs w:val="18"/>
              </w:rPr>
            </w:pPr>
            <w:r>
              <w:rPr>
                <w:rFonts w:ascii="宋体" w:hAnsi="宋体" w:cs="宋体" w:eastAsia="宋体" w:hint="default"/>
                <w:sz w:val="18"/>
                <w:szCs w:val="18"/>
              </w:rPr>
              <w:t>第三届董事会第十 二次会议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年度报告</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1" w:right="51"/>
              <w:jc w:val="center"/>
              <w:rPr>
                <w:rFonts w:ascii="宋体" w:hAnsi="宋体" w:cs="宋体" w:eastAsia="宋体" w:hint="default"/>
                <w:sz w:val="18"/>
                <w:szCs w:val="18"/>
              </w:rPr>
            </w:pPr>
            <w:r>
              <w:rPr>
                <w:rFonts w:ascii="宋体" w:hAnsi="宋体" w:cs="宋体" w:eastAsia="宋体" w:hint="default"/>
                <w:sz w:val="18"/>
                <w:szCs w:val="18"/>
              </w:rPr>
              <w:t>原账面无该类固定 资产，对报表无影 响。</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税项" w:id="187"/>
      <w:bookmarkEnd w:id="187"/>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188"/>
      <w:bookmarkEnd w:id="18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建筑智能化工程化按应税营业收入计征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0"/>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中科金财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中科商务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中科信息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滨河创新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89"/>
      <w:bookmarkEnd w:id="189"/>
      <w:r>
        <w:rPr>
          <w:b w:val="0"/>
          <w:bCs w:val="0"/>
        </w:rPr>
      </w:r>
      <w:r>
        <w:rPr>
          <w:rFonts w:ascii="Times New Roman" w:hAnsi="Times New Roman" w:cs="Times New Roman" w:eastAsia="Times New Roman" w:hint="default"/>
        </w:rPr>
        <w:t>2</w:t>
      </w:r>
      <w:r>
        <w:rPr/>
        <w:t>、税收优惠</w:t>
      </w:r>
      <w:r>
        <w:rPr>
          <w:b w:val="0"/>
          <w:bCs w:val="0"/>
        </w:rPr>
      </w:r>
    </w:p>
    <w:p>
      <w:pPr>
        <w:pStyle w:val="BodyText"/>
        <w:spacing w:line="690" w:lineRule="exact" w:before="14"/>
        <w:ind w:left="652" w:right="0" w:hanging="499"/>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）企业所得税减免</w:t>
      </w:r>
      <w:r>
        <w:rPr>
          <w:rFonts w:ascii="宋体" w:hAnsi="宋体" w:cs="宋体" w:eastAsia="宋体" w:hint="default"/>
          <w:b/>
          <w:bCs/>
          <w:w w:val="99"/>
        </w:rPr>
        <w:t> </w:t>
      </w:r>
      <w:r>
        <w:rPr>
          <w:spacing w:val="-3"/>
        </w:rPr>
        <w:t>根据国家发展和改革委员会、工业和信息化部、财政部、商务部和国家税务总局等五部委联合下发的</w:t>
      </w:r>
    </w:p>
    <w:p>
      <w:pPr>
        <w:pStyle w:val="BodyText"/>
        <w:tabs>
          <w:tab w:pos="1414" w:val="left" w:leader="none"/>
        </w:tabs>
        <w:spacing w:line="408" w:lineRule="auto" w:before="84"/>
        <w:ind w:left="154" w:right="1425"/>
        <w:jc w:val="left"/>
      </w:pPr>
      <w:r>
        <w:rPr/>
        <w:t>《关于印发</w:t>
      </w:r>
      <w:r>
        <w:rPr>
          <w:rFonts w:ascii="宋体" w:hAnsi="宋体" w:cs="宋体" w:eastAsia="宋体" w:hint="default"/>
        </w:rPr>
        <w:t>2013-2014</w:t>
      </w:r>
      <w:r>
        <w:rPr/>
        <w:t>年度国家规划布局内重点软件企业和集成电路设计企业名单的通知》（发改高技 </w:t>
      </w:r>
      <w:r>
        <w:rPr>
          <w:rFonts w:ascii="宋体" w:hAnsi="宋体" w:cs="宋体" w:eastAsia="宋体" w:hint="default"/>
        </w:rPr>
        <w:t>[2013]2458</w:t>
        <w:tab/>
      </w:r>
      <w:r>
        <w:rPr/>
        <w:t>号），公司被认定为“</w:t>
      </w:r>
      <w:r>
        <w:rPr>
          <w:rFonts w:ascii="宋体" w:hAnsi="宋体" w:cs="宋体" w:eastAsia="宋体" w:hint="default"/>
        </w:rPr>
        <w:t>2013-2014</w:t>
      </w:r>
      <w:r>
        <w:rPr/>
        <w:t>年度国家规划布局内重点软件企业”。</w:t>
      </w:r>
    </w:p>
    <w:p>
      <w:pPr>
        <w:pStyle w:val="BodyText"/>
        <w:spacing w:line="408" w:lineRule="auto"/>
        <w:ind w:right="1115" w:firstLine="601"/>
        <w:jc w:val="left"/>
      </w:pPr>
      <w:r>
        <w:rPr/>
        <w:t>根据《关于进一步鼓励软件产业和集成电路产业发展企业所得税政策的通知》</w:t>
      </w:r>
      <w:r>
        <w:rPr>
          <w:rFonts w:ascii="宋体" w:hAnsi="宋体" w:cs="宋体" w:eastAsia="宋体" w:hint="default"/>
        </w:rPr>
        <w:t>(</w:t>
      </w:r>
      <w:r>
        <w:rPr/>
        <w:t>财税</w:t>
      </w:r>
      <w:r>
        <w:rPr>
          <w:rFonts w:ascii="宋体" w:hAnsi="宋体" w:cs="宋体" w:eastAsia="宋体" w:hint="default"/>
        </w:rPr>
        <w:t>[2012]27</w:t>
      </w:r>
      <w:r>
        <w:rPr>
          <w:rFonts w:ascii="宋体" w:hAnsi="宋体" w:cs="宋体" w:eastAsia="宋体" w:hint="default"/>
          <w:spacing w:val="-3"/>
        </w:rPr>
        <w:t> </w:t>
      </w:r>
      <w:r>
        <w:rPr/>
        <w:t>号</w:t>
      </w:r>
      <w:r>
        <w:rPr>
          <w:rFonts w:ascii="宋体" w:hAnsi="宋体" w:cs="宋体" w:eastAsia="宋体" w:hint="default"/>
        </w:rPr>
        <w:t>) </w:t>
      </w:r>
      <w:r>
        <w:rPr/>
        <w:t>中关于“国家规划布局内重点软件企业和集成电路设计企业，如当年未享免税优惠的，可减按</w:t>
      </w:r>
      <w:r>
        <w:rPr>
          <w:spacing w:val="-22"/>
        </w:rPr>
        <w:t> </w:t>
      </w:r>
      <w:r>
        <w:rPr>
          <w:rFonts w:ascii="宋体" w:hAnsi="宋体" w:cs="宋体" w:eastAsia="宋体" w:hint="default"/>
        </w:rPr>
        <w:t>10%</w:t>
      </w:r>
      <w:r>
        <w:rPr/>
        <w:t>的税率 征收企业所得税”的规定，公司 </w:t>
      </w:r>
      <w:r>
        <w:rPr>
          <w:rFonts w:ascii="宋体" w:hAnsi="宋体" w:cs="宋体" w:eastAsia="宋体" w:hint="default"/>
        </w:rPr>
        <w:t>2013</w:t>
      </w:r>
      <w:r>
        <w:rPr/>
        <w:t>、</w:t>
      </w:r>
      <w:r>
        <w:rPr>
          <w:rFonts w:ascii="宋体" w:hAnsi="宋体" w:cs="宋体" w:eastAsia="宋体" w:hint="default"/>
        </w:rPr>
        <w:t>2014 </w:t>
      </w:r>
      <w:r>
        <w:rPr/>
        <w:t>年度企业所得税税率减按</w:t>
      </w:r>
      <w:r>
        <w:rPr>
          <w:spacing w:val="-6"/>
        </w:rPr>
        <w:t> </w:t>
      </w:r>
      <w:r>
        <w:rPr>
          <w:rFonts w:ascii="宋体" w:hAnsi="宋体" w:cs="宋体" w:eastAsia="宋体" w:hint="default"/>
        </w:rPr>
        <w:t>10%</w:t>
      </w:r>
      <w:r>
        <w:rPr/>
        <w:t>征收。</w:t>
      </w:r>
    </w:p>
    <w:p>
      <w:pPr>
        <w:pStyle w:val="BodyText"/>
        <w:spacing w:line="408" w:lineRule="auto"/>
        <w:ind w:right="1017" w:firstLine="496"/>
        <w:jc w:val="left"/>
      </w:pPr>
      <w:r>
        <w:rPr/>
        <w:t>子公司中科商务于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日取得北京市科学技术委员会、北京市财政局、北京市国家税务局、 北京市地方税务局核发的编号为</w:t>
      </w:r>
      <w:r>
        <w:rPr>
          <w:rFonts w:ascii="宋体" w:hAnsi="宋体" w:cs="宋体" w:eastAsia="宋体" w:hint="default"/>
        </w:rPr>
        <w:t>GR201411001366</w:t>
      </w:r>
      <w:r>
        <w:rPr/>
        <w:t>的《高新技术企业证书》，有效期</w:t>
      </w:r>
      <w:r>
        <w:rPr>
          <w:rFonts w:ascii="宋体" w:hAnsi="宋体" w:cs="宋体" w:eastAsia="宋体" w:hint="default"/>
        </w:rPr>
        <w:t>3</w:t>
      </w:r>
      <w:r>
        <w:rPr/>
        <w:t>年，根据《中华人民 共和国企业所得税法》第</w:t>
      </w:r>
      <w:r>
        <w:rPr>
          <w:rFonts w:ascii="宋体" w:hAnsi="宋体" w:cs="宋体" w:eastAsia="宋体" w:hint="default"/>
        </w:rPr>
        <w:t>28</w:t>
      </w:r>
      <w:r>
        <w:rPr/>
        <w:t>条的规定，</w:t>
      </w:r>
      <w:r>
        <w:rPr>
          <w:spacing w:val="-6"/>
        </w:rPr>
        <w:t> </w:t>
      </w:r>
      <w:r>
        <w:rPr>
          <w:rFonts w:ascii="宋体" w:hAnsi="宋体" w:cs="宋体" w:eastAsia="宋体" w:hint="default"/>
        </w:rPr>
        <w:t>2014</w:t>
      </w:r>
      <w:r>
        <w:rPr/>
        <w:t>年度</w:t>
      </w:r>
      <w:r>
        <w:rPr>
          <w:rFonts w:ascii="宋体" w:hAnsi="宋体" w:cs="宋体" w:eastAsia="宋体" w:hint="default"/>
        </w:rPr>
        <w:t>15%</w:t>
      </w:r>
      <w:r>
        <w:rPr/>
        <w:t>的税率计提并缴纳企业所得税。</w:t>
      </w:r>
    </w:p>
    <w:p>
      <w:pPr>
        <w:pStyle w:val="BodyText"/>
        <w:spacing w:line="408" w:lineRule="auto"/>
        <w:ind w:left="213" w:right="1131" w:firstLine="496"/>
        <w:jc w:val="both"/>
      </w:pPr>
      <w:r>
        <w:rPr>
          <w:spacing w:val="2"/>
        </w:rPr>
        <w:t>天津滨河创新科技有限公司于</w:t>
      </w:r>
      <w:r>
        <w:rPr>
          <w:rFonts w:ascii="宋体" w:hAnsi="宋体" w:cs="宋体" w:eastAsia="宋体" w:hint="default"/>
          <w:spacing w:val="2"/>
        </w:rPr>
        <w:t>2010</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日取得天津市经济和信息化委员会颁发的软件企业认定</w:t>
      </w:r>
      <w:r>
        <w:rPr/>
        <w:t> 证书，证书编号为：津</w:t>
      </w:r>
      <w:r>
        <w:rPr>
          <w:rFonts w:ascii="宋体" w:hAnsi="宋体" w:cs="宋体" w:eastAsia="宋体" w:hint="default"/>
        </w:rPr>
        <w:t>R-2009-0041</w:t>
      </w:r>
      <w:r>
        <w:rPr/>
        <w:t>。根据《财政部国家税务总局关于进一步鼓励软件产业和集成电路产</w:t>
      </w:r>
      <w:r>
        <w:rPr>
          <w:spacing w:val="-91"/>
        </w:rPr>
        <w:t> </w:t>
      </w:r>
      <w:r>
        <w:rPr>
          <w:spacing w:val="-91"/>
        </w:rPr>
      </w:r>
      <w:r>
        <w:rPr>
          <w:spacing w:val="-2"/>
        </w:rPr>
        <w:t>业发展企业所得税政策的通知》财税【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号文件第三条规定：“我国境内新办的集成电路设计企业</w:t>
      </w:r>
      <w:r>
        <w:rPr>
          <w:spacing w:val="-93"/>
        </w:rPr>
        <w:t> </w:t>
      </w:r>
      <w:r>
        <w:rPr>
          <w:spacing w:val="-93"/>
        </w:rPr>
      </w:r>
      <w:r>
        <w:rPr>
          <w:spacing w:val="-2"/>
        </w:rPr>
        <w:t>和符合条件的软件企业，经认定后，在</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日前自获利年度起计算优惠期，第一年至第二年免征</w:t>
      </w:r>
      <w:r>
        <w:rPr>
          <w:spacing w:val="-93"/>
        </w:rPr>
        <w:t> </w:t>
      </w:r>
      <w:r>
        <w:rPr>
          <w:spacing w:val="-93"/>
        </w:rPr>
      </w:r>
      <w:r>
        <w:rPr/>
        <w:t>企业所得税，第三年至第五年按照</w:t>
      </w:r>
      <w:r>
        <w:rPr>
          <w:rFonts w:ascii="宋体" w:hAnsi="宋体" w:cs="宋体" w:eastAsia="宋体" w:hint="default"/>
        </w:rPr>
        <w:t>25%</w:t>
      </w:r>
      <w:r>
        <w:rPr/>
        <w:t>的法定税率减半征收企业所得税，并享受至期满为止。”天津滨河</w:t>
      </w:r>
      <w:r>
        <w:rPr>
          <w:spacing w:val="-86"/>
        </w:rPr>
        <w:t> </w:t>
      </w:r>
      <w:r>
        <w:rPr>
          <w:spacing w:val="-86"/>
        </w:rPr>
      </w:r>
      <w:r>
        <w:rPr>
          <w:rFonts w:ascii="宋体" w:hAnsi="宋体" w:cs="宋体" w:eastAsia="宋体" w:hint="default"/>
        </w:rPr>
        <w:t>2012</w:t>
      </w:r>
      <w:r>
        <w:rPr/>
        <w:t>年度至</w:t>
      </w:r>
      <w:r>
        <w:rPr>
          <w:rFonts w:ascii="宋体" w:hAnsi="宋体" w:cs="宋体" w:eastAsia="宋体" w:hint="default"/>
        </w:rPr>
        <w:t>2014</w:t>
      </w:r>
      <w:r>
        <w:rPr/>
        <w:t>年度减半征收企业所得税。</w:t>
      </w:r>
    </w:p>
    <w:p>
      <w:pPr>
        <w:pStyle w:val="BodyText"/>
        <w:spacing w:line="408" w:lineRule="auto"/>
        <w:ind w:right="1131" w:firstLine="496"/>
        <w:jc w:val="both"/>
      </w:pPr>
      <w:r>
        <w:rPr/>
        <w:t>滨河创新于</w:t>
      </w:r>
      <w:r>
        <w:rPr>
          <w:rFonts w:ascii="宋体" w:hAnsi="宋体" w:cs="宋体" w:eastAsia="宋体" w:hint="default"/>
        </w:rPr>
        <w:t>2013</w:t>
      </w:r>
      <w:r>
        <w:rPr/>
        <w:t>年</w:t>
      </w:r>
      <w:r>
        <w:rPr>
          <w:rFonts w:ascii="宋体" w:hAnsi="宋体" w:cs="宋体" w:eastAsia="宋体" w:hint="default"/>
        </w:rPr>
        <w:t>6</w:t>
      </w:r>
      <w:r>
        <w:rPr/>
        <w:t>月</w:t>
      </w:r>
      <w:r>
        <w:rPr>
          <w:rFonts w:ascii="宋体" w:hAnsi="宋体" w:cs="宋体" w:eastAsia="宋体" w:hint="default"/>
        </w:rPr>
        <w:t>27</w:t>
      </w:r>
      <w:r>
        <w:rPr/>
        <w:t>日取得天津市科学技术委员会、天津市财政局、天津市国家税务局、天津市 地方税务局核发的编号为</w:t>
      </w:r>
      <w:r>
        <w:rPr>
          <w:rFonts w:ascii="宋体" w:hAnsi="宋体" w:cs="宋体" w:eastAsia="宋体" w:hint="default"/>
        </w:rPr>
        <w:t>GR201312000053</w:t>
      </w:r>
      <w:r>
        <w:rPr/>
        <w:t>的《高新技术企业证书》，有效期</w:t>
      </w:r>
      <w:r>
        <w:rPr>
          <w:rFonts w:ascii="宋体" w:hAnsi="宋体" w:cs="宋体" w:eastAsia="宋体" w:hint="default"/>
        </w:rPr>
        <w:t>3</w:t>
      </w:r>
      <w:r>
        <w:rPr/>
        <w:t>年，根据《中华人民共和国</w:t>
      </w:r>
      <w:r>
        <w:rPr>
          <w:spacing w:val="-27"/>
        </w:rPr>
        <w:t> </w:t>
      </w:r>
      <w:r>
        <w:rPr>
          <w:spacing w:val="-27"/>
        </w:rPr>
      </w:r>
      <w:r>
        <w:rPr/>
        <w:t>企业所得税法》第</w:t>
      </w:r>
      <w:r>
        <w:rPr>
          <w:rFonts w:ascii="宋体" w:hAnsi="宋体" w:cs="宋体" w:eastAsia="宋体" w:hint="default"/>
        </w:rPr>
        <w:t>28</w:t>
      </w:r>
      <w:r>
        <w:rPr/>
        <w:t>条的规定，</w:t>
      </w:r>
      <w:r>
        <w:rPr>
          <w:rFonts w:ascii="宋体" w:hAnsi="宋体" w:cs="宋体" w:eastAsia="宋体" w:hint="default"/>
        </w:rPr>
        <w:t>2015</w:t>
      </w:r>
      <w:r>
        <w:rPr/>
        <w:t>年度按</w:t>
      </w:r>
      <w:r>
        <w:rPr>
          <w:rFonts w:ascii="宋体" w:hAnsi="宋体" w:cs="宋体" w:eastAsia="宋体" w:hint="default"/>
        </w:rPr>
        <w:t>15%</w:t>
      </w:r>
      <w:r>
        <w:rPr/>
        <w:t>的税率计提并缴纳企业所得税。</w:t>
      </w:r>
    </w:p>
    <w:p>
      <w:pPr>
        <w:pStyle w:val="BodyText"/>
        <w:spacing w:line="240" w:lineRule="auto"/>
        <w:ind w:left="577" w:right="0"/>
        <w:jc w:val="left"/>
      </w:pPr>
      <w:r>
        <w:rPr/>
        <w:t>（</w:t>
      </w:r>
      <w:r>
        <w:rPr>
          <w:rFonts w:ascii="宋体" w:hAnsi="宋体" w:cs="宋体" w:eastAsia="宋体" w:hint="default"/>
        </w:rPr>
        <w:t>2</w:t>
      </w:r>
      <w:r>
        <w:rPr/>
        <w:t>）增值税税收优惠</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3" w:firstLine="496"/>
        <w:jc w:val="left"/>
      </w:pPr>
      <w:r>
        <w:rPr>
          <w:spacing w:val="-17"/>
        </w:rPr>
        <w:t>根据《财政部</w:t>
      </w:r>
      <w:r>
        <w:rPr>
          <w:spacing w:val="34"/>
        </w:rPr>
        <w:t> </w:t>
      </w:r>
      <w:r>
        <w:rPr>
          <w:spacing w:val="-1"/>
        </w:rPr>
        <w:t>国家税务总局关于在北京等</w:t>
      </w:r>
      <w:r>
        <w:rPr>
          <w:rFonts w:ascii="宋体" w:hAnsi="宋体" w:cs="宋体" w:eastAsia="宋体" w:hint="default"/>
          <w:spacing w:val="-1"/>
        </w:rPr>
        <w:t>8</w:t>
      </w:r>
      <w:r>
        <w:rPr>
          <w:spacing w:val="-1"/>
        </w:rPr>
        <w:t>省市开展交通运输业和部分现代服务业营业税改征增值税</w:t>
      </w:r>
      <w:r>
        <w:rPr/>
        <w:t> 试点的通知》</w:t>
      </w:r>
      <w:r>
        <w:rPr>
          <w:rFonts w:ascii="宋体" w:hAnsi="宋体" w:cs="宋体" w:eastAsia="宋体" w:hint="default"/>
        </w:rPr>
        <w:t>(</w:t>
      </w:r>
      <w:r>
        <w:rPr/>
        <w:t>财税〔</w:t>
      </w:r>
      <w:r>
        <w:rPr>
          <w:rFonts w:ascii="宋体" w:hAnsi="宋体" w:cs="宋体" w:eastAsia="宋体" w:hint="default"/>
        </w:rPr>
        <w:t>2012</w:t>
      </w:r>
      <w:r>
        <w:rPr/>
        <w:t>〕</w:t>
      </w:r>
      <w:r>
        <w:rPr>
          <w:rFonts w:ascii="宋体" w:hAnsi="宋体" w:cs="宋体" w:eastAsia="宋体" w:hint="default"/>
        </w:rPr>
        <w:t>71</w:t>
      </w:r>
      <w:r>
        <w:rPr/>
        <w:t>号）规定及《关于在全国开展交通运输业和部分现代服务业营业税改征增 </w:t>
      </w:r>
      <w:r>
        <w:rPr>
          <w:spacing w:val="-1"/>
        </w:rPr>
        <w:t>值税试点税收政策的通知》（财税</w:t>
      </w:r>
      <w:r>
        <w:rPr>
          <w:rFonts w:ascii="宋体" w:hAnsi="宋体" w:cs="宋体" w:eastAsia="宋体" w:hint="default"/>
          <w:spacing w:val="-1"/>
        </w:rPr>
        <w:t>[2013]37</w:t>
      </w:r>
      <w:r>
        <w:rPr>
          <w:spacing w:val="-1"/>
        </w:rPr>
        <w:t>号）规定，本公司</w:t>
      </w:r>
      <w:r>
        <w:rPr>
          <w:rFonts w:ascii="宋体" w:hAnsi="宋体" w:cs="宋体" w:eastAsia="宋体" w:hint="default"/>
          <w:spacing w:val="-1"/>
        </w:rPr>
        <w:t>2014</w:t>
      </w:r>
      <w:r>
        <w:rPr>
          <w:spacing w:val="-1"/>
        </w:rPr>
        <w:t>年度提供技术转让、技术开发业务和与</w:t>
      </w:r>
      <w:r>
        <w:rPr>
          <w:spacing w:val="-78"/>
        </w:rPr>
        <w:t> </w:t>
      </w:r>
      <w:r>
        <w:rPr>
          <w:spacing w:val="-78"/>
        </w:rPr>
      </w:r>
      <w:r>
        <w:rPr/>
        <w:t>之相关的技术咨询、技术服务业务取得的收入免征增值税。</w:t>
      </w:r>
    </w:p>
    <w:p>
      <w:pPr>
        <w:pStyle w:val="BodyText"/>
        <w:spacing w:line="240" w:lineRule="auto"/>
        <w:ind w:left="650" w:right="0"/>
        <w:jc w:val="left"/>
      </w:pPr>
      <w:r>
        <w:rPr>
          <w:rFonts w:ascii="宋体" w:hAnsi="宋体" w:cs="宋体" w:eastAsia="宋体" w:hint="default"/>
          <w:spacing w:val="-3"/>
        </w:rPr>
        <w:t>2011</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18</w:t>
      </w:r>
      <w:r>
        <w:rPr>
          <w:spacing w:val="-3"/>
        </w:rPr>
        <w:t>日，国务院颁发《进一步鼓励软件产业和集成电路产业发展的若干政策》（国发【</w:t>
      </w:r>
      <w:r>
        <w:rPr>
          <w:rFonts w:ascii="宋体" w:hAnsi="宋体" w:cs="宋体" w:eastAsia="宋体" w:hint="default"/>
          <w:spacing w:val="-3"/>
        </w:rPr>
        <w:t>2011</w:t>
      </w:r>
      <w:r>
        <w:rPr>
          <w:spacing w:val="-3"/>
        </w:rPr>
        <w:t>】</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4</w:t>
      </w:r>
      <w:r>
        <w:rPr/>
        <w:t>号），规定明确了“继续实施软件增值税优惠政策”。</w:t>
      </w:r>
    </w:p>
    <w:p>
      <w:pPr>
        <w:spacing w:line="240" w:lineRule="auto" w:before="10"/>
        <w:rPr>
          <w:rFonts w:ascii="宋体" w:hAnsi="宋体" w:cs="宋体" w:eastAsia="宋体" w:hint="default"/>
          <w:sz w:val="14"/>
          <w:szCs w:val="14"/>
        </w:rPr>
      </w:pPr>
    </w:p>
    <w:p>
      <w:pPr>
        <w:pStyle w:val="BodyText"/>
        <w:spacing w:line="408" w:lineRule="auto" w:before="0"/>
        <w:ind w:right="1122" w:firstLine="496"/>
        <w:jc w:val="left"/>
      </w:pPr>
      <w:r>
        <w:rPr>
          <w:rFonts w:ascii="宋体" w:hAnsi="宋体" w:cs="宋体" w:eastAsia="宋体" w:hint="default"/>
        </w:rPr>
        <w:t>2011</w:t>
      </w:r>
      <w:r>
        <w:rPr/>
        <w:t>年</w:t>
      </w:r>
      <w:r>
        <w:rPr>
          <w:rFonts w:ascii="宋体" w:hAnsi="宋体" w:cs="宋体" w:eastAsia="宋体" w:hint="default"/>
        </w:rPr>
        <w:t>10</w:t>
      </w:r>
      <w:r>
        <w:rPr/>
        <w:t>月</w:t>
      </w:r>
      <w:r>
        <w:rPr>
          <w:rFonts w:ascii="宋体" w:hAnsi="宋体" w:cs="宋体" w:eastAsia="宋体" w:hint="default"/>
        </w:rPr>
        <w:t>14</w:t>
      </w:r>
      <w:r>
        <w:rPr/>
        <w:t>日，财政部发布了《关于软件产品增值税政策的通知》（财税【</w:t>
      </w:r>
      <w:r>
        <w:rPr>
          <w:rFonts w:ascii="宋体" w:hAnsi="宋体" w:cs="宋体" w:eastAsia="宋体" w:hint="default"/>
        </w:rPr>
        <w:t>2011</w:t>
      </w:r>
      <w:r>
        <w:rPr/>
        <w:t>】</w:t>
      </w:r>
      <w:r>
        <w:rPr>
          <w:rFonts w:ascii="宋体" w:hAnsi="宋体" w:cs="宋体" w:eastAsia="宋体" w:hint="default"/>
        </w:rPr>
        <w:t>100</w:t>
      </w:r>
      <w:r>
        <w:rPr/>
        <w:t>号）明确了 增值税一般纳税人销售其自行开发生产的软件产品，按</w:t>
      </w:r>
      <w:r>
        <w:rPr>
          <w:rFonts w:ascii="宋体" w:hAnsi="宋体" w:cs="宋体" w:eastAsia="宋体" w:hint="default"/>
        </w:rPr>
        <w:t>17%</w:t>
      </w:r>
      <w:r>
        <w:rPr/>
        <w:t>税率征收增值税后，对其增值税实际税负超过 </w:t>
      </w:r>
      <w:r>
        <w:rPr>
          <w:rFonts w:ascii="宋体" w:hAnsi="宋体" w:cs="宋体" w:eastAsia="宋体" w:hint="default"/>
        </w:rPr>
        <w:t>3%</w:t>
      </w:r>
      <w:r>
        <w:rPr/>
        <w:t>的部分实行即征即退政策。</w:t>
      </w:r>
    </w:p>
    <w:p>
      <w:pPr>
        <w:pStyle w:val="BodyText"/>
        <w:spacing w:line="408" w:lineRule="auto"/>
        <w:ind w:left="650" w:right="1121"/>
        <w:jc w:val="left"/>
      </w:pPr>
      <w:r>
        <w:rPr/>
        <w:t>（</w:t>
      </w:r>
      <w:r>
        <w:rPr>
          <w:rFonts w:ascii="宋体" w:hAnsi="宋体" w:cs="宋体" w:eastAsia="宋体" w:hint="default"/>
        </w:rPr>
        <w:t>3</w:t>
      </w:r>
      <w:r>
        <w:rPr/>
        <w:t>）营业税减免 根据《财政部、国家税务总局关于贯彻落实</w:t>
      </w:r>
      <w:r>
        <w:rPr>
          <w:rFonts w:ascii="宋体" w:hAnsi="宋体" w:cs="宋体" w:eastAsia="宋体" w:hint="default"/>
        </w:rPr>
        <w:t>&lt;</w:t>
      </w:r>
      <w:r>
        <w:rPr/>
        <w:t>中共中央国务院关于加强技术创新，发展高科技，实现</w:t>
      </w:r>
    </w:p>
    <w:p>
      <w:pPr>
        <w:pStyle w:val="BodyText"/>
        <w:spacing w:line="408" w:lineRule="auto"/>
        <w:ind w:right="0"/>
        <w:jc w:val="left"/>
      </w:pPr>
      <w:r>
        <w:rPr>
          <w:spacing w:val="-1"/>
        </w:rPr>
        <w:t>产业化的决定</w:t>
      </w:r>
      <w:r>
        <w:rPr>
          <w:rFonts w:ascii="宋体" w:hAnsi="宋体" w:cs="宋体" w:eastAsia="宋体" w:hint="default"/>
          <w:spacing w:val="-1"/>
        </w:rPr>
        <w:t>&gt;</w:t>
      </w:r>
      <w:r>
        <w:rPr>
          <w:spacing w:val="-1"/>
        </w:rPr>
        <w:t>有关税收问题的通知》（财税字</w:t>
      </w:r>
      <w:r>
        <w:rPr>
          <w:rFonts w:ascii="宋体" w:hAnsi="宋体" w:cs="宋体" w:eastAsia="宋体" w:hint="default"/>
          <w:spacing w:val="-1"/>
        </w:rPr>
        <w:t>[1999]273</w:t>
      </w:r>
      <w:r>
        <w:rPr>
          <w:spacing w:val="-1"/>
        </w:rPr>
        <w:t>号）的规定，公司</w:t>
      </w:r>
      <w:r>
        <w:rPr>
          <w:rFonts w:ascii="宋体" w:hAnsi="宋体" w:cs="宋体" w:eastAsia="宋体" w:hint="default"/>
          <w:spacing w:val="-1"/>
        </w:rPr>
        <w:t>2012</w:t>
      </w:r>
      <w:r>
        <w:rPr>
          <w:spacing w:val="-1"/>
        </w:rPr>
        <w:t>年度未执行完毕的技术转</w:t>
      </w:r>
      <w:r>
        <w:rPr>
          <w:spacing w:val="-80"/>
        </w:rPr>
        <w:t> </w:t>
      </w:r>
      <w:r>
        <w:rPr>
          <w:spacing w:val="-80"/>
        </w:rPr>
      </w:r>
      <w:r>
        <w:rPr/>
        <w:t>让、技术开发业务和与之相关的技术咨询、技术服务业务取得的收入，免征营业税。</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合并财务报表项目注释" w:id="190"/>
      <w:bookmarkEnd w:id="190"/>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91"/>
      <w:bookmarkEnd w:id="19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241,462.53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103,025.01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677,338,376.29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526,164,672.24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14,219,791.96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13,973,520.14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691,799,630.78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540,241,217.39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1,390,405.75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467,453.47</w:t>
            </w:r>
          </w:p>
        </w:tc>
      </w:tr>
    </w:tbl>
    <w:p>
      <w:pPr>
        <w:pStyle w:val="BodyText"/>
        <w:spacing w:line="240" w:lineRule="auto" w:before="63"/>
        <w:ind w:left="154" w:right="0"/>
        <w:jc w:val="left"/>
      </w:pPr>
      <w:r>
        <w:rPr/>
        <w:t>其中受限制的货币资金明细如下：</w:t>
      </w:r>
    </w:p>
    <w:p>
      <w:pPr>
        <w:spacing w:line="240" w:lineRule="auto" w:before="12"/>
        <w:rPr>
          <w:rFonts w:ascii="宋体" w:hAnsi="宋体" w:cs="宋体" w:eastAsia="宋体" w:hint="default"/>
          <w:sz w:val="9"/>
          <w:szCs w:val="9"/>
        </w:rPr>
      </w:pPr>
    </w:p>
    <w:tbl>
      <w:tblPr>
        <w:tblW w:w="0" w:type="auto"/>
        <w:jc w:val="left"/>
        <w:tblInd w:w="717" w:type="dxa"/>
        <w:tblLayout w:type="fixed"/>
        <w:tblCellMar>
          <w:top w:w="0" w:type="dxa"/>
          <w:left w:w="0" w:type="dxa"/>
          <w:bottom w:w="0" w:type="dxa"/>
          <w:right w:w="0" w:type="dxa"/>
        </w:tblCellMar>
        <w:tblLook w:val="01E0"/>
      </w:tblPr>
      <w:tblGrid>
        <w:gridCol w:w="2598"/>
        <w:gridCol w:w="2598"/>
        <w:gridCol w:w="2600"/>
      </w:tblGrid>
      <w:tr>
        <w:trPr>
          <w:trHeight w:val="342"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598" w:type="dxa"/>
            <w:tcBorders>
              <w:top w:val="single" w:sz="4" w:space="0" w:color="000000"/>
              <w:left w:val="single" w:sz="4" w:space="0" w:color="000000"/>
              <w:bottom w:val="single" w:sz="4" w:space="0" w:color="000000"/>
              <w:right w:val="single" w:sz="4" w:space="0" w:color="000000"/>
            </w:tcBorders>
          </w:tcPr>
          <w:p>
            <w:pP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1,744,640.00</w:t>
            </w:r>
          </w:p>
        </w:tc>
      </w:tr>
      <w:tr>
        <w:trPr>
          <w:trHeight w:val="342"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14,219,791.96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12,154,449.02</w:t>
            </w:r>
          </w:p>
        </w:tc>
      </w:tr>
      <w:tr>
        <w:trPr>
          <w:trHeight w:val="342" w:hRule="exact"/>
        </w:trPr>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14,219,791.96</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13,899,089.02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应收票据" w:id="192"/>
      <w:bookmarkEnd w:id="192"/>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票据分类列示" w:id="193"/>
      <w:bookmarkEnd w:id="19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15,921,161.85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15,921,161.85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194"/>
      <w:bookmarkEnd w:id="194"/>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95"/>
      <w:bookmarkEnd w:id="19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63,839,3</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05.71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4,982,61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58,856,68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38,922,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615.30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2,979,061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35,943,554.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63,839,3</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05.71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4,982,61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58,856,68</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38,922,</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615.30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2,979,061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35,943,554.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50,638,013.23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2,531,900.66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7,594,734.08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759,473.41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3,706,783.40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741,356.68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949,887.50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1,899,775.00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949,887.50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63,839,305.71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4,982,618.25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196"/>
      <w:bookmarkEnd w:id="19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20"/>
          <w:szCs w:val="20"/>
        </w:rPr>
      </w:pPr>
      <w:r>
        <w:rPr>
          <w:rFonts w:ascii="宋体" w:hAnsi="宋体" w:cs="宋体" w:eastAsia="宋体" w:hint="default"/>
          <w:sz w:val="20"/>
          <w:szCs w:val="20"/>
        </w:rPr>
        <w:t>本期计提坏账准备金额</w:t>
      </w:r>
      <w:r>
        <w:rPr>
          <w:rFonts w:ascii="Times New Roman" w:hAnsi="Times New Roman" w:cs="Times New Roman" w:eastAsia="Times New Roman" w:hint="default"/>
          <w:sz w:val="20"/>
          <w:szCs w:val="20"/>
        </w:rPr>
        <w:t>-1,410,490.75</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元；本期收回或转回坏账准备金额</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0.00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元。</w:t>
      </w:r>
    </w:p>
    <w:p>
      <w:pPr>
        <w:spacing w:line="240" w:lineRule="auto" w:before="11"/>
        <w:rPr>
          <w:rFonts w:ascii="宋体" w:hAnsi="宋体" w:cs="宋体" w:eastAsia="宋体" w:hint="default"/>
          <w:sz w:val="24"/>
          <w:szCs w:val="24"/>
        </w:rPr>
      </w:pPr>
    </w:p>
    <w:p>
      <w:pPr>
        <w:pStyle w:val="Heading3"/>
        <w:spacing w:line="240" w:lineRule="auto"/>
        <w:ind w:right="0"/>
        <w:jc w:val="left"/>
        <w:rPr>
          <w:b w:val="0"/>
          <w:bCs w:val="0"/>
        </w:rPr>
      </w:pPr>
      <w:bookmarkStart w:name="（3）按欠款方归集的期末余额前五吊的应收账款情况" w:id="197"/>
      <w:bookmarkEnd w:id="197"/>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2695"/>
        <w:gridCol w:w="1700"/>
        <w:gridCol w:w="1699"/>
        <w:gridCol w:w="1649"/>
      </w:tblGrid>
      <w:tr>
        <w:trPr>
          <w:trHeight w:val="342" w:hRule="exact"/>
        </w:trPr>
        <w:tc>
          <w:tcPr>
            <w:tcW w:w="269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695"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19" w:right="35"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 例</w:t>
            </w:r>
            <w:r>
              <w:rPr>
                <w:rFonts w:ascii="Times New Roman" w:hAnsi="Times New Roman" w:cs="Times New Roman" w:eastAsia="Times New Roman" w:hint="default"/>
                <w:sz w:val="18"/>
                <w:szCs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广州贝米特信息科技有限公司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8,280,162.00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12.97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414,008.10</w:t>
            </w:r>
          </w:p>
        </w:tc>
      </w:tr>
      <w:tr>
        <w:trPr>
          <w:trHeight w:val="654"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8"/>
              <w:jc w:val="left"/>
              <w:rPr>
                <w:rFonts w:ascii="宋体" w:hAnsi="宋体" w:cs="宋体" w:eastAsia="宋体" w:hint="default"/>
                <w:sz w:val="18"/>
                <w:szCs w:val="18"/>
              </w:rPr>
            </w:pPr>
            <w:r>
              <w:rPr>
                <w:rFonts w:ascii="宋体" w:hAnsi="宋体" w:cs="宋体" w:eastAsia="宋体" w:hint="default"/>
                <w:spacing w:val="12"/>
                <w:sz w:val="18"/>
                <w:szCs w:val="18"/>
              </w:rPr>
              <w:t>中国人寿保险股份有限公司上海 </w:t>
            </w:r>
            <w:r>
              <w:rPr>
                <w:rFonts w:ascii="宋体" w:hAnsi="宋体" w:cs="宋体" w:eastAsia="宋体" w:hint="default"/>
                <w:sz w:val="18"/>
                <w:szCs w:val="18"/>
              </w:rPr>
              <w:t>数据中心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5,997,796.78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9.40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497,365.29</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3,993,917.36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199,695.87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唐山中厚板材有限公司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3,390,000.00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5.31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619,500.00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陕西通信信息技术有限公司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2,973,775.00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921,912.50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24,635,651.14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38.60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2,652,481.76</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预付款项" w:id="198"/>
      <w:bookmarkEnd w:id="19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99"/>
      <w:bookmarkEnd w:id="19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9,310,861.13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50,403,449.51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355,010.77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2,541,720.00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9,748,571.90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53,017,869.51</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吊的预付款情况" w:id="200"/>
      <w:bookmarkEnd w:id="20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858" w:type="dxa"/>
        <w:tblLayout w:type="fixed"/>
        <w:tblCellMar>
          <w:top w:w="0" w:type="dxa"/>
          <w:left w:w="0" w:type="dxa"/>
          <w:bottom w:w="0" w:type="dxa"/>
          <w:right w:w="0" w:type="dxa"/>
        </w:tblCellMar>
        <w:tblLook w:val="01E0"/>
      </w:tblPr>
      <w:tblGrid>
        <w:gridCol w:w="3119"/>
        <w:gridCol w:w="2197"/>
        <w:gridCol w:w="2198"/>
      </w:tblGrid>
      <w:tr>
        <w:trPr>
          <w:trHeight w:val="65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17" w:right="372"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 合计数的比例</w:t>
            </w:r>
            <w:r>
              <w:rPr>
                <w:rFonts w:ascii="Times New Roman" w:hAnsi="Times New Roman" w:cs="Times New Roman" w:eastAsia="Times New Roman" w:hint="default"/>
                <w:sz w:val="18"/>
                <w:szCs w:val="18"/>
              </w:rPr>
              <w:t>(%)</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富通时代科技有限公司</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2,378,019.89</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24.39</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北京星尚传媒科技有限公司</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1,005,000.00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10.31</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北京润祥世纪科技发展有限公司</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1,000,000.00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10.26</w:t>
            </w:r>
          </w:p>
        </w:tc>
      </w:tr>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天津慧谷软件有限公司</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545,129.81</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5.59</w:t>
            </w:r>
          </w:p>
        </w:tc>
      </w:tr>
      <w:tr>
        <w:trPr>
          <w:trHeight w:val="34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思爱普（北京）软件系统有限公司</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452,740.60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858" w:type="dxa"/>
        <w:tblLayout w:type="fixed"/>
        <w:tblCellMar>
          <w:top w:w="0" w:type="dxa"/>
          <w:left w:w="0" w:type="dxa"/>
          <w:bottom w:w="0" w:type="dxa"/>
          <w:right w:w="0" w:type="dxa"/>
        </w:tblCellMar>
        <w:tblLook w:val="01E0"/>
      </w:tblPr>
      <w:tblGrid>
        <w:gridCol w:w="3119"/>
        <w:gridCol w:w="2197"/>
        <w:gridCol w:w="2200"/>
      </w:tblGrid>
      <w:tr>
        <w:trPr>
          <w:trHeight w:val="34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37" w:right="0"/>
              <w:jc w:val="left"/>
              <w:rPr>
                <w:rFonts w:ascii="Times New Roman" w:hAnsi="Times New Roman" w:cs="Times New Roman" w:eastAsia="Times New Roman" w:hint="default"/>
                <w:sz w:val="18"/>
                <w:szCs w:val="18"/>
              </w:rPr>
            </w:pPr>
            <w:r>
              <w:rPr>
                <w:rFonts w:ascii="Times New Roman"/>
                <w:sz w:val="18"/>
              </w:rPr>
              <w:t>5,380,890.30</w:t>
            </w:r>
          </w:p>
        </w:tc>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55.19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5、其他应收款" w:id="201"/>
      <w:bookmarkEnd w:id="20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02"/>
      <w:bookmarkEnd w:id="20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41,705,6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16.78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2,967,41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38,738,20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31,667,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732.32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1,926,986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29,740,746.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41,705,6</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16.78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2,967,41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6.19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38,738,20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31,667,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732.32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1,926,986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29,740,746.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30,924,458.22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1,546,222.90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8,902,059.31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890,205.94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1,361,874.25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272,374.85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517,225.00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258,612.50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517,225.00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258,612.50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41,705,616.78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2,967,416.19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506" w:lineRule="auto" w:before="0"/>
        <w:ind w:left="154" w:right="6641" w:firstLine="0"/>
        <w:jc w:val="left"/>
        <w:rPr>
          <w:rFonts w:ascii="宋体" w:hAnsi="宋体" w:cs="宋体" w:eastAsia="宋体" w:hint="default"/>
          <w:sz w:val="21"/>
          <w:szCs w:val="21"/>
        </w:rPr>
      </w:pPr>
      <w:bookmarkStart w:name="（2）本期计提、收回或转回的坏账准备情况"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909,163.28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after="0" w:line="506" w:lineRule="auto"/>
        <w:jc w:val="left"/>
        <w:rPr>
          <w:rFonts w:ascii="宋体" w:hAnsi="宋体" w:cs="宋体" w:eastAsia="宋体" w:hint="default"/>
          <w:sz w:val="21"/>
          <w:szCs w:val="21"/>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其他应收款按款项性质分类情况" w:id="204"/>
      <w:bookmarkEnd w:id="204"/>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38,964,151.11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26,408,430.33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366,072.25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753,765.10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预付房租物业费及押金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1,410,430.00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2,282,368.23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964,963.42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2,223,168.66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41,705,616.78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31,667,732.32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205"/>
      <w:bookmarkEnd w:id="205"/>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中科软科技股份有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w:t>
            </w:r>
            <w:r>
              <w:rPr>
                <w:rFonts w:ascii="Times New Roman" w:hAnsi="Times New Roman" w:cs="Times New Roman" w:eastAsia="Times New Roman" w:hint="default"/>
                <w:sz w:val="18"/>
                <w:szCs w:val="18"/>
              </w:rPr>
              <w:t>/</w:t>
            </w:r>
            <w:r>
              <w:rPr>
                <w:rFonts w:ascii="宋体" w:hAnsi="宋体" w:cs="宋体" w:eastAsia="宋体" w:hint="default"/>
                <w:sz w:val="18"/>
                <w:szCs w:val="18"/>
              </w:rPr>
              <w:t>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6,511,520.15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446,822.98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中共中央办公厅电 子科技学院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3,904,593.50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195,229.68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北京工业职业技术 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2,302,957.00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115,147.85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中国教育电视台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196,650.00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1,888,704.00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94,435.20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16,574,274.65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1,048,285.71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存货" w:id="206"/>
      <w:bookmarkEnd w:id="206"/>
      <w:r>
        <w:rPr>
          <w:b w:val="0"/>
          <w:bCs w:val="0"/>
        </w:rPr>
      </w: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207"/>
      <w:bookmarkEnd w:id="20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4,557,192.62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4,557,192.62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165,694,796.50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165,694,796.50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157,374,831.86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157,374,831.86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156,475.79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156,475.79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258,516,126.83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258,516,126.83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213,366,669.51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213,366,669.51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428,768,115.95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428,768,115.95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370,897,977.16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370,897,977.16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其他流动资产" w:id="208"/>
      <w:bookmarkEnd w:id="20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留抵税金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2,514,998.94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42,966,689.48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112,514,998.94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137,566,689.48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可供出售金融资产" w:id="209"/>
      <w:bookmarkEnd w:id="209"/>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10"/>
      <w:bookmarkEnd w:id="21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211"/>
      <w:bookmarkEnd w:id="211"/>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马鞍山农 村商业银 行</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0.67%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佛山南海 新华村镇 银行股份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4.90%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9、长期股权投资" w:id="212"/>
      <w:bookmarkEnd w:id="212"/>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3"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北京中科 金财电子 产品有限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19,796,00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1,791,253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21,587,25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-1,050,64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4,967,710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深圳中金 财富互联 网金融服 务有限公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-5,123.97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564,876.0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26,396,00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-1,050,64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27,119,83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26,396,00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1,774,481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-1,050,64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27,119,83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9.51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13"/>
          <w:szCs w:val="13"/>
        </w:rPr>
      </w:pPr>
    </w:p>
    <w:p>
      <w:pPr>
        <w:spacing w:line="429" w:lineRule="auto" w:before="0"/>
        <w:ind w:left="154" w:right="1129" w:firstLine="426"/>
        <w:jc w:val="both"/>
        <w:rPr>
          <w:rFonts w:ascii="宋体" w:hAnsi="宋体" w:cs="宋体" w:eastAsia="宋体" w:hint="default"/>
          <w:sz w:val="20"/>
          <w:szCs w:val="20"/>
        </w:rPr>
      </w:pPr>
      <w:r>
        <w:rPr>
          <w:rFonts w:ascii="宋体" w:hAnsi="宋体" w:cs="宋体" w:eastAsia="宋体" w:hint="default"/>
          <w:spacing w:val="-3"/>
          <w:sz w:val="20"/>
          <w:szCs w:val="20"/>
        </w:rPr>
        <w:t>1</w:t>
      </w:r>
      <w:r>
        <w:rPr>
          <w:rFonts w:ascii="宋体" w:hAnsi="宋体" w:cs="宋体" w:eastAsia="宋体" w:hint="default"/>
          <w:spacing w:val="-3"/>
          <w:sz w:val="20"/>
          <w:szCs w:val="20"/>
        </w:rPr>
        <w:t>、公司期初持有北京中科金财电子产品有限公司</w:t>
      </w:r>
      <w:r>
        <w:rPr>
          <w:rFonts w:ascii="宋体" w:hAnsi="宋体" w:cs="宋体" w:eastAsia="宋体" w:hint="default"/>
          <w:spacing w:val="-3"/>
          <w:sz w:val="20"/>
          <w:szCs w:val="20"/>
        </w:rPr>
        <w:t>51.00%</w:t>
      </w:r>
      <w:r>
        <w:rPr>
          <w:rFonts w:ascii="宋体" w:hAnsi="宋体" w:cs="宋体" w:eastAsia="宋体" w:hint="default"/>
          <w:spacing w:val="-3"/>
          <w:sz w:val="20"/>
          <w:szCs w:val="20"/>
        </w:rPr>
        <w:t>的股份，投资成本</w:t>
      </w:r>
      <w:r>
        <w:rPr>
          <w:rFonts w:ascii="宋体" w:hAnsi="宋体" w:cs="宋体" w:eastAsia="宋体" w:hint="default"/>
          <w:spacing w:val="-3"/>
          <w:sz w:val="20"/>
          <w:szCs w:val="20"/>
        </w:rPr>
        <w:t>4,080,000.00</w:t>
      </w:r>
      <w:r>
        <w:rPr>
          <w:rFonts w:ascii="宋体" w:hAnsi="宋体" w:cs="宋体" w:eastAsia="宋体" w:hint="default"/>
          <w:spacing w:val="-3"/>
          <w:sz w:val="20"/>
          <w:szCs w:val="20"/>
        </w:rPr>
        <w:t>元，本期按持股比</w:t>
      </w:r>
      <w:r>
        <w:rPr>
          <w:rFonts w:ascii="宋体" w:hAnsi="宋体" w:cs="宋体" w:eastAsia="宋体" w:hint="default"/>
          <w:w w:val="100"/>
          <w:sz w:val="20"/>
          <w:szCs w:val="20"/>
        </w:rPr>
        <w:t> </w:t>
      </w:r>
      <w:r>
        <w:rPr>
          <w:rFonts w:ascii="宋体" w:hAnsi="宋体" w:cs="宋体" w:eastAsia="宋体" w:hint="default"/>
          <w:sz w:val="20"/>
          <w:szCs w:val="20"/>
        </w:rPr>
        <w:t>例增加投资</w:t>
      </w:r>
      <w:r>
        <w:rPr>
          <w:rFonts w:ascii="宋体" w:hAnsi="宋体" w:cs="宋体" w:eastAsia="宋体" w:hint="default"/>
          <w:sz w:val="20"/>
          <w:szCs w:val="20"/>
        </w:rPr>
        <w:t>16,320,000.00</w:t>
      </w:r>
      <w:r>
        <w:rPr>
          <w:rFonts w:ascii="宋体" w:hAnsi="宋体" w:cs="宋体" w:eastAsia="宋体" w:hint="default"/>
          <w:sz w:val="20"/>
          <w:szCs w:val="20"/>
        </w:rPr>
        <w:t>元，</w:t>
      </w: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4</w:t>
      </w:r>
      <w:r>
        <w:rPr>
          <w:rFonts w:ascii="宋体" w:hAnsi="宋体" w:cs="宋体" w:eastAsia="宋体" w:hint="default"/>
          <w:sz w:val="20"/>
          <w:szCs w:val="20"/>
        </w:rPr>
        <w:t>月，根据第三届董事会第六次会议决议，公司将持有中科电子</w:t>
      </w:r>
      <w:r>
        <w:rPr>
          <w:rFonts w:ascii="宋体" w:hAnsi="宋体" w:cs="宋体" w:eastAsia="宋体" w:hint="default"/>
          <w:sz w:val="20"/>
          <w:szCs w:val="20"/>
        </w:rPr>
        <w:t>2%</w:t>
      </w:r>
      <w:r>
        <w:rPr>
          <w:rFonts w:ascii="宋体" w:hAnsi="宋体" w:cs="宋体" w:eastAsia="宋体" w:hint="default"/>
          <w:sz w:val="20"/>
          <w:szCs w:val="20"/>
        </w:rPr>
        <w:t>的股权</w:t>
      </w:r>
      <w:r>
        <w:rPr>
          <w:rFonts w:ascii="宋体" w:hAnsi="宋体" w:cs="宋体" w:eastAsia="宋体" w:hint="default"/>
          <w:w w:val="100"/>
          <w:sz w:val="20"/>
          <w:szCs w:val="20"/>
        </w:rPr>
        <w:t> </w:t>
      </w:r>
      <w:r>
        <w:rPr>
          <w:rFonts w:ascii="宋体" w:hAnsi="宋体" w:cs="宋体" w:eastAsia="宋体" w:hint="default"/>
          <w:sz w:val="20"/>
          <w:szCs w:val="20"/>
        </w:rPr>
        <w:t>以人民币</w:t>
      </w:r>
      <w:r>
        <w:rPr>
          <w:rFonts w:ascii="宋体" w:hAnsi="宋体" w:cs="宋体" w:eastAsia="宋体" w:hint="default"/>
          <w:sz w:val="20"/>
          <w:szCs w:val="20"/>
        </w:rPr>
        <w:t>808,000.00</w:t>
      </w:r>
      <w:r>
        <w:rPr>
          <w:rFonts w:ascii="宋体" w:hAnsi="宋体" w:cs="宋体" w:eastAsia="宋体" w:hint="default"/>
          <w:sz w:val="20"/>
          <w:szCs w:val="20"/>
        </w:rPr>
        <w:t>元转让给北京恒沙科技有限责任公司。</w:t>
      </w:r>
    </w:p>
    <w:p>
      <w:pPr>
        <w:spacing w:line="429" w:lineRule="auto" w:before="48"/>
        <w:ind w:left="154" w:right="1168" w:firstLine="426"/>
        <w:jc w:val="left"/>
        <w:rPr>
          <w:rFonts w:ascii="宋体" w:hAnsi="宋体" w:cs="宋体" w:eastAsia="宋体" w:hint="default"/>
          <w:sz w:val="20"/>
          <w:szCs w:val="20"/>
        </w:rPr>
      </w:pPr>
      <w:r>
        <w:rPr>
          <w:rFonts w:ascii="宋体" w:hAnsi="宋体" w:cs="宋体" w:eastAsia="宋体" w:hint="default"/>
          <w:sz w:val="20"/>
          <w:szCs w:val="20"/>
        </w:rPr>
        <w:t>2</w:t>
      </w:r>
      <w:r>
        <w:rPr>
          <w:rFonts w:ascii="宋体" w:hAnsi="宋体" w:cs="宋体" w:eastAsia="宋体" w:hint="default"/>
          <w:sz w:val="20"/>
          <w:szCs w:val="20"/>
        </w:rPr>
        <w:t>、公司</w:t>
      </w: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11</w:t>
      </w:r>
      <w:r>
        <w:rPr>
          <w:rFonts w:ascii="宋体" w:hAnsi="宋体" w:cs="宋体" w:eastAsia="宋体" w:hint="default"/>
          <w:sz w:val="20"/>
          <w:szCs w:val="20"/>
        </w:rPr>
        <w:t>月取得中科环嘉电子商务有限公司</w:t>
      </w:r>
      <w:r>
        <w:rPr>
          <w:rFonts w:ascii="宋体" w:hAnsi="宋体" w:cs="宋体" w:eastAsia="宋体" w:hint="default"/>
          <w:sz w:val="20"/>
          <w:szCs w:val="20"/>
        </w:rPr>
        <w:t>20.10%</w:t>
      </w:r>
      <w:r>
        <w:rPr>
          <w:rFonts w:ascii="宋体" w:hAnsi="宋体" w:cs="宋体" w:eastAsia="宋体" w:hint="default"/>
          <w:sz w:val="20"/>
          <w:szCs w:val="20"/>
        </w:rPr>
        <w:t>的股份，投资成本</w:t>
      </w:r>
      <w:r>
        <w:rPr>
          <w:rFonts w:ascii="宋体" w:hAnsi="宋体" w:cs="宋体" w:eastAsia="宋体" w:hint="default"/>
          <w:sz w:val="20"/>
          <w:szCs w:val="20"/>
        </w:rPr>
        <w:t>6,030,000.00</w:t>
      </w:r>
      <w:r>
        <w:rPr>
          <w:rFonts w:ascii="宋体" w:hAnsi="宋体" w:cs="宋体" w:eastAsia="宋体" w:hint="default"/>
          <w:sz w:val="20"/>
          <w:szCs w:val="20"/>
        </w:rPr>
        <w:t>元。</w:t>
      </w:r>
      <w:r>
        <w:rPr>
          <w:rFonts w:ascii="宋体" w:hAnsi="宋体" w:cs="宋体" w:eastAsia="宋体" w:hint="default"/>
          <w:spacing w:val="-6"/>
          <w:sz w:val="20"/>
          <w:szCs w:val="20"/>
        </w:rPr>
        <w:t> </w:t>
      </w: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7</w:t>
      </w:r>
      <w:r>
        <w:rPr>
          <w:rFonts w:ascii="宋体" w:hAnsi="宋体" w:cs="宋体" w:eastAsia="宋体" w:hint="default"/>
          <w:w w:val="100"/>
          <w:sz w:val="20"/>
          <w:szCs w:val="20"/>
        </w:rPr>
        <w:t> </w:t>
      </w:r>
      <w:r>
        <w:rPr>
          <w:rFonts w:ascii="宋体" w:hAnsi="宋体" w:cs="宋体" w:eastAsia="宋体" w:hint="default"/>
          <w:spacing w:val="-1"/>
          <w:sz w:val="20"/>
          <w:szCs w:val="20"/>
        </w:rPr>
        <w:t>月中科环嘉与子公司中科商务发生关联方采购，中科商务按技术开发进度确认技术收入</w:t>
      </w:r>
      <w:r>
        <w:rPr>
          <w:rFonts w:ascii="宋体" w:hAnsi="宋体" w:cs="宋体" w:eastAsia="宋体" w:hint="default"/>
          <w:spacing w:val="-1"/>
          <w:sz w:val="20"/>
          <w:szCs w:val="20"/>
        </w:rPr>
        <w:t>5,227,075.33</w:t>
      </w:r>
      <w:r>
        <w:rPr>
          <w:rFonts w:ascii="宋体" w:hAnsi="宋体" w:cs="宋体" w:eastAsia="宋体" w:hint="default"/>
          <w:spacing w:val="-1"/>
          <w:sz w:val="20"/>
          <w:szCs w:val="20"/>
        </w:rPr>
        <w:t>元。截至</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w:t>
      </w:r>
      <w:r>
        <w:rPr>
          <w:rFonts w:ascii="宋体" w:hAnsi="宋体" w:cs="宋体" w:eastAsia="宋体" w:hint="default"/>
          <w:sz w:val="20"/>
          <w:szCs w:val="20"/>
        </w:rPr>
        <w:t>31</w:t>
      </w:r>
      <w:r>
        <w:rPr>
          <w:rFonts w:ascii="宋体" w:hAnsi="宋体" w:cs="宋体" w:eastAsia="宋体" w:hint="default"/>
          <w:sz w:val="20"/>
          <w:szCs w:val="20"/>
        </w:rPr>
        <w:t>日，项目尚在进行中，在合并层面抵消该笔交易未实现损益</w:t>
      </w:r>
      <w:r>
        <w:rPr>
          <w:rFonts w:ascii="宋体" w:hAnsi="宋体" w:cs="宋体" w:eastAsia="宋体" w:hint="default"/>
          <w:sz w:val="20"/>
          <w:szCs w:val="20"/>
        </w:rPr>
        <w:t>-1,050,642.14</w:t>
      </w:r>
      <w:r>
        <w:rPr>
          <w:rFonts w:ascii="宋体" w:hAnsi="宋体" w:cs="宋体" w:eastAsia="宋体" w:hint="default"/>
          <w:sz w:val="20"/>
          <w:szCs w:val="20"/>
        </w:rPr>
        <w:t>元。</w:t>
      </w:r>
    </w:p>
    <w:p>
      <w:pPr>
        <w:spacing w:before="48"/>
        <w:ind w:left="580" w:right="0" w:firstLine="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、公司</w:t>
      </w:r>
      <w:r>
        <w:rPr>
          <w:rFonts w:ascii="宋体" w:hAnsi="宋体" w:cs="宋体" w:eastAsia="宋体" w:hint="default"/>
          <w:sz w:val="20"/>
          <w:szCs w:val="20"/>
        </w:rPr>
        <w:t>2014</w:t>
      </w:r>
      <w:r>
        <w:rPr>
          <w:rFonts w:ascii="宋体" w:hAnsi="宋体" w:cs="宋体" w:eastAsia="宋体" w:hint="default"/>
          <w:sz w:val="20"/>
          <w:szCs w:val="20"/>
        </w:rPr>
        <w:t>年</w:t>
      </w:r>
      <w:r>
        <w:rPr>
          <w:rFonts w:ascii="宋体" w:hAnsi="宋体" w:cs="宋体" w:eastAsia="宋体" w:hint="default"/>
          <w:sz w:val="20"/>
          <w:szCs w:val="20"/>
        </w:rPr>
        <w:t>12</w:t>
      </w:r>
      <w:r>
        <w:rPr>
          <w:rFonts w:ascii="宋体" w:hAnsi="宋体" w:cs="宋体" w:eastAsia="宋体" w:hint="default"/>
          <w:sz w:val="20"/>
          <w:szCs w:val="20"/>
        </w:rPr>
        <w:t>月出资</w:t>
      </w:r>
      <w:r>
        <w:rPr>
          <w:rFonts w:ascii="宋体" w:hAnsi="宋体" w:cs="宋体" w:eastAsia="宋体" w:hint="default"/>
          <w:sz w:val="20"/>
          <w:szCs w:val="20"/>
        </w:rPr>
        <w:t>570,000.00</w:t>
      </w:r>
      <w:r>
        <w:rPr>
          <w:rFonts w:ascii="宋体" w:hAnsi="宋体" w:cs="宋体" w:eastAsia="宋体" w:hint="default"/>
          <w:sz w:val="20"/>
          <w:szCs w:val="20"/>
        </w:rPr>
        <w:t>元取得深圳中金财富互联网金融服务有限公司</w:t>
      </w:r>
      <w:r>
        <w:rPr>
          <w:rFonts w:ascii="宋体" w:hAnsi="宋体" w:cs="宋体" w:eastAsia="宋体" w:hint="default"/>
          <w:sz w:val="20"/>
          <w:szCs w:val="20"/>
        </w:rPr>
        <w:t>19.00%</w:t>
      </w:r>
      <w:r>
        <w:rPr>
          <w:rFonts w:ascii="宋体" w:hAnsi="宋体" w:cs="宋体" w:eastAsia="宋体" w:hint="default"/>
          <w:sz w:val="20"/>
          <w:szCs w:val="20"/>
        </w:rPr>
        <w:t>的股份。</w:t>
      </w:r>
    </w:p>
    <w:p>
      <w:pPr>
        <w:spacing w:line="240" w:lineRule="auto" w:before="0"/>
        <w:rPr>
          <w:rFonts w:ascii="宋体" w:hAnsi="宋体" w:cs="宋体" w:eastAsia="宋体" w:hint="default"/>
          <w:sz w:val="20"/>
          <w:szCs w:val="20"/>
        </w:rPr>
      </w:pPr>
    </w:p>
    <w:p>
      <w:pPr>
        <w:pStyle w:val="Heading3"/>
        <w:spacing w:line="240" w:lineRule="auto" w:before="158"/>
        <w:ind w:left="153" w:right="0"/>
        <w:jc w:val="left"/>
        <w:rPr>
          <w:b w:val="0"/>
          <w:bCs w:val="0"/>
        </w:rPr>
      </w:pPr>
      <w:bookmarkStart w:name="10、固定资产" w:id="213"/>
      <w:bookmarkEnd w:id="213"/>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14"/>
      <w:bookmarkEnd w:id="21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128,510,047.16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9,427,335.80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137,937,382.96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105,685,008.55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20,289,473.48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2,300,856.58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130,935,424.86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17,687,665.91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142,200.00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17,829,865.91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840,512.82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840,512.82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104,844,495.73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2,601,807.57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2,158,656.58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112,265,046.13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427,692.31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1,518,377.56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1,946,069.87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427,692.31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1,444,330.12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1,872,022.43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合并范围变化减少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74,047.44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74,047.44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2,660,086.25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105,257,316.24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147,281,143.08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center"/>
              <w:rPr>
                <w:rFonts w:ascii="Times New Roman" w:hAnsi="Times New Roman" w:cs="Times New Roman" w:eastAsia="Times New Roman" w:hint="default"/>
                <w:sz w:val="18"/>
                <w:szCs w:val="18"/>
              </w:rPr>
            </w:pPr>
            <w:r>
              <w:rPr>
                <w:rFonts w:ascii="Times New Roman"/>
                <w:sz w:val="18"/>
              </w:rPr>
              <w:t>11,728,192.38</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266,926,737.95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52,585,971.61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 w:right="0"/>
              <w:jc w:val="center"/>
              <w:rPr>
                <w:rFonts w:ascii="Times New Roman" w:hAnsi="Times New Roman" w:cs="Times New Roman" w:eastAsia="Times New Roman" w:hint="default"/>
                <w:sz w:val="18"/>
                <w:szCs w:val="18"/>
              </w:rPr>
            </w:pPr>
            <w:r>
              <w:rPr>
                <w:rFonts w:ascii="Times New Roman"/>
                <w:sz w:val="18"/>
              </w:rPr>
              <w:t>3,793,986.11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56,379,957.72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381,464.70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77,387,123.24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27,389,349.63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3,199,447.86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108,357,385.43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12,134.27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1,343,444.59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26,227,028.41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1,686,491.01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29,269,098.28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合并范围变化增加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369,330.43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76,043,678.65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1,162,321.22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1,512,956.85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79,088,287.15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127,397.44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965,918.31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1,093,315.75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127,397.44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953,358.74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1,080,756.18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企业合并范围减少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12,559.57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12,559.57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381,464.70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77,259,725.80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79,009,402.93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6,993,433.97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163,644,027.40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2,278,621.55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27,997,590.44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68,271,740.15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4,734,758.41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103,282,710.55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75,924,075.55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5,633,349.69</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81,557,425.24</w:t>
            </w:r>
          </w:p>
        </w:tc>
      </w:tr>
    </w:tbl>
    <w:p>
      <w:pPr>
        <w:pStyle w:val="BodyText"/>
        <w:spacing w:line="260" w:lineRule="exact" w:before="0"/>
        <w:ind w:left="154" w:right="0"/>
        <w:jc w:val="left"/>
      </w:pPr>
      <w:r>
        <w:rPr/>
        <w:t>其他说明</w:t>
      </w:r>
    </w:p>
    <w:p>
      <w:pPr>
        <w:pStyle w:val="BodyText"/>
        <w:spacing w:line="240" w:lineRule="auto" w:before="37"/>
        <w:ind w:left="454" w:right="0"/>
        <w:jc w:val="left"/>
      </w:pPr>
      <w:r>
        <w:rPr/>
        <w:t>本期折旧额</w:t>
      </w:r>
      <w:r>
        <w:rPr>
          <w:rFonts w:ascii="宋体" w:hAnsi="宋体" w:cs="宋体" w:eastAsia="宋体" w:hint="default"/>
        </w:rPr>
        <w:t>29,269,098.20</w:t>
      </w:r>
      <w:r>
        <w:rPr/>
        <w:t>元。期末无用于抵押或担保的固定资产，无暂时闲置的固定资产。</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11、在建工程" w:id="215"/>
      <w:bookmarkEnd w:id="215"/>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16"/>
      <w:bookmarkEnd w:id="21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3,557,649.54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3,557,649.54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金融外包服务产 业园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2,330,179.27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2,330,179.27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5,887,828.81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5,887,828.81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17"/>
      <w:bookmarkEnd w:id="21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0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both"/>
              <w:rPr>
                <w:rFonts w:ascii="宋体" w:hAnsi="宋体" w:cs="宋体" w:eastAsia="宋体" w:hint="default"/>
                <w:sz w:val="18"/>
                <w:szCs w:val="18"/>
              </w:rPr>
            </w:pPr>
            <w:r>
              <w:rPr>
                <w:rFonts w:ascii="宋体" w:hAnsi="宋体" w:cs="宋体" w:eastAsia="宋体" w:hint="default"/>
                <w:sz w:val="18"/>
                <w:szCs w:val="18"/>
              </w:rPr>
              <w:t>本期转 入固定 资产金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Times New Roman" w:hAnsi="Times New Roman" w:cs="Times New Roman" w:eastAsia="Times New Roman" w:hint="default"/>
                <w:sz w:val="18"/>
                <w:szCs w:val="18"/>
              </w:rPr>
            </w:pPr>
            <w:r>
              <w:rPr>
                <w:rFonts w:ascii="宋体" w:hAnsi="宋体" w:cs="宋体" w:eastAsia="宋体" w:hint="default"/>
                <w:sz w:val="18"/>
                <w:szCs w:val="18"/>
              </w:rPr>
              <w:t>未上线 的</w:t>
            </w:r>
            <w:r>
              <w:rPr>
                <w:rFonts w:ascii="宋体" w:hAnsi="宋体" w:cs="宋体" w:eastAsia="宋体" w:hint="default"/>
                <w:spacing w:val="-47"/>
                <w:sz w:val="18"/>
                <w:szCs w:val="18"/>
              </w:rPr>
              <w:t> </w:t>
            </w:r>
            <w:r>
              <w:rPr>
                <w:rFonts w:ascii="Times New Roman" w:hAnsi="Times New Roman" w:cs="Times New Roman" w:eastAsia="Times New Roman" w:hint="default"/>
                <w:spacing w:val="-7"/>
                <w:sz w:val="18"/>
                <w:szCs w:val="18"/>
              </w:rPr>
              <w:t>ATM</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4,587,26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3,557,64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金融外 包服务 产业园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2,330,17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2,330,17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0.52%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前期准 备</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6,917,44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840,512.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5,887,82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2、无形资产" w:id="218"/>
      <w:bookmarkEnd w:id="21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19"/>
      <w:bookmarkEnd w:id="21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110,494,943.54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110,494,943.54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23,591,468.11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79,167,435.73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102,758,903.84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2,518,848.54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2,518,848.54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48,803,253.86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48,803,253.86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23,591,468.11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27,845,333.33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51,436,801.44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10,615,663.69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10,615,663.69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10,615,663.69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10,615,663.69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23,591,468.11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179,046,715.58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202,638,183.69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33,159,580.99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33,159,580.99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782,432.57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34,173,034.26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34,955,466.83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47,518.83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29,539,215.56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29,586,734.39</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734,913.74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4,633,818.70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5,368,732.44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8,613,388.22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8,613,388.22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8,613,388.22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8,613,388.22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782,432.57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58,719,227.03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59,501,659.60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22,809,035.54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120,327,488.55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143,136,524.09</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77,335,362.55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77,335,362.55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24.08%</w:t>
      </w:r>
      <w:r>
        <w:rPr>
          <w:rFonts w:ascii="宋体" w:hAnsi="宋体" w:cs="宋体" w:eastAsia="宋体" w:hint="default"/>
          <w:sz w:val="18"/>
          <w:szCs w:val="18"/>
        </w:rPr>
        <w:t>。</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13、开发支出" w:id="220"/>
      <w:bookmarkEnd w:id="220"/>
      <w:r>
        <w:rPr>
          <w:b w:val="0"/>
          <w:bCs w:val="0"/>
        </w:rPr>
      </w:r>
      <w:r>
        <w:rPr>
          <w:rFonts w:ascii="Times New Roman" w:hAnsi="Times New Roman" w:cs="Times New Roman" w:eastAsia="Times New Roman" w:hint="default"/>
        </w:rPr>
        <w:t>13</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票据自助受理 系统项目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7,789,544.67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4,319,859.12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12,109,403.79</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中科金财</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BSM</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6,340,515.82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515,445.20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6,855,961.02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智能银行渠道 整合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1,856,071.47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9,076,901.19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10,932,972.66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银行网点优化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1,125,102.18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3,960,622.03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5,085,724.21</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E-HR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系统平 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3,094,248.12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3,094,248.12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BPM</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业务流程 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3,364,222.12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3,364,222.12</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服务综合业</w:t>
            </w:r>
            <w:r>
              <w:rPr>
                <w:rFonts w:ascii="宋体" w:hAnsi="宋体" w:cs="宋体" w:eastAsia="宋体" w:hint="default"/>
                <w:w w:val="99"/>
                <w:sz w:val="18"/>
                <w:szCs w:val="18"/>
              </w:rPr>
              <w:t> </w:t>
            </w:r>
            <w:r>
              <w:rPr>
                <w:rFonts w:ascii="宋体" w:hAnsi="宋体" w:cs="宋体" w:eastAsia="宋体" w:hint="default"/>
                <w:sz w:val="18"/>
                <w:szCs w:val="18"/>
              </w:rPr>
              <w:t>务平台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19,528,591.01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9,477.86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19,538,068.87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影像集中作业 平台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22,488,358.17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-79,134.20</w:t>
            </w:r>
            <w:r>
              <w:rPr>
                <w:rFonts w:ascii="Times New Roman"/>
                <w:sz w:val="18"/>
              </w:rPr>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22,409,223.97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商业银行精准 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4,079,220.34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4,079,220.34</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移动营销平台</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3,807,177.96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3,807,177.96</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59,128,183.32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32,148,039.74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48,803,253.86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42,472,969.20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商誉" w:id="221"/>
      <w:bookmarkEnd w:id="221"/>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22"/>
      <w:bookmarkEnd w:id="22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624,031,391.94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624,031,391.94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5、长期待摊费用" w:id="223"/>
      <w:bookmarkEnd w:id="223"/>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2,033,354.29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8" w:right="0"/>
              <w:jc w:val="left"/>
              <w:rPr>
                <w:rFonts w:ascii="Times New Roman" w:hAnsi="Times New Roman" w:cs="Times New Roman" w:eastAsia="Times New Roman" w:hint="default"/>
                <w:sz w:val="18"/>
                <w:szCs w:val="18"/>
              </w:rPr>
            </w:pPr>
            <w:r>
              <w:rPr>
                <w:rFonts w:ascii="Times New Roman"/>
                <w:sz w:val="18"/>
              </w:rPr>
              <w:t>2,439,450.00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6" w:right="0"/>
              <w:jc w:val="left"/>
              <w:rPr>
                <w:rFonts w:ascii="Times New Roman" w:hAnsi="Times New Roman" w:cs="Times New Roman" w:eastAsia="Times New Roman" w:hint="default"/>
                <w:sz w:val="18"/>
                <w:szCs w:val="18"/>
              </w:rPr>
            </w:pPr>
            <w:r>
              <w:rPr>
                <w:rFonts w:ascii="Times New Roman"/>
                <w:sz w:val="18"/>
              </w:rPr>
              <w:t>3,066,004.45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7" w:right="0"/>
              <w:jc w:val="left"/>
              <w:rPr>
                <w:rFonts w:ascii="Times New Roman" w:hAnsi="Times New Roman" w:cs="Times New Roman" w:eastAsia="Times New Roman" w:hint="default"/>
                <w:sz w:val="18"/>
                <w:szCs w:val="18"/>
              </w:rPr>
            </w:pPr>
            <w:r>
              <w:rPr>
                <w:rFonts w:ascii="Times New Roman"/>
                <w:sz w:val="18"/>
              </w:rPr>
              <w:t>1,406,799.84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4" w:right="0"/>
              <w:jc w:val="left"/>
              <w:rPr>
                <w:rFonts w:ascii="Times New Roman" w:hAnsi="Times New Roman" w:cs="Times New Roman" w:eastAsia="Times New Roman" w:hint="default"/>
                <w:sz w:val="18"/>
                <w:szCs w:val="18"/>
              </w:rPr>
            </w:pPr>
            <w:r>
              <w:rPr>
                <w:rFonts w:ascii="Times New Roman"/>
                <w:sz w:val="18"/>
              </w:rPr>
              <w:t>2,033,354.29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2,439,450.00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3,066,004.45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1,406,799.84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递延所得税资产/递延所得税负债" w:id="224"/>
      <w:bookmarkEnd w:id="224"/>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25"/>
      <w:bookmarkEnd w:id="225"/>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8,199,822.69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868,469.36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4,906,047.29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503,874.08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32,242,266.66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3,224,226.67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40,932,033.33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4,113,203.33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8,019,697.53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883,985.65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6,742,059.91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703,933.17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无形资产摊销（年限）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34,314,504.44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4,111,066.22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22,000,418.53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2,628,393.75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82,776,291.32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9,087,747.90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74,580,559.06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7,949,404.33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抵销后净额列示的递延所得税资产或负债" w:id="226"/>
      <w:bookmarkEnd w:id="226"/>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24"/>
        <w:gridCol w:w="1905"/>
        <w:gridCol w:w="1914"/>
        <w:gridCol w:w="1914"/>
        <w:gridCol w:w="1903"/>
      </w:tblGrid>
      <w:tr>
        <w:trPr>
          <w:trHeight w:val="161" w:hRule="exact"/>
        </w:trPr>
        <w:tc>
          <w:tcPr>
            <w:tcW w:w="1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9,087,747.90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7,949,404.33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明细" w:id="227"/>
      <w:bookmarkEnd w:id="227"/>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-28,310,897.16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-29,383,402.81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-28,310,897.16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-29,383,402.81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的可抵扣亏损将于以下年度到期" w:id="228"/>
      <w:bookmarkEnd w:id="228"/>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-34,836.62</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-1,107,342.27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-4,405,316.95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-4,405,316.95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-23,870,743.59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-23,870,743.59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-28,310,897.16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-29,383,402.81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7、其他非流动资产" w:id="229"/>
      <w:bookmarkEnd w:id="229"/>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长期资产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958,000.00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年以后到期的保证金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2,455,334.25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3,413,334.25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7243" w:firstLine="0"/>
        <w:jc w:val="left"/>
        <w:rPr>
          <w:rFonts w:ascii="宋体" w:hAnsi="宋体" w:cs="宋体" w:eastAsia="宋体" w:hint="default"/>
          <w:sz w:val="18"/>
          <w:szCs w:val="18"/>
        </w:rPr>
      </w:pPr>
      <w:r>
        <w:rPr/>
        <w:pict>
          <v:shape style="position:absolute;margin-left:91.940002pt;margin-top:35.141735pt;width:315.6pt;height:120.2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2"/>
                    <w:gridCol w:w="1274"/>
                    <w:gridCol w:w="1137"/>
                    <w:gridCol w:w="1477"/>
                    <w:gridCol w:w="1416"/>
                  </w:tblGrid>
                  <w:tr>
                    <w:trPr>
                      <w:trHeight w:val="342"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5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992" w:type="dxa"/>
                        <w:vMerge/>
                        <w:tcBorders>
                          <w:left w:val="single" w:sz="4" w:space="0" w:color="000000"/>
                          <w:right w:val="single" w:sz="4" w:space="0" w:color="000000"/>
                        </w:tcBorders>
                      </w:tcPr>
                      <w:p>
                        <w:pPr/>
                      </w:p>
                    </w:tc>
                    <w:tc>
                      <w:tcPr>
                        <w:tcW w:w="2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992"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414,480.00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11.31</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20,724.00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w:t>
                        </w:r>
                      </w:p>
                    </w:tc>
                  </w:tr>
                  <w:tr>
                    <w:trPr>
                      <w:trHeight w:val="3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2,290,642.50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62.53</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229,064.25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w:t>
                        </w:r>
                      </w:p>
                    </w:tc>
                  </w:tr>
                  <w:tr>
                    <w:trPr>
                      <w:trHeight w:val="34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37"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2,705,122.50</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73.85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249,788.25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9.23</w:t>
                        </w:r>
                      </w:p>
                    </w:tc>
                  </w:tr>
                </w:tbl>
                <w:p>
                  <w:pPr/>
                </w:p>
              </w:txbxContent>
            </v:textbox>
            <w10:wrap type="none"/>
          </v:shape>
        </w:pict>
      </w:r>
      <w:r>
        <w:rPr>
          <w:rFonts w:ascii="宋体" w:hAnsi="宋体" w:cs="宋体" w:eastAsia="宋体" w:hint="default"/>
          <w:sz w:val="18"/>
          <w:szCs w:val="18"/>
        </w:rPr>
        <w:t>其他说明： 其中将于</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年以后到期的保证金按账龄披露：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3"/>
        <w:spacing w:line="240" w:lineRule="auto" w:before="35"/>
        <w:ind w:right="0"/>
        <w:jc w:val="left"/>
        <w:rPr>
          <w:b w:val="0"/>
          <w:bCs w:val="0"/>
        </w:rPr>
      </w:pPr>
      <w:bookmarkStart w:name="18、短期借款" w:id="230"/>
      <w:bookmarkEnd w:id="230"/>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31"/>
      <w:bookmarkEnd w:id="23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FFFFFF"/>
            </w:tcBorders>
          </w:tcPr>
          <w:p>
            <w:pP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FFFFFF"/>
            </w:tcBorders>
          </w:tcPr>
          <w:p>
            <w:pPr/>
          </w:p>
        </w:tc>
        <w:tc>
          <w:tcPr>
            <w:tcW w:w="318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票据" w:id="232"/>
      <w:bookmarkEnd w:id="232"/>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8,723,200.00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8,723,200.00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0、应付账款" w:id="233"/>
      <w:bookmarkEnd w:id="233"/>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34"/>
      <w:bookmarkEnd w:id="23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96,675,141.53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94,806,798.77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7,124,654.01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7,735,868.94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4,572,169.90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2,530,675.24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4,482,630.26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3,063,108.21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112,854,595.70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108,136,451.16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235"/>
      <w:bookmarkEnd w:id="23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2,912,871.80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2,834,796.57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恒银金融科技有限公司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1,983,698.00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北京健行天下信息咨询有限公司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1,739,457.90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西安安智科技有限公司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1,058,087.92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10,528,912.19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预收款项" w:id="236"/>
      <w:bookmarkEnd w:id="236"/>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37"/>
      <w:bookmarkEnd w:id="23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297,039,630.96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187,650,477.58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12,353,585.92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10,887,967.77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1,267,480.60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332,727.75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310,660,697.48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198,871,173.10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38"/>
      <w:bookmarkEnd w:id="23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217.460007pt;margin-top:59.931713pt;width:156.9pt;height:19.6pt;mso-position-horizontal-relative:page;mso-position-vertical-relative:paragraph;z-index:-1003144" coordorigin="4349,1199" coordsize="3138,392">
            <v:shape style="position:absolute;left:4349;top:1199;width:3138;height:392" coordorigin="4349,1199" coordsize="3138,392" path="m4349,1590l7486,1590,7486,1199,4349,1199,4349,1590xe" filled="true" fillcolor="#ffffff"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新华通讯社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5,030,394.86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c>
          <w:tcPr>
            <w:tcW w:w="3194" w:type="dxa"/>
            <w:tcBorders>
              <w:top w:val="single" w:sz="4" w:space="0" w:color="000000"/>
              <w:left w:val="single" w:sz="13" w:space="0" w:color="FFFFFF"/>
              <w:bottom w:val="single" w:sz="4" w:space="0" w:color="000000"/>
              <w:right w:val="single" w:sz="4" w:space="0" w:color="000000"/>
            </w:tcBorders>
          </w:tcPr>
          <w:p>
            <w:pPr>
              <w:pStyle w:val="TableParagraph"/>
              <w:tabs>
                <w:tab w:pos="2204" w:val="left" w:leader="none"/>
              </w:tabs>
              <w:spacing w:line="240" w:lineRule="auto" w:before="53"/>
              <w:ind w:left="-136"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2,566,608.51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国家质量监督检验检疫总局信息中心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中国教育电视台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12,858,003.37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应付职工薪酬" w:id="239"/>
      <w:bookmarkEnd w:id="239"/>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40"/>
      <w:bookmarkEnd w:id="24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7,307,832.83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111,513,566.00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110,358,600.65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8,462,798.18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8,235,834.21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8,235,834.21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7,307,832.83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119,749,400.21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118,594,434.86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8,462,798.18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41"/>
      <w:bookmarkEnd w:id="24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6,742,059.91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85,700,419.22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85,052,493.25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7,389,985.88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847,192.30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847,192.30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4,620,958.17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4,620,958.17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4,007,790.64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4,007,790.64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290,321.00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290,321.00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322,846.53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322,846.53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4,467,488.00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4,467,488.00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565,772.92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1,719,675.01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1,842,347.28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443,100.65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14,157,833.30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13,528,121.65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629,711.65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7,307,832.83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111,513,566.00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110,358,600.65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8,462,798.18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42"/>
      <w:bookmarkEnd w:id="24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7,815,644.66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7,815,644.66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420,189.55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420,189.55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8,235,834.21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8,235,834.21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3、应交税费" w:id="243"/>
      <w:bookmarkEnd w:id="243"/>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1,660,871.89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608,100.09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204,520.26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50,295.00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7,301,335.58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1,580,595.47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528,227.59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642,531.84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477,998.47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83,124.24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314,325.92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57,759.09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39,654.50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10,526,934.21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3,022,405.73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4、应付利息" w:id="244"/>
      <w:bookmarkEnd w:id="244"/>
      <w:r>
        <w:rPr>
          <w:b w:val="0"/>
          <w:bCs w:val="0"/>
        </w:rPr>
      </w:r>
      <w:r>
        <w:rPr>
          <w:rFonts w:ascii="Times New Roman" w:hAnsi="Times New Roman" w:cs="Times New Roman" w:eastAsia="Times New Roman" w:hint="default"/>
        </w:rPr>
        <w:t>24</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其他应付款" w:id="245"/>
      <w:bookmarkEnd w:id="245"/>
      <w:r>
        <w:rPr>
          <w:b w:val="0"/>
          <w:bCs w:val="0"/>
        </w:rPr>
      </w: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46"/>
      <w:bookmarkEnd w:id="246"/>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79,800,033.26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26,202,155.77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24,662,025.39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986,746.70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436,487.30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106,988,935.73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54,368,512.69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247"/>
      <w:bookmarkEnd w:id="24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北京泓澳峰科技发展有限公司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4,162,904.80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北京友邦佳通电子科技有限公司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3,615,824.10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履约期内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7,778,728.90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应付债券" w:id="248"/>
      <w:bookmarkEnd w:id="248"/>
      <w:r>
        <w:rPr>
          <w:b w:val="0"/>
          <w:bCs w:val="0"/>
        </w:rPr>
      </w:r>
      <w:r>
        <w:rPr>
          <w:rFonts w:ascii="Times New Roman" w:hAnsi="Times New Roman" w:cs="Times New Roman" w:eastAsia="Times New Roman" w:hint="default"/>
        </w:rPr>
        <w:t>26</w:t>
      </w:r>
      <w:r>
        <w:rPr/>
        <w:t>、应付债券</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付债券" w:id="249"/>
      <w:bookmarkEnd w:id="24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中财债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237,960,000.00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237,960,000.00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债券的增减变动（上包括划分为金融负债的优先股、永续债等其他金融工具）" w:id="250"/>
      <w:bookmarkEnd w:id="25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799"/>
        <w:gridCol w:w="799"/>
        <w:gridCol w:w="798"/>
        <w:gridCol w:w="798"/>
        <w:gridCol w:w="797"/>
        <w:gridCol w:w="797"/>
        <w:gridCol w:w="797"/>
        <w:gridCol w:w="797"/>
        <w:gridCol w:w="797"/>
        <w:gridCol w:w="798"/>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1"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中财债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237,960,0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238,440,0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237,960,0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16,080,00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238,440,0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r>
    </w:tbl>
    <w:p>
      <w:pPr>
        <w:pStyle w:val="BodyText"/>
        <w:spacing w:line="408" w:lineRule="auto" w:before="63"/>
        <w:ind w:left="577" w:right="1118"/>
        <w:jc w:val="left"/>
      </w:pPr>
      <w:r>
        <w:rPr/>
        <w:t>其他说明 </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16</w:t>
      </w:r>
      <w:r>
        <w:rPr/>
        <w:t>日经中国证券监督管理委员会“证监许可</w:t>
      </w:r>
      <w:r>
        <w:rPr>
          <w:rFonts w:ascii="宋体" w:hAnsi="宋体" w:cs="宋体" w:eastAsia="宋体" w:hint="default"/>
        </w:rPr>
        <w:t>[2013]39</w:t>
      </w:r>
      <w:r>
        <w:rPr/>
        <w:t>号”文件批复，核准公司向社会公开</w:t>
      </w:r>
    </w:p>
    <w:p>
      <w:pPr>
        <w:pStyle w:val="BodyText"/>
        <w:spacing w:line="408" w:lineRule="auto"/>
        <w:ind w:right="1132"/>
        <w:jc w:val="both"/>
      </w:pPr>
      <w:r>
        <w:rPr>
          <w:spacing w:val="-1"/>
        </w:rPr>
        <w:t>发行面值不超过人民币</w:t>
      </w:r>
      <w:r>
        <w:rPr>
          <w:rFonts w:ascii="宋体" w:hAnsi="宋体" w:cs="宋体" w:eastAsia="宋体" w:hint="default"/>
          <w:spacing w:val="-1"/>
        </w:rPr>
        <w:t>24,000</w:t>
      </w:r>
      <w:r>
        <w:rPr>
          <w:spacing w:val="-1"/>
        </w:rPr>
        <w:t>万元的公司债券。债券每张面值为人民币</w:t>
      </w:r>
      <w:r>
        <w:rPr>
          <w:rFonts w:ascii="宋体" w:hAnsi="宋体" w:cs="宋体" w:eastAsia="宋体" w:hint="default"/>
          <w:spacing w:val="-1"/>
        </w:rPr>
        <w:t>100</w:t>
      </w:r>
      <w:r>
        <w:rPr>
          <w:spacing w:val="-1"/>
        </w:rPr>
        <w:t>元，期限为</w:t>
      </w:r>
      <w:r>
        <w:rPr>
          <w:rFonts w:ascii="宋体" w:hAnsi="宋体" w:cs="宋体" w:eastAsia="宋体" w:hint="default"/>
          <w:spacing w:val="-1"/>
        </w:rPr>
        <w:t>5</w:t>
      </w:r>
      <w:r>
        <w:rPr>
          <w:spacing w:val="-1"/>
        </w:rPr>
        <w:t>年。债券票面利率</w:t>
      </w:r>
      <w:r>
        <w:rPr>
          <w:spacing w:val="-84"/>
        </w:rPr>
        <w:t> </w:t>
      </w:r>
      <w:r>
        <w:rPr>
          <w:spacing w:val="-84"/>
        </w:rPr>
      </w:r>
      <w:r>
        <w:rPr>
          <w:spacing w:val="-1"/>
        </w:rPr>
        <w:t>为</w:t>
      </w:r>
      <w:r>
        <w:rPr>
          <w:rFonts w:ascii="宋体" w:hAnsi="宋体" w:cs="宋体" w:eastAsia="宋体" w:hint="default"/>
          <w:spacing w:val="-1"/>
        </w:rPr>
        <w:t>6.7%</w:t>
      </w:r>
      <w:r>
        <w:rPr>
          <w:spacing w:val="-1"/>
        </w:rPr>
        <w:t>，采取单利方式按年计息，按年付息，到期一次还本。利息每年支付一次，最后一次利息随本金一</w:t>
      </w:r>
      <w:r>
        <w:rPr>
          <w:spacing w:val="-82"/>
        </w:rPr>
        <w:t> </w:t>
      </w:r>
      <w:r>
        <w:rPr>
          <w:spacing w:val="-82"/>
        </w:rPr>
      </w:r>
      <w:r>
        <w:rPr/>
        <w:t>起支付。</w:t>
      </w:r>
    </w:p>
    <w:p>
      <w:pPr>
        <w:pStyle w:val="BodyText"/>
        <w:spacing w:line="408" w:lineRule="auto"/>
        <w:ind w:right="1130" w:firstLine="423"/>
        <w:jc w:val="both"/>
      </w:pP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10</w:t>
      </w:r>
      <w:r>
        <w:rPr/>
        <w:t>日，公司与北京中关村科技融资担保有限公司签定</w:t>
      </w:r>
      <w:r>
        <w:rPr>
          <w:rFonts w:ascii="宋体" w:hAnsi="宋体" w:cs="宋体" w:eastAsia="宋体" w:hint="default"/>
        </w:rPr>
        <w:t>2012</w:t>
      </w:r>
      <w:r>
        <w:rPr/>
        <w:t>年</w:t>
      </w:r>
      <w:r>
        <w:rPr>
          <w:rFonts w:ascii="宋体" w:hAnsi="宋体" w:cs="宋体" w:eastAsia="宋体" w:hint="default"/>
        </w:rPr>
        <w:t>WT0736</w:t>
      </w:r>
      <w:r>
        <w:rPr/>
        <w:t>号《委托保证合同》， </w:t>
      </w:r>
      <w:r>
        <w:rPr>
          <w:spacing w:val="-1"/>
        </w:rPr>
        <w:t>由北京中关村科技融资担保有限公司为本次债券募集提供保证担保，担保金额为</w:t>
      </w:r>
      <w:r>
        <w:rPr>
          <w:rFonts w:ascii="宋体" w:hAnsi="宋体" w:cs="宋体" w:eastAsia="宋体" w:hint="default"/>
          <w:spacing w:val="-1"/>
        </w:rPr>
        <w:t>24,000</w:t>
      </w:r>
      <w:r>
        <w:rPr>
          <w:spacing w:val="-1"/>
        </w:rPr>
        <w:t>万元。公司实际控</w:t>
      </w:r>
      <w:r>
        <w:rPr>
          <w:spacing w:val="-78"/>
        </w:rPr>
        <w:t> </w:t>
      </w:r>
      <w:r>
        <w:rPr>
          <w:spacing w:val="-78"/>
        </w:rPr>
      </w:r>
      <w:r>
        <w:rPr>
          <w:spacing w:val="-1"/>
        </w:rPr>
        <w:t>制人沈飒、朱烨东夫妇为本次发债提供连带责任保证反担保，沈飒以其持有的公司股份</w:t>
      </w:r>
      <w:r>
        <w:rPr>
          <w:rFonts w:ascii="宋体" w:hAnsi="宋体" w:cs="宋体" w:eastAsia="宋体" w:hint="default"/>
          <w:spacing w:val="-1"/>
        </w:rPr>
        <w:t>200.00</w:t>
      </w:r>
      <w:r>
        <w:rPr>
          <w:spacing w:val="-1"/>
        </w:rPr>
        <w:t>万股为本次</w:t>
      </w:r>
      <w:r>
        <w:rPr>
          <w:spacing w:val="-77"/>
        </w:rPr>
        <w:t> </w:t>
      </w:r>
      <w:r>
        <w:rPr/>
        <w:t>发债提供质押反担保；本公司以公司全部应收账款为本次发债提供应收账款质押反担保。</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7、递延收益" w:id="251"/>
      <w:bookmarkEnd w:id="251"/>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40,932,033.33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9,689,766.67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32,242,266.66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40,932,033.33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9,689,766.67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32,242,266.66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before="38"/>
        <w:ind w:left="153" w:right="-8" w:firstLine="0"/>
        <w:jc w:val="left"/>
        <w:rPr>
          <w:rFonts w:ascii="宋体" w:hAnsi="宋体" w:cs="宋体" w:eastAsia="宋体" w:hint="default"/>
          <w:sz w:val="20"/>
          <w:szCs w:val="20"/>
        </w:rPr>
      </w:pPr>
      <w:r>
        <w:rPr>
          <w:rFonts w:ascii="宋体" w:hAnsi="宋体" w:cs="宋体" w:eastAsia="宋体" w:hint="default"/>
          <w:spacing w:val="-1"/>
          <w:sz w:val="20"/>
          <w:szCs w:val="20"/>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156" w:space="667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移动电子商务公 共服务平台项目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年北京市科 技计划项目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1,640,700.00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情报信息系统软 件研发专项资金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面向云计算基于 虚拟化技术的分 布式计算管理系 统平台项目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金融行业海量数 据处理北京市工 程实验室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14,742,833.33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移动金融云安全 服务项目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7,866,666.67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6,266,666.67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电子发展基金</w:t>
            </w:r>
            <w:r>
              <w:rPr>
                <w:rFonts w:ascii="Times New Roman" w:hAnsi="Times New Roman" w:cs="Times New Roman" w:eastAsia="Times New Roman" w:hint="default"/>
                <w:sz w:val="18"/>
                <w:szCs w:val="18"/>
              </w:rPr>
              <w:t>- </w:t>
            </w:r>
            <w:r>
              <w:rPr>
                <w:rFonts w:ascii="宋体" w:hAnsi="宋体" w:cs="宋体" w:eastAsia="宋体" w:hint="default"/>
                <w:sz w:val="18"/>
                <w:szCs w:val="18"/>
              </w:rPr>
              <w:t>移动支付清算平 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移动支付安全中 间件产业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语言的移 动应用软件开发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245,333.33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181,333.33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综合运维管理软 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企业技术中心自 主创新能力建设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基于影像可配置 的金融集中作业 系统项目资金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40,932,033.33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9,689,766.67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32,242,266.66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8、股本" w:id="252"/>
      <w:bookmarkEnd w:id="252"/>
      <w:r>
        <w:rPr>
          <w:b w:val="0"/>
          <w:bCs w:val="0"/>
        </w:rPr>
      </w: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5982"/>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104,696,301.00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32,853,990.00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20,939,260.00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53,793,250.00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158,489,551.00</w:t>
            </w:r>
          </w:p>
        </w:tc>
      </w:tr>
    </w:tbl>
    <w:p>
      <w:pPr>
        <w:pStyle w:val="BodyText"/>
        <w:spacing w:line="408" w:lineRule="auto" w:before="63"/>
        <w:ind w:left="577" w:right="1122"/>
        <w:jc w:val="left"/>
      </w:pPr>
      <w:r>
        <w:rPr/>
        <w:t>其他说明： </w:t>
      </w:r>
      <w:r>
        <w:rPr>
          <w:rFonts w:ascii="宋体" w:hAnsi="宋体" w:cs="宋体" w:eastAsia="宋体" w:hint="default"/>
          <w:spacing w:val="6"/>
        </w:rPr>
        <w:t>2014</w:t>
      </w:r>
      <w:r>
        <w:rPr>
          <w:spacing w:val="6"/>
        </w:rPr>
        <w:t>年</w:t>
      </w:r>
      <w:r>
        <w:rPr>
          <w:rFonts w:ascii="宋体" w:hAnsi="宋体" w:cs="宋体" w:eastAsia="宋体" w:hint="default"/>
          <w:spacing w:val="6"/>
        </w:rPr>
        <w:t>9</w:t>
      </w:r>
      <w:r>
        <w:rPr>
          <w:spacing w:val="6"/>
        </w:rPr>
        <w:t>月，根据公司</w:t>
      </w:r>
      <w:r>
        <w:rPr>
          <w:rFonts w:ascii="宋体" w:hAnsi="宋体" w:cs="宋体" w:eastAsia="宋体" w:hint="default"/>
          <w:spacing w:val="6"/>
        </w:rPr>
        <w:t>2014</w:t>
      </w:r>
      <w:r>
        <w:rPr>
          <w:spacing w:val="6"/>
        </w:rPr>
        <w:t>年第二次临时股东大会决议，公司以资本公积转增股本，以公司总股本</w:t>
      </w:r>
      <w:r>
        <w:rPr/>
      </w:r>
    </w:p>
    <w:p>
      <w:pPr>
        <w:pStyle w:val="BodyText"/>
        <w:spacing w:line="240" w:lineRule="auto"/>
        <w:ind w:right="0"/>
        <w:jc w:val="left"/>
      </w:pPr>
      <w:r>
        <w:rPr>
          <w:rFonts w:ascii="宋体" w:hAnsi="宋体" w:cs="宋体" w:eastAsia="宋体" w:hint="default"/>
        </w:rPr>
        <w:t>104,696,301</w:t>
      </w:r>
      <w:r>
        <w:rPr/>
        <w:t>股为基础，向全体公司每</w:t>
      </w:r>
      <w:r>
        <w:rPr>
          <w:rFonts w:ascii="宋体" w:hAnsi="宋体" w:cs="宋体" w:eastAsia="宋体" w:hint="default"/>
        </w:rPr>
        <w:t>10</w:t>
      </w:r>
      <w:r>
        <w:rPr/>
        <w:t>股转增</w:t>
      </w:r>
      <w:r>
        <w:rPr>
          <w:rFonts w:ascii="宋体" w:hAnsi="宋体" w:cs="宋体" w:eastAsia="宋体" w:hint="default"/>
        </w:rPr>
        <w:t>2</w:t>
      </w:r>
      <w:r>
        <w:rPr/>
        <w:t>股，共转增</w:t>
      </w:r>
      <w:r>
        <w:rPr>
          <w:rFonts w:ascii="宋体" w:hAnsi="宋体" w:cs="宋体" w:eastAsia="宋体" w:hint="default"/>
        </w:rPr>
        <w:t>20,939,260.00</w:t>
      </w:r>
      <w:r>
        <w:rPr/>
        <w:t>股。</w:t>
      </w:r>
    </w:p>
    <w:p>
      <w:pPr>
        <w:spacing w:line="240" w:lineRule="auto" w:before="10"/>
        <w:rPr>
          <w:rFonts w:ascii="宋体" w:hAnsi="宋体" w:cs="宋体" w:eastAsia="宋体" w:hint="default"/>
          <w:sz w:val="14"/>
          <w:szCs w:val="14"/>
        </w:rPr>
      </w:pPr>
    </w:p>
    <w:p>
      <w:pPr>
        <w:pStyle w:val="BodyText"/>
        <w:spacing w:line="408" w:lineRule="auto" w:before="0"/>
        <w:ind w:right="1131" w:firstLine="423"/>
        <w:jc w:val="both"/>
      </w:pP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月，根据公司第三届董事会第八次会议、</w:t>
      </w:r>
      <w:r>
        <w:rPr>
          <w:rFonts w:ascii="宋体" w:hAnsi="宋体" w:cs="宋体" w:eastAsia="宋体" w:hint="default"/>
          <w:spacing w:val="-1"/>
        </w:rPr>
        <w:t>2014</w:t>
      </w:r>
      <w:r>
        <w:rPr>
          <w:spacing w:val="-1"/>
        </w:rPr>
        <w:t>年第一次临时股东大会决议，并经中国证券监</w:t>
      </w:r>
      <w:r>
        <w:rPr/>
        <w:t> </w:t>
      </w:r>
      <w:r>
        <w:rPr>
          <w:spacing w:val="-1"/>
        </w:rPr>
        <w:t>督管理委员会证监许可</w:t>
      </w:r>
      <w:r>
        <w:rPr>
          <w:rFonts w:ascii="宋体" w:hAnsi="宋体" w:cs="宋体" w:eastAsia="宋体" w:hint="default"/>
          <w:spacing w:val="-1"/>
        </w:rPr>
        <w:t>[2014]</w:t>
      </w:r>
      <w:r>
        <w:rPr>
          <w:spacing w:val="-1"/>
        </w:rPr>
        <w:t>号</w:t>
      </w:r>
      <w:r>
        <w:rPr>
          <w:rFonts w:ascii="宋体" w:hAnsi="宋体" w:cs="宋体" w:eastAsia="宋体" w:hint="default"/>
          <w:spacing w:val="-1"/>
        </w:rPr>
        <w:t>1218</w:t>
      </w:r>
      <w:r>
        <w:rPr>
          <w:spacing w:val="-1"/>
        </w:rPr>
        <w:t>号文《关于核准北京中科金财科技股份有限公司向刘开同等发行股份</w:t>
      </w:r>
      <w:r>
        <w:rPr>
          <w:spacing w:val="-78"/>
        </w:rPr>
        <w:t> </w:t>
      </w:r>
      <w:r>
        <w:rPr>
          <w:spacing w:val="-78"/>
        </w:rPr>
      </w:r>
      <w:r>
        <w:rPr>
          <w:spacing w:val="-1"/>
        </w:rPr>
        <w:t>购买资产并募集配套资金的批复》核准，公司向刘开同、董书倩、刘运龙、天津滨河数据信息技术有限公</w:t>
      </w:r>
      <w:r>
        <w:rPr>
          <w:spacing w:val="-83"/>
        </w:rPr>
        <w:t> </w:t>
      </w:r>
      <w:r>
        <w:rPr>
          <w:spacing w:val="-83"/>
        </w:rPr>
      </w:r>
      <w:r>
        <w:rPr>
          <w:spacing w:val="-1"/>
        </w:rPr>
        <w:t>司共发行</w:t>
      </w:r>
      <w:r>
        <w:rPr>
          <w:rFonts w:ascii="宋体" w:hAnsi="宋体" w:cs="宋体" w:eastAsia="宋体" w:hint="default"/>
          <w:spacing w:val="-1"/>
        </w:rPr>
        <w:t>21,120,422</w:t>
      </w:r>
      <w:r>
        <w:rPr>
          <w:spacing w:val="-1"/>
        </w:rPr>
        <w:t>股人民币普通股购买相关资产，并向杨承宏、赫喆、谢晓梅、周惠明、张伟和吴红心</w:t>
      </w:r>
      <w:r>
        <w:rPr>
          <w:spacing w:val="-79"/>
        </w:rPr>
        <w:t> </w:t>
      </w:r>
      <w:r>
        <w:rPr>
          <w:spacing w:val="-79"/>
        </w:rPr>
      </w:r>
      <w:r>
        <w:rPr/>
        <w:t>共发行股份 </w:t>
      </w:r>
      <w:r>
        <w:rPr>
          <w:rFonts w:ascii="宋体" w:hAnsi="宋体" w:cs="宋体" w:eastAsia="宋体" w:hint="default"/>
        </w:rPr>
        <w:t>11,733,568</w:t>
      </w:r>
      <w:r>
        <w:rPr>
          <w:rFonts w:ascii="宋体" w:hAnsi="宋体" w:cs="宋体" w:eastAsia="宋体" w:hint="default"/>
          <w:spacing w:val="-27"/>
        </w:rPr>
        <w:t> </w:t>
      </w:r>
      <w:r>
        <w:rPr/>
        <w:t>股募集配套资金。</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17</w:t>
      </w:r>
      <w:r>
        <w:rPr/>
        <w:t>日，公司办理完毕本次发行股份购买资产并募集 配套资金的新增股份登记。</w:t>
      </w:r>
    </w:p>
    <w:p>
      <w:pPr>
        <w:pStyle w:val="BodyText"/>
        <w:spacing w:line="240" w:lineRule="auto"/>
        <w:ind w:left="577" w:right="0"/>
        <w:jc w:val="left"/>
      </w:pP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日，工商变更登记手续尚在办理过程中。</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29、资本公积" w:id="253"/>
      <w:bookmarkEnd w:id="253"/>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324,857,209.72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693,705,308.31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20,939,260.00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997,623,258.03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324,857,209.72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693,705,308.31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20,939,260.00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997,623,258.03</w:t>
            </w:r>
          </w:p>
        </w:tc>
      </w:tr>
    </w:tbl>
    <w:p>
      <w:pPr>
        <w:pStyle w:val="BodyText"/>
        <w:spacing w:line="408" w:lineRule="auto" w:before="63"/>
        <w:ind w:left="577" w:right="0"/>
        <w:jc w:val="left"/>
      </w:pPr>
      <w:r>
        <w:rPr/>
        <w:t>其他说明，包括本期增减变动情况、变动原因说明： </w:t>
      </w:r>
      <w:r>
        <w:rPr>
          <w:rFonts w:ascii="宋体" w:hAnsi="宋体" w:cs="宋体" w:eastAsia="宋体" w:hint="default"/>
        </w:rPr>
        <w:t>1</w:t>
      </w:r>
      <w:r>
        <w:rPr/>
        <w:t>、资本公积增加</w:t>
      </w:r>
      <w:r>
        <w:rPr>
          <w:rFonts w:ascii="宋体" w:hAnsi="宋体" w:cs="宋体" w:eastAsia="宋体" w:hint="default"/>
        </w:rPr>
        <w:t>693,705,308.31</w:t>
      </w:r>
      <w:r>
        <w:rPr/>
        <w:t>元，系</w:t>
      </w:r>
      <w:r>
        <w:rPr>
          <w:rFonts w:ascii="宋体" w:hAnsi="宋体" w:cs="宋体" w:eastAsia="宋体" w:hint="default"/>
        </w:rPr>
        <w:t>2014</w:t>
      </w:r>
      <w:r>
        <w:rPr/>
        <w:t>年</w:t>
      </w:r>
      <w:r>
        <w:rPr>
          <w:rFonts w:ascii="宋体" w:hAnsi="宋体" w:cs="宋体" w:eastAsia="宋体" w:hint="default"/>
        </w:rPr>
        <w:t>11</w:t>
      </w:r>
      <w:r>
        <w:rPr/>
        <w:t>月公司发行股份购买资产并募集配套资金，公司向</w:t>
      </w:r>
    </w:p>
    <w:p>
      <w:pPr>
        <w:pStyle w:val="BodyText"/>
        <w:spacing w:line="408" w:lineRule="auto"/>
        <w:ind w:right="1131"/>
        <w:jc w:val="both"/>
      </w:pPr>
      <w:r>
        <w:rPr>
          <w:spacing w:val="-7"/>
        </w:rPr>
        <w:t>刘开同、董书倩、刘运龙、天津滨河数据信息技术有限公司发行股份</w:t>
      </w:r>
      <w:r>
        <w:rPr>
          <w:rFonts w:ascii="宋体" w:hAnsi="宋体" w:cs="宋体" w:eastAsia="宋体" w:hint="default"/>
          <w:spacing w:val="-7"/>
        </w:rPr>
        <w:t>21,120,422</w:t>
      </w:r>
      <w:r>
        <w:rPr>
          <w:spacing w:val="-7"/>
        </w:rPr>
        <w:t>股购买资产，发行价格</w:t>
      </w:r>
      <w:r>
        <w:rPr>
          <w:rFonts w:ascii="宋体" w:hAnsi="宋体" w:cs="宋体" w:eastAsia="宋体" w:hint="default"/>
          <w:spacing w:val="-7"/>
        </w:rPr>
        <w:t>22.67</w:t>
      </w:r>
      <w:r>
        <w:rPr>
          <w:rFonts w:ascii="宋体" w:hAnsi="宋体" w:cs="宋体" w:eastAsia="宋体" w:hint="default"/>
          <w:spacing w:val="-58"/>
        </w:rPr>
        <w:t> </w:t>
      </w:r>
      <w:r>
        <w:rPr/>
        <w:t>元</w:t>
      </w:r>
      <w:r>
        <w:rPr>
          <w:rFonts w:ascii="宋体" w:hAnsi="宋体" w:cs="宋体" w:eastAsia="宋体" w:hint="default"/>
        </w:rPr>
        <w:t>/</w:t>
      </w:r>
      <w:r>
        <w:rPr/>
        <w:t>股、股本溢价</w:t>
      </w:r>
      <w:r>
        <w:rPr>
          <w:rFonts w:ascii="宋体" w:hAnsi="宋体" w:cs="宋体" w:eastAsia="宋体" w:hint="default"/>
        </w:rPr>
        <w:t>457,679,544.74</w:t>
      </w:r>
      <w:r>
        <w:rPr/>
        <w:t>元；向杨承宏、赫喆、谢晓梅、周惠明、张伟和吴红心等人共发行股份</w:t>
      </w:r>
      <w:r>
        <w:rPr>
          <w:spacing w:val="-33"/>
        </w:rPr>
        <w:t> </w:t>
      </w:r>
      <w:r>
        <w:rPr>
          <w:spacing w:val="-33"/>
        </w:rPr>
      </w:r>
      <w:r>
        <w:rPr>
          <w:rFonts w:ascii="宋体" w:hAnsi="宋体" w:cs="宋体" w:eastAsia="宋体" w:hint="default"/>
        </w:rPr>
        <w:t>11,733,568</w:t>
      </w:r>
      <w:r>
        <w:rPr/>
        <w:t>股，发行价格</w:t>
      </w:r>
      <w:r>
        <w:rPr>
          <w:rFonts w:ascii="宋体" w:hAnsi="宋体" w:cs="宋体" w:eastAsia="宋体" w:hint="default"/>
        </w:rPr>
        <w:t>22.67</w:t>
      </w:r>
      <w:r>
        <w:rPr/>
        <w:t>元</w:t>
      </w:r>
      <w:r>
        <w:rPr>
          <w:rFonts w:ascii="宋体" w:hAnsi="宋体" w:cs="宋体" w:eastAsia="宋体" w:hint="default"/>
        </w:rPr>
        <w:t>/</w:t>
      </w:r>
      <w:r>
        <w:rPr/>
        <w:t>股，股本溢价</w:t>
      </w:r>
      <w:r>
        <w:rPr>
          <w:rFonts w:ascii="宋体" w:hAnsi="宋体" w:cs="宋体" w:eastAsia="宋体" w:hint="default"/>
        </w:rPr>
        <w:t>254,266,418.56</w:t>
      </w:r>
      <w:r>
        <w:rPr/>
        <w:t>元，扣除发行费用</w:t>
      </w:r>
      <w:r>
        <w:rPr>
          <w:rFonts w:ascii="宋体" w:hAnsi="宋体" w:cs="宋体" w:eastAsia="宋体" w:hint="default"/>
        </w:rPr>
        <w:t>18,240,654.99</w:t>
      </w:r>
      <w:r>
        <w:rPr/>
        <w:t>元后，</w:t>
      </w:r>
      <w:r>
        <w:rPr>
          <w:spacing w:val="-33"/>
        </w:rPr>
        <w:t> </w:t>
      </w:r>
      <w:r>
        <w:rPr>
          <w:spacing w:val="-33"/>
        </w:rPr>
      </w:r>
      <w:r>
        <w:rPr/>
        <w:t>募集配套资金净额</w:t>
      </w:r>
      <w:r>
        <w:rPr>
          <w:rFonts w:ascii="宋体" w:hAnsi="宋体" w:cs="宋体" w:eastAsia="宋体" w:hint="default"/>
        </w:rPr>
        <w:t>236,025,763.57</w:t>
      </w:r>
      <w:r>
        <w:rPr/>
        <w:t>元计入资本公积。</w:t>
      </w:r>
    </w:p>
    <w:p>
      <w:pPr>
        <w:pStyle w:val="BodyText"/>
        <w:spacing w:line="240" w:lineRule="auto"/>
        <w:ind w:left="577" w:right="0"/>
        <w:jc w:val="left"/>
      </w:pPr>
      <w:r>
        <w:rPr>
          <w:rFonts w:ascii="宋体" w:hAnsi="宋体" w:cs="宋体" w:eastAsia="宋体" w:hint="default"/>
        </w:rPr>
        <w:t>2</w:t>
      </w:r>
      <w:r>
        <w:rPr/>
        <w:t>、资本公积转增股本减少</w:t>
      </w:r>
      <w:r>
        <w:rPr>
          <w:rFonts w:ascii="宋体" w:hAnsi="宋体" w:cs="宋体" w:eastAsia="宋体" w:hint="default"/>
        </w:rPr>
        <w:t>20,939,260.00</w:t>
      </w:r>
      <w:r>
        <w:rPr/>
        <w:t>元，系</w:t>
      </w:r>
      <w:r>
        <w:rPr>
          <w:rFonts w:ascii="宋体" w:hAnsi="宋体" w:cs="宋体" w:eastAsia="宋体" w:hint="default"/>
        </w:rPr>
        <w:t>2014</w:t>
      </w:r>
      <w:r>
        <w:rPr/>
        <w:t>年</w:t>
      </w:r>
      <w:r>
        <w:rPr>
          <w:rFonts w:ascii="宋体" w:hAnsi="宋体" w:cs="宋体" w:eastAsia="宋体" w:hint="default"/>
        </w:rPr>
        <w:t>9</w:t>
      </w:r>
      <w:r>
        <w:rPr/>
        <w:t>月公司以资本公积转增股本，以公司总股本</w:t>
      </w:r>
    </w:p>
    <w:p>
      <w:pPr>
        <w:spacing w:line="240" w:lineRule="auto" w:before="10"/>
        <w:rPr>
          <w:rFonts w:ascii="宋体" w:hAnsi="宋体" w:cs="宋体" w:eastAsia="宋体" w:hint="default"/>
          <w:sz w:val="14"/>
          <w:szCs w:val="14"/>
        </w:rPr>
      </w:pPr>
    </w:p>
    <w:p>
      <w:pPr>
        <w:pStyle w:val="BodyText"/>
        <w:spacing w:line="240" w:lineRule="auto" w:before="0"/>
        <w:ind w:right="0"/>
        <w:jc w:val="both"/>
      </w:pPr>
      <w:r>
        <w:rPr>
          <w:rFonts w:ascii="宋体" w:hAnsi="宋体" w:cs="宋体" w:eastAsia="宋体" w:hint="default"/>
        </w:rPr>
        <w:t>104,696,301</w:t>
      </w:r>
      <w:r>
        <w:rPr/>
        <w:t>股为基础，每</w:t>
      </w:r>
      <w:r>
        <w:rPr>
          <w:rFonts w:ascii="宋体" w:hAnsi="宋体" w:cs="宋体" w:eastAsia="宋体" w:hint="default"/>
        </w:rPr>
        <w:t>10</w:t>
      </w:r>
      <w:r>
        <w:rPr/>
        <w:t>股转增</w:t>
      </w:r>
      <w:r>
        <w:rPr>
          <w:rFonts w:ascii="宋体" w:hAnsi="宋体" w:cs="宋体" w:eastAsia="宋体" w:hint="default"/>
        </w:rPr>
        <w:t>2</w:t>
      </w:r>
      <w:r>
        <w:rPr/>
        <w:t>股，共转增</w:t>
      </w:r>
      <w:r>
        <w:rPr>
          <w:rFonts w:ascii="宋体" w:hAnsi="宋体" w:cs="宋体" w:eastAsia="宋体" w:hint="default"/>
        </w:rPr>
        <w:t>20,939,260</w:t>
      </w:r>
      <w:r>
        <w:rPr/>
        <w:t>股，减少资本公积</w:t>
      </w:r>
      <w:r>
        <w:rPr>
          <w:rFonts w:ascii="宋体" w:hAnsi="宋体" w:cs="宋体" w:eastAsia="宋体" w:hint="default"/>
        </w:rPr>
        <w:t>20,939,260.00</w:t>
      </w:r>
      <w:r>
        <w:rPr/>
        <w:t>元。</w:t>
      </w:r>
    </w:p>
    <w:p>
      <w:pPr>
        <w:spacing w:line="240" w:lineRule="auto" w:before="0"/>
        <w:rPr>
          <w:rFonts w:ascii="宋体" w:hAnsi="宋体" w:cs="宋体" w:eastAsia="宋体" w:hint="default"/>
          <w:sz w:val="20"/>
          <w:szCs w:val="20"/>
        </w:rPr>
      </w:pPr>
    </w:p>
    <w:p>
      <w:pPr>
        <w:pStyle w:val="Heading3"/>
        <w:spacing w:line="240" w:lineRule="auto" w:before="154"/>
        <w:ind w:left="153" w:right="0"/>
        <w:jc w:val="both"/>
        <w:rPr>
          <w:b w:val="0"/>
          <w:bCs w:val="0"/>
        </w:rPr>
      </w:pPr>
      <w:bookmarkStart w:name="30、其他综合收益" w:id="254"/>
      <w:bookmarkEnd w:id="254"/>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1"/>
        <w:gridCol w:w="935"/>
        <w:gridCol w:w="936"/>
        <w:gridCol w:w="935"/>
        <w:gridCol w:w="797"/>
      </w:tblGrid>
      <w:tr>
        <w:trPr>
          <w:trHeight w:val="358"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29"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8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317"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591.62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-291.17</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305.99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897.61</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591.62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-291.17</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305.99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897.61</w:t>
            </w:r>
          </w:p>
        </w:tc>
      </w:tr>
      <w:tr>
        <w:trPr>
          <w:trHeight w:val="40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591.62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-291.17</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305.99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盈余公积" w:id="255"/>
      <w:bookmarkEnd w:id="255"/>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29,910,824.83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6,867,411.86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36,778,236.69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29,910,824.83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6,867,411.86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36,778,236.69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未分配利润" w:id="256"/>
      <w:bookmarkEnd w:id="256"/>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244,709,200.13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206,485,176.26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244,709,200.13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206,485,176.26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77,702,908.86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56,021,607.58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6,867,411.86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7,327,953.63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7,328,741.07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10,469,630.08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308,215,956.06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244,709,200.13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3、营业收入和营业成本" w:id="257"/>
      <w:bookmarkEnd w:id="257"/>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1,088,993,032.74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825,828,672.43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1,021,541,177.65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754,785,935.32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9,374,193.64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5,405,739.21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1,281,496.38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616,042.62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1,098,367,226.38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2" w:right="0"/>
              <w:jc w:val="left"/>
              <w:rPr>
                <w:rFonts w:ascii="Times New Roman" w:hAnsi="Times New Roman" w:cs="Times New Roman" w:eastAsia="Times New Roman" w:hint="default"/>
                <w:sz w:val="18"/>
                <w:szCs w:val="18"/>
              </w:rPr>
            </w:pPr>
            <w:r>
              <w:rPr>
                <w:rFonts w:ascii="Times New Roman"/>
                <w:sz w:val="18"/>
              </w:rPr>
              <w:t>831,234,411.64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1,022,822,674.03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755,401,977.94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营业税金及附加" w:id="258"/>
      <w:bookmarkEnd w:id="258"/>
      <w:r>
        <w:rPr>
          <w:b w:val="0"/>
          <w:bCs w:val="0"/>
        </w:rPr>
      </w:r>
      <w:r>
        <w:rPr>
          <w:rFonts w:ascii="Times New Roman" w:hAnsi="Times New Roman" w:cs="Times New Roman" w:eastAsia="Times New Roman" w:hint="default"/>
        </w:rPr>
        <w:t>34</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399,863.47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-587,348.10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1,693,354.42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2,150,467.06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1,185,402.67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1,552,884.23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26,436.33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3,305,056.89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3,116,003.19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销售费用" w:id="259"/>
      <w:bookmarkEnd w:id="259"/>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16,068,836.83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26,617,893.63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1,114,378.28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4,812,938.01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1,127,686.63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2,112,056.65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966,289.05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1,778,732.48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975,353.83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1,410,166.11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4,367,098.20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3,651,642.68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24,619,642.82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40,383,429.56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管理费用" w:id="260"/>
      <w:bookmarkEnd w:id="260"/>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72,832,620.63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78,896,149.43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29,437,767.76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16,950,948.43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6,977,356.95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13,113,911.03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2,026,409.94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5,446,595.13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8,107,177.43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8,991,871.93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27,902,388.58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21,884,680.73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4,619,734.09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9,498,800.06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5,318,255.43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858,474.02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3,618,214.90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5,809,695.04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2,386,156.99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2,990,943.00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2,468,846.55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2,793,678.79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4,238,569.36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12,878,409.85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169,933,498.61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180,114,157.44</w:t>
            </w:r>
          </w:p>
        </w:tc>
      </w:tr>
    </w:tbl>
    <w:p>
      <w:pPr>
        <w:spacing w:line="321" w:lineRule="auto" w:before="35"/>
        <w:ind w:left="153" w:right="1024" w:firstLine="0"/>
        <w:jc w:val="left"/>
        <w:rPr>
          <w:rFonts w:ascii="宋体" w:hAnsi="宋体" w:cs="宋体" w:eastAsia="宋体" w:hint="default"/>
          <w:sz w:val="20"/>
          <w:szCs w:val="20"/>
        </w:rPr>
      </w:pPr>
      <w:r>
        <w:rPr>
          <w:rFonts w:ascii="宋体" w:hAnsi="宋体" w:cs="宋体" w:eastAsia="宋体" w:hint="default"/>
          <w:sz w:val="20"/>
          <w:szCs w:val="20"/>
        </w:rPr>
        <w:t>其他说明：</w:t>
      </w:r>
      <w:r>
        <w:rPr>
          <w:rFonts w:ascii="宋体" w:hAnsi="宋体" w:cs="宋体" w:eastAsia="宋体" w:hint="default"/>
          <w:spacing w:val="-2"/>
          <w:w w:val="100"/>
          <w:sz w:val="20"/>
          <w:szCs w:val="20"/>
        </w:rPr>
        <w:t> </w:t>
      </w:r>
      <w:r>
        <w:rPr>
          <w:rFonts w:ascii="宋体" w:hAnsi="宋体" w:cs="宋体" w:eastAsia="宋体" w:hint="default"/>
          <w:spacing w:val="-1"/>
          <w:sz w:val="20"/>
          <w:szCs w:val="20"/>
        </w:rPr>
        <w:t>本期将劳务派遣费并入应付职工薪酬，同时将上年比较数中劳务派遣费</w:t>
      </w:r>
      <w:r>
        <w:rPr>
          <w:rFonts w:ascii="Times New Roman" w:hAnsi="Times New Roman" w:cs="Times New Roman" w:eastAsia="Times New Roman" w:hint="default"/>
          <w:spacing w:val="-1"/>
          <w:sz w:val="20"/>
          <w:szCs w:val="20"/>
        </w:rPr>
        <w:t>14,104,364.86</w:t>
      </w:r>
      <w:r>
        <w:rPr>
          <w:rFonts w:ascii="宋体" w:hAnsi="宋体" w:cs="宋体" w:eastAsia="宋体" w:hint="default"/>
          <w:spacing w:val="-1"/>
          <w:sz w:val="20"/>
          <w:szCs w:val="20"/>
        </w:rPr>
        <w:t>元并入应付职工薪酬列报。</w:t>
      </w:r>
    </w:p>
    <w:p>
      <w:pPr>
        <w:spacing w:line="240" w:lineRule="auto" w:before="3"/>
        <w:rPr>
          <w:rFonts w:ascii="宋体" w:hAnsi="宋体" w:cs="宋体" w:eastAsia="宋体" w:hint="default"/>
          <w:sz w:val="19"/>
          <w:szCs w:val="19"/>
        </w:rPr>
      </w:pPr>
    </w:p>
    <w:p>
      <w:pPr>
        <w:pStyle w:val="Heading3"/>
        <w:spacing w:line="240" w:lineRule="auto"/>
        <w:ind w:left="153" w:right="0"/>
        <w:jc w:val="left"/>
        <w:rPr>
          <w:b w:val="0"/>
          <w:bCs w:val="0"/>
        </w:rPr>
      </w:pPr>
      <w:bookmarkStart w:name="37、财务费用" w:id="261"/>
      <w:bookmarkEnd w:id="261"/>
      <w:r>
        <w:rPr>
          <w:b w:val="0"/>
          <w:bCs w:val="0"/>
        </w:rPr>
      </w:r>
      <w:r>
        <w:rPr>
          <w:rFonts w:ascii="Times New Roman" w:hAnsi="Times New Roman" w:cs="Times New Roman" w:eastAsia="Times New Roman" w:hint="default"/>
        </w:rPr>
        <w:t>37</w:t>
      </w:r>
      <w:r>
        <w:rPr/>
        <w:t>、财务费用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18,508,166.67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18,121,142.09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-4,449,113.82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-3,980,812.98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-336,520.22</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1,664.67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公司债券担保费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1,600,800.00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801,514.44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667,269.94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16,924,047.07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16,410,063.72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资产减值损失" w:id="262"/>
      <w:bookmarkEnd w:id="262"/>
      <w:r>
        <w:rPr>
          <w:b w:val="0"/>
          <w:bCs w:val="0"/>
        </w:rPr>
      </w:r>
      <w:r>
        <w:rPr>
          <w:rFonts w:ascii="Times New Roman" w:hAnsi="Times New Roman" w:cs="Times New Roman" w:eastAsia="Times New Roman" w:hint="default"/>
        </w:rPr>
        <w:t>38</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-130,277.74</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-130,277.74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投资收益" w:id="263"/>
      <w:bookmarkEnd w:id="263"/>
      <w:r>
        <w:rPr>
          <w:b w:val="0"/>
          <w:bCs w:val="0"/>
        </w:rPr>
      </w:r>
      <w:r>
        <w:rPr>
          <w:rFonts w:ascii="Times New Roman" w:hAnsi="Times New Roman" w:cs="Times New Roman" w:eastAsia="Times New Roman" w:hint="default"/>
        </w:rPr>
        <w:t>39</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1,774,481.65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-297,258.22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3,221,645.29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974,371.91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4,698,868.72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974,371.91</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0、营业外收入" w:id="264"/>
      <w:bookmarkEnd w:id="264"/>
      <w:r>
        <w:rPr>
          <w:b w:val="0"/>
          <w:bCs w:val="0"/>
        </w:rPr>
      </w:r>
      <w:r>
        <w:rPr>
          <w:rFonts w:ascii="Times New Roman" w:hAnsi="Times New Roman" w:cs="Times New Roman" w:eastAsia="Times New Roman" w:hint="default"/>
        </w:rPr>
        <w:t>40</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73,196.24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73,196.24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73,196.24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73,196.24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27,536,981.76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35,809,741.20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13,079,766.67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980.54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27,611,158.54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35,814,571.23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13,153,943.45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35"/>
        <w:ind w:left="154" w:right="-7" w:firstLine="0"/>
        <w:jc w:val="left"/>
        <w:rPr>
          <w:rFonts w:ascii="宋体" w:hAnsi="宋体" w:cs="宋体" w:eastAsia="宋体" w:hint="default"/>
          <w:sz w:val="20"/>
          <w:szCs w:val="20"/>
        </w:rPr>
      </w:pPr>
      <w:r>
        <w:rPr>
          <w:rFonts w:ascii="宋体" w:hAnsi="宋体" w:cs="宋体" w:eastAsia="宋体" w:hint="default"/>
          <w:spacing w:val="-1"/>
          <w:sz w:val="20"/>
          <w:szCs w:val="20"/>
        </w:rPr>
        <w:t>计入当期损益的政府补助：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56" w:space="6274"/>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14,457,215.09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24,887,274.53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金融行业海量数据处理北京 市工程实验室</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1,947,166.67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北京商委老字号项目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移动金融云安全服务项目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服务管理系统软件项目专</w:t>
            </w:r>
            <w:r>
              <w:rPr>
                <w:rFonts w:ascii="宋体" w:hAnsi="宋体" w:cs="宋体" w:eastAsia="宋体" w:hint="default"/>
                <w:w w:val="99"/>
                <w:sz w:val="18"/>
                <w:szCs w:val="18"/>
              </w:rPr>
              <w:t> </w:t>
            </w:r>
            <w:r>
              <w:rPr>
                <w:rFonts w:ascii="宋体" w:hAnsi="宋体" w:cs="宋体" w:eastAsia="宋体" w:hint="default"/>
                <w:sz w:val="18"/>
                <w:szCs w:val="18"/>
              </w:rPr>
              <w:t>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海淀区促进非公有制和中小 企业发展专项资金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面向云计算基于虚拟化技术 的分布式计算管理系统平台 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移动金融云安全服务项目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133,333.33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智能高精准金融影像处理成 果转化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移动支付安全中间件产业</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语言的移动应用软件开 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184,866.67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互联网情报搜索系统项目资 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移动电子商务公共服务平台 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年北京市科技计划项目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重点培育企业资金奖励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政府中介服务支持资金补贴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专精特新产业园重点培育企 业租金补贴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年重大应用示范项目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both"/>
              <w:rPr>
                <w:rFonts w:ascii="宋体" w:hAnsi="宋体" w:cs="宋体" w:eastAsia="宋体" w:hint="default"/>
                <w:sz w:val="18"/>
                <w:szCs w:val="18"/>
              </w:rPr>
            </w:pPr>
            <w:r>
              <w:rPr>
                <w:rFonts w:ascii="宋体" w:hAnsi="宋体" w:cs="宋体" w:eastAsia="宋体" w:hint="default"/>
                <w:sz w:val="18"/>
                <w:szCs w:val="18"/>
              </w:rPr>
              <w:t>面向云计算基于虚拟化技术 的分布式计算管理系统平台 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十百千工程培育企业资金项 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综合运维管理软件</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中关村开放实验室共建企业 技术中心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情报信息系统软件研发专项 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重点培育企业资金项目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北京市企业技术中心研发投 入项目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企业技术中心自主创新能力 建设项目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基于影像可配置的金融集中 作业系统项目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票据影像交换平台项目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印鉴自动识别中间件软件项 目</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27,536,981.76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35,809,741.20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1、营业外支出" w:id="265"/>
      <w:bookmarkEnd w:id="265"/>
      <w:r>
        <w:rPr>
          <w:b w:val="0"/>
          <w:bCs w:val="0"/>
        </w:rPr>
      </w:r>
      <w:r>
        <w:rPr>
          <w:rFonts w:ascii="Times New Roman" w:hAnsi="Times New Roman" w:cs="Times New Roman" w:eastAsia="Times New Roman" w:hint="default"/>
        </w:rPr>
        <w:t>41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318,265.88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162,619.40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318,265.88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318,265.88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162,619.40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318,265.88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61,328.50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12,787.15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331,053.03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223,947.90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331,053.03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2、所得税费用" w:id="266"/>
      <w:bookmarkEnd w:id="266"/>
      <w:r>
        <w:rPr>
          <w:b w:val="0"/>
          <w:bCs w:val="0"/>
        </w:rPr>
      </w: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67"/>
      <w:bookmarkEnd w:id="26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6,427,587.02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9,323,463.56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-721,901.53</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-1,353,791.64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5,705,685.49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7,969,671.92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68"/>
      <w:bookmarkEnd w:id="26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84,581,082.80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8,585,774.49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790,589.53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-802,793.33</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-1,968,696.54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-225,423.02</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-673,765.64</w:t>
            </w:r>
            <w:r>
              <w:rPr>
                <w:rFonts w:ascii="Times New Roman"/>
                <w:sz w:val="18"/>
              </w:rPr>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5,705,685.49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3、现金流量表项目" w:id="269"/>
      <w:bookmarkEnd w:id="269"/>
      <w:r>
        <w:rPr>
          <w:b w:val="0"/>
          <w:bCs w:val="0"/>
        </w:rPr>
      </w:r>
      <w:r>
        <w:rPr>
          <w:rFonts w:ascii="Times New Roman" w:hAnsi="Times New Roman" w:cs="Times New Roman" w:eastAsia="Times New Roman" w:hint="default"/>
        </w:rPr>
        <w:t>43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70"/>
      <w:bookmarkEnd w:id="27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政府及其他奖励资金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35,304,300.00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收取保证金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92,691,755.39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126,778,620.67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收回的往来款、代垫款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43,760,415.30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83,705,512.16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3,467,500.76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1,736,533.71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1,295,698.44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3,411,757.81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145,605,369.89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250,936,724.35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支付的其他与经营活动有关的现金" w:id="271"/>
      <w:bookmarkEnd w:id="27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108,032,863.15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110,091,377.83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15,111,274.53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54,378,352.98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6,977,356.95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13,113,911.03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5,606,023.14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11,287,669.34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8,107,177.43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7,982,893.49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4,745,901.53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7,921,751.69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6,432,633.71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5,671,412.03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13,891,542.61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26,035,288.31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168,904,773.05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236,482,656.70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筹资活动有关的现金" w:id="272"/>
      <w:bookmarkEnd w:id="272"/>
      <w:r>
        <w:rPr>
          <w:b w:val="0"/>
          <w:bCs w:val="0"/>
        </w:rPr>
      </w: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981,613.06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2,244,279.27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981,613.06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2,244,279.27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筹资活动有关的现金" w:id="273"/>
      <w:bookmarkEnd w:id="273"/>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开具承兑汇票保证金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1,744,640.00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发行债券相关费用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发行股票相关费用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1,302,765.99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3,702,765.99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3,712,240.00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现金流量表补充资料" w:id="274"/>
      <w:bookmarkEnd w:id="274"/>
      <w:r>
        <w:rPr>
          <w:b w:val="0"/>
          <w:bCs w:val="0"/>
        </w:rPr>
      </w:r>
      <w:r>
        <w:rPr>
          <w:rFonts w:ascii="Times New Roman" w:hAnsi="Times New Roman" w:cs="Times New Roman" w:eastAsia="Times New Roman" w:hint="default"/>
        </w:rPr>
        <w:t>44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75"/>
      <w:bookmarkEnd w:id="27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78" w:right="0"/>
              <w:jc w:val="left"/>
              <w:rPr>
                <w:rFonts w:ascii="Times New Roman" w:hAnsi="Times New Roman" w:cs="Times New Roman" w:eastAsia="Times New Roman" w:hint="default"/>
                <w:sz w:val="18"/>
                <w:szCs w:val="18"/>
              </w:rPr>
            </w:pPr>
            <w:r>
              <w:rPr>
                <w:rFonts w:ascii="Times New Roman"/>
                <w:sz w:val="18"/>
              </w:rPr>
              <w:t>78,875,397.31</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56,122,643.24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43.829987pt;width:151.25pt;height:20.8pt;mso-position-horizontal-relative:page;mso-position-vertical-relative:page;z-index:-1003120" coordorigin="4467,4877" coordsize="3025,416">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-251,539.22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-130,277.74</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29,247,220.22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25,218,640.63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29,437,767.76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18,295,887.18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2,397,112.99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2,975,436.63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245,069.64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158,533.87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20,468,793.27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17,477,021.00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-3,648,226.58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-974,371.91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8" w:right="0"/>
              <w:jc w:val="left"/>
              <w:rPr>
                <w:rFonts w:ascii="Times New Roman" w:hAnsi="Times New Roman" w:cs="Times New Roman" w:eastAsia="Times New Roman" w:hint="default"/>
                <w:sz w:val="18"/>
                <w:szCs w:val="18"/>
              </w:rPr>
            </w:pPr>
            <w:r>
              <w:rPr>
                <w:rFonts w:ascii="Times New Roman"/>
                <w:sz w:val="18"/>
              </w:rPr>
              <w:t>-721,901.53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-1,353,791.64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-59,687,065.31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-66,340,016.49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24,793,368.29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-28,465,625.57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121,264,415.46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126,982,730.03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242,420,412.30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149,966,809.23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677,579,838.82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526,342,128.37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526,342,128.37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401,686,050.99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151,237,710.45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124,656,077.38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276"/>
      <w:bookmarkEnd w:id="27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10,650,002.91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10,650,002.91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228,749,997.09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本期收到的处置子公司的现金净额" w:id="277"/>
      <w:bookmarkEnd w:id="27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北京中科金财电子产品有限公司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808,000.00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274,661.85</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北京中科金财电子产品有限公司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274,661.85</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533,338.15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现金和现金等价物的构成" w:id="278"/>
      <w:bookmarkEnd w:id="27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677,579,838.82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526,342,128.37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241,462.53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103,025.01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677,338,376.29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526,164,672.24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74,431.12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677,579,838.82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526,342,128.37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所有权或使用权受到限制的资产" w:id="279"/>
      <w:bookmarkEnd w:id="279"/>
      <w:r>
        <w:rPr>
          <w:b w:val="0"/>
          <w:bCs w:val="0"/>
        </w:rPr>
      </w:r>
      <w:r>
        <w:rPr>
          <w:rFonts w:ascii="Times New Roman" w:hAnsi="Times New Roman" w:cs="Times New Roman" w:eastAsia="Times New Roman" w:hint="default"/>
        </w:rPr>
        <w:t>45</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14,219,791.96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保函保证金未到期</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14,219,791.96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外币货币性项目" w:id="280"/>
      <w:bookmarkEnd w:id="280"/>
      <w:r>
        <w:rPr>
          <w:b w:val="0"/>
          <w:bCs w:val="0"/>
        </w:rPr>
      </w:r>
      <w:r>
        <w:rPr>
          <w:rFonts w:ascii="Times New Roman" w:hAnsi="Times New Roman" w:cs="Times New Roman" w:eastAsia="Times New Roman" w:hint="default"/>
        </w:rPr>
        <w:t>46</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281"/>
      <w:bookmarkEnd w:id="28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1,174,004.50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443" w:right="0"/>
              <w:jc w:val="left"/>
              <w:rPr>
                <w:rFonts w:ascii="Times New Roman" w:hAnsi="Times New Roman" w:cs="Times New Roman" w:eastAsia="Times New Roman" w:hint="default"/>
                <w:sz w:val="18"/>
                <w:szCs w:val="18"/>
              </w:rPr>
            </w:pPr>
            <w:r>
              <w:rPr>
                <w:rFonts w:ascii="Times New Roman"/>
                <w:sz w:val="18"/>
              </w:rPr>
              <w:t>192,161.25</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6.1082</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1,173,752.70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0.7996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251.80</w:t>
            </w: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bookmarkStart w:name="（2）境外经营实体说明，包括对于重要的境外经营实体，应披露其境外主要经营地、记账" w:id="282"/>
      <w:bookmarkEnd w:id="28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0" w:firstLine="423"/>
        <w:jc w:val="left"/>
      </w:pPr>
      <w:r>
        <w:rPr>
          <w:spacing w:val="-1"/>
        </w:rPr>
        <w:t>中科金财信息技术（香港）有限公司系子公司北京中科金财信息技术有限公司组建的在中国香港成立</w:t>
      </w:r>
      <w:r>
        <w:rPr/>
        <w:t> 的有限公司，注册资本</w:t>
      </w:r>
      <w:r>
        <w:rPr>
          <w:rFonts w:ascii="宋体" w:hAnsi="宋体" w:cs="宋体" w:eastAsia="宋体" w:hint="default"/>
        </w:rPr>
        <w:t>81,290.24</w:t>
      </w:r>
      <w:r>
        <w:rPr/>
        <w:t>美元。境外主要经营地在中国香港，记账本位币美元。</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八、合并范围的变更" w:id="283"/>
      <w:bookmarkEnd w:id="283"/>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284"/>
      <w:bookmarkEnd w:id="284"/>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285"/>
      <w:bookmarkEnd w:id="28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天津滨河创 新科技有限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已完成工商 变更登记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9,545,865.52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6,363,361.81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合并成本及商誉" w:id="286"/>
      <w:bookmarkEnd w:id="28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5"/>
        <w:ind w:left="0" w:right="2190"/>
        <w:jc w:val="right"/>
      </w:pPr>
      <w:r>
        <w:rPr>
          <w:spacing w:val="-1"/>
        </w:rPr>
        <w:t>单位：万元</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4653"/>
        <w:gridCol w:w="3875"/>
      </w:tblGrid>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2"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87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31,920.00</w:t>
            </w: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87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87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47,880.00</w:t>
            </w: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87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387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875"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合并成本合计</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79,800.00</w:t>
            </w:r>
          </w:p>
        </w:tc>
      </w:tr>
      <w:tr>
        <w:trPr>
          <w:trHeight w:val="342"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17,396.86</w:t>
            </w:r>
          </w:p>
        </w:tc>
      </w:tr>
      <w:tr>
        <w:trPr>
          <w:trHeight w:val="654" w:hRule="exact"/>
        </w:trPr>
        <w:tc>
          <w:tcPr>
            <w:tcW w:w="46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6"/>
              <w:jc w:val="left"/>
              <w:rPr>
                <w:rFonts w:ascii="宋体" w:hAnsi="宋体" w:cs="宋体" w:eastAsia="宋体" w:hint="default"/>
                <w:sz w:val="18"/>
                <w:szCs w:val="18"/>
              </w:rPr>
            </w:pPr>
            <w:r>
              <w:rPr>
                <w:rFonts w:ascii="宋体" w:hAnsi="宋体" w:cs="宋体" w:eastAsia="宋体" w:hint="default"/>
                <w:spacing w:val="2"/>
                <w:sz w:val="18"/>
                <w:szCs w:val="18"/>
              </w:rPr>
              <w:t>商誉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合并成本小于取得的可辨认净资产公允价值份额的金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额</w:t>
            </w:r>
          </w:p>
        </w:tc>
        <w:tc>
          <w:tcPr>
            <w:tcW w:w="3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62,403.14</w:t>
            </w:r>
          </w:p>
        </w:tc>
      </w:tr>
    </w:tbl>
    <w:p>
      <w:pPr>
        <w:spacing w:line="240" w:lineRule="auto" w:before="13"/>
        <w:rPr>
          <w:rFonts w:ascii="宋体" w:hAnsi="宋体" w:cs="宋体" w:eastAsia="宋体" w:hint="default"/>
          <w:sz w:val="25"/>
          <w:szCs w:val="25"/>
        </w:rPr>
      </w:pPr>
    </w:p>
    <w:p>
      <w:pPr>
        <w:pStyle w:val="BodyText"/>
        <w:spacing w:line="240" w:lineRule="auto" w:before="35"/>
        <w:ind w:left="154" w:right="0"/>
        <w:jc w:val="left"/>
      </w:pPr>
      <w:r>
        <w:rPr/>
        <w:t>合并成本公允价值的确定方法、或有对价及其变动的说明：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3"/>
        <w:jc w:val="left"/>
      </w:pPr>
      <w:r>
        <w:rPr/>
        <w:t>合并成本公允价值的确定方法：以中联评报字</w:t>
      </w:r>
      <w:r>
        <w:rPr>
          <w:rFonts w:ascii="宋体" w:hAnsi="宋体" w:cs="宋体" w:eastAsia="宋体" w:hint="default"/>
        </w:rPr>
        <w:t>[2014]645</w:t>
      </w:r>
      <w:r>
        <w:rPr/>
        <w:t>号资产评估报告采用现金流量折现法确定的 股东全部权益资本价值为参考依据确定。</w:t>
      </w:r>
    </w:p>
    <w:p>
      <w:pPr>
        <w:pStyle w:val="BodyText"/>
        <w:spacing w:line="408" w:lineRule="auto"/>
        <w:ind w:left="577" w:right="1014"/>
        <w:jc w:val="left"/>
      </w:pPr>
      <w:r>
        <w:rPr/>
        <w:t>大额商誉形成的主要原因： </w:t>
      </w:r>
      <w:r>
        <w:rPr>
          <w:spacing w:val="-3"/>
        </w:rPr>
        <w:t>天津滨河创新科技有限公司收益的持续增长及滨河创新账面未记录的企业品牌、人力资源、营销网络、</w:t>
      </w:r>
    </w:p>
    <w:p>
      <w:pPr>
        <w:pStyle w:val="BodyText"/>
        <w:spacing w:line="240" w:lineRule="auto"/>
        <w:ind w:right="0"/>
        <w:jc w:val="left"/>
      </w:pPr>
      <w:r>
        <w:rPr/>
        <w:t>管理等无形资产以及软件行业本身的优势带来的价值。</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3）被购买方于购买日可辨认资产、负债" w:id="287"/>
      <w:bookmarkEnd w:id="28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0" w:right="2378"/>
        <w:jc w:val="right"/>
      </w:pPr>
      <w:r>
        <w:rPr/>
        <w:t>单位：万元</w:t>
      </w:r>
    </w:p>
    <w:p>
      <w:pPr>
        <w:spacing w:line="240" w:lineRule="auto" w:before="13"/>
        <w:rPr>
          <w:rFonts w:ascii="宋体" w:hAnsi="宋体" w:cs="宋体" w:eastAsia="宋体" w:hint="default"/>
          <w:sz w:val="3"/>
          <w:szCs w:val="3"/>
        </w:rPr>
      </w:pPr>
    </w:p>
    <w:tbl>
      <w:tblPr>
        <w:tblW w:w="0" w:type="auto"/>
        <w:jc w:val="left"/>
        <w:tblInd w:w="705" w:type="dxa"/>
        <w:tblLayout w:type="fixed"/>
        <w:tblCellMar>
          <w:top w:w="0" w:type="dxa"/>
          <w:left w:w="0" w:type="dxa"/>
          <w:bottom w:w="0" w:type="dxa"/>
          <w:right w:w="0" w:type="dxa"/>
        </w:tblCellMar>
        <w:tblLook w:val="01E0"/>
      </w:tblPr>
      <w:tblGrid>
        <w:gridCol w:w="2496"/>
        <w:gridCol w:w="3015"/>
        <w:gridCol w:w="3017"/>
      </w:tblGrid>
      <w:tr>
        <w:trPr>
          <w:trHeight w:val="342" w:hRule="exact"/>
        </w:trPr>
        <w:tc>
          <w:tcPr>
            <w:tcW w:w="2496"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31" w:right="0"/>
              <w:jc w:val="left"/>
              <w:rPr>
                <w:rFonts w:ascii="宋体" w:hAnsi="宋体" w:cs="宋体" w:eastAsia="宋体" w:hint="default"/>
                <w:sz w:val="18"/>
                <w:szCs w:val="18"/>
              </w:rPr>
            </w:pPr>
            <w:r>
              <w:rPr>
                <w:rFonts w:ascii="宋体" w:hAnsi="宋体" w:cs="宋体" w:eastAsia="宋体" w:hint="default"/>
                <w:sz w:val="18"/>
                <w:szCs w:val="18"/>
              </w:rPr>
              <w:t>天津滨河创新科技有限公司</w:t>
            </w:r>
          </w:p>
        </w:tc>
      </w:tr>
      <w:tr>
        <w:trPr>
          <w:trHeight w:val="342" w:hRule="exact"/>
        </w:trPr>
        <w:tc>
          <w:tcPr>
            <w:tcW w:w="2496" w:type="dxa"/>
            <w:vMerge/>
            <w:tcBorders>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3"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1,065.00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1,065.00</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6,311.61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6,311.61</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4,477.51</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4,433.35</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2,490.00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2,490.00</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3,317.68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3,174.44</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641.72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641.72</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4,747.22</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1,716.34</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48.38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48.38</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5,702.26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5,702.26</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17,396.86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14,178.58</w:t>
            </w: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015"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17,396.86</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14,178.58</w:t>
            </w:r>
          </w:p>
        </w:tc>
      </w:tr>
    </w:tbl>
    <w:p>
      <w:pPr>
        <w:spacing w:line="240" w:lineRule="auto" w:before="13"/>
        <w:rPr>
          <w:rFonts w:ascii="宋体" w:hAnsi="宋体" w:cs="宋体" w:eastAsia="宋体" w:hint="default"/>
          <w:sz w:val="25"/>
          <w:szCs w:val="25"/>
        </w:rPr>
      </w:pPr>
    </w:p>
    <w:p>
      <w:pPr>
        <w:pStyle w:val="BodyText"/>
        <w:spacing w:line="408" w:lineRule="auto" w:before="35"/>
        <w:ind w:left="154" w:right="0" w:firstLine="423"/>
        <w:jc w:val="left"/>
      </w:pPr>
      <w:r>
        <w:rPr/>
        <w:t>可辨认资产、负债公允价值的确定方法：以中联评报字</w:t>
      </w:r>
      <w:r>
        <w:rPr>
          <w:rFonts w:ascii="宋体" w:hAnsi="宋体" w:cs="宋体" w:eastAsia="宋体" w:hint="default"/>
        </w:rPr>
        <w:t>[2014]645</w:t>
      </w:r>
      <w:r>
        <w:rPr/>
        <w:t>号资产评估报告中资产评估法评估 的资产价值为参考依据，结合资产、负债的实际情况确定。</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4）购买日之前持有的股权按照公允价值重新计量产生的利得或损失" w:id="288"/>
      <w:bookmarkEnd w:id="28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处置子公司" w:id="289"/>
      <w:bookmarkEnd w:id="289"/>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北京中 科金财 电子产 品有限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中科电 子董事 会改选， 转让价 款已支</w:t>
            </w:r>
          </w:p>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付</w:t>
            </w:r>
          </w:p>
        </w:tc>
        <w:tc>
          <w:tcPr>
            <w:tcW w:w="7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-11,657.</w:t>
            </w:r>
            <w:r>
              <w:rPr>
                <w:rFonts w:ascii="Times New Roman"/>
                <w:spacing w:val="-1"/>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20,081,6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01.03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19,796,0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-285,601</w:t>
            </w:r>
          </w:p>
          <w:p>
            <w:pPr>
              <w:pStyle w:val="TableParagraph"/>
              <w:spacing w:line="240" w:lineRule="auto" w:before="106"/>
              <w:ind w:left="478" w:right="0"/>
              <w:jc w:val="lef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其他原因的合并范围变动" w:id="290"/>
      <w:bookmarkEnd w:id="29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631" w:right="1665" w:hanging="54"/>
        <w:jc w:val="left"/>
      </w:pPr>
      <w:r>
        <w:rPr/>
        <w:t>说明其他原因导致的合并范围变动（如，新设子公司、清算子公司等）及其相关情况： </w:t>
      </w:r>
      <w:r>
        <w:rPr>
          <w:rFonts w:ascii="宋体" w:hAnsi="宋体" w:cs="宋体" w:eastAsia="宋体" w:hint="default"/>
        </w:rPr>
        <w:t>1</w:t>
      </w:r>
      <w:r>
        <w:rPr/>
        <w:t>、通过新设新增合并单位</w:t>
      </w:r>
      <w:r>
        <w:rPr>
          <w:rFonts w:ascii="宋体" w:hAnsi="宋体" w:cs="宋体" w:eastAsia="宋体" w:hint="default"/>
        </w:rPr>
        <w:t>1</w:t>
      </w:r>
      <w:r>
        <w:rPr/>
        <w:t>家，系公司出资设立全资子公司北京中科金财投资管理有限公司；</w:t>
      </w:r>
    </w:p>
    <w:p>
      <w:pPr>
        <w:pStyle w:val="BodyText"/>
        <w:spacing w:line="408" w:lineRule="auto"/>
        <w:ind w:left="206" w:right="1126" w:firstLine="424"/>
        <w:jc w:val="left"/>
      </w:pPr>
      <w:r>
        <w:rPr>
          <w:rFonts w:ascii="宋体" w:hAnsi="宋体" w:cs="宋体" w:eastAsia="宋体" w:hint="default"/>
          <w:spacing w:val="-2"/>
        </w:rPr>
        <w:t>2</w:t>
      </w:r>
      <w:r>
        <w:rPr>
          <w:spacing w:val="-2"/>
        </w:rPr>
        <w:t>、通过收购天津滨河股权新增全资孙公司</w:t>
      </w:r>
      <w:r>
        <w:rPr>
          <w:rFonts w:ascii="宋体" w:hAnsi="宋体" w:cs="宋体" w:eastAsia="宋体" w:hint="default"/>
          <w:spacing w:val="-2"/>
        </w:rPr>
        <w:t>3</w:t>
      </w:r>
      <w:r>
        <w:rPr>
          <w:spacing w:val="-2"/>
        </w:rPr>
        <w:t>家，分别为天津滨河顺通科技有限公司、天津滨河创新电</w:t>
      </w:r>
      <w:r>
        <w:rPr/>
        <w:t> 子科技有限公司、天津壬辰软件开发有限公司。</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在其他主体中的权益" w:id="291"/>
      <w:bookmarkEnd w:id="29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292"/>
      <w:bookmarkEnd w:id="29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293"/>
      <w:bookmarkEnd w:id="29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r>
        <w:rPr/>
        <w:pict>
          <v:shape style="position:absolute;margin-left:324.399994pt;margin-top:277.699982pt;width:74.05pt;height:31.2pt;mso-position-horizontal-relative:page;mso-position-vertical-relative:page;z-index:-1003096" type="#_x0000_t202" filled="false" stroked="false">
            <v:textbox inset="0,0,0,0">
              <w:txbxContent>
                <w:p>
                  <w:pPr>
                    <w:spacing w:line="240" w:lineRule="auto" w:before="0"/>
                    <w:rPr>
                      <w:rFonts w:ascii="宋体" w:hAnsi="宋体" w:cs="宋体" w:eastAsia="宋体" w:hint="default"/>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4.399994pt;margin-top:328.519989pt;width:74.05pt;height:31.2pt;mso-position-horizontal-relative:page;mso-position-vertical-relative:page;z-index:-100307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277.699982pt;width:67.9pt;height:31.2pt;mso-position-horizontal-relative:page;mso-position-vertical-relative:page;z-index:-1003048" coordorigin="6612,5554" coordsize="1358,624">
            <v:shape style="position:absolute;left:6612;top:5554;width:1358;height:624" coordorigin="6612,5554" coordsize="1358,624" path="m6612,6178l7969,6178,7969,5554,6612,5554,6612,6178xe" filled="true" fillcolor="#ffffff" stroked="false">
              <v:path arrowok="t"/>
              <v:fill type="solid"/>
            </v:shape>
            <w10:wrap type="none"/>
          </v:group>
        </w:pict>
      </w:r>
      <w:r>
        <w:rPr/>
        <w:pict>
          <v:group style="position:absolute;margin-left:330.579987pt;margin-top:328.519989pt;width:67.9pt;height:31.2pt;mso-position-horizontal-relative:page;mso-position-vertical-relative:page;z-index:-1003024" coordorigin="6612,6570" coordsize="1358,624">
            <v:shape style="position:absolute;left:6612;top:6570;width:1358;height:624" coordorigin="6612,6570" coordsize="1358,624" path="m6612,7194l7969,7194,7969,6570,6612,6570,6612,719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移动支付、移动 电子商务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北京中科金财信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技术开发及服 务，计算机软、 硬件及电子产品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7"/>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技术开发及服 务，计算机软、 硬件及电子产品 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投资管理；资产 </w:t>
            </w:r>
            <w:r>
              <w:rPr>
                <w:rFonts w:ascii="宋体" w:hAnsi="宋体" w:cs="宋体" w:eastAsia="宋体" w:hint="default"/>
                <w:spacing w:val="-6"/>
                <w:sz w:val="18"/>
                <w:szCs w:val="18"/>
              </w:rPr>
              <w:t>管理；项目投资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技术转让、技术 </w:t>
            </w:r>
            <w:r>
              <w:rPr>
                <w:rFonts w:ascii="宋体" w:hAnsi="宋体" w:cs="宋体" w:eastAsia="宋体" w:hint="default"/>
                <w:spacing w:val="-6"/>
                <w:sz w:val="18"/>
                <w:szCs w:val="18"/>
              </w:rPr>
              <w:t>服务、技术咨询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计算机技术培训</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投资成立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天津滨河顺通科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天津壬辰软件开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天津滨河创新电 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技术开发服务、 电子产品销售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中科金财信息技 术（香港）有限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电脑产品贸易</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294"/>
      <w:bookmarkEnd w:id="29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北京中科金财电子商务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60,805.37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-266,465.82</w:t>
            </w:r>
            <w:r>
              <w:rPr>
                <w:rFonts w:ascii="Times New Roman"/>
                <w:sz w:val="18"/>
              </w:rPr>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北京中科金财信息技术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672,157.07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3,935,290.18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重要非全资子公司的主要财务信息" w:id="295"/>
      <w:bookmarkEnd w:id="29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科金财 电子商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64,103,1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31.07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38,796,3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68.82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102,899,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499.89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2,721,21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2,721,21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54,443,5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97.51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45,355,1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24.68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99,798,7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22.19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1,247,28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6.04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1,647,28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北京中 科金财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15,931,5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05.98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15,956,7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52.02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2,119,57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2,119,57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17,156,5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40.43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7,294.80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17,163,8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35.23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7,169,36</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7,169,36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3.65</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北京中科金 财电子商务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21,739,812.4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2,026,845.83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2,026,845.83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16,440,159.6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11,814,014.5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-19,443,935.6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-19,443,935.6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-11,079,501.3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北京中科金 财信息技术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13,533,621.7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2,343,000.38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2,342,709.21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-2,980,856.17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31,066,627.4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1,493,753.19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1,494,471.58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7,362,771.06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合营安排或联营企业中的权益" w:id="296"/>
      <w:bookmarkEnd w:id="29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297"/>
      <w:bookmarkEnd w:id="29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北京中科金财电 子产品有限公司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北京海淀区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北京海淀区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中科环嘉电子商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辽宁大连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辽宁省大连市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网上贸易代理等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联营企业的主要财务信息" w:id="298"/>
      <w:bookmarkEnd w:id="29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230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732" w:type="dxa"/>
        <w:tblLayout w:type="fixed"/>
        <w:tblCellMar>
          <w:top w:w="0" w:type="dxa"/>
          <w:left w:w="0" w:type="dxa"/>
          <w:bottom w:w="0" w:type="dxa"/>
          <w:right w:w="0" w:type="dxa"/>
        </w:tblCellMar>
        <w:tblLook w:val="01E0"/>
      </w:tblPr>
      <w:tblGrid>
        <w:gridCol w:w="2660"/>
        <w:gridCol w:w="1418"/>
        <w:gridCol w:w="1494"/>
        <w:gridCol w:w="1385"/>
        <w:gridCol w:w="1518"/>
      </w:tblGrid>
      <w:tr>
        <w:trPr>
          <w:trHeight w:val="342" w:hRule="exact"/>
        </w:trPr>
        <w:tc>
          <w:tcPr>
            <w:tcW w:w="2660" w:type="dxa"/>
            <w:vMerge w:val="restart"/>
            <w:tcBorders>
              <w:top w:val="single" w:sz="4" w:space="0" w:color="000000"/>
              <w:left w:val="single" w:sz="4" w:space="0" w:color="000000"/>
              <w:right w:val="single" w:sz="4" w:space="0" w:color="000000"/>
            </w:tcBorders>
          </w:tcPr>
          <w:p>
            <w:pPr/>
          </w:p>
        </w:tc>
        <w:tc>
          <w:tcPr>
            <w:tcW w:w="2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本期发生额</w:t>
            </w:r>
          </w:p>
        </w:tc>
        <w:tc>
          <w:tcPr>
            <w:tcW w:w="2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73"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上期发生额</w:t>
            </w:r>
          </w:p>
        </w:tc>
      </w:tr>
      <w:tr>
        <w:trPr>
          <w:trHeight w:val="343" w:hRule="exact"/>
        </w:trPr>
        <w:tc>
          <w:tcPr>
            <w:tcW w:w="2660"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left"/>
              <w:rPr>
                <w:rFonts w:ascii="宋体" w:hAnsi="宋体" w:cs="宋体" w:eastAsia="宋体" w:hint="default"/>
                <w:sz w:val="18"/>
                <w:szCs w:val="18"/>
              </w:rPr>
            </w:pPr>
            <w:r>
              <w:rPr>
                <w:rFonts w:ascii="宋体" w:hAnsi="宋体" w:cs="宋体" w:eastAsia="宋体" w:hint="default"/>
                <w:sz w:val="18"/>
                <w:szCs w:val="18"/>
              </w:rPr>
              <w:t>中科环嘉电子商</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1"/>
              <w:jc w:val="left"/>
              <w:rPr>
                <w:rFonts w:ascii="宋体" w:hAnsi="宋体" w:cs="宋体" w:eastAsia="宋体" w:hint="default"/>
                <w:sz w:val="18"/>
                <w:szCs w:val="18"/>
              </w:rPr>
            </w:pPr>
            <w:r>
              <w:rPr>
                <w:rFonts w:ascii="宋体" w:hAnsi="宋体" w:cs="宋体" w:eastAsia="宋体" w:hint="default"/>
                <w:spacing w:val="4"/>
                <w:sz w:val="18"/>
                <w:szCs w:val="18"/>
              </w:rPr>
              <w:t>北京中科金财电子</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6" w:right="0"/>
              <w:jc w:val="left"/>
              <w:rPr>
                <w:rFonts w:ascii="宋体" w:hAnsi="宋体" w:cs="宋体" w:eastAsia="宋体" w:hint="default"/>
                <w:sz w:val="18"/>
                <w:szCs w:val="18"/>
              </w:rPr>
            </w:pPr>
            <w:r>
              <w:rPr>
                <w:rFonts w:ascii="宋体" w:hAnsi="宋体" w:cs="宋体" w:eastAsia="宋体" w:hint="default"/>
                <w:sz w:val="18"/>
                <w:szCs w:val="18"/>
              </w:rPr>
              <w:t>中科环嘉电子商</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6"/>
                <w:sz w:val="18"/>
                <w:szCs w:val="18"/>
              </w:rPr>
              <w:t>北京中科金财电子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32" w:type="dxa"/>
        <w:tblLayout w:type="fixed"/>
        <w:tblCellMar>
          <w:top w:w="0" w:type="dxa"/>
          <w:left w:w="0" w:type="dxa"/>
          <w:bottom w:w="0" w:type="dxa"/>
          <w:right w:w="0" w:type="dxa"/>
        </w:tblCellMar>
        <w:tblLook w:val="01E0"/>
      </w:tblPr>
      <w:tblGrid>
        <w:gridCol w:w="2660"/>
        <w:gridCol w:w="1418"/>
        <w:gridCol w:w="1494"/>
        <w:gridCol w:w="1385"/>
        <w:gridCol w:w="1516"/>
      </w:tblGrid>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产品有限公司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6" w:right="0"/>
              <w:jc w:val="left"/>
              <w:rPr>
                <w:rFonts w:ascii="宋体" w:hAnsi="宋体" w:cs="宋体" w:eastAsia="宋体" w:hint="default"/>
                <w:sz w:val="18"/>
                <w:szCs w:val="18"/>
              </w:rPr>
            </w:pPr>
            <w:r>
              <w:rPr>
                <w:rFonts w:ascii="宋体" w:hAnsi="宋体" w:cs="宋体" w:eastAsia="宋体" w:hint="default"/>
                <w:sz w:val="18"/>
                <w:szCs w:val="18"/>
              </w:rPr>
              <w:t>务有限公司</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产品有限公司</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23,885,530.91</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45,901,959.06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41,165,572.64</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其中：现金及现金等价物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23,173,340.05</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23,050,788.74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1,475,184.73</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6,056,521.47</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64,736.32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83,959.20</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29,942,052.38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45,966,695.38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41,249,531.84</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1,328,217.59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32,390,857.90</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1,328,217.59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32,390,857.90</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29,942,052.38</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44,638,477.79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8,858,673.94</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6,018,352.53</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21,872,854.12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-1,050,642.14</w:t>
            </w: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4,967,710.39</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21,872,854.12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5"/>
              <w:jc w:val="left"/>
              <w:rPr>
                <w:rFonts w:ascii="宋体" w:hAnsi="宋体" w:cs="宋体" w:eastAsia="宋体" w:hint="default"/>
                <w:sz w:val="18"/>
                <w:szCs w:val="18"/>
              </w:rPr>
            </w:pPr>
            <w:r>
              <w:rPr>
                <w:rFonts w:ascii="宋体" w:hAnsi="宋体" w:cs="宋体" w:eastAsia="宋体" w:hint="default"/>
                <w:spacing w:val="8"/>
                <w:sz w:val="18"/>
                <w:szCs w:val="18"/>
              </w:rPr>
              <w:t>存在公开报价的联营企业权益投</w:t>
            </w:r>
            <w:r>
              <w:rPr>
                <w:rFonts w:ascii="宋体" w:hAnsi="宋体" w:cs="宋体" w:eastAsia="宋体" w:hint="default"/>
                <w:sz w:val="18"/>
                <w:szCs w:val="18"/>
              </w:rPr>
              <w:t> 资的公允价值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299,174,242.05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87,976,666.24</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-57,947.62</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4,552,610.40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858,673.94</w:t>
            </w: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-57,947.62</w:t>
            </w:r>
            <w:r>
              <w:rPr>
                <w:rFonts w:ascii="Times New Roman"/>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4,552,610.40</w:t>
            </w: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858,673.94</w:t>
            </w:r>
          </w:p>
        </w:tc>
      </w:tr>
      <w:tr>
        <w:trPr>
          <w:trHeight w:val="65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8"/>
                <w:sz w:val="18"/>
                <w:szCs w:val="18"/>
              </w:rPr>
              <w:t>本年度收到的来自联营企业的股</w:t>
            </w:r>
            <w:r>
              <w:rPr>
                <w:rFonts w:ascii="宋体" w:hAnsi="宋体" w:cs="宋体" w:eastAsia="宋体" w:hint="default"/>
                <w:sz w:val="18"/>
                <w:szCs w:val="18"/>
              </w:rPr>
              <w:t> 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9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-378,675.21</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上重要的合营企业和联营企业的汇总财务信息" w:id="299"/>
      <w:bookmarkEnd w:id="299"/>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564,876.03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-26,968.24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86"/>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-26,968.24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154" w:right="0"/>
        <w:jc w:val="both"/>
      </w:pPr>
      <w:r>
        <w:rPr/>
        <w:t>其他说明</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t>公司持有深圳中金财富互联网金融服务有限公司</w:t>
      </w:r>
      <w:r>
        <w:rPr>
          <w:rFonts w:ascii="宋体" w:hAnsi="宋体" w:cs="宋体" w:eastAsia="宋体" w:hint="default"/>
        </w:rPr>
        <w:t>20%</w:t>
      </w:r>
      <w:r>
        <w:rPr/>
        <w:t>以下表决权，经股东会选举，由公司员工担任中 </w:t>
      </w:r>
      <w:r>
        <w:rPr>
          <w:spacing w:val="-1"/>
        </w:rPr>
        <w:t>金财富执行董事，但公司在执行董事的任免上没有话语权和决定权，因此，虽然公司持有中金财富表决权</w:t>
      </w:r>
      <w:r>
        <w:rPr>
          <w:spacing w:val="-83"/>
        </w:rPr>
        <w:t> </w:t>
      </w:r>
      <w:r>
        <w:rPr>
          <w:spacing w:val="-83"/>
        </w:rPr>
      </w:r>
      <w:r>
        <w:rPr/>
        <w:t>低于</w:t>
      </w:r>
      <w:r>
        <w:rPr>
          <w:rFonts w:ascii="宋体" w:hAnsi="宋体" w:cs="宋体" w:eastAsia="宋体" w:hint="default"/>
        </w:rPr>
        <w:t>20%</w:t>
      </w:r>
      <w:r>
        <w:rPr/>
        <w:t>，但对中金财富有重大影响，并且不构成控制。</w:t>
      </w:r>
    </w:p>
    <w:p>
      <w:pPr>
        <w:spacing w:line="240" w:lineRule="auto" w:before="11"/>
        <w:rPr>
          <w:rFonts w:ascii="宋体" w:hAnsi="宋体" w:cs="宋体" w:eastAsia="宋体" w:hint="default"/>
          <w:sz w:val="18"/>
          <w:szCs w:val="18"/>
        </w:rPr>
      </w:pPr>
    </w:p>
    <w:p>
      <w:pPr>
        <w:pStyle w:val="Heading2"/>
        <w:spacing w:line="240" w:lineRule="auto"/>
        <w:ind w:left="154" w:right="0"/>
        <w:jc w:val="both"/>
        <w:rPr>
          <w:b w:val="0"/>
          <w:bCs w:val="0"/>
        </w:rPr>
      </w:pPr>
      <w:bookmarkStart w:name="十、与金融工具相关的风险" w:id="300"/>
      <w:bookmarkEnd w:id="300"/>
      <w:r>
        <w:rPr>
          <w:b w:val="0"/>
          <w:bCs w:val="0"/>
        </w:rPr>
      </w: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4" w:right="1110" w:firstLine="375"/>
        <w:jc w:val="both"/>
      </w:pPr>
      <w:r>
        <w:rPr/>
        <w:t>公司的主要金融工具包括应收款项、应付款项、可供出售金融资产等，各项金融工具的详细情况说明 见本附注五。与这些金融工具有关的风险，以及公司为降低这些风险所采取的的风险管理政策如下所述。 本公司管理层对这些风险敞口进行管理和监控以确保将上述风险控制在限定的范围之内。</w:t>
      </w:r>
    </w:p>
    <w:p>
      <w:pPr>
        <w:pStyle w:val="BodyText"/>
        <w:spacing w:line="408" w:lineRule="auto"/>
        <w:ind w:left="529" w:right="0"/>
        <w:jc w:val="left"/>
      </w:pPr>
      <w:r>
        <w:rPr/>
        <w:t>各类风险的管理目标和政策： 公司从事风险管理的目标是在风险和收益之间取得适当的平衡，将风险对本公司经营业绩的负面影响</w:t>
      </w:r>
    </w:p>
    <w:p>
      <w:pPr>
        <w:pStyle w:val="BodyText"/>
        <w:spacing w:line="408" w:lineRule="auto"/>
        <w:ind w:left="154" w:right="1131"/>
        <w:jc w:val="both"/>
      </w:pPr>
      <w:r>
        <w:rPr>
          <w:spacing w:val="-1"/>
        </w:rPr>
        <w:t>减低到最低水平，使股东及其他权益投资者的利益最大化。基于该风险管理目标，本公司风险管理的基本</w:t>
      </w:r>
      <w:r>
        <w:rPr>
          <w:spacing w:val="-83"/>
        </w:rPr>
        <w:t> </w:t>
      </w:r>
      <w:r>
        <w:rPr>
          <w:spacing w:val="-83"/>
        </w:rPr>
      </w:r>
      <w:r>
        <w:rPr>
          <w:spacing w:val="-1"/>
        </w:rPr>
        <w:t>政策是确定和分析本公司所面临的各种风险，建立适当的风险承受底线并进行风险管理，并及时可靠地对</w:t>
      </w:r>
      <w:r>
        <w:rPr>
          <w:spacing w:val="-81"/>
        </w:rPr>
        <w:t> </w:t>
      </w:r>
      <w:r>
        <w:rPr>
          <w:spacing w:val="-81"/>
        </w:rPr>
      </w:r>
      <w:r>
        <w:rPr/>
        <w:t>各种风险进行监督，将风险控制在限定的范围之内。</w:t>
      </w:r>
    </w:p>
    <w:p>
      <w:pPr>
        <w:pStyle w:val="BodyText"/>
        <w:spacing w:line="408" w:lineRule="auto"/>
        <w:ind w:left="610" w:right="4287" w:hanging="81"/>
        <w:jc w:val="left"/>
        <w:rPr>
          <w:rFonts w:ascii="宋体" w:hAnsi="宋体" w:cs="宋体" w:eastAsia="宋体" w:hint="default"/>
        </w:rPr>
      </w:pPr>
      <w:r>
        <w:rPr/>
        <w:t>本公司金融工具的风险主要是信用风险、市场风险、流动性风险。 </w:t>
      </w:r>
      <w:r>
        <w:rPr>
          <w:rFonts w:ascii="宋体" w:hAnsi="宋体" w:cs="宋体" w:eastAsia="宋体" w:hint="default"/>
          <w:b/>
          <w:bCs/>
        </w:rPr>
        <w:t>(</w:t>
      </w:r>
      <w:r>
        <w:rPr>
          <w:rFonts w:ascii="宋体" w:hAnsi="宋体" w:cs="宋体" w:eastAsia="宋体" w:hint="default"/>
          <w:b/>
          <w:bCs/>
        </w:rPr>
        <w:t>一</w:t>
      </w:r>
      <w:r>
        <w:rPr>
          <w:rFonts w:ascii="宋体" w:hAnsi="宋体" w:cs="宋体" w:eastAsia="宋体" w:hint="default"/>
          <w:b/>
          <w:bCs/>
        </w:rPr>
        <w:t>)</w:t>
      </w:r>
      <w:r>
        <w:rPr>
          <w:rFonts w:ascii="宋体" w:hAnsi="宋体" w:cs="宋体" w:eastAsia="宋体" w:hint="default"/>
          <w:b/>
          <w:bCs/>
        </w:rPr>
        <w:t>信用风险</w:t>
      </w:r>
      <w:r>
        <w:rPr>
          <w:rFonts w:ascii="宋体" w:hAnsi="宋体" w:cs="宋体" w:eastAsia="宋体" w:hint="default"/>
        </w:rPr>
      </w:r>
    </w:p>
    <w:p>
      <w:pPr>
        <w:pStyle w:val="BodyText"/>
        <w:spacing w:line="408" w:lineRule="auto"/>
        <w:ind w:left="271" w:right="1133" w:firstLine="315"/>
        <w:jc w:val="both"/>
      </w:pPr>
      <w:r>
        <w:rPr>
          <w:spacing w:val="-1"/>
        </w:rPr>
        <w:t>信用风险是指金融工具的一方不履行义务，造成另一方发生财务损失的风险。本公司主要面临赊销导</w:t>
      </w:r>
      <w:r>
        <w:rPr/>
        <w:t> 致的客户信用风险。在签订新合同之前，本公司会对新客户的信用风险进行评估，包括外部信用评级和</w:t>
      </w:r>
      <w:r>
        <w:rPr>
          <w:spacing w:val="-47"/>
        </w:rPr>
        <w:t> </w:t>
      </w:r>
      <w:r>
        <w:rPr>
          <w:spacing w:val="-47"/>
        </w:rPr>
      </w:r>
      <w:r>
        <w:rPr/>
        <w:t>在某些情况下的银行资信证明（当此信息可获取时）。公司对每一客户均设置了赊销限额，该限额为无</w:t>
      </w:r>
      <w:r>
        <w:rPr>
          <w:spacing w:val="-47"/>
        </w:rPr>
        <w:t> </w:t>
      </w:r>
      <w:r>
        <w:rPr>
          <w:spacing w:val="-47"/>
        </w:rPr>
      </w:r>
      <w:r>
        <w:rPr/>
        <w:t>需获得额外批准的最大额度。</w:t>
      </w:r>
    </w:p>
    <w:p>
      <w:pPr>
        <w:pStyle w:val="BodyText"/>
        <w:spacing w:line="408" w:lineRule="auto"/>
        <w:ind w:right="1130" w:firstLine="421"/>
        <w:jc w:val="both"/>
      </w:pPr>
      <w:r>
        <w:rPr>
          <w:spacing w:val="3"/>
        </w:rPr>
        <w:t>公司通过对已有客户信用评级的季度监控以及应收账款账龄分析的月度审核来确保公司的整体信用</w:t>
      </w:r>
      <w:r>
        <w:rPr/>
        <w:t> </w:t>
      </w:r>
      <w:r>
        <w:rPr>
          <w:spacing w:val="-1"/>
        </w:rPr>
        <w:t>风险在可控的范围内。在监控客户的信用风险时，按照客户的信用特征对其分组。被评为“高风险”级别</w:t>
      </w:r>
      <w:r>
        <w:rPr>
          <w:spacing w:val="-83"/>
        </w:rPr>
        <w:t> </w:t>
      </w:r>
      <w:r>
        <w:rPr>
          <w:spacing w:val="-83"/>
        </w:rPr>
      </w:r>
      <w:r>
        <w:rPr>
          <w:spacing w:val="-1"/>
        </w:rPr>
        <w:t>的客户会放在受限制客户名单里，并且只有在额外批准的前提下，公司才可在未来期间内对其赊销，否则</w:t>
      </w:r>
      <w:r>
        <w:rPr>
          <w:spacing w:val="-83"/>
        </w:rPr>
        <w:t> </w:t>
      </w:r>
      <w:r>
        <w:rPr>
          <w:spacing w:val="-83"/>
        </w:rPr>
      </w:r>
      <w:r>
        <w:rPr/>
        <w:t>必须要求其提前支付相应款项。</w:t>
      </w:r>
    </w:p>
    <w:p>
      <w:pPr>
        <w:pStyle w:val="BodyText"/>
        <w:spacing w:line="408" w:lineRule="auto"/>
        <w:ind w:left="575" w:right="1091" w:firstLine="97"/>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BodyText"/>
        <w:spacing w:line="240" w:lineRule="auto"/>
        <w:ind w:left="154" w:right="0"/>
        <w:jc w:val="both"/>
      </w:pPr>
      <w:r>
        <w:rPr/>
        <w:t>包括汇率风险、利率风险和其他价格风险。</w:t>
      </w:r>
    </w:p>
    <w:p>
      <w:pPr>
        <w:spacing w:line="240" w:lineRule="auto" w:before="10"/>
        <w:rPr>
          <w:rFonts w:ascii="宋体" w:hAnsi="宋体" w:cs="宋体" w:eastAsia="宋体" w:hint="default"/>
          <w:sz w:val="14"/>
          <w:szCs w:val="14"/>
        </w:rPr>
      </w:pPr>
    </w:p>
    <w:p>
      <w:pPr>
        <w:pStyle w:val="BodyText"/>
        <w:spacing w:line="408" w:lineRule="auto" w:before="0"/>
        <w:ind w:left="571" w:right="2145"/>
        <w:jc w:val="left"/>
      </w:pPr>
      <w:r>
        <w:rPr/>
        <w:t>（</w:t>
      </w:r>
      <w:r>
        <w:rPr>
          <w:rFonts w:ascii="宋体" w:hAnsi="宋体" w:cs="宋体" w:eastAsia="宋体" w:hint="default"/>
        </w:rPr>
        <w:t>1</w:t>
      </w:r>
      <w:r>
        <w:rPr/>
        <w:t>）利率风险 利率风险，是指金融工具的公允价值或未来现金流量因市场利率变动而发生波动的风险。</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1" w:right="0"/>
        <w:jc w:val="left"/>
      </w:pPr>
      <w:r>
        <w:rPr/>
        <w:t>本公司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3</w:t>
      </w:r>
      <w:r>
        <w:rPr/>
        <w:t>日发行的</w:t>
      </w:r>
      <w:r>
        <w:rPr>
          <w:rFonts w:ascii="宋体" w:hAnsi="宋体" w:cs="宋体" w:eastAsia="宋体" w:hint="default"/>
        </w:rPr>
        <w:t>2012</w:t>
      </w:r>
      <w:r>
        <w:rPr/>
        <w:t>中财债，按固定利率支付，无利率风险。</w:t>
      </w:r>
    </w:p>
    <w:p>
      <w:pPr>
        <w:spacing w:line="240" w:lineRule="auto" w:before="10"/>
        <w:rPr>
          <w:rFonts w:ascii="宋体" w:hAnsi="宋体" w:cs="宋体" w:eastAsia="宋体" w:hint="default"/>
          <w:sz w:val="14"/>
          <w:szCs w:val="14"/>
        </w:rPr>
      </w:pPr>
    </w:p>
    <w:p>
      <w:pPr>
        <w:pStyle w:val="BodyText"/>
        <w:spacing w:line="408" w:lineRule="auto" w:before="0"/>
        <w:ind w:left="571" w:right="2145"/>
        <w:jc w:val="left"/>
      </w:pPr>
      <w:r>
        <w:rPr/>
        <w:t>（</w:t>
      </w:r>
      <w:r>
        <w:rPr>
          <w:rFonts w:ascii="宋体" w:hAnsi="宋体" w:cs="宋体" w:eastAsia="宋体" w:hint="default"/>
        </w:rPr>
        <w:t>2</w:t>
      </w:r>
      <w:r>
        <w:rPr/>
        <w:t>）汇率风险 汇率风险，是指金融工具的公允价值或未来现金流量因外汇汇率变动而发生波动的风险。 本公司本期以美元计价的金融资产和金融负债金额较小，无汇率风险。</w:t>
      </w:r>
    </w:p>
    <w:p>
      <w:pPr>
        <w:pStyle w:val="BodyText"/>
        <w:spacing w:line="408" w:lineRule="auto"/>
        <w:ind w:left="871" w:right="8551" w:hanging="301"/>
        <w:jc w:val="left"/>
      </w:pPr>
      <w:r>
        <w:rPr/>
        <w:t>（</w:t>
      </w:r>
      <w:r>
        <w:rPr>
          <w:rFonts w:ascii="宋体" w:hAnsi="宋体" w:cs="宋体" w:eastAsia="宋体" w:hint="default"/>
        </w:rPr>
        <w:t>3</w:t>
      </w:r>
      <w:r>
        <w:rPr/>
        <w:t>）其他价格风险 无</w:t>
      </w:r>
    </w:p>
    <w:p>
      <w:pPr>
        <w:pStyle w:val="BodyText"/>
        <w:spacing w:line="408" w:lineRule="auto"/>
        <w:ind w:left="575" w:right="0" w:firstLine="34"/>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w:t>
      </w:r>
    </w:p>
    <w:p>
      <w:pPr>
        <w:pStyle w:val="BodyText"/>
        <w:spacing w:line="408" w:lineRule="auto"/>
        <w:ind w:right="0"/>
        <w:jc w:val="left"/>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w:t>
      </w:r>
      <w:r>
        <w:rPr>
          <w:rFonts w:ascii="宋体" w:hAnsi="宋体" w:cs="宋体" w:eastAsia="宋体" w:hint="default"/>
          <w:spacing w:val="-1"/>
        </w:rPr>
        <w:t>12</w:t>
      </w:r>
      <w:r>
        <w:rPr>
          <w:spacing w:val="-1"/>
        </w:rPr>
        <w:t>个月现金流量的滚动预测，确保公司在所有合理</w:t>
      </w:r>
    </w:p>
    <w:p>
      <w:pPr>
        <w:spacing w:after="0" w:line="408" w:lineRule="auto"/>
        <w:jc w:val="left"/>
        <w:sectPr>
          <w:pgSz w:w="11910" w:h="16840"/>
          <w:pgMar w:header="747" w:footer="979" w:top="1060" w:bottom="1160" w:left="980" w:right="0"/>
        </w:sectPr>
      </w:pPr>
    </w:p>
    <w:p>
      <w:pPr>
        <w:pStyle w:val="BodyText"/>
        <w:spacing w:line="340" w:lineRule="auto"/>
        <w:ind w:left="573" w:right="-19" w:hanging="420"/>
        <w:jc w:val="left"/>
      </w:pPr>
      <w:r>
        <w:rPr/>
        <w:t>预测的情况下拥有充足的资金偿还债务。 本公司各项金融负债以未折现的合同现金流量按到期日列示如下：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6665" w:space="372"/>
            <w:col w:w="3893"/>
          </w:cols>
        </w:sectPr>
      </w:pPr>
    </w:p>
    <w:p>
      <w:pPr>
        <w:spacing w:line="240" w:lineRule="auto" w:before="13"/>
        <w:rPr>
          <w:rFonts w:ascii="宋体" w:hAnsi="宋体" w:cs="宋体" w:eastAsia="宋体"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890"/>
        <w:gridCol w:w="992"/>
        <w:gridCol w:w="850"/>
        <w:gridCol w:w="1276"/>
        <w:gridCol w:w="1418"/>
        <w:gridCol w:w="850"/>
        <w:gridCol w:w="1384"/>
      </w:tblGrid>
      <w:tr>
        <w:trPr>
          <w:trHeight w:val="342"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7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89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中财 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288,240,000.00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304,320,000.00</w:t>
            </w:r>
          </w:p>
        </w:tc>
      </w:tr>
      <w:tr>
        <w:trPr>
          <w:trHeight w:val="342"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288,240,000.00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304,320,000.00</w:t>
            </w:r>
          </w:p>
        </w:tc>
      </w:tr>
    </w:tbl>
    <w:p>
      <w:pPr>
        <w:spacing w:line="240" w:lineRule="auto" w:before="11"/>
        <w:rPr>
          <w:rFonts w:ascii="宋体" w:hAnsi="宋体" w:cs="宋体" w:eastAsia="宋体" w:hint="default"/>
          <w:sz w:val="23"/>
          <w:szCs w:val="23"/>
        </w:rPr>
      </w:pPr>
    </w:p>
    <w:tbl>
      <w:tblPr>
        <w:tblW w:w="0" w:type="auto"/>
        <w:jc w:val="left"/>
        <w:tblInd w:w="819" w:type="dxa"/>
        <w:tblLayout w:type="fixed"/>
        <w:tblCellMar>
          <w:top w:w="0" w:type="dxa"/>
          <w:left w:w="0" w:type="dxa"/>
          <w:bottom w:w="0" w:type="dxa"/>
          <w:right w:w="0" w:type="dxa"/>
        </w:tblCellMar>
        <w:tblLook w:val="01E0"/>
      </w:tblPr>
      <w:tblGrid>
        <w:gridCol w:w="890"/>
        <w:gridCol w:w="992"/>
        <w:gridCol w:w="850"/>
        <w:gridCol w:w="1276"/>
        <w:gridCol w:w="1418"/>
        <w:gridCol w:w="850"/>
        <w:gridCol w:w="1419"/>
      </w:tblGrid>
      <w:tr>
        <w:trPr>
          <w:trHeight w:val="342" w:hRule="exact"/>
        </w:trPr>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8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890"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54"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中财 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304,320,000.00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320,400,000.00</w:t>
            </w:r>
          </w:p>
        </w:tc>
      </w:tr>
      <w:tr>
        <w:trPr>
          <w:trHeight w:val="343" w:hRule="exact"/>
        </w:trPr>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26" w:right="0"/>
              <w:jc w:val="left"/>
              <w:rPr>
                <w:rFonts w:ascii="Times New Roman" w:hAnsi="Times New Roman" w:cs="Times New Roman" w:eastAsia="Times New Roman" w:hint="default"/>
                <w:sz w:val="18"/>
                <w:szCs w:val="18"/>
              </w:rPr>
            </w:pPr>
            <w:r>
              <w:rPr>
                <w:rFonts w:ascii="Times New Roman"/>
                <w:sz w:val="18"/>
              </w:rPr>
              <w:t>16,080,000.00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304,320,000.00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320,400,000.00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一、关联方及关联交易" w:id="301"/>
      <w:bookmarkEnd w:id="301"/>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line="520" w:lineRule="auto" w:before="0"/>
        <w:ind w:left="153" w:right="4663" w:firstLine="0"/>
        <w:jc w:val="left"/>
        <w:rPr>
          <w:rFonts w:ascii="宋体" w:hAnsi="宋体" w:cs="宋体" w:eastAsia="宋体" w:hint="default"/>
          <w:sz w:val="21"/>
          <w:szCs w:val="21"/>
        </w:rPr>
      </w:pPr>
      <w:bookmarkStart w:name="1、本企业的子公司情况" w:id="302"/>
      <w:bookmarkEnd w:id="30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本企业子公司的情况详见附注九、在其他主体中的权益。 </w:t>
      </w:r>
      <w:bookmarkStart w:name="2、本企业合营和联营企业情况" w:id="303"/>
      <w:bookmarkEnd w:id="303"/>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本企业重要的合营或联营企业详见附注九、在其他主体中的权益。 </w:t>
      </w:r>
      <w:bookmarkStart w:name="3、其他关联方情况" w:id="304"/>
      <w:bookmarkEnd w:id="304"/>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3"/>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持股比例过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北京盛贸智博投资有限公司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4、关联交易情况" w:id="305"/>
      <w:bookmarkEnd w:id="305"/>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06"/>
      <w:bookmarkEnd w:id="306"/>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47" w:footer="979" w:top="1060" w:bottom="1160" w:left="980" w:right="0"/>
        </w:sectPr>
      </w:pPr>
    </w:p>
    <w:p>
      <w:pPr>
        <w:pStyle w:val="BodyText"/>
        <w:spacing w:line="240" w:lineRule="auto" w:before="35"/>
        <w:ind w:left="154" w:right="-20"/>
        <w:jc w:val="left"/>
      </w:pPr>
      <w:r>
        <w:rPr/>
        <w:t>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24" w:space="6306"/>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中科环嘉电子商务有限公司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中科环嘉再生资源电子商务 平台技术开发</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1" w:right="0"/>
              <w:jc w:val="left"/>
              <w:rPr>
                <w:rFonts w:ascii="Times New Roman" w:hAnsi="Times New Roman" w:cs="Times New Roman" w:eastAsia="Times New Roman" w:hint="default"/>
                <w:sz w:val="18"/>
                <w:szCs w:val="18"/>
              </w:rPr>
            </w:pPr>
            <w:r>
              <w:rPr>
                <w:rFonts w:ascii="Times New Roman"/>
                <w:sz w:val="18"/>
              </w:rPr>
              <w:t>5,227,075.33</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8" w:lineRule="auto" w:before="63"/>
        <w:ind w:left="574" w:right="1197" w:hanging="420"/>
        <w:jc w:val="left"/>
      </w:pPr>
      <w:r>
        <w:rPr/>
        <w:t>购销商品、提供和接受劳务的关联交易说明 </w:t>
      </w:r>
      <w:r>
        <w:rPr>
          <w:rFonts w:ascii="宋体" w:hAnsi="宋体" w:cs="宋体" w:eastAsia="宋体" w:hint="default"/>
        </w:rPr>
        <w:t>2014</w:t>
      </w:r>
      <w:r>
        <w:rPr/>
        <w:t>年</w:t>
      </w:r>
      <w:r>
        <w:rPr>
          <w:rFonts w:ascii="宋体" w:hAnsi="宋体" w:cs="宋体" w:eastAsia="宋体" w:hint="default"/>
        </w:rPr>
        <w:t>7</w:t>
      </w:r>
      <w:r>
        <w:rPr/>
        <w:t>月，控股子公司中科商务与参股公司中科环嘉签定关于中科环嘉再生资源电子商务平台建设</w:t>
      </w:r>
    </w:p>
    <w:p>
      <w:pPr>
        <w:pStyle w:val="BodyText"/>
        <w:spacing w:line="408" w:lineRule="auto"/>
        <w:ind w:right="0"/>
        <w:jc w:val="left"/>
      </w:pPr>
      <w:r>
        <w:rPr>
          <w:spacing w:val="-1"/>
        </w:rPr>
        <w:t>的技术开发合同，合同总额</w:t>
      </w:r>
      <w:r>
        <w:rPr>
          <w:rFonts w:ascii="宋体" w:hAnsi="宋体" w:cs="宋体" w:eastAsia="宋体" w:hint="default"/>
          <w:spacing w:val="-1"/>
        </w:rPr>
        <w:t>16,503,500</w:t>
      </w:r>
      <w:r>
        <w:rPr>
          <w:spacing w:val="-1"/>
        </w:rPr>
        <w:t>元。截至</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日，项目尚在进行中，中科商务按技术开发</w:t>
      </w:r>
      <w:r>
        <w:rPr>
          <w:spacing w:val="-81"/>
        </w:rPr>
        <w:t> </w:t>
      </w:r>
      <w:r>
        <w:rPr>
          <w:spacing w:val="-81"/>
        </w:rPr>
      </w:r>
      <w:r>
        <w:rPr/>
        <w:t>进度确认技术收入</w:t>
      </w:r>
      <w:r>
        <w:rPr>
          <w:rFonts w:ascii="宋体" w:hAnsi="宋体" w:cs="宋体" w:eastAsia="宋体" w:hint="default"/>
        </w:rPr>
        <w:t>5,227,075.33</w:t>
      </w:r>
      <w:r>
        <w:rPr/>
        <w:t>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日，合并层面抵消该笔顺流交易未实现损益</w:t>
      </w:r>
    </w:p>
    <w:p>
      <w:pPr>
        <w:pStyle w:val="BodyText"/>
        <w:spacing w:line="240" w:lineRule="auto"/>
        <w:ind w:left="154" w:right="0"/>
        <w:jc w:val="left"/>
      </w:pPr>
      <w:r>
        <w:rPr>
          <w:rFonts w:ascii="宋体" w:hAnsi="宋体" w:cs="宋体" w:eastAsia="宋体" w:hint="default"/>
        </w:rPr>
        <w:t>-1,050,642.14</w:t>
      </w:r>
      <w:r>
        <w:rPr/>
        <w:t>元。</w:t>
      </w:r>
    </w:p>
    <w:p>
      <w:pPr>
        <w:spacing w:line="240" w:lineRule="auto" w:before="0"/>
        <w:rPr>
          <w:rFonts w:ascii="宋体" w:hAnsi="宋体" w:cs="宋体" w:eastAsia="宋体" w:hint="default"/>
          <w:sz w:val="20"/>
          <w:szCs w:val="20"/>
        </w:rPr>
      </w:pPr>
    </w:p>
    <w:p>
      <w:pPr>
        <w:pStyle w:val="Heading3"/>
        <w:spacing w:line="240" w:lineRule="auto" w:before="155"/>
        <w:ind w:right="0"/>
        <w:jc w:val="left"/>
        <w:rPr>
          <w:b w:val="0"/>
          <w:bCs w:val="0"/>
        </w:rPr>
      </w:pPr>
      <w:bookmarkStart w:name="（2）关联担保情况" w:id="307"/>
      <w:bookmarkEnd w:id="307"/>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6"/>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spacing w:before="38"/>
        <w:ind w:left="154" w:right="-10" w:firstLine="0"/>
        <w:jc w:val="left"/>
        <w:rPr>
          <w:rFonts w:ascii="宋体" w:hAnsi="宋体" w:cs="宋体" w:eastAsia="宋体" w:hint="default"/>
          <w:sz w:val="20"/>
          <w:szCs w:val="20"/>
        </w:rPr>
      </w:pPr>
      <w:r>
        <w:rPr>
          <w:rFonts w:ascii="宋体" w:hAnsi="宋体" w:cs="宋体" w:eastAsia="宋体" w:hint="default"/>
          <w:spacing w:val="-1"/>
          <w:sz w:val="20"/>
          <w:szCs w:val="20"/>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6" w:space="6874"/>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沈飒、朱烨东</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408" w:lineRule="auto" w:before="63"/>
        <w:ind w:left="632" w:right="0" w:hanging="479"/>
        <w:jc w:val="left"/>
        <w:rPr>
          <w:rFonts w:ascii="宋体" w:hAnsi="宋体" w:cs="宋体" w:eastAsia="宋体" w:hint="default"/>
        </w:rPr>
      </w:pPr>
      <w:r>
        <w:rPr/>
        <w:t>关联担保情况说明 </w:t>
      </w:r>
      <w:r>
        <w:rPr>
          <w:spacing w:val="2"/>
        </w:rPr>
        <w:t>担保方提供的保证期间均为依照主合同而确定的债务履行期限届满之日起两年，截止</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p>
    <w:p>
      <w:pPr>
        <w:pStyle w:val="BodyText"/>
        <w:spacing w:line="240" w:lineRule="auto" w:before="45"/>
        <w:ind w:left="212" w:right="0"/>
        <w:jc w:val="left"/>
      </w:pPr>
      <w:r>
        <w:rPr/>
        <w:t>日，尚有</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10</w:t>
      </w:r>
      <w:r>
        <w:rPr/>
        <w:t>日的</w:t>
      </w:r>
      <w:r>
        <w:rPr>
          <w:rFonts w:ascii="宋体" w:hAnsi="宋体" w:cs="宋体" w:eastAsia="宋体" w:hint="default"/>
        </w:rPr>
        <w:t>24,000</w:t>
      </w:r>
      <w:r>
        <w:rPr/>
        <w:t>万元担保的主债务未归还，其他被担保的主债务均已归还。</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3）关键管理人员报酬" w:id="308"/>
      <w:bookmarkEnd w:id="308"/>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4,605,125.22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4,712,828.00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关联方应收应付款项" w:id="309"/>
      <w:bookmarkEnd w:id="309"/>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付项目" w:id="310"/>
      <w:bookmarkEnd w:id="310"/>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中科环嘉</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829,446.14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承诺" w:id="311"/>
      <w:bookmarkEnd w:id="311"/>
      <w:r>
        <w:rPr>
          <w:b w:val="0"/>
          <w:bCs w:val="0"/>
        </w:rPr>
      </w:r>
      <w:r>
        <w:rPr>
          <w:rFonts w:ascii="Times New Roman" w:hAnsi="Times New Roman" w:cs="Times New Roman" w:eastAsia="Times New Roman" w:hint="default"/>
        </w:rPr>
        <w:t>6</w:t>
      </w:r>
      <w:r>
        <w:rPr/>
        <w:t>、关联方承诺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4" w:firstLine="423"/>
        <w:jc w:val="left"/>
      </w:pPr>
      <w:r>
        <w:rPr>
          <w:rFonts w:ascii="宋体" w:hAnsi="宋体" w:cs="宋体" w:eastAsia="宋体" w:hint="default"/>
        </w:rPr>
        <w:t>2014</w:t>
      </w:r>
      <w:r>
        <w:rPr/>
        <w:t>年</w:t>
      </w:r>
      <w:r>
        <w:rPr>
          <w:rFonts w:ascii="宋体" w:hAnsi="宋体" w:cs="宋体" w:eastAsia="宋体" w:hint="default"/>
        </w:rPr>
        <w:t>11</w:t>
      </w:r>
      <w:r>
        <w:rPr/>
        <w:t>月，经中国证券监督管理委员会证监许可</w:t>
      </w:r>
      <w:r>
        <w:rPr>
          <w:rFonts w:ascii="宋体" w:hAnsi="宋体" w:cs="宋体" w:eastAsia="宋体" w:hint="default"/>
        </w:rPr>
        <w:t>[2014]</w:t>
      </w:r>
      <w:r>
        <w:rPr/>
        <w:t>号</w:t>
      </w:r>
      <w:r>
        <w:rPr>
          <w:rFonts w:ascii="宋体" w:hAnsi="宋体" w:cs="宋体" w:eastAsia="宋体" w:hint="default"/>
        </w:rPr>
        <w:t>1218</w:t>
      </w:r>
      <w:r>
        <w:rPr/>
        <w:t>号文《关于核准北京中科金财科技股 </w:t>
      </w:r>
      <w:r>
        <w:rPr>
          <w:spacing w:val="-3"/>
        </w:rPr>
        <w:t>份有限公司向刘开同等发行股份购买资产并募集配套资金的批复》核准，公司向刘开同、董书倩、刘运龙、</w:t>
      </w:r>
      <w:r>
        <w:rPr>
          <w:spacing w:val="-96"/>
        </w:rPr>
        <w:t> </w:t>
      </w:r>
      <w:r>
        <w:rPr>
          <w:spacing w:val="-96"/>
        </w:rPr>
      </w:r>
      <w:r>
        <w:rPr/>
        <w:t>天津滨河数据信息技术有限公司（以下简称“交易对方”）发行</w:t>
      </w:r>
      <w:r>
        <w:rPr>
          <w:rFonts w:ascii="宋体" w:hAnsi="宋体" w:cs="宋体" w:eastAsia="宋体" w:hint="default"/>
        </w:rPr>
        <w:t>21,120,422</w:t>
      </w:r>
      <w:r>
        <w:rPr/>
        <w:t>股人民币普通股购买其持有天 津滨河创新科技有限公司</w:t>
      </w:r>
      <w:r>
        <w:rPr>
          <w:rFonts w:ascii="宋体" w:hAnsi="宋体" w:cs="宋体" w:eastAsia="宋体" w:hint="default"/>
        </w:rPr>
        <w:t>100%</w:t>
      </w:r>
      <w:r>
        <w:rPr/>
        <w:t>股权。</w:t>
      </w:r>
    </w:p>
    <w:p>
      <w:pPr>
        <w:pStyle w:val="BodyText"/>
        <w:spacing w:line="408" w:lineRule="auto"/>
        <w:ind w:right="1129" w:firstLine="423"/>
        <w:jc w:val="both"/>
      </w:pPr>
      <w:r>
        <w:rPr>
          <w:spacing w:val="-1"/>
        </w:rPr>
        <w:t>交易对方向上市公司承诺：如标的资产交割日为</w:t>
      </w:r>
      <w:r>
        <w:rPr>
          <w:rFonts w:ascii="宋体" w:hAnsi="宋体" w:cs="宋体" w:eastAsia="宋体" w:hint="default"/>
          <w:spacing w:val="-1"/>
        </w:rPr>
        <w:t>2014</w:t>
      </w:r>
      <w:r>
        <w:rPr>
          <w:spacing w:val="-1"/>
        </w:rPr>
        <w:t>年，则标的公司</w:t>
      </w:r>
      <w:r>
        <w:rPr>
          <w:rFonts w:ascii="宋体" w:hAnsi="宋体" w:cs="宋体" w:eastAsia="宋体" w:hint="default"/>
          <w:spacing w:val="-1"/>
        </w:rPr>
        <w:t>2014</w:t>
      </w:r>
      <w:r>
        <w:rPr>
          <w:spacing w:val="-1"/>
        </w:rPr>
        <w:t>年度、</w:t>
      </w:r>
      <w:r>
        <w:rPr>
          <w:rFonts w:ascii="宋体" w:hAnsi="宋体" w:cs="宋体" w:eastAsia="宋体" w:hint="default"/>
          <w:spacing w:val="-1"/>
        </w:rPr>
        <w:t>2015</w:t>
      </w:r>
      <w:r>
        <w:rPr>
          <w:spacing w:val="-1"/>
        </w:rPr>
        <w:t>年度和</w:t>
      </w:r>
      <w:r>
        <w:rPr>
          <w:rFonts w:ascii="宋体" w:hAnsi="宋体" w:cs="宋体" w:eastAsia="宋体" w:hint="default"/>
          <w:spacing w:val="-1"/>
        </w:rPr>
        <w:t>2016</w:t>
      </w:r>
      <w:r>
        <w:rPr>
          <w:spacing w:val="-1"/>
        </w:rPr>
        <w:t>年度</w:t>
      </w:r>
      <w:r>
        <w:rPr>
          <w:spacing w:val="1"/>
        </w:rPr>
        <w:t> </w:t>
      </w:r>
      <w:r>
        <w:rPr>
          <w:spacing w:val="7"/>
        </w:rPr>
        <w:t>实现的合并报表扣除非经常性损益后归属于母公司股东的净利润分别不低于</w:t>
      </w:r>
      <w:r>
        <w:rPr>
          <w:rFonts w:ascii="宋体" w:hAnsi="宋体" w:cs="宋体" w:eastAsia="宋体" w:hint="default"/>
          <w:spacing w:val="7"/>
        </w:rPr>
        <w:t>6,100</w:t>
      </w:r>
      <w:r>
        <w:rPr>
          <w:spacing w:val="7"/>
        </w:rPr>
        <w:t>万元、</w:t>
      </w:r>
      <w:r>
        <w:rPr>
          <w:rFonts w:ascii="宋体" w:hAnsi="宋体" w:cs="宋体" w:eastAsia="宋体" w:hint="default"/>
          <w:spacing w:val="7"/>
        </w:rPr>
        <w:t>7,250</w:t>
      </w:r>
      <w:r>
        <w:rPr>
          <w:spacing w:val="7"/>
        </w:rPr>
        <w:t>万元和</w:t>
      </w:r>
      <w:r>
        <w:rPr>
          <w:spacing w:val="-75"/>
        </w:rPr>
        <w:t> </w:t>
      </w:r>
      <w:r>
        <w:rPr>
          <w:spacing w:val="-75"/>
        </w:rPr>
      </w:r>
      <w:r>
        <w:rPr>
          <w:rFonts w:ascii="宋体" w:hAnsi="宋体" w:cs="宋体" w:eastAsia="宋体" w:hint="default"/>
        </w:rPr>
        <w:t>8,650</w:t>
      </w:r>
      <w:r>
        <w:rPr/>
        <w:t>万元。本次发行股份及支付现金购买资产完成后，在利润补偿期内任一会计年度，如天津滨河创新</w:t>
      </w:r>
      <w:r>
        <w:rPr>
          <w:spacing w:val="-36"/>
        </w:rPr>
        <w:t> </w:t>
      </w:r>
      <w:r>
        <w:rPr>
          <w:spacing w:val="-36"/>
        </w:rPr>
      </w:r>
      <w:r>
        <w:rPr>
          <w:spacing w:val="-1"/>
        </w:rPr>
        <w:t>科技有限公司截至当期期末累积实现净利润数小于截至当期期末累积承诺净利润数，则交易对方应向上市</w:t>
      </w:r>
      <w:r>
        <w:rPr>
          <w:spacing w:val="-81"/>
        </w:rPr>
        <w:t> </w:t>
      </w:r>
      <w:r>
        <w:rPr>
          <w:spacing w:val="-81"/>
        </w:rPr>
      </w:r>
      <w:r>
        <w:rPr>
          <w:spacing w:val="-1"/>
        </w:rPr>
        <w:t>公司进行补偿。如果标的资产在承诺年度实际净利润总额大于或等于承诺的预测净利润总额，则交易对方</w:t>
      </w:r>
      <w:r>
        <w:rPr>
          <w:spacing w:val="-81"/>
        </w:rPr>
        <w:t> </w:t>
      </w:r>
      <w:r>
        <w:rPr>
          <w:spacing w:val="-81"/>
        </w:rPr>
      </w:r>
      <w:r>
        <w:rPr/>
        <w:t>无需向上市公司进行补偿。</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二、承诺及或有事项" w:id="312"/>
      <w:bookmarkEnd w:id="312"/>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承诺事项" w:id="313"/>
      <w:bookmarkEnd w:id="31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6" w:right="1510"/>
        <w:jc w:val="left"/>
      </w:pPr>
      <w:r>
        <w:rPr/>
        <w:t>（</w:t>
      </w:r>
      <w:r>
        <w:rPr>
          <w:rFonts w:ascii="宋体" w:hAnsi="宋体" w:cs="宋体" w:eastAsia="宋体" w:hint="default"/>
        </w:rPr>
        <w:t>1</w:t>
      </w:r>
      <w:r>
        <w:rPr/>
        <w:t>）资产负债表日存在的重要承诺 其中，与关联方相关的未确认承诺事项详见本附注“十一、关联方及关联交易”部分相应内容；</w:t>
      </w:r>
    </w:p>
    <w:p>
      <w:pPr>
        <w:pStyle w:val="BodyText"/>
        <w:spacing w:line="408" w:lineRule="auto"/>
        <w:ind w:right="1105" w:firstLine="422"/>
        <w:jc w:val="both"/>
      </w:pPr>
      <w:r>
        <w:rPr>
          <w:rFonts w:ascii="宋体" w:hAnsi="宋体" w:cs="宋体" w:eastAsia="宋体" w:hint="default"/>
        </w:rPr>
        <w:t>2012</w:t>
      </w:r>
      <w:r>
        <w:rPr>
          <w:rFonts w:ascii="宋体" w:hAnsi="宋体" w:cs="宋体" w:eastAsia="宋体" w:hint="default"/>
          <w:spacing w:val="-77"/>
        </w:rPr>
        <w:t> </w:t>
      </w:r>
      <w:r>
        <w:rPr/>
        <w:t>年</w:t>
      </w:r>
      <w:r>
        <w:rPr>
          <w:spacing w:val="-79"/>
        </w:rPr>
        <w:t> </w:t>
      </w:r>
      <w:r>
        <w:rPr>
          <w:rFonts w:ascii="宋体" w:hAnsi="宋体" w:cs="宋体" w:eastAsia="宋体" w:hint="default"/>
        </w:rPr>
        <w:t>2</w:t>
      </w:r>
      <w:r>
        <w:rPr>
          <w:rFonts w:ascii="宋体" w:hAnsi="宋体" w:cs="宋体" w:eastAsia="宋体" w:hint="default"/>
          <w:spacing w:val="-78"/>
        </w:rPr>
        <w:t> </w:t>
      </w:r>
      <w:r>
        <w:rPr/>
        <w:t>月</w:t>
      </w:r>
      <w:r>
        <w:rPr>
          <w:spacing w:val="-79"/>
        </w:rPr>
        <w:t> </w:t>
      </w:r>
      <w:r>
        <w:rPr>
          <w:rFonts w:ascii="宋体" w:hAnsi="宋体" w:cs="宋体" w:eastAsia="宋体" w:hint="default"/>
        </w:rPr>
        <w:t>8</w:t>
      </w:r>
      <w:r>
        <w:rPr>
          <w:rFonts w:ascii="宋体" w:hAnsi="宋体" w:cs="宋体" w:eastAsia="宋体" w:hint="default"/>
          <w:spacing w:val="-78"/>
        </w:rPr>
        <w:t> </w:t>
      </w:r>
      <w:r>
        <w:rPr/>
        <w:t>日</w:t>
      </w:r>
      <w:r>
        <w:rPr>
          <w:spacing w:val="-78"/>
        </w:rPr>
        <w:t> </w:t>
      </w:r>
      <w:r>
        <w:rPr/>
        <w:t>，</w:t>
      </w:r>
      <w:r>
        <w:rPr>
          <w:spacing w:val="-79"/>
        </w:rPr>
        <w:t> </w:t>
      </w:r>
      <w:r>
        <w:rPr/>
        <w:t>公</w:t>
      </w:r>
      <w:r>
        <w:rPr>
          <w:spacing w:val="-78"/>
        </w:rPr>
        <w:t> </w:t>
      </w:r>
      <w:r>
        <w:rPr/>
        <w:t>司</w:t>
      </w:r>
      <w:r>
        <w:rPr>
          <w:spacing w:val="-79"/>
        </w:rPr>
        <w:t> </w:t>
      </w:r>
      <w:r>
        <w:rPr/>
        <w:t>与</w:t>
      </w:r>
      <w:r>
        <w:rPr>
          <w:spacing w:val="-79"/>
        </w:rPr>
        <w:t> </w:t>
      </w:r>
      <w:r>
        <w:rPr/>
        <w:t>北</w:t>
      </w:r>
      <w:r>
        <w:rPr>
          <w:spacing w:val="-78"/>
        </w:rPr>
        <w:t> </w:t>
      </w:r>
      <w:r>
        <w:rPr/>
        <w:t>京</w:t>
      </w:r>
      <w:r>
        <w:rPr>
          <w:spacing w:val="-78"/>
        </w:rPr>
        <w:t> </w:t>
      </w:r>
      <w:r>
        <w:rPr/>
        <w:t>唯</w:t>
      </w:r>
      <w:r>
        <w:rPr>
          <w:spacing w:val="-78"/>
        </w:rPr>
        <w:t> </w:t>
      </w:r>
      <w:r>
        <w:rPr/>
        <w:t>实</w:t>
      </w:r>
      <w:r>
        <w:rPr>
          <w:spacing w:val="-79"/>
        </w:rPr>
        <w:t> </w:t>
      </w:r>
      <w:r>
        <w:rPr/>
        <w:t>酒</w:t>
      </w:r>
      <w:r>
        <w:rPr>
          <w:spacing w:val="-79"/>
        </w:rPr>
        <w:t> </w:t>
      </w:r>
      <w:r>
        <w:rPr/>
        <w:t>店</w:t>
      </w:r>
      <w:r>
        <w:rPr>
          <w:spacing w:val="-78"/>
        </w:rPr>
        <w:t> </w:t>
      </w:r>
      <w:r>
        <w:rPr/>
        <w:t>管</w:t>
      </w:r>
      <w:r>
        <w:rPr>
          <w:spacing w:val="-79"/>
        </w:rPr>
        <w:t> </w:t>
      </w:r>
      <w:r>
        <w:rPr/>
        <w:t>理</w:t>
      </w:r>
      <w:r>
        <w:rPr>
          <w:spacing w:val="-78"/>
        </w:rPr>
        <w:t> </w:t>
      </w:r>
      <w:r>
        <w:rPr/>
        <w:t>有</w:t>
      </w:r>
      <w:r>
        <w:rPr>
          <w:spacing w:val="-79"/>
        </w:rPr>
        <w:t> </w:t>
      </w:r>
      <w:r>
        <w:rPr/>
        <w:t>限</w:t>
      </w:r>
      <w:r>
        <w:rPr>
          <w:spacing w:val="-79"/>
        </w:rPr>
        <w:t> </w:t>
      </w:r>
      <w:r>
        <w:rPr/>
        <w:t>公</w:t>
      </w:r>
      <w:r>
        <w:rPr>
          <w:spacing w:val="-78"/>
        </w:rPr>
        <w:t> </w:t>
      </w:r>
      <w:r>
        <w:rPr/>
        <w:t>司</w:t>
      </w:r>
      <w:r>
        <w:rPr>
          <w:spacing w:val="-78"/>
        </w:rPr>
        <w:t> </w:t>
      </w:r>
      <w:r>
        <w:rPr/>
        <w:t>（</w:t>
      </w:r>
      <w:r>
        <w:rPr>
          <w:spacing w:val="-79"/>
        </w:rPr>
        <w:t> </w:t>
      </w:r>
      <w:r>
        <w:rPr/>
        <w:t>以</w:t>
      </w:r>
      <w:r>
        <w:rPr>
          <w:spacing w:val="-79"/>
        </w:rPr>
        <w:t> </w:t>
      </w:r>
      <w:r>
        <w:rPr/>
        <w:t>下</w:t>
      </w:r>
      <w:r>
        <w:rPr>
          <w:spacing w:val="-79"/>
        </w:rPr>
        <w:t> </w:t>
      </w:r>
      <w:r>
        <w:rPr/>
        <w:t>简</w:t>
      </w:r>
      <w:r>
        <w:rPr>
          <w:spacing w:val="-79"/>
        </w:rPr>
        <w:t> </w:t>
      </w:r>
      <w:r>
        <w:rPr/>
        <w:t>称</w:t>
      </w:r>
      <w:r>
        <w:rPr>
          <w:spacing w:val="-79"/>
        </w:rPr>
        <w:t> </w:t>
      </w:r>
      <w:r>
        <w:rPr/>
        <w:t>：</w:t>
      </w:r>
      <w:r>
        <w:rPr>
          <w:spacing w:val="-74"/>
        </w:rPr>
        <w:t> </w:t>
      </w:r>
      <w:r>
        <w:rPr/>
        <w:t>“</w:t>
      </w:r>
      <w:r>
        <w:rPr>
          <w:spacing w:val="-79"/>
        </w:rPr>
        <w:t> </w:t>
      </w:r>
      <w:r>
        <w:rPr/>
        <w:t>唯</w:t>
      </w:r>
      <w:r>
        <w:rPr>
          <w:spacing w:val="-78"/>
        </w:rPr>
        <w:t> </w:t>
      </w:r>
      <w:r>
        <w:rPr/>
        <w:t>实</w:t>
      </w:r>
      <w:r>
        <w:rPr>
          <w:spacing w:val="-79"/>
        </w:rPr>
        <w:t> </w:t>
      </w:r>
      <w:r>
        <w:rPr/>
        <w:t>酒</w:t>
      </w:r>
      <w:r>
        <w:rPr>
          <w:spacing w:val="-79"/>
        </w:rPr>
        <w:t> </w:t>
      </w:r>
      <w:r>
        <w:rPr/>
        <w:t>店</w:t>
      </w:r>
      <w:r>
        <w:rPr>
          <w:spacing w:val="-77"/>
        </w:rPr>
        <w:t> </w:t>
      </w:r>
      <w:r>
        <w:rPr/>
        <w:t>”</w:t>
      </w:r>
      <w:r>
        <w:rPr>
          <w:spacing w:val="-79"/>
        </w:rPr>
        <w:t> </w:t>
      </w:r>
      <w:r>
        <w:rPr>
          <w:spacing w:val="21"/>
        </w:rPr>
        <w:t>）签定编号</w:t>
      </w:r>
      <w:r>
        <w:rPr>
          <w:spacing w:val="-78"/>
        </w:rPr>
        <w:t> </w:t>
      </w:r>
      <w:r>
        <w:rPr>
          <w:rFonts w:ascii="宋体" w:hAnsi="宋体" w:cs="宋体" w:eastAsia="宋体" w:hint="default"/>
        </w:rPr>
        <w:t>BUAA-WSHT-2012001</w:t>
      </w:r>
      <w:r>
        <w:rPr/>
        <w:t>号房屋租赁合同，承租唯实酒店拥有的北京市海淀区学院路</w:t>
      </w:r>
      <w:r>
        <w:rPr>
          <w:rFonts w:ascii="宋体" w:hAnsi="宋体" w:cs="宋体" w:eastAsia="宋体" w:hint="default"/>
        </w:rPr>
        <w:t>39</w:t>
      </w:r>
      <w:r>
        <w:rPr/>
        <w:t>号“唯实大厦”十层的</w:t>
      </w:r>
      <w:r>
        <w:rPr>
          <w:spacing w:val="-27"/>
        </w:rPr>
        <w:t> </w:t>
      </w:r>
      <w:r>
        <w:rPr>
          <w:spacing w:val="-27"/>
        </w:rPr>
      </w:r>
      <w:r>
        <w:rPr>
          <w:spacing w:val="20"/>
        </w:rPr>
        <w:t>物业为公司总部办公场所。</w:t>
      </w:r>
      <w:r>
        <w:rPr>
          <w:spacing w:val="-83"/>
        </w:rPr>
        <w:t> </w:t>
      </w:r>
      <w:r>
        <w:rPr>
          <w:spacing w:val="19"/>
        </w:rPr>
        <w:t>合同约定租期自</w:t>
      </w:r>
      <w:r>
        <w:rPr>
          <w:spacing w:val="-79"/>
        </w:rPr>
        <w:t> </w:t>
      </w:r>
      <w:r>
        <w:rPr>
          <w:rFonts w:ascii="宋体" w:hAnsi="宋体" w:cs="宋体" w:eastAsia="宋体" w:hint="default"/>
        </w:rPr>
        <w:t>2012</w:t>
      </w:r>
      <w:r>
        <w:rPr>
          <w:rFonts w:ascii="宋体" w:hAnsi="宋体" w:cs="宋体" w:eastAsia="宋体" w:hint="default"/>
          <w:spacing w:val="-82"/>
        </w:rPr>
        <w:t> </w:t>
      </w:r>
      <w:r>
        <w:rPr/>
        <w:t>年</w:t>
      </w:r>
      <w:r>
        <w:rPr>
          <w:spacing w:val="-83"/>
        </w:rPr>
        <w:t> </w:t>
      </w:r>
      <w:r>
        <w:rPr>
          <w:rFonts w:ascii="宋体" w:hAnsi="宋体" w:cs="宋体" w:eastAsia="宋体" w:hint="default"/>
        </w:rPr>
        <w:t>2</w:t>
      </w:r>
      <w:r>
        <w:rPr>
          <w:rFonts w:ascii="宋体" w:hAnsi="宋体" w:cs="宋体" w:eastAsia="宋体" w:hint="default"/>
          <w:spacing w:val="-82"/>
        </w:rPr>
        <w:t> </w:t>
      </w:r>
      <w:r>
        <w:rPr/>
        <w:t>月</w:t>
      </w:r>
      <w:r>
        <w:rPr>
          <w:spacing w:val="-83"/>
        </w:rPr>
        <w:t> </w:t>
      </w:r>
      <w:r>
        <w:rPr>
          <w:rFonts w:ascii="宋体" w:hAnsi="宋体" w:cs="宋体" w:eastAsia="宋体" w:hint="default"/>
        </w:rPr>
        <w:t>7</w:t>
      </w:r>
      <w:r>
        <w:rPr>
          <w:rFonts w:ascii="宋体" w:hAnsi="宋体" w:cs="宋体" w:eastAsia="宋体" w:hint="default"/>
          <w:spacing w:val="-82"/>
        </w:rPr>
        <w:t> </w:t>
      </w:r>
      <w:r>
        <w:rPr>
          <w:spacing w:val="14"/>
        </w:rPr>
        <w:t>日起至</w:t>
      </w:r>
      <w:r>
        <w:rPr>
          <w:spacing w:val="-82"/>
        </w:rPr>
        <w:t> </w:t>
      </w:r>
      <w:r>
        <w:rPr>
          <w:rFonts w:ascii="宋体" w:hAnsi="宋体" w:cs="宋体" w:eastAsia="宋体" w:hint="default"/>
        </w:rPr>
        <w:t>2014</w:t>
      </w:r>
      <w:r>
        <w:rPr>
          <w:rFonts w:ascii="宋体" w:hAnsi="宋体" w:cs="宋体" w:eastAsia="宋体" w:hint="default"/>
          <w:spacing w:val="-82"/>
        </w:rPr>
        <w:t> </w:t>
      </w:r>
      <w:r>
        <w:rPr/>
        <w:t>年</w:t>
      </w:r>
      <w:r>
        <w:rPr>
          <w:spacing w:val="-84"/>
        </w:rPr>
        <w:t> </w:t>
      </w:r>
      <w:r>
        <w:rPr>
          <w:rFonts w:ascii="宋体" w:hAnsi="宋体" w:cs="宋体" w:eastAsia="宋体" w:hint="default"/>
        </w:rPr>
        <w:t>2</w:t>
      </w:r>
      <w:r>
        <w:rPr>
          <w:rFonts w:ascii="宋体" w:hAnsi="宋体" w:cs="宋体" w:eastAsia="宋体" w:hint="default"/>
          <w:spacing w:val="-82"/>
        </w:rPr>
        <w:t> </w:t>
      </w:r>
      <w:r>
        <w:rPr/>
        <w:t>月</w:t>
      </w:r>
      <w:r>
        <w:rPr>
          <w:spacing w:val="-83"/>
        </w:rPr>
        <w:t> </w:t>
      </w:r>
      <w:r>
        <w:rPr>
          <w:rFonts w:ascii="宋体" w:hAnsi="宋体" w:cs="宋体" w:eastAsia="宋体" w:hint="default"/>
        </w:rPr>
        <w:t>28</w:t>
      </w:r>
      <w:r>
        <w:rPr>
          <w:rFonts w:ascii="宋体" w:hAnsi="宋体" w:cs="宋体" w:eastAsia="宋体" w:hint="default"/>
          <w:spacing w:val="-82"/>
        </w:rPr>
        <w:t> </w:t>
      </w:r>
      <w:r>
        <w:rPr>
          <w:spacing w:val="11"/>
        </w:rPr>
        <w:t>日。</w:t>
      </w:r>
      <w:r>
        <w:rPr>
          <w:spacing w:val="-83"/>
        </w:rPr>
        <w:t> </w:t>
      </w:r>
      <w:r>
        <w:rPr>
          <w:spacing w:val="19"/>
        </w:rPr>
        <w:t>租赁建筑面积为</w:t>
      </w:r>
      <w:r>
        <w:rPr/>
        <w:t> </w:t>
      </w:r>
      <w:r>
        <w:rPr>
          <w:rFonts w:ascii="宋体" w:hAnsi="宋体" w:cs="宋体" w:eastAsia="宋体" w:hint="default"/>
        </w:rPr>
        <w:t>2,655.41m2</w:t>
      </w:r>
      <w:r>
        <w:rPr/>
        <w:t>，租金标准为</w:t>
      </w:r>
      <w:r>
        <w:rPr>
          <w:rFonts w:ascii="宋体" w:hAnsi="宋体" w:cs="宋体" w:eastAsia="宋体" w:hint="default"/>
        </w:rPr>
        <w:t>4.5</w:t>
      </w:r>
      <w:r>
        <w:rPr/>
        <w:t>元人民币</w:t>
      </w:r>
      <w:r>
        <w:rPr>
          <w:rFonts w:ascii="宋体" w:hAnsi="宋体" w:cs="宋体" w:eastAsia="宋体" w:hint="default"/>
        </w:rPr>
        <w:t>/</w:t>
      </w:r>
      <w:r>
        <w:rPr/>
        <w:t>建筑平方米</w:t>
      </w:r>
      <w:r>
        <w:rPr>
          <w:rFonts w:ascii="宋体" w:hAnsi="宋体" w:cs="宋体" w:eastAsia="宋体" w:hint="default"/>
        </w:rPr>
        <w:t>/</w:t>
      </w:r>
      <w:r>
        <w:rPr/>
        <w:t>日</w:t>
      </w:r>
      <w:r>
        <w:rPr>
          <w:rFonts w:ascii="宋体" w:hAnsi="宋体" w:cs="宋体" w:eastAsia="宋体" w:hint="default"/>
        </w:rPr>
        <w:t>,</w:t>
      </w:r>
      <w:r>
        <w:rPr/>
        <w:t>物业管理费收费标准为</w:t>
      </w:r>
      <w:r>
        <w:rPr>
          <w:rFonts w:ascii="宋体" w:hAnsi="宋体" w:cs="宋体" w:eastAsia="宋体" w:hint="default"/>
        </w:rPr>
        <w:t>1.0</w:t>
      </w:r>
      <w:r>
        <w:rPr/>
        <w:t>元人民币</w:t>
      </w:r>
      <w:r>
        <w:rPr>
          <w:rFonts w:ascii="宋体" w:hAnsi="宋体" w:cs="宋体" w:eastAsia="宋体" w:hint="default"/>
        </w:rPr>
        <w:t>/</w:t>
      </w:r>
      <w:r>
        <w:rPr/>
        <w:t>建筑平方米</w:t>
      </w:r>
      <w:r>
        <w:rPr>
          <w:rFonts w:ascii="宋体" w:hAnsi="宋体" w:cs="宋体" w:eastAsia="宋体" w:hint="default"/>
        </w:rPr>
        <w:t>/</w:t>
      </w:r>
      <w:r>
        <w:rPr>
          <w:rFonts w:ascii="宋体" w:hAnsi="宋体" w:cs="宋体" w:eastAsia="宋体" w:hint="default"/>
          <w:spacing w:val="-32"/>
        </w:rPr>
        <w:t> </w:t>
      </w:r>
      <w:r>
        <w:rPr/>
        <w:t>日。公司已于</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日续租，延长租期自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30</w:t>
      </w:r>
      <w:r>
        <w:rPr/>
        <w:t>日止，租金及租赁面积不变。</w:t>
      </w:r>
    </w:p>
    <w:p>
      <w:pPr>
        <w:pStyle w:val="BodyText"/>
        <w:spacing w:line="240" w:lineRule="auto"/>
        <w:ind w:left="576" w:right="0"/>
        <w:jc w:val="left"/>
      </w:pPr>
      <w:r>
        <w:rPr/>
        <w:t>（</w:t>
      </w:r>
      <w:r>
        <w:rPr>
          <w:rFonts w:ascii="宋体" w:hAnsi="宋体" w:cs="宋体" w:eastAsia="宋体" w:hint="default"/>
        </w:rPr>
        <w:t>2</w:t>
      </w:r>
      <w:r>
        <w:rPr/>
        <w:t>）公司没有需要披露的其他承诺事项。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或有事项" w:id="314"/>
      <w:bookmarkEnd w:id="31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68" w:lineRule="auto" w:before="0"/>
        <w:ind w:left="153" w:right="2773" w:firstLine="0"/>
        <w:jc w:val="left"/>
        <w:rPr>
          <w:rFonts w:ascii="宋体" w:hAnsi="宋体" w:cs="宋体" w:eastAsia="宋体" w:hint="default"/>
          <w:sz w:val="21"/>
          <w:szCs w:val="21"/>
        </w:rPr>
      </w:pPr>
      <w:r>
        <w:rPr/>
        <w:pict>
          <v:shape style="position:absolute;margin-left:84.260002pt;margin-top:54.763664pt;width:427.15pt;height:597.550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5"/>
                    <w:gridCol w:w="821"/>
                    <w:gridCol w:w="1260"/>
                    <w:gridCol w:w="1116"/>
                    <w:gridCol w:w="999"/>
                    <w:gridCol w:w="1637"/>
                  </w:tblGrid>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担保银行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担保事由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担保合同编号</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445,000.00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2016/3/25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201210190035</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784,600.00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2017/12/21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201212200192</w:t>
                        </w:r>
                      </w:p>
                    </w:tc>
                  </w:tr>
                  <w:tr>
                    <w:trPr>
                      <w:trHeight w:val="654"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招商银行北京大运村支行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1,164,005.80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2017/3/30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年大保字第</w:t>
                        </w:r>
                        <w:r>
                          <w:rPr>
                            <w:rFonts w:ascii="Times New Roman" w:hAnsi="Times New Roman" w:cs="Times New Roman" w:eastAsia="Times New Roman" w:hint="default"/>
                            <w:sz w:val="18"/>
                            <w:szCs w:val="18"/>
                          </w:rPr>
                          <w:t>008</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号</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102,415.00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2018/4/21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201304180182</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2015/2/16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201305150095</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5,900,000.00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2015/2/16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201305150098</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186,800.00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2016/5/20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201305170095</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2,896,484.00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2018/7/14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201307120049</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138,600.00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2015/2/13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201308210187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410,000.00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2015/11/20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201311050233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92,400.00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2014/12/31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201311120157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780,000.00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2014/12/31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201311140048</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126,000.00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2016/12/17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201312110120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388,360.00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2015/12/17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201312160053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4,037,500.00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2015/12/17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预付款</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201312160178</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64,400.00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2018/12/22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201312240056</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2015/2/14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201401210206</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2015/1/22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201401210192</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231,884.88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2018/3/16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201401210103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301,732.44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2018/4/12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201401210087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2019/2/10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201402120097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122,670.00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2019/3/1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201403040877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318,010.00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2018/3/6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201403040992</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167,000.00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2015/6/6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07701BH20148023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199,000.00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2015/6/6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07701BH20148024</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85,000.00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2016/3/30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201406241142</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1,974,000.00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2015/5/31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201407090943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175,000.00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2017/7/11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201407100907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2015/7/8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201407240163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1,520,767.27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2018/9/14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201408110379</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160,106.60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2018/5/19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201408180152</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70,135.07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2016/3/2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201409010377</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2015/3/7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201409230996</w:t>
                        </w:r>
                      </w:p>
                    </w:tc>
                  </w:tr>
                </w:tbl>
                <w:p>
                  <w:pPr/>
                </w:p>
              </w:txbxContent>
            </v:textbox>
            <w10:wrap type="none"/>
          </v:shape>
        </w:pict>
      </w:r>
      <w:bookmarkStart w:name="（1）资产负债表日存在的重要或有事项"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日，公司尚有未到期的由银行为公司提供的保函担保，明细见下表：</w:t>
      </w:r>
    </w:p>
    <w:p>
      <w:pPr>
        <w:spacing w:after="0" w:line="56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2695"/>
        <w:gridCol w:w="821"/>
        <w:gridCol w:w="1260"/>
        <w:gridCol w:w="1116"/>
        <w:gridCol w:w="999"/>
        <w:gridCol w:w="1637"/>
      </w:tblGrid>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31,791.00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2017/9/30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201410080230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142,010.10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2015/10/8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201409290416</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63,850.00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2019/9/29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201410080470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23,985.00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2015/10/14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201410130543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26,350.00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2015/10/14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201410130549</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23,985.00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2015/10/14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201410100350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3" w:right="0"/>
              <w:jc w:val="left"/>
              <w:rPr>
                <w:rFonts w:ascii="Times New Roman" w:hAnsi="Times New Roman" w:cs="Times New Roman" w:eastAsia="Times New Roman" w:hint="default"/>
                <w:sz w:val="18"/>
                <w:szCs w:val="18"/>
              </w:rPr>
            </w:pPr>
            <w:r>
              <w:rPr>
                <w:rFonts w:ascii="Times New Roman"/>
                <w:sz w:val="18"/>
              </w:rPr>
              <w:t>2015/6/4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DG00023140171</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439,000.00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2018/12/4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DG00023140175</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2015/6/30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07701BH20148051</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450,000.00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2015/6/30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07701BH20148052</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2015/6/30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07701BH20148050</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2015/6/30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07701BH20148053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2015/6/30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07701BH20148049</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162,945.00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2015/12/4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DG00023140198</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534,112.45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2015/12/8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07701BH20148054</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宁波银行北京分行营业部</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316,400.00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2015/12/15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07701BH20148058</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169,000.00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88" w:right="0"/>
              <w:jc w:val="left"/>
              <w:rPr>
                <w:rFonts w:ascii="Times New Roman" w:hAnsi="Times New Roman" w:cs="Times New Roman" w:eastAsia="Times New Roman" w:hint="default"/>
                <w:sz w:val="18"/>
                <w:szCs w:val="18"/>
              </w:rPr>
            </w:pPr>
            <w:r>
              <w:rPr>
                <w:rFonts w:ascii="Times New Roman"/>
                <w:sz w:val="18"/>
              </w:rPr>
              <w:t>2015/6/19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DG00023140194</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309,936.30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2015/12/22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DG00023140343</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北京银行中关村科技园区支行</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233,363.70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43" w:right="0"/>
              <w:jc w:val="left"/>
              <w:rPr>
                <w:rFonts w:ascii="Times New Roman" w:hAnsi="Times New Roman" w:cs="Times New Roman" w:eastAsia="Times New Roman" w:hint="default"/>
                <w:sz w:val="18"/>
                <w:szCs w:val="18"/>
              </w:rPr>
            </w:pPr>
            <w:r>
              <w:rPr>
                <w:rFonts w:ascii="Times New Roman"/>
                <w:sz w:val="18"/>
              </w:rPr>
              <w:t>2015/12/22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履约</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DG00023140344</w:t>
            </w:r>
          </w:p>
        </w:tc>
      </w:tr>
      <w:tr>
        <w:trPr>
          <w:trHeight w:val="342"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2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30,918,599.61</w:t>
            </w:r>
          </w:p>
        </w:tc>
        <w:tc>
          <w:tcPr>
            <w:tcW w:w="111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511" w:lineRule="auto" w:before="35"/>
        <w:ind w:left="153" w:right="5588" w:firstLine="0"/>
        <w:jc w:val="left"/>
        <w:rPr>
          <w:rFonts w:ascii="宋体" w:hAnsi="宋体" w:cs="宋体" w:eastAsia="宋体" w:hint="default"/>
          <w:sz w:val="24"/>
          <w:szCs w:val="24"/>
        </w:rPr>
      </w:pPr>
      <w:bookmarkStart w:name="（2）公司没有需要披露的重要或有事项，也应予以说明"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 </w:t>
      </w:r>
      <w:bookmarkStart w:name="十三、资产负债表日后事项" w:id="317"/>
      <w:bookmarkEnd w:id="317"/>
      <w:r>
        <w:rPr>
          <w:rFonts w:ascii="宋体" w:hAnsi="宋体" w:cs="宋体" w:eastAsia="宋体" w:hint="default"/>
          <w:sz w:val="21"/>
          <w:szCs w:val="21"/>
        </w:rPr>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pStyle w:val="Heading3"/>
        <w:spacing w:line="240" w:lineRule="auto" w:before="51"/>
        <w:ind w:left="153" w:right="0"/>
        <w:jc w:val="left"/>
        <w:rPr>
          <w:b w:val="0"/>
          <w:bCs w:val="0"/>
        </w:rPr>
      </w:pPr>
      <w:bookmarkStart w:name="1、利润分配情况" w:id="318"/>
      <w:bookmarkEnd w:id="318"/>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9,509,373.06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母公司财务报表主要项目注释" w:id="319"/>
      <w:bookmarkEnd w:id="319"/>
      <w:r>
        <w:rPr>
          <w:b w:val="0"/>
          <w:bCs w:val="0"/>
        </w:rPr>
      </w:r>
      <w:r>
        <w:rPr/>
        <w:t>十四、母公司财务报表主要项目注释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320"/>
      <w:bookmarkEnd w:id="320"/>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321"/>
      <w:bookmarkEnd w:id="3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13" w:space="0" w:color="FFFFFF"/>
            </w:tcBorders>
            <w:shd w:val="clear" w:color="auto" w:fill="D2D2D2"/>
          </w:tcPr>
          <w:p>
            <w:pPr/>
          </w:p>
        </w:tc>
        <w:tc>
          <w:tcPr>
            <w:tcW w:w="1537" w:type="dxa"/>
            <w:gridSpan w:val="2"/>
            <w:tcBorders>
              <w:top w:val="single" w:sz="4" w:space="0" w:color="000000"/>
              <w:left w:val="single" w:sz="13" w:space="0" w:color="FFFFFF"/>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13" w:space="0" w:color="FFFFFF"/>
            </w:tcBorders>
            <w:shd w:val="clear" w:color="auto" w:fill="D2D2D2"/>
          </w:tcPr>
          <w:p>
            <w:pPr/>
          </w:p>
        </w:tc>
        <w:tc>
          <w:tcPr>
            <w:tcW w:w="775" w:type="dxa"/>
            <w:tcBorders>
              <w:top w:val="single" w:sz="4" w:space="0" w:color="000000"/>
              <w:left w:val="single" w:sz="13" w:space="0" w:color="FFFFFF"/>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13" w:space="0" w:color="FFFFFF"/>
            </w:tcBorders>
            <w:shd w:val="clear" w:color="auto" w:fill="D2D2D2"/>
          </w:tcPr>
          <w:p>
            <w:pPr/>
          </w:p>
        </w:tc>
        <w:tc>
          <w:tcPr>
            <w:tcW w:w="775" w:type="dxa"/>
            <w:vMerge w:val="restart"/>
            <w:tcBorders>
              <w:top w:val="nil" w:sz="6" w:space="0" w:color="auto"/>
              <w:left w:val="single" w:sz="13" w:space="0" w:color="FFFFFF"/>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13" w:space="0" w:color="FFFFFF"/>
            </w:tcBorders>
            <w:shd w:val="clear" w:color="auto" w:fill="D2D2D2"/>
          </w:tcPr>
          <w:p>
            <w:pPr/>
          </w:p>
        </w:tc>
        <w:tc>
          <w:tcPr>
            <w:tcW w:w="775" w:type="dxa"/>
            <w:vMerge/>
            <w:tcBorders>
              <w:left w:val="single" w:sz="13" w:space="0" w:color="FFFFFF"/>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13" w:space="0" w:color="FFFFFF"/>
            </w:tcBorders>
            <w:shd w:val="clear" w:color="auto" w:fill="D2D2D2"/>
          </w:tcPr>
          <w:p>
            <w:pPr/>
          </w:p>
        </w:tc>
        <w:tc>
          <w:tcPr>
            <w:tcW w:w="775" w:type="dxa"/>
            <w:tcBorders>
              <w:top w:val="nil" w:sz="6" w:space="0" w:color="auto"/>
              <w:left w:val="single" w:sz="13" w:space="0" w:color="FFFFFF"/>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44,618,6</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06.56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3,773,49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40,845,10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9.27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37,441,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299.63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2,878,541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34,562,757.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161" w:hRule="exact"/>
        </w:trPr>
        <w:tc>
          <w:tcPr>
            <w:tcW w:w="1623" w:type="dxa"/>
            <w:tcBorders>
              <w:top w:val="single" w:sz="4" w:space="0" w:color="000000"/>
              <w:left w:val="single" w:sz="4" w:space="0" w:color="000000"/>
              <w:bottom w:val="nil" w:sz="6" w:space="0" w:color="auto"/>
              <w:right w:val="single" w:sz="13" w:space="0" w:color="FFFFFF"/>
            </w:tcBorders>
            <w:shd w:val="clear" w:color="auto" w:fill="D2D2D2"/>
          </w:tcPr>
          <w:p>
            <w:pPr/>
          </w:p>
        </w:tc>
        <w:tc>
          <w:tcPr>
            <w:tcW w:w="775" w:type="dxa"/>
            <w:vMerge w:val="restart"/>
            <w:tcBorders>
              <w:top w:val="single" w:sz="4" w:space="0" w:color="000000"/>
              <w:left w:val="single" w:sz="13" w:space="0" w:color="FFFFFF"/>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44,618,6</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06.56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3,773,49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8.46%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40,845,10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9.27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37,441,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299.63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2,878,541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7.69%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34,562,757.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623"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13" w:space="0" w:color="FFFFFF"/>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13" w:space="0" w:color="FFFFFF"/>
            </w:tcBorders>
            <w:shd w:val="clear" w:color="auto" w:fill="D2D2D2"/>
          </w:tcPr>
          <w:p>
            <w:pPr/>
          </w:p>
        </w:tc>
        <w:tc>
          <w:tcPr>
            <w:tcW w:w="775" w:type="dxa"/>
            <w:vMerge/>
            <w:tcBorders>
              <w:left w:val="single" w:sz="13" w:space="0" w:color="FFFFFF"/>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35,350,144.18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1,767,507.21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35,350,144.18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1,767,507.21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4,176,348.98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417,634.90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3,192,338.40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638,467.68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1,899,775.00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949,887.50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1,899,775.00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949,887.50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44,618,606.56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3,773,497.29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本期计提、收回或转回的坏账准备情况" w:id="322"/>
      <w:bookmarkEnd w:id="32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0"/>
        <w:jc w:val="left"/>
      </w:pPr>
      <w:r>
        <w:rPr/>
        <w:t>本期计提坏账准备金额</w:t>
      </w:r>
      <w:r>
        <w:rPr>
          <w:spacing w:val="-54"/>
        </w:rPr>
        <w:t> </w:t>
      </w:r>
      <w:r>
        <w:rPr>
          <w:rFonts w:ascii="Times New Roman" w:hAnsi="Times New Roman" w:cs="Times New Roman" w:eastAsia="Times New Roman" w:hint="default"/>
        </w:rPr>
        <w:t>894,955.39</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3"/>
        <w:spacing w:line="240" w:lineRule="auto"/>
        <w:ind w:left="153" w:right="0"/>
        <w:jc w:val="left"/>
        <w:rPr>
          <w:b w:val="0"/>
          <w:bCs w:val="0"/>
        </w:rPr>
      </w:pPr>
      <w:bookmarkStart w:name="（3）按欠款方归集的期末余额前五吊的应收账款情况" w:id="323"/>
      <w:bookmarkEnd w:id="323"/>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275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858" w:type="dxa"/>
        <w:tblLayout w:type="fixed"/>
        <w:tblCellMar>
          <w:top w:w="0" w:type="dxa"/>
          <w:left w:w="0" w:type="dxa"/>
          <w:bottom w:w="0" w:type="dxa"/>
          <w:right w:w="0" w:type="dxa"/>
        </w:tblCellMar>
        <w:tblLook w:val="01E0"/>
      </w:tblPr>
      <w:tblGrid>
        <w:gridCol w:w="2924"/>
        <w:gridCol w:w="1661"/>
        <w:gridCol w:w="1510"/>
        <w:gridCol w:w="1560"/>
      </w:tblGrid>
      <w:tr>
        <w:trPr>
          <w:trHeight w:val="342" w:hRule="exact"/>
        </w:trPr>
        <w:tc>
          <w:tcPr>
            <w:tcW w:w="292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7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924"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34" w:right="29" w:hanging="40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 比例</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广州贝米特信息科技有限公司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8,280,162.00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414,008.10</w:t>
            </w:r>
          </w:p>
        </w:tc>
      </w:tr>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中国人寿保险股份有限公司上海数据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5,997,796.78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497,365.29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858" w:type="dxa"/>
        <w:tblLayout w:type="fixed"/>
        <w:tblCellMar>
          <w:top w:w="0" w:type="dxa"/>
          <w:left w:w="0" w:type="dxa"/>
          <w:bottom w:w="0" w:type="dxa"/>
          <w:right w:w="0" w:type="dxa"/>
        </w:tblCellMar>
        <w:tblLook w:val="01E0"/>
      </w:tblPr>
      <w:tblGrid>
        <w:gridCol w:w="2924"/>
        <w:gridCol w:w="1661"/>
        <w:gridCol w:w="1510"/>
        <w:gridCol w:w="1560"/>
      </w:tblGrid>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唐山中厚板材有限公司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3,390,000.00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619,500.00</w:t>
            </w:r>
          </w:p>
        </w:tc>
      </w:tr>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陕西通信信息技术有限公司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2,973,775.00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921,912.50</w:t>
            </w:r>
          </w:p>
        </w:tc>
      </w:tr>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上海长合信息技术股份有限公司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1,952,000.00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97,600.00</w:t>
            </w:r>
          </w:p>
        </w:tc>
      </w:tr>
      <w:tr>
        <w:trPr>
          <w:trHeight w:val="34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22,593,733.78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2,550,385.89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其他应收款" w:id="324"/>
      <w:bookmarkEnd w:id="32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325"/>
      <w:bookmarkEnd w:id="325"/>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40,327,2</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72.60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2,882,63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37,444,63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31,169,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012.57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1,878,382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29,290,629.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30,417.00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40,327,2</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72.60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2,882,63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7.15%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37,444,63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8.80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31,199,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429.57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1,878,382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6.02%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29,321,046.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29,815,923.58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1,490,796.17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29,815,923.58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1,490,796.17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8,655,996.77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865,599.68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1,338,127.25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267,625.45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517,225.00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258,612.50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517,225.00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258,612.50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40,327,272.60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2,882,633.80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本期计提、收回或转回的坏账准备情况" w:id="326"/>
      <w:bookmarkEnd w:id="32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154" w:right="0"/>
        <w:jc w:val="left"/>
      </w:pPr>
      <w:r>
        <w:rPr/>
        <w:t>本期计提坏账准备金额</w:t>
      </w:r>
      <w:r>
        <w:rPr>
          <w:spacing w:val="-53"/>
        </w:rPr>
        <w:t> </w:t>
      </w:r>
      <w:r>
        <w:rPr>
          <w:rFonts w:ascii="Times New Roman" w:hAnsi="Times New Roman" w:cs="Times New Roman" w:eastAsia="Times New Roman" w:hint="default"/>
        </w:rPr>
        <w:t>1,004,251.13</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4"/>
          <w:szCs w:val="24"/>
        </w:rPr>
      </w:pPr>
    </w:p>
    <w:p>
      <w:pPr>
        <w:pStyle w:val="Heading3"/>
        <w:spacing w:line="240" w:lineRule="auto"/>
        <w:ind w:left="153" w:right="0"/>
        <w:jc w:val="left"/>
        <w:rPr>
          <w:b w:val="0"/>
          <w:bCs w:val="0"/>
        </w:rPr>
      </w:pPr>
      <w:bookmarkStart w:name="（3）其他应收款按款项性质分类情况" w:id="327"/>
      <w:bookmarkEnd w:id="327"/>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38,382,612.22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26,408,430.33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321,750.94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748,765.10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预付房租物业</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1,410,430.00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2,049,665.50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212,479.44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1,992,568.64</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40,327,272.60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31,199,429.57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328"/>
      <w:bookmarkEnd w:id="328"/>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中科软科技股份有限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6,511,520.15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446,822.98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中共中央办公厅电子 科技学院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3,904,593.50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195,229.68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北京工业职业技术学 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2,302,957.00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115,147.85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中国教育电视台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1,966,500.00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196,650.00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北京财贸职业学院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1,888,704.00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94,435.20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16,574,274.65</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1,048,285.71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29"/>
      <w:bookmarkEnd w:id="32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918,474,410.57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918,474,410.57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119,474,410.57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119,474,410.57</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27,405,440.54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27,405,440.54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4,500,750.23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4,500,750.23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945,879,851.11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945,879,851.11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123,975,160.80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123,975,160.80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30"/>
      <w:bookmarkEnd w:id="33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北京中科金财电 子商务有限公司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107,474,410.57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107,474,410.57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北京中科金财投 资管理有限公司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天津滨河创新科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119,474,410.57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918,474,410.57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31"/>
      <w:bookmarkEnd w:id="33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北京中科 金财电子 产品有限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16,320,00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2,246,235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394,131.3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21,872,85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中科环嘉 电子商务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-1,062,28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4,967,710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深圳中金 财富互联 网金融服</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4" w:right="0"/>
              <w:jc w:val="left"/>
              <w:rPr>
                <w:rFonts w:ascii="Times New Roman" w:hAnsi="Times New Roman" w:cs="Times New Roman" w:eastAsia="Times New Roman" w:hint="default"/>
                <w:sz w:val="18"/>
                <w:szCs w:val="18"/>
              </w:rPr>
            </w:pPr>
            <w:r>
              <w:rPr>
                <w:rFonts w:ascii="Times New Roman"/>
                <w:sz w:val="18"/>
              </w:rPr>
              <w:t>-5,123.97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564,876.0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务有限公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1,178,821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394,131.3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27,405,44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4,500,750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22,920,00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1,178,821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394,131.3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27,405,44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332"/>
      <w:bookmarkEnd w:id="33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4" w:firstLine="423"/>
        <w:jc w:val="left"/>
      </w:pPr>
      <w:r>
        <w:rPr>
          <w:spacing w:val="-1"/>
        </w:rPr>
        <w:t>根据公司与恒沙科技于</w:t>
      </w:r>
      <w:r>
        <w:rPr>
          <w:rFonts w:ascii="宋体" w:hAnsi="宋体" w:cs="宋体" w:eastAsia="宋体" w:hint="default"/>
          <w:spacing w:val="-1"/>
        </w:rPr>
        <w:t>2014</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22</w:t>
      </w:r>
      <w:r>
        <w:rPr>
          <w:spacing w:val="-1"/>
        </w:rPr>
        <w:t>日签定的股权转让协议、并经公司第三届董事会第六次会议审议，</w:t>
      </w:r>
      <w:r>
        <w:rPr/>
        <w:t> 公司以人民币</w:t>
      </w:r>
      <w:r>
        <w:rPr>
          <w:rFonts w:ascii="宋体" w:hAnsi="宋体" w:cs="宋体" w:eastAsia="宋体" w:hint="default"/>
        </w:rPr>
        <w:t>80.80</w:t>
      </w:r>
      <w:r>
        <w:rPr/>
        <w:t>万元将所持中科电子</w:t>
      </w:r>
      <w:r>
        <w:rPr>
          <w:rFonts w:ascii="宋体" w:hAnsi="宋体" w:cs="宋体" w:eastAsia="宋体" w:hint="default"/>
        </w:rPr>
        <w:t>2%</w:t>
      </w:r>
      <w:r>
        <w:rPr/>
        <w:t>的股权转让予恒沙科技。自</w:t>
      </w:r>
      <w:r>
        <w:rPr>
          <w:rFonts w:ascii="宋体" w:hAnsi="宋体" w:cs="宋体" w:eastAsia="宋体" w:hint="default"/>
        </w:rPr>
        <w:t>2014</w:t>
      </w:r>
      <w:r>
        <w:rPr/>
        <w:t>年</w:t>
      </w:r>
      <w:r>
        <w:rPr>
          <w:rFonts w:ascii="宋体" w:hAnsi="宋体" w:cs="宋体" w:eastAsia="宋体" w:hint="default"/>
        </w:rPr>
        <w:t>4</w:t>
      </w:r>
      <w:r>
        <w:rPr/>
        <w:t>月末起，中科电子不再纳入 公司合并报表范围。公司按企业会计准则规定于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30</w:t>
      </w:r>
      <w:r>
        <w:rPr/>
        <w:t>日对该投资改按权益法核算，并进行了追溯 调整。</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4、营业收入和营业成本" w:id="333"/>
      <w:bookmarkEnd w:id="33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959,881,109.07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729,369,311.91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902,529,271.52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649,732,097.80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9,374,193.64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5,405,739.21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1,281,496.38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616,042.62</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969,255,302.71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734,775,051.12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903,810,767.90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650,348,140.42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34"/>
      <w:bookmarkEnd w:id="33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1,178,821.65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420,750.23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3,213,845.29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857,134.51</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4,400,666.94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1,277,884.74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补充资料" w:id="335"/>
      <w:bookmarkEnd w:id="335"/>
      <w:r>
        <w:rPr>
          <w:b w:val="0"/>
          <w:bCs w:val="0"/>
        </w:rPr>
      </w: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36"/>
      <w:bookmarkEnd w:id="33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-542,327.86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13,079,766.67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3,221,645.29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-11,806.61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1,565,777.74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11,962.66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14,169,537.09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91" w:right="0"/>
              <w:jc w:val="left"/>
              <w:rPr>
                <w:rFonts w:ascii="Times New Roman" w:hAnsi="Times New Roman" w:cs="Times New Roman" w:eastAsia="Times New Roman" w:hint="default"/>
                <w:sz w:val="18"/>
                <w:szCs w:val="18"/>
              </w:rPr>
            </w:pPr>
            <w:r>
              <w:rPr>
                <w:rFonts w:ascii="Times New Roman"/>
                <w:sz w:val="18"/>
              </w:rPr>
              <w:t>14,457,215.09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该项政府补助系与公司正常经营业务密 切相关，符合国家政策规定、按照一定 标准定额或定量持续享受的政府补助。</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净资产收益率及每股收益" w:id="337"/>
      <w:bookmarkEnd w:id="33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会计政策变更相关补充资料" w:id="338"/>
      <w:bookmarkEnd w:id="338"/>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年发布的《企业会计准则第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日合并资产负债表如下：</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409,779,804.29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540,241,217.39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691,799,630.78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15,921,161.85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11,847,600.00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43,543,176.04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35,943,554.02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58,856,687.46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32,923,116.44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53,017,869.51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9,748,571.90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29,818,175.62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29,740,746.31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38,738,200.59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304,557,960.67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370,897,977.16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428,768,115.95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27,486,497.37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137,566,689.48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112,514,998.94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848,208,730.43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1,183,329,215.72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1,352,273,805.62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27,119,839.51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98,250,666.97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81,557,425.24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103,282,710.55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5,887,828.81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50,735,061.39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77,335,362.55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143,136,524.09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38,357,921.28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59,128,183.32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42,472,969.20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624,031,391.94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3,912,140.92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2,033,354.29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1,406,799.84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6,595,612.69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7,949,404.33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9,087,747.90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3,413,334.25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197,851,403.25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228,003,729.73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984,739,146.09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1,046,060,133.68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1,411,332,945.45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2,337,012,951.71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118,739,665.00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8,723,200.00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97,372,669.13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108,136,451.16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112,854,595.70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132,527,544.46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198,871,173.10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310,660,697.48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8,384,293.49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7,307,832.83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8,462,798.18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5,725,593.73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3,022,405.73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10,526,934.21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7,882,562.81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54,368,512.69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106,988,935.73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370,632,328.62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422,489,575.51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561,553,961.30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40,932,033.33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32,242,266.66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16,550,200.00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278,892,033.33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270,682,266.66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387,182,528.62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701,381,608.84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832,236,227.96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69,797,534.00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104,696,301.00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158,489,551.00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359,755,976.72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324,857,209.72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997,623,258.03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591.62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897.61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22,582,871.20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29,910,824.83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36,778,236.69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206,485,176.26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244,709,200.13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308,215,956.06</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658,621,558.18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704,174,127.30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1,501,107,899.39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256,046.88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5,777,209.31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3,668,824.36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658,877,605.06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709,951,336.61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1,504,776,723.75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1,046,060,133.68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1,411,332,945.45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2,337,012,951.71</w:t>
            </w:r>
          </w:p>
        </w:tc>
      </w:tr>
    </w:tbl>
    <w:p>
      <w:pPr>
        <w:spacing w:line="240" w:lineRule="auto" w:before="10"/>
        <w:rPr>
          <w:rFonts w:ascii="Times New Roman" w:hAnsi="Times New Roman" w:cs="Times New Roman" w:eastAsia="Times New Roman" w:hint="default"/>
          <w:sz w:val="21"/>
          <w:szCs w:val="21"/>
        </w:rPr>
      </w:pPr>
    </w:p>
    <w:p>
      <w:pPr>
        <w:pStyle w:val="Heading3"/>
        <w:spacing w:line="568" w:lineRule="auto" w:before="35"/>
        <w:ind w:left="214" w:right="9065"/>
        <w:jc w:val="left"/>
        <w:rPr>
          <w:b w:val="0"/>
          <w:bCs w:val="0"/>
        </w:rPr>
      </w:pPr>
      <w:r>
        <w:rPr/>
        <w:pict>
          <v:shape style="position:absolute;margin-left:51.060001pt;margin-top:56.493698pt;width:493.5pt;height:424.5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8"/>
                    <w:gridCol w:w="1914"/>
                    <w:gridCol w:w="1914"/>
                    <w:gridCol w:w="1283"/>
                    <w:gridCol w:w="2907"/>
                  </w:tblGrid>
                  <w:tr>
                    <w:trPr>
                      <w:trHeight w:val="581"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52"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2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变动比率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06"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58,856,687.46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35,943,554.02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63.75%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主要系公司期末将滨河创新纳入 合并范围及销售规模扩大所致。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9,748,571.90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53,017,869.51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-81.61%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主要系期初预付货款本期到货入 库所致。</w:t>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38,738,200.59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29,740,746.31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30.25%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主要系公司业务开展向客户、招标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单位及合作单位支付各类保证金 增加所致。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24,900,000.00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主要系滨河创新持有的除对子公 </w:t>
                        </w:r>
                        <w:r>
                          <w:rPr>
                            <w:rFonts w:ascii="宋体" w:hAnsi="宋体" w:cs="宋体" w:eastAsia="宋体" w:hint="default"/>
                            <w:spacing w:val="-1"/>
                            <w:sz w:val="18"/>
                            <w:szCs w:val="18"/>
                          </w:rPr>
                          <w:t>司、合营及联营企业以外的其他股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权投资。</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27,119,839.51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211"/>
                          <w:jc w:val="left"/>
                          <w:rPr>
                            <w:rFonts w:ascii="宋体" w:hAnsi="宋体" w:cs="宋体" w:eastAsia="宋体" w:hint="default"/>
                            <w:sz w:val="18"/>
                            <w:szCs w:val="18"/>
                          </w:rPr>
                        </w:pPr>
                        <w:r>
                          <w:rPr>
                            <w:rFonts w:ascii="宋体" w:hAnsi="宋体" w:cs="宋体" w:eastAsia="宋体" w:hint="default"/>
                            <w:sz w:val="18"/>
                            <w:szCs w:val="18"/>
                          </w:rPr>
                          <w:t>主要系公司本期出售中科电子</w:t>
                        </w:r>
                        <w:r>
                          <w:rPr>
                            <w:rFonts w:ascii="Times New Roman" w:hAnsi="Times New Roman" w:cs="Times New Roman" w:eastAsia="Times New Roman" w:hint="default"/>
                            <w:sz w:val="18"/>
                            <w:szCs w:val="18"/>
                          </w:rPr>
                          <w:t>2% </w:t>
                        </w:r>
                        <w:r>
                          <w:rPr>
                            <w:rFonts w:ascii="宋体" w:hAnsi="宋体" w:cs="宋体" w:eastAsia="宋体" w:hint="default"/>
                            <w:sz w:val="18"/>
                            <w:szCs w:val="18"/>
                          </w:rPr>
                          <w:t>股权并将其转为权益法核算和新 投资联营企业所致。</w:t>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5,887,828.81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233"/>
                          <w:jc w:val="both"/>
                          <w:rPr>
                            <w:rFonts w:ascii="宋体" w:hAnsi="宋体" w:cs="宋体" w:eastAsia="宋体" w:hint="default"/>
                            <w:sz w:val="18"/>
                            <w:szCs w:val="18"/>
                          </w:rPr>
                        </w:pPr>
                        <w:r>
                          <w:rPr>
                            <w:rFonts w:ascii="宋体" w:hAnsi="宋体" w:cs="宋体" w:eastAsia="宋体" w:hint="default"/>
                            <w:sz w:val="18"/>
                            <w:szCs w:val="18"/>
                          </w:rPr>
                          <w:t>主要系滨河创新的待安装</w:t>
                        </w:r>
                        <w:r>
                          <w:rPr>
                            <w:rFonts w:ascii="Times New Roman" w:hAnsi="Times New Roman" w:cs="Times New Roman" w:eastAsia="Times New Roman" w:hint="default"/>
                            <w:sz w:val="18"/>
                            <w:szCs w:val="18"/>
                          </w:rPr>
                          <w:t>ATM</w:t>
                        </w:r>
                        <w:r>
                          <w:rPr>
                            <w:rFonts w:ascii="宋体" w:hAnsi="宋体" w:cs="宋体" w:eastAsia="宋体" w:hint="default"/>
                            <w:sz w:val="18"/>
                            <w:szCs w:val="18"/>
                          </w:rPr>
                          <w:t>和 正在建设的金融服务外包产业园 归集发生的费用所致。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143,136,524.09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77,335,362.55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85.09%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主要系公司开发支出项目完成开 发结转无形资产及期末将滨河创 新纳入合并范围所致。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624,031,391.94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主要系收购子公司滨河创新形成 商誉所致。</w:t>
                        </w:r>
                      </w:p>
                    </w:tc>
                  </w:tr>
                  <w:tr>
                    <w:trPr>
                      <w:trHeight w:val="323"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1,406,799.84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2,033,354.29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-30.81%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主要系公司摊销装修费所致。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3,413,334.25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主要系公司支付的到期日在一年 以上保证金及公司预付帐款中用 </w:t>
                        </w:r>
                        <w:r>
                          <w:rPr>
                            <w:rFonts w:ascii="宋体" w:hAnsi="宋体" w:cs="宋体" w:eastAsia="宋体" w:hint="default"/>
                            <w:spacing w:val="-1"/>
                            <w:sz w:val="18"/>
                            <w:szCs w:val="18"/>
                          </w:rPr>
                          <w:t>于预付购置固定资产、无形资产的</w:t>
                        </w:r>
                      </w:p>
                    </w:tc>
                  </w:tr>
                </w:tbl>
                <w:p>
                  <w:pPr/>
                </w:p>
              </w:txbxContent>
            </v:textbox>
            <w10:wrap type="none"/>
          </v:shape>
        </w:pict>
      </w:r>
      <w:bookmarkStart w:name="4、其他" w:id="339"/>
      <w:bookmarkEnd w:id="339"/>
      <w:r>
        <w:rPr>
          <w:b w:val="0"/>
          <w:bCs w:val="0"/>
        </w:rPr>
      </w:r>
      <w:r>
        <w:rPr>
          <w:rFonts w:ascii="Times New Roman" w:hAnsi="Times New Roman" w:cs="Times New Roman" w:eastAsia="Times New Roman" w:hint="default"/>
        </w:rPr>
        <w:t>4</w:t>
      </w:r>
      <w:r>
        <w:rPr/>
        <w:t>、其他</w:t>
      </w:r>
      <w:r>
        <w:rPr>
          <w:spacing w:val="1"/>
          <w:w w:val="99"/>
        </w:rPr>
        <w:t> </w:t>
      </w:r>
      <w:r>
        <w:rPr/>
        <w:t>重大指标变动解释</w:t>
      </w:r>
      <w:r>
        <w:rPr>
          <w:b w:val="0"/>
          <w:bCs w:val="0"/>
        </w:rPr>
      </w:r>
    </w:p>
    <w:p>
      <w:pPr>
        <w:spacing w:after="0" w:line="568" w:lineRule="auto"/>
        <w:jc w:val="left"/>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38"/>
        <w:gridCol w:w="1914"/>
        <w:gridCol w:w="1914"/>
        <w:gridCol w:w="1283"/>
        <w:gridCol w:w="2907"/>
      </w:tblGrid>
      <w:tr>
        <w:trPr>
          <w:trHeight w:val="730" w:hRule="exact"/>
        </w:trPr>
        <w:tc>
          <w:tcPr>
            <w:tcW w:w="183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款项所致。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984,739,146.09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228,003,729.73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331.90%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主要系收购子公司滨河创新形成 商誉所致。</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2,337,012,951.71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1,411,332,945.45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65.59%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主要系公司归还全部银行借款所 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8,723,200.00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主要系公司兑付了银行承兑汇票 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310,660,697.48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198,871,173.10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56.21%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主要系收到客户预付合同款，而相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应的项目尚未验收完成和期末将 滨河创新纳入合并范围所致。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10,526,934.21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3,022,405.73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248.30%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主要系期末应交增值税及企业所 得税较上期有较大增长及期末将 滨河创新纳入合并范围所致。</w:t>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106,988,935.73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54,368,512.69</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96.78%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both"/>
              <w:rPr>
                <w:rFonts w:ascii="宋体" w:hAnsi="宋体" w:cs="宋体" w:eastAsia="宋体" w:hint="default"/>
                <w:sz w:val="18"/>
                <w:szCs w:val="18"/>
              </w:rPr>
            </w:pPr>
            <w:r>
              <w:rPr>
                <w:rFonts w:ascii="宋体" w:hAnsi="宋体" w:cs="宋体" w:eastAsia="宋体" w:hint="default"/>
                <w:sz w:val="18"/>
                <w:szCs w:val="18"/>
              </w:rPr>
              <w:t>主要系向刘开同等购买子公司滨 河创新股权尚未支付部分收购款 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158,489,551.00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104,696,301.00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51.38%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主要系公司本期权益分派每十股 送两股及发行股份购买滨河创新 及定向募集配套资金所致。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997,623,258.03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324,857,209.72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207.10%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主要系公司发行股份购买滨河创 新及定向募集配套资金形成资本 溢价所致。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897.61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591.62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51.72%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1"/>
              <w:jc w:val="left"/>
              <w:rPr>
                <w:rFonts w:ascii="宋体" w:hAnsi="宋体" w:cs="宋体" w:eastAsia="宋体" w:hint="default"/>
                <w:sz w:val="18"/>
                <w:szCs w:val="18"/>
              </w:rPr>
            </w:pPr>
            <w:r>
              <w:rPr>
                <w:rFonts w:ascii="宋体" w:hAnsi="宋体" w:cs="宋体" w:eastAsia="宋体" w:hint="default"/>
                <w:sz w:val="18"/>
                <w:szCs w:val="18"/>
              </w:rPr>
              <w:t>主要系信息技术子公司香港子公 司外币报表折算差额所致。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180"/>
              <w:jc w:val="left"/>
              <w:rPr>
                <w:rFonts w:ascii="宋体" w:hAnsi="宋体" w:cs="宋体" w:eastAsia="宋体" w:hint="default"/>
                <w:sz w:val="18"/>
                <w:szCs w:val="18"/>
              </w:rPr>
            </w:pPr>
            <w:r>
              <w:rPr>
                <w:rFonts w:ascii="宋体" w:hAnsi="宋体" w:cs="宋体" w:eastAsia="宋体" w:hint="default"/>
                <w:sz w:val="18"/>
                <w:szCs w:val="18"/>
              </w:rPr>
              <w:t>归属于母公司所有 者权益合计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1,501,107,899.39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704,174,127.30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113.17%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主要系公司发行股份购买滨河创 新及定向募集配套资金形成资本 溢价所致。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3,668,824.36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5,777,209.31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-36.49%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31"/>
              <w:jc w:val="left"/>
              <w:rPr>
                <w:rFonts w:ascii="宋体" w:hAnsi="宋体" w:cs="宋体" w:eastAsia="宋体" w:hint="default"/>
                <w:sz w:val="18"/>
                <w:szCs w:val="18"/>
              </w:rPr>
            </w:pPr>
            <w:r>
              <w:rPr>
                <w:rFonts w:ascii="宋体" w:hAnsi="宋体" w:cs="宋体" w:eastAsia="宋体" w:hint="default"/>
                <w:sz w:val="18"/>
                <w:szCs w:val="18"/>
              </w:rPr>
              <w:t>主要系本期出售中科电子</w:t>
            </w:r>
            <w:r>
              <w:rPr>
                <w:rFonts w:ascii="Times New Roman" w:hAnsi="Times New Roman" w:cs="Times New Roman" w:eastAsia="Times New Roman" w:hint="default"/>
                <w:sz w:val="18"/>
                <w:szCs w:val="18"/>
              </w:rPr>
              <w:t>2%</w:t>
            </w:r>
            <w:r>
              <w:rPr>
                <w:rFonts w:ascii="宋体" w:hAnsi="宋体" w:cs="宋体" w:eastAsia="宋体" w:hint="default"/>
                <w:sz w:val="18"/>
                <w:szCs w:val="18"/>
              </w:rPr>
              <w:t>股权， 中科电子不再纳入合并并计算少 数股东权益所致。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1,504,776,723.75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709,951,336.61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111.95%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主要系以上权益指标综合影响所 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负债和所有者权益总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2,337,012,951.71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1,411,332,945.45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65.59%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主要系以上因素综合影响所致。</w:t>
            </w:r>
          </w:p>
        </w:tc>
      </w:tr>
      <w:tr>
        <w:trPr>
          <w:trHeight w:val="580"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52"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9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2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变动比率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906"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24,619,642.82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40,383,429.56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-39.04%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1"/>
              <w:jc w:val="both"/>
              <w:rPr>
                <w:rFonts w:ascii="宋体" w:hAnsi="宋体" w:cs="宋体" w:eastAsia="宋体" w:hint="default"/>
                <w:sz w:val="18"/>
                <w:szCs w:val="18"/>
              </w:rPr>
            </w:pPr>
            <w:r>
              <w:rPr>
                <w:rFonts w:ascii="宋体" w:hAnsi="宋体" w:cs="宋体" w:eastAsia="宋体" w:hint="default"/>
                <w:spacing w:val="-1"/>
                <w:sz w:val="18"/>
                <w:szCs w:val="18"/>
              </w:rPr>
              <w:t>主要系公司营销网络建设完成，销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售人员本地化利用、减少业务开展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异地的差旅费、会议费所致。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-251,539.22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-130,277.74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-93.08%</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主要系期末将滨河创新纳入合并 范围所致。</w:t>
            </w:r>
          </w:p>
        </w:tc>
      </w:tr>
    </w:tbl>
    <w:p>
      <w:pPr>
        <w:spacing w:after="0" w:line="316"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38"/>
        <w:gridCol w:w="1914"/>
        <w:gridCol w:w="1914"/>
        <w:gridCol w:w="1283"/>
        <w:gridCol w:w="2907"/>
      </w:tblGrid>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firstLine="270"/>
              <w:jc w:val="left"/>
              <w:rPr>
                <w:rFonts w:ascii="宋体" w:hAnsi="宋体" w:cs="宋体" w:eastAsia="宋体" w:hint="default"/>
                <w:sz w:val="18"/>
                <w:szCs w:val="18"/>
              </w:rPr>
            </w:pPr>
            <w:r>
              <w:rPr>
                <w:rFonts w:ascii="宋体" w:hAnsi="宋体" w:cs="宋体" w:eastAsia="宋体" w:hint="default"/>
                <w:spacing w:val="-12"/>
                <w:sz w:val="18"/>
                <w:szCs w:val="18"/>
              </w:rPr>
              <w:t>投资收益（损失以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4,698,868.72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974,371.91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382.25%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主要系公司购买保本型理财产品 获得收益及权益法核算联营企业 所致。</w:t>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2" w:firstLine="720"/>
              <w:jc w:val="both"/>
              <w:rPr>
                <w:rFonts w:ascii="宋体" w:hAnsi="宋体" w:cs="宋体" w:eastAsia="宋体" w:hint="default"/>
                <w:sz w:val="18"/>
                <w:szCs w:val="18"/>
              </w:rPr>
            </w:pPr>
            <w:r>
              <w:rPr>
                <w:rFonts w:ascii="宋体" w:hAnsi="宋体" w:cs="宋体" w:eastAsia="宋体" w:hint="default"/>
                <w:sz w:val="18"/>
                <w:szCs w:val="18"/>
              </w:rPr>
              <w:t>其中：对联 营企业和合营企业的 投资收益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1,774,481.65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主要系电子产品公司收益按权益 法核算所致。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三、营业利润（亏损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57,300,977.29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28,501,691.83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101.04%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主要系营业收入增加、期间费用减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减：营业外支出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331,053.03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223,947.90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47.83%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主要系公司因业务需要减少办公 </w:t>
            </w:r>
            <w:r>
              <w:rPr>
                <w:rFonts w:ascii="宋体" w:hAnsi="宋体" w:cs="宋体" w:eastAsia="宋体" w:hint="default"/>
                <w:spacing w:val="-1"/>
                <w:sz w:val="18"/>
                <w:szCs w:val="18"/>
              </w:rPr>
              <w:t>场所，处置非流动资产发生损失所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42"/>
              <w:jc w:val="left"/>
              <w:rPr>
                <w:rFonts w:ascii="宋体" w:hAnsi="宋体" w:cs="宋体" w:eastAsia="宋体" w:hint="default"/>
                <w:sz w:val="18"/>
                <w:szCs w:val="18"/>
              </w:rPr>
            </w:pPr>
            <w:r>
              <w:rPr>
                <w:rFonts w:ascii="宋体" w:hAnsi="宋体" w:cs="宋体" w:eastAsia="宋体" w:hint="default"/>
                <w:sz w:val="18"/>
                <w:szCs w:val="18"/>
              </w:rPr>
              <w:t>四、利润总额（亏损 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84,581,082.80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64,092,315.16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31.97%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主要系营业收入增加、期间费用减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五、净利润（净亏损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78,875,397.31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56,122,643.24</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40.54%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主要系营业收入增加、期间费用减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归属于母公司所有者 的净利润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77,702,908.86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56,021,607.58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38.70%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主要系营业收入增加、期间费用减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1,172,488.45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101,035.66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1060.47%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31"/>
              <w:jc w:val="left"/>
              <w:rPr>
                <w:rFonts w:ascii="宋体" w:hAnsi="宋体" w:cs="宋体" w:eastAsia="宋体" w:hint="default"/>
                <w:sz w:val="18"/>
                <w:szCs w:val="18"/>
              </w:rPr>
            </w:pPr>
            <w:r>
              <w:rPr>
                <w:rFonts w:ascii="宋体" w:hAnsi="宋体" w:cs="宋体" w:eastAsia="宋体" w:hint="default"/>
                <w:sz w:val="18"/>
                <w:szCs w:val="18"/>
              </w:rPr>
              <w:t>主要系本期出售中科电子</w:t>
            </w:r>
            <w:r>
              <w:rPr>
                <w:rFonts w:ascii="Times New Roman" w:hAnsi="Times New Roman" w:cs="Times New Roman" w:eastAsia="Times New Roman" w:hint="default"/>
                <w:sz w:val="18"/>
                <w:szCs w:val="18"/>
              </w:rPr>
              <w:t>2%</w:t>
            </w:r>
            <w:r>
              <w:rPr>
                <w:rFonts w:ascii="宋体" w:hAnsi="宋体" w:cs="宋体" w:eastAsia="宋体" w:hint="default"/>
                <w:sz w:val="18"/>
                <w:szCs w:val="18"/>
              </w:rPr>
              <w:t>股权， 增加中科电子少数股东损益所致。</w:t>
            </w:r>
          </w:p>
        </w:tc>
      </w:tr>
      <w:tr>
        <w:trPr>
          <w:trHeight w:val="322"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00"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变动比率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6"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hAnsi="宋体" w:cs="宋体" w:eastAsia="宋体" w:hint="default"/>
                <w:sz w:val="18"/>
                <w:szCs w:val="18"/>
              </w:rPr>
              <w:t>收到的税费返还</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14,457,215.09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24,887,274.53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-41.91%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主要系公司上期收到增值税退税 金额较大所致。</w:t>
            </w:r>
          </w:p>
        </w:tc>
      </w:tr>
      <w:tr>
        <w:trPr>
          <w:trHeight w:val="1259"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支付的各项税费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31,361,550.64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48,691,006.22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-35.59%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主要系公司被认定为国家规划布 </w:t>
            </w:r>
            <w:r>
              <w:rPr>
                <w:rFonts w:ascii="宋体" w:hAnsi="宋体" w:cs="宋体" w:eastAsia="宋体" w:hint="default"/>
                <w:spacing w:val="-1"/>
                <w:sz w:val="18"/>
                <w:szCs w:val="18"/>
              </w:rPr>
              <w:t>局内重点软件企业，适用企业所得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税税率降低及公司缴纳增值税降 低所致。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242,420,412.30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149,966,809.23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61.65%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z w:val="18"/>
                <w:szCs w:val="18"/>
              </w:rPr>
              <w:t>主要系公司扩大销售、增加收款、 控制费用等因素综合影响所致。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left"/>
              <w:rPr>
                <w:rFonts w:ascii="宋体" w:hAnsi="宋体" w:cs="宋体" w:eastAsia="宋体" w:hint="default"/>
                <w:sz w:val="18"/>
                <w:szCs w:val="18"/>
              </w:rPr>
            </w:pPr>
            <w:r>
              <w:rPr>
                <w:rFonts w:ascii="宋体" w:hAnsi="宋体" w:cs="宋体" w:eastAsia="宋体" w:hint="default"/>
                <w:sz w:val="18"/>
                <w:szCs w:val="18"/>
              </w:rPr>
              <w:t>收回投资收到的 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495,100,000.00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228,000,000.00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117.15%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主要系公司赎回短期保本型理财 产品累计增加所致。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firstLine="360"/>
              <w:jc w:val="left"/>
              <w:rPr>
                <w:rFonts w:ascii="宋体" w:hAnsi="宋体" w:cs="宋体" w:eastAsia="宋体" w:hint="default"/>
                <w:sz w:val="18"/>
                <w:szCs w:val="18"/>
              </w:rPr>
            </w:pPr>
            <w:r>
              <w:rPr>
                <w:rFonts w:ascii="宋体" w:hAnsi="宋体" w:cs="宋体" w:eastAsia="宋体" w:hint="default"/>
                <w:sz w:val="18"/>
                <w:szCs w:val="18"/>
              </w:rPr>
              <w:t>取得投资收益收 到的现金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3,221,645.29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974,371.91</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230.64%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主要系购买保本型理财产品取得 收益增加所致。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both"/>
              <w:rPr>
                <w:rFonts w:ascii="宋体" w:hAnsi="宋体" w:cs="宋体" w:eastAsia="宋体" w:hint="default"/>
                <w:sz w:val="18"/>
                <w:szCs w:val="18"/>
              </w:rPr>
            </w:pPr>
            <w:r>
              <w:rPr>
                <w:rFonts w:ascii="宋体" w:hAnsi="宋体" w:cs="宋体" w:eastAsia="宋体" w:hint="default"/>
                <w:sz w:val="18"/>
                <w:szCs w:val="18"/>
              </w:rPr>
              <w:t>处置固定资产、 无形资产和其他长期 资产收回的现金净额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2,411,240.00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380,538.45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533.64%</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93"/>
              <w:jc w:val="left"/>
              <w:rPr>
                <w:rFonts w:ascii="宋体" w:hAnsi="宋体" w:cs="宋体" w:eastAsia="宋体" w:hint="default"/>
                <w:sz w:val="18"/>
                <w:szCs w:val="18"/>
              </w:rPr>
            </w:pPr>
            <w:r>
              <w:rPr>
                <w:rFonts w:ascii="宋体" w:hAnsi="宋体" w:cs="宋体" w:eastAsia="宋体" w:hint="default"/>
                <w:sz w:val="18"/>
                <w:szCs w:val="18"/>
              </w:rPr>
              <w:t>主要系报告期处置固定资产及转 让无形资产收到的现金增加所致。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both"/>
              <w:rPr>
                <w:rFonts w:ascii="宋体" w:hAnsi="宋体" w:cs="宋体" w:eastAsia="宋体" w:hint="default"/>
                <w:sz w:val="18"/>
                <w:szCs w:val="18"/>
              </w:rPr>
            </w:pPr>
            <w:r>
              <w:rPr>
                <w:rFonts w:ascii="宋体" w:hAnsi="宋体" w:cs="宋体" w:eastAsia="宋体" w:hint="default"/>
                <w:sz w:val="18"/>
                <w:szCs w:val="18"/>
              </w:rPr>
              <w:t>处置子公司及其 他营业单位收到的现 金净额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533,338.15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211"/>
              <w:jc w:val="left"/>
              <w:rPr>
                <w:rFonts w:ascii="宋体" w:hAnsi="宋体" w:cs="宋体" w:eastAsia="宋体" w:hint="default"/>
                <w:sz w:val="18"/>
                <w:szCs w:val="18"/>
              </w:rPr>
            </w:pPr>
            <w:r>
              <w:rPr>
                <w:rFonts w:ascii="宋体" w:hAnsi="宋体" w:cs="宋体" w:eastAsia="宋体" w:hint="default"/>
                <w:sz w:val="18"/>
                <w:szCs w:val="18"/>
              </w:rPr>
              <w:t>主要系本期出售中科电子</w:t>
            </w:r>
            <w:r>
              <w:rPr>
                <w:rFonts w:ascii="Times New Roman" w:hAnsi="Times New Roman" w:cs="Times New Roman" w:eastAsia="Times New Roman" w:hint="default"/>
                <w:sz w:val="18"/>
                <w:szCs w:val="18"/>
              </w:rPr>
              <w:t>2%</w:t>
            </w:r>
            <w:r>
              <w:rPr>
                <w:rFonts w:ascii="宋体" w:hAnsi="宋体" w:cs="宋体" w:eastAsia="宋体" w:hint="default"/>
                <w:sz w:val="18"/>
                <w:szCs w:val="18"/>
              </w:rPr>
              <w:t>股权 收到的现金所致。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投资活动现金流入小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501,266,223.44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229,354,910.36</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118.55%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主要系上述因素综合影响所致。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8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517,100,000.00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322,600,000.00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60.29%</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both"/>
              <w:rPr>
                <w:rFonts w:ascii="宋体" w:hAnsi="宋体" w:cs="宋体" w:eastAsia="宋体" w:hint="default"/>
                <w:sz w:val="18"/>
                <w:szCs w:val="18"/>
              </w:rPr>
            </w:pPr>
            <w:r>
              <w:rPr>
                <w:rFonts w:ascii="宋体" w:hAnsi="宋体" w:cs="宋体" w:eastAsia="宋体" w:hint="default"/>
                <w:sz w:val="18"/>
                <w:szCs w:val="18"/>
              </w:rPr>
              <w:t>主要系公司报告期内收购滨河创 新股权支付现金及购买的短期保 本型理财产品累计增加所致。</w:t>
            </w:r>
          </w:p>
        </w:tc>
      </w:tr>
    </w:tbl>
    <w:p>
      <w:pPr>
        <w:spacing w:after="0" w:line="316" w:lineRule="auto"/>
        <w:jc w:val="both"/>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38"/>
        <w:gridCol w:w="1914"/>
        <w:gridCol w:w="1914"/>
        <w:gridCol w:w="1283"/>
        <w:gridCol w:w="2907"/>
      </w:tblGrid>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both"/>
              <w:rPr>
                <w:rFonts w:ascii="宋体" w:hAnsi="宋体" w:cs="宋体" w:eastAsia="宋体" w:hint="default"/>
                <w:sz w:val="18"/>
                <w:szCs w:val="18"/>
              </w:rPr>
            </w:pPr>
            <w:r>
              <w:rPr>
                <w:rFonts w:ascii="宋体" w:hAnsi="宋体" w:cs="宋体" w:eastAsia="宋体" w:hint="default"/>
                <w:sz w:val="18"/>
                <w:szCs w:val="18"/>
              </w:rPr>
              <w:t>取得子公司及其 他营业单位支付的现 金净额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228,749,997.09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0.00</w:t>
            </w:r>
          </w:p>
        </w:tc>
        <w:tc>
          <w:tcPr>
            <w:tcW w:w="1283"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主要系本期收购滨河创新股权支 付现金所致。</w:t>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投资活动现金流出小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800,070,722.90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397,947,886.13</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101.05%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103" w:right="273"/>
              <w:jc w:val="both"/>
              <w:rPr>
                <w:rFonts w:ascii="宋体" w:hAnsi="宋体" w:cs="宋体" w:eastAsia="宋体" w:hint="default"/>
                <w:sz w:val="18"/>
                <w:szCs w:val="18"/>
              </w:rPr>
            </w:pPr>
            <w:r>
              <w:rPr>
                <w:rFonts w:ascii="宋体" w:hAnsi="宋体" w:cs="宋体" w:eastAsia="宋体" w:hint="default"/>
                <w:sz w:val="18"/>
                <w:szCs w:val="18"/>
              </w:rPr>
              <w:t>主要系公司报告期内收购滨河创 新股权支付现金及购买的短期保 本型理财产品累计增加所致。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-298,804,499.46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-168,592,975.77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-77.23%</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主要系上述因素综合影响所致。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266,179,986.56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12,420,000.00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2043.16%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主要系公司本期收到收购滨河创 新股权定向募集配套资金所致。</w:t>
            </w:r>
          </w:p>
        </w:tc>
      </w:tr>
      <w:tr>
        <w:trPr>
          <w:trHeight w:val="94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firstLine="360"/>
              <w:jc w:val="both"/>
              <w:rPr>
                <w:rFonts w:ascii="宋体" w:hAnsi="宋体" w:cs="宋体" w:eastAsia="宋体" w:hint="default"/>
                <w:sz w:val="18"/>
                <w:szCs w:val="18"/>
              </w:rPr>
            </w:pPr>
            <w:r>
              <w:rPr>
                <w:rFonts w:ascii="宋体" w:hAnsi="宋体" w:cs="宋体" w:eastAsia="宋体" w:hint="default"/>
                <w:sz w:val="18"/>
                <w:szCs w:val="18"/>
              </w:rPr>
              <w:t>其中：子公司吸 收少数股东投资收到 的现金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17,180,000.00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5,420,000.00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216.97%</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主要系本期电子产品吸收股东出 资款所致。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left"/>
              <w:rPr>
                <w:rFonts w:ascii="宋体" w:hAnsi="宋体" w:cs="宋体" w:eastAsia="宋体" w:hint="default"/>
                <w:sz w:val="18"/>
                <w:szCs w:val="18"/>
              </w:rPr>
            </w:pPr>
            <w:r>
              <w:rPr>
                <w:rFonts w:ascii="宋体" w:hAnsi="宋体" w:cs="宋体" w:eastAsia="宋体" w:hint="default"/>
                <w:sz w:val="18"/>
                <w:szCs w:val="18"/>
              </w:rPr>
              <w:t>发行债券收到的 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237,600,000.00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-100.00%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主要系上年同期公司发行债券收 到资金所致。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left"/>
              <w:rPr>
                <w:rFonts w:ascii="宋体" w:hAnsi="宋体" w:cs="宋体" w:eastAsia="宋体" w:hint="default"/>
                <w:sz w:val="18"/>
                <w:szCs w:val="18"/>
              </w:rPr>
            </w:pPr>
            <w:r>
              <w:rPr>
                <w:rFonts w:ascii="宋体" w:hAnsi="宋体" w:cs="宋体" w:eastAsia="宋体" w:hint="default"/>
                <w:sz w:val="18"/>
                <w:szCs w:val="18"/>
              </w:rPr>
              <w:t>收到其他与筹资 活动有关的现金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981,613.06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2,244,279.27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-56.26%</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73"/>
              <w:jc w:val="left"/>
              <w:rPr>
                <w:rFonts w:ascii="宋体" w:hAnsi="宋体" w:cs="宋体" w:eastAsia="宋体" w:hint="default"/>
                <w:sz w:val="18"/>
                <w:szCs w:val="18"/>
              </w:rPr>
            </w:pPr>
            <w:r>
              <w:rPr>
                <w:rFonts w:ascii="宋体" w:hAnsi="宋体" w:cs="宋体" w:eastAsia="宋体" w:hint="default"/>
                <w:sz w:val="18"/>
                <w:szCs w:val="18"/>
              </w:rPr>
              <w:t>主要系随着首发募集资金的使用 收到的募集资金利息减少所致。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firstLine="360"/>
              <w:jc w:val="left"/>
              <w:rPr>
                <w:rFonts w:ascii="宋体" w:hAnsi="宋体" w:cs="宋体" w:eastAsia="宋体" w:hint="default"/>
                <w:sz w:val="18"/>
                <w:szCs w:val="18"/>
              </w:rPr>
            </w:pPr>
            <w:r>
              <w:rPr>
                <w:rFonts w:ascii="宋体" w:hAnsi="宋体" w:cs="宋体" w:eastAsia="宋体" w:hint="default"/>
                <w:sz w:val="18"/>
                <w:szCs w:val="18"/>
              </w:rPr>
              <w:t>偿还债务支付的 现金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90,000,000.00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169,239,009.98</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-46.82%</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主要系报告期借用及偿还银行短 期借款金额较上年减少所致。</w:t>
            </w:r>
          </w:p>
        </w:tc>
      </w:tr>
      <w:tr>
        <w:trPr>
          <w:trHeight w:val="946"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firstLine="360"/>
              <w:jc w:val="both"/>
              <w:rPr>
                <w:rFonts w:ascii="宋体" w:hAnsi="宋体" w:cs="宋体" w:eastAsia="宋体" w:hint="default"/>
                <w:sz w:val="18"/>
                <w:szCs w:val="18"/>
              </w:rPr>
            </w:pPr>
            <w:r>
              <w:rPr>
                <w:rFonts w:ascii="宋体" w:hAnsi="宋体" w:cs="宋体" w:eastAsia="宋体" w:hint="default"/>
                <w:sz w:val="18"/>
                <w:szCs w:val="18"/>
              </w:rPr>
              <w:t>分配股利、利润 或偿付利息支付的现 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25,836,907.36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16,530,772.17</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56.30%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主要系本期支付债券利息所致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筹资活动现金流出小 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119,539,673.35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189,482,022.15</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-36.91%</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73"/>
              <w:jc w:val="left"/>
              <w:rPr>
                <w:rFonts w:ascii="宋体" w:hAnsi="宋体" w:cs="宋体" w:eastAsia="宋体" w:hint="default"/>
                <w:sz w:val="18"/>
                <w:szCs w:val="18"/>
              </w:rPr>
            </w:pPr>
            <w:r>
              <w:rPr>
                <w:rFonts w:ascii="宋体" w:hAnsi="宋体" w:cs="宋体" w:eastAsia="宋体" w:hint="default"/>
                <w:sz w:val="18"/>
                <w:szCs w:val="18"/>
              </w:rPr>
              <w:t>主要系报告期借用及偿还银行短 期借款金额较上年减少所致。</w:t>
            </w:r>
          </w:p>
        </w:tc>
      </w:tr>
      <w:tr>
        <w:trPr>
          <w:trHeight w:val="63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207,621,926.27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143,281,602.10</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44.90%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主要系上述因素综合影响所致。</w:t>
            </w:r>
          </w:p>
        </w:tc>
      </w:tr>
      <w:tr>
        <w:trPr>
          <w:trHeight w:val="63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四、汇率变动对现金 及现金等价物的影响</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641.82</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-120.05%</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主要系汇率变动所致。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6" w:right="0"/>
        <w:jc w:val="left"/>
        <w:rPr>
          <w:b w:val="0"/>
          <w:bCs w:val="0"/>
        </w:rPr>
      </w:pPr>
      <w:bookmarkStart w:name="_TOC_250000" w:id="340"/>
      <w:bookmarkStart w:name="第十二节 备查文件目录" w:id="341"/>
      <w:r>
        <w:rPr>
          <w:b w:val="0"/>
          <w:bCs w:val="0"/>
        </w:rPr>
      </w:r>
      <w:r>
        <w:rPr/>
        <w:t>第十二节</w:t>
      </w:r>
      <w:r>
        <w:rPr>
          <w:spacing w:val="-8"/>
        </w:rPr>
        <w:t> </w:t>
      </w:r>
      <w:r>
        <w:rPr/>
        <w:t>备查文件目录</w:t>
      </w:r>
      <w:bookmarkEnd w:id="340"/>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right="0"/>
        <w:jc w:val="left"/>
      </w:pPr>
      <w:r>
        <w:rPr>
          <w:rFonts w:ascii="宋体" w:hAnsi="宋体" w:cs="宋体" w:eastAsia="宋体" w:hint="default"/>
        </w:rPr>
        <w:t>1.</w:t>
      </w:r>
      <w:r>
        <w:rPr/>
        <w:t>载有法定代表人、财务负责人、会计机构负责人签名并盖章的财务报表。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2.</w:t>
      </w:r>
      <w:r>
        <w:rPr/>
        <w:t>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3.</w:t>
      </w:r>
      <w:r>
        <w:rPr/>
        <w:t>报告期内在中国证监会指定报纸上公开披露过的所有公司文件的正本及公告原稿。</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rFonts w:ascii="宋体" w:hAnsi="宋体" w:cs="宋体" w:eastAsia="宋体" w:hint="default"/>
        </w:rPr>
        <w:t>4.</w:t>
      </w:r>
      <w:r>
        <w:rPr/>
        <w:t>载有董事长签名的</w:t>
      </w:r>
      <w:r>
        <w:rPr>
          <w:rFonts w:ascii="宋体" w:hAnsi="宋体" w:cs="宋体" w:eastAsia="宋体" w:hint="default"/>
        </w:rPr>
        <w:t>2014</w:t>
      </w:r>
      <w:r>
        <w:rPr/>
        <w:t>年年度报告文本原件。</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rFonts w:ascii="宋体" w:hAnsi="宋体" w:cs="宋体" w:eastAsia="宋体" w:hint="default"/>
        </w:rPr>
        <w:t>5.</w:t>
      </w:r>
      <w:r>
        <w:rPr/>
        <w:t>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4680" type="#_x0000_t75" stroked="false">
          <v:imagedata r:id="rId1" o:title=""/>
        </v:shape>
      </w:pict>
    </w:r>
    <w:r>
      <w:rPr/>
      <w:pict>
        <v:shape style="position:absolute;margin-left:533.179993pt;margin-top:795.517944pt;width:6.5pt;height:11pt;mso-position-horizontal-relative:page;mso-position-vertical-relative:page;z-index:-10046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4632" type="#_x0000_t75" stroked="false">
          <v:imagedata r:id="rId1" o:title=""/>
        </v:shape>
      </w:pict>
    </w:r>
    <w:r>
      <w:rPr/>
      <w:pict>
        <v:shape style="position:absolute;margin-left:527.679993pt;margin-top:781.957947pt;width:13pt;height:11pt;mso-position-horizontal-relative:page;mso-position-vertical-relative:page;z-index:-1004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4584" type="#_x0000_t75" stroked="false">
          <v:imagedata r:id="rId1" o:title=""/>
        </v:shape>
      </w:pict>
    </w:r>
    <w:r>
      <w:rPr/>
      <w:pict>
        <v:shape style="position:absolute;margin-left:524.179993pt;margin-top:781.957947pt;width:15.5pt;height:11pt;mso-position-horizontal-relative:page;mso-position-vertical-relative:page;z-index:-10045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04536" type="#_x0000_t75" stroked="false">
          <v:imagedata r:id="rId1" o:title=""/>
        </v:shape>
      </w:pict>
    </w:r>
    <w:r>
      <w:rPr/>
      <w:pict>
        <v:shape style="position:absolute;margin-left:523.179993pt;margin-top:781.957947pt;width:17.5pt;height:11pt;mso-position-horizontal-relative:page;mso-position-vertical-relative:page;z-index:-10045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04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北京中科金财科技股份有限公司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
      <w:ind w:left="242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inodata.net.cn/" TargetMode="External"/><Relationship Id="rId10" Type="http://schemas.openxmlformats.org/officeDocument/2006/relationships/hyperlink" Target="mailto:zkjc@sinodata.net.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 TargetMode="External"/><Relationship Id="rId18" Type="http://schemas.openxmlformats.org/officeDocument/2006/relationships/hyperlink" Target="http://www.cninfo.co/" TargetMode="External"/><Relationship Id="rId19" Type="http://schemas.openxmlformats.org/officeDocument/2006/relationships/image" Target="media/image8.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3.xml"/><Relationship Id="rId23"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2020-05-06T18:06:44Z</dcterms:created>
  <dcterms:modified xsi:type="dcterms:W3CDTF">2020-05-06T18:06:44Z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Office Word 2007</vt:lpwstr>
  </property>
  <property fmtid="{D5CDD505-2E9C-101B-9397-08002B2CF9AE}" pid="4" name="LastSaved">
    <vt:filetime>2020-05-06T00:00:00Z</vt:filetime>
  </property>
</Properties>
</file>