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368" w:lineRule="exact"/>
        <w:ind w:left="40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drawing>
          <wp:inline distT="0" distB="0" distL="0" distR="0">
            <wp:extent cx="1128395" cy="86867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128395" cy="868679"/>
                    </a:xfrm>
                    <a:prstGeom prst="rect">
                      <a:avLst/>
                    </a:prstGeom>
                  </pic:spPr>
                </pic:pic>
              </a:graphicData>
            </a:graphic>
          </wp:inline>
        </w:drawing>
      </w:r>
      <w:r>
        <w:rPr>
          <w:rFonts w:ascii="Times New Roman" w:hAnsi="Times New Roman" w:cs="Times New Roman" w:eastAsia="Times New Roman" w:hint="default"/>
          <w:position w:val="-26"/>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2424" w:right="3401" w:firstLine="0"/>
        <w:jc w:val="center"/>
        <w:rPr>
          <w:rFonts w:ascii="宋体" w:hAnsi="宋体" w:cs="宋体" w:eastAsia="宋体" w:hint="default"/>
          <w:sz w:val="36"/>
          <w:szCs w:val="36"/>
        </w:rPr>
      </w:pPr>
      <w:r>
        <w:rPr>
          <w:rFonts w:ascii="宋体" w:hAnsi="宋体" w:cs="宋体" w:eastAsia="宋体" w:hint="default"/>
          <w:b/>
          <w:bCs/>
          <w:sz w:val="36"/>
          <w:szCs w:val="36"/>
        </w:rPr>
        <w:t>北京中科金财科技股份有限公司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34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424"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024"/>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公司负责人朱烨东、主管会计工作负责人赵学荣及会计机构负责人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尹亚楠声明：保证年度报告中财务报告的真实、准确、完整。</w:t>
      </w:r>
      <w:r>
        <w:rPr>
          <w:rFonts w:ascii="宋体" w:hAnsi="宋体" w:cs="宋体" w:eastAsia="宋体" w:hint="default"/>
          <w:sz w:val="28"/>
          <w:szCs w:val="28"/>
        </w:rPr>
      </w:r>
    </w:p>
    <w:p>
      <w:pPr>
        <w:spacing w:line="472" w:lineRule="auto" w:before="147"/>
        <w:ind w:left="715" w:right="1024"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本年度报告涉及未来计划等前瞻性陈述，不构成公司对投资者的实质承诺，</w:t>
      </w:r>
      <w:r>
        <w:rPr>
          <w:rFonts w:ascii="宋体" w:hAnsi="宋体" w:cs="宋体" w:eastAsia="宋体" w:hint="default"/>
          <w:spacing w:val="-2"/>
          <w:sz w:val="28"/>
          <w:szCs w:val="28"/>
        </w:rPr>
      </w:r>
    </w:p>
    <w:p>
      <w:pPr>
        <w:spacing w:line="475" w:lineRule="auto" w:before="0"/>
        <w:ind w:left="715" w:right="1024" w:hanging="562"/>
        <w:jc w:val="left"/>
        <w:rPr>
          <w:rFonts w:ascii="宋体" w:hAnsi="宋体" w:cs="宋体" w:eastAsia="宋体" w:hint="default"/>
          <w:sz w:val="28"/>
          <w:szCs w:val="28"/>
        </w:rPr>
      </w:pPr>
      <w:r>
        <w:rPr>
          <w:rFonts w:ascii="宋体" w:hAnsi="宋体" w:cs="宋体" w:eastAsia="宋体" w:hint="default"/>
          <w:b/>
          <w:bCs/>
          <w:sz w:val="28"/>
          <w:szCs w:val="28"/>
        </w:rPr>
        <w:t>请投资者注意投资风险。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公司存在的风险因素主要有市场竞争风险、行业技术风险、人力资源风险</w:t>
      </w:r>
      <w:r>
        <w:rPr>
          <w:rFonts w:ascii="宋体" w:hAnsi="宋体" w:cs="宋体" w:eastAsia="宋体" w:hint="default"/>
          <w:spacing w:val="3"/>
          <w:sz w:val="28"/>
          <w:szCs w:val="28"/>
        </w:rPr>
      </w:r>
    </w:p>
    <w:p>
      <w:pPr>
        <w:spacing w:line="371" w:lineRule="exact" w:before="0"/>
        <w:ind w:left="153" w:right="1024" w:firstLine="0"/>
        <w:jc w:val="left"/>
        <w:rPr>
          <w:rFonts w:ascii="Times New Roman" w:hAnsi="Times New Roman" w:cs="Times New Roman" w:eastAsia="Times New Roman" w:hint="default"/>
          <w:sz w:val="28"/>
          <w:szCs w:val="28"/>
        </w:rPr>
      </w:pPr>
      <w:r>
        <w:rPr>
          <w:rFonts w:ascii="宋体" w:hAnsi="宋体" w:cs="宋体" w:eastAsia="宋体" w:hint="default"/>
          <w:b/>
          <w:bCs/>
          <w:spacing w:val="3"/>
          <w:sz w:val="28"/>
          <w:szCs w:val="28"/>
        </w:rPr>
        <w:t>等，有关主要风险因素及公司应对措施已在本报告第四节</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管理层讨论与分析</w:t>
      </w:r>
      <w:r>
        <w:rPr>
          <w:rFonts w:ascii="Times New Roman" w:hAnsi="Times New Roman" w:cs="Times New Roman" w:eastAsia="Times New Roman" w:hint="default"/>
          <w:b/>
          <w:bCs/>
          <w:spacing w:val="3"/>
          <w:sz w:val="28"/>
          <w:szCs w:val="28"/>
        </w:rPr>
        <w:t>”</w:t>
      </w:r>
      <w:r>
        <w:rPr>
          <w:rFonts w:ascii="Times New Roman" w:hAnsi="Times New Roman" w:cs="Times New Roman" w:eastAsia="Times New Roman" w:hint="default"/>
          <w:spacing w:val="3"/>
          <w:sz w:val="28"/>
          <w:szCs w:val="28"/>
        </w:rPr>
      </w:r>
    </w:p>
    <w:p>
      <w:pPr>
        <w:spacing w:line="446" w:lineRule="auto" w:before="237"/>
        <w:ind w:left="715" w:right="1024" w:hanging="562"/>
        <w:jc w:val="left"/>
        <w:rPr>
          <w:rFonts w:ascii="宋体" w:hAnsi="宋体" w:cs="宋体" w:eastAsia="宋体" w:hint="default"/>
          <w:sz w:val="28"/>
          <w:szCs w:val="28"/>
        </w:rPr>
      </w:pPr>
      <w:r>
        <w:rPr>
          <w:rFonts w:ascii="宋体" w:hAnsi="宋体" w:cs="宋体" w:eastAsia="宋体" w:hint="default"/>
          <w:b/>
          <w:bCs/>
          <w:sz w:val="28"/>
          <w:szCs w:val="28"/>
        </w:rPr>
        <w:t>中</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详细阐述。</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337,576,686</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57" w:lineRule="exact" w:before="0"/>
        <w:ind w:left="153" w:right="1024"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w w:val="99"/>
          <w:sz w:val="28"/>
          <w:szCs w:val="28"/>
        </w:rPr>
        <w:t>.</w:t>
      </w:r>
      <w:r>
        <w:rPr>
          <w:rFonts w:ascii="Times New Roman" w:hAnsi="Times New Roman" w:cs="Times New Roman" w:eastAsia="Times New Roman" w:hint="default"/>
          <w:b/>
          <w:bCs/>
          <w:w w:val="99"/>
          <w:sz w:val="28"/>
          <w:szCs w:val="28"/>
        </w:rPr>
        <w:t>4</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，不以公</w:t>
      </w:r>
      <w:r>
        <w:rPr>
          <w:rFonts w:ascii="宋体" w:hAnsi="宋体" w:cs="宋体" w:eastAsia="宋体" w:hint="default"/>
          <w:sz w:val="28"/>
          <w:szCs w:val="28"/>
        </w:rPr>
      </w:r>
    </w:p>
    <w:p>
      <w:pPr>
        <w:spacing w:before="237"/>
        <w:ind w:left="153" w:right="1024" w:firstLine="0"/>
        <w:jc w:val="left"/>
        <w:rPr>
          <w:rFonts w:ascii="宋体" w:hAnsi="宋体" w:cs="宋体" w:eastAsia="宋体" w:hint="default"/>
          <w:sz w:val="28"/>
          <w:szCs w:val="28"/>
        </w:rPr>
      </w:pP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4"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193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424" w:right="3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中科金财、公司、母公司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滨河创新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天津滨河创新科技有限公司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中科商务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北京中科金财电子商务有限公司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中科电子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北京中科金财电子产品有限公司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中科环嘉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中科环嘉电子商务有限公司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大金所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大连金融资产交易所有限公司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安金所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安徽省金融资产交易所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安粮期货</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安粮期货有限公司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网金中心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北京中关村互联网金融信息服务中心有限公司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中金财富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深圳中金财富互联网金融服务有限公司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中航资本</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中航资本控股股份有限公司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中航国际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中国航空技术国际控股有限公司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中航新兴</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中航新兴产业投资有限公司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中航文创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中航文创有限责任公司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成城众志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北京成城众志投资管理合伙企业（有限合伙）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金网络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金网络（北京）电子商务有限公司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国信新网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北京国信新网通讯技术有限公司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华夏幸福</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华夏幸福基业控股股份公司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廊坊银行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廊坊银行股份有限公司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21364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024"/>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4"/>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中科金财</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002657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中科金财</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pacing w:val="-5"/>
                <w:sz w:val="18"/>
              </w:rPr>
              <w:t>SINODATA </w:t>
            </w:r>
            <w:r>
              <w:rPr>
                <w:rFonts w:ascii="Times New Roman"/>
                <w:sz w:val="18"/>
              </w:rPr>
              <w:t>CO., </w:t>
            </w:r>
            <w:r>
              <w:rPr>
                <w:rFonts w:ascii="Times New Roman"/>
                <w:spacing w:val="-5"/>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pacing w:val="-5"/>
                <w:sz w:val="18"/>
              </w:rPr>
              <w:t>SINODATA</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朱烨东</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100191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100191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www.sinodata.net.cn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24"/>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贺岩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李燕</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010-62309608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010-62309608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010-62309595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010-62309595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24"/>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024"/>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91110000757740123M</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24"/>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李璟、汪沛</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中信证券大厦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黄新炎、王明希</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1024"/>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1,327,554,356.58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1,098,367,226.38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1,022,822,674.03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160,334,370.22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77,702,908.86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56,021,607.58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143,016,658.34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63,533,371.77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45,606,907.25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372,705,131.38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242,420,412.30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149,966,809.23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2,588,962,921.76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2,337,012,951.71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1,411,332,945.45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1,651,988,588.32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1,501,107,899.39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9" w:right="0"/>
              <w:jc w:val="left"/>
              <w:rPr>
                <w:rFonts w:ascii="Times New Roman" w:hAnsi="Times New Roman" w:cs="Times New Roman" w:eastAsia="Times New Roman" w:hint="default"/>
                <w:sz w:val="18"/>
                <w:szCs w:val="18"/>
              </w:rPr>
            </w:pPr>
            <w:r>
              <w:rPr>
                <w:rFonts w:ascii="Times New Roman"/>
                <w:sz w:val="18"/>
              </w:rPr>
              <w:t>10.05%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704,174,127.30</w:t>
            </w:r>
          </w:p>
        </w:tc>
      </w:tr>
    </w:tbl>
    <w:p>
      <w:pPr>
        <w:spacing w:line="240" w:lineRule="auto" w:before="2"/>
        <w:rPr>
          <w:rFonts w:ascii="宋体" w:hAnsi="宋体" w:cs="宋体" w:eastAsia="宋体" w:hint="default"/>
          <w:sz w:val="18"/>
          <w:szCs w:val="18"/>
        </w:rPr>
      </w:pPr>
    </w:p>
    <w:p>
      <w:pPr>
        <w:pStyle w:val="Heading2"/>
        <w:spacing w:line="240" w:lineRule="auto" w:before="26"/>
        <w:ind w:left="154" w:right="1024"/>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24"/>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24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left="153" w:right="1024"/>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024"/>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182,304,970.88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431,048,662.53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192,519,533.59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521,681,189.58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19,040,018.38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64,927,553.28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23,788,192.63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52,578,605.93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14,274,961.30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60,788,654.53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15,085,640.81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52,867,401.70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-103,786,774.45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150,399,342.17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-42,559,020.56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368,651,584.22</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124,767.15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-542,327.86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-158,533.87</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10,811,100.00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13,079,766.67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10,922,466.67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3,221,645.29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974,371.91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9,379,206.57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54"/>
              <w:jc w:val="left"/>
              <w:rPr>
                <w:rFonts w:ascii="宋体" w:hAnsi="宋体" w:cs="宋体" w:eastAsia="宋体" w:hint="default"/>
                <w:sz w:val="18"/>
                <w:szCs w:val="18"/>
              </w:rPr>
            </w:pPr>
            <w:r>
              <w:rPr>
                <w:rFonts w:ascii="宋体" w:hAnsi="宋体" w:cs="宋体" w:eastAsia="宋体" w:hint="default"/>
                <w:sz w:val="18"/>
                <w:szCs w:val="18"/>
              </w:rPr>
              <w:t>公司报告期内购买的 银行理财产品的投资</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收益</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-75,280.39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-11,806.61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-60,584.00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2,900,247.44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1,565,777.74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1,230,850.42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21,834.01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11,962.66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32,169.96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17,317,711.88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14,169,537.09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10,414,700.33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5"/>
        <w:gridCol w:w="2126"/>
        <w:gridCol w:w="5178"/>
      </w:tblGrid>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4" w:right="0"/>
              <w:jc w:val="left"/>
              <w:rPr>
                <w:rFonts w:ascii="Times New Roman" w:hAnsi="Times New Roman" w:cs="Times New Roman" w:eastAsia="Times New Roman" w:hint="default"/>
                <w:sz w:val="18"/>
                <w:szCs w:val="18"/>
              </w:rPr>
            </w:pPr>
            <w:r>
              <w:rPr>
                <w:rFonts w:ascii="Times New Roman"/>
                <w:sz w:val="18"/>
              </w:rPr>
              <w:t>11,500,783.30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该项政府补助系与公司正常经营业务密切相关，符合国家政策规 定、按照一定标准定额或定量持续享受的政府补助。</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024"/>
        <w:jc w:val="left"/>
        <w:rPr>
          <w:b w:val="0"/>
          <w:bCs w:val="0"/>
        </w:rPr>
      </w:pPr>
      <w:bookmarkStart w:name="_TOC_250008"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650" w:right="1024"/>
        <w:jc w:val="left"/>
      </w:pPr>
      <w:r>
        <w:rPr/>
        <w:t>公司是国内领先的互联网金融综合服务商和智能银行整体解决方案提供商。 </w:t>
      </w:r>
      <w:r>
        <w:rPr>
          <w:spacing w:val="-3"/>
        </w:rPr>
        <w:t>报告期内，公司的互联网金融综合服务业务取得实质性进展。金融资产交易所方面，公司参股的大连</w:t>
      </w:r>
    </w:p>
    <w:p>
      <w:pPr>
        <w:pStyle w:val="BodyText"/>
        <w:spacing w:line="408" w:lineRule="auto"/>
        <w:ind w:right="1110"/>
        <w:jc w:val="both"/>
      </w:pPr>
      <w:r>
        <w:rPr>
          <w:spacing w:val="-1"/>
        </w:rPr>
        <w:t>金融资产交易所于</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月上线，到</w:t>
      </w:r>
      <w:r>
        <w:rPr>
          <w:rFonts w:ascii="宋体" w:hAnsi="宋体" w:cs="宋体" w:eastAsia="宋体" w:hint="default"/>
          <w:spacing w:val="-1"/>
        </w:rPr>
        <w:t>2015</w:t>
      </w:r>
      <w:r>
        <w:rPr>
          <w:spacing w:val="-1"/>
        </w:rPr>
        <w:t>年底，大金所实现交易量接近</w:t>
      </w:r>
      <w:r>
        <w:rPr>
          <w:rFonts w:ascii="宋体" w:hAnsi="宋体" w:cs="宋体" w:eastAsia="宋体" w:hint="default"/>
          <w:spacing w:val="-1"/>
        </w:rPr>
        <w:t>100</w:t>
      </w:r>
      <w:r>
        <w:rPr>
          <w:spacing w:val="-1"/>
        </w:rPr>
        <w:t>亿元；公司参股的安徽金融资</w:t>
      </w:r>
      <w:r>
        <w:rPr>
          <w:spacing w:val="-80"/>
        </w:rPr>
        <w:t> </w:t>
      </w:r>
      <w:r>
        <w:rPr>
          <w:spacing w:val="-80"/>
        </w:rPr>
      </w:r>
      <w:r>
        <w:rPr>
          <w:spacing w:val="-1"/>
        </w:rPr>
        <w:t>产交易所也于</w:t>
      </w:r>
      <w:r>
        <w:rPr>
          <w:rFonts w:ascii="宋体" w:hAnsi="宋体" w:cs="宋体" w:eastAsia="宋体" w:hint="default"/>
          <w:spacing w:val="-1"/>
        </w:rPr>
        <w:t>2015</w:t>
      </w:r>
      <w:r>
        <w:rPr>
          <w:spacing w:val="-1"/>
        </w:rPr>
        <w:t>年底正式上线。互联网银行云平台方面，平台的建设推广工作正在有序进行中，相关产</w:t>
      </w:r>
      <w:r>
        <w:rPr>
          <w:spacing w:val="-82"/>
        </w:rPr>
        <w:t> </w:t>
      </w:r>
      <w:r>
        <w:rPr>
          <w:spacing w:val="-82"/>
        </w:rPr>
      </w:r>
      <w:r>
        <w:rPr/>
        <w:t>品正在稳步推进。公司还与中航工业集团展开深入合作，与中航资本签订战略合作协议，并与中航国际、 </w:t>
      </w:r>
      <w:r>
        <w:rPr>
          <w:spacing w:val="-1"/>
        </w:rPr>
        <w:t>中航新兴、中航文创等合资成立金网络公司，开展资产证券化、供应链金融等业务。报告期内，公司参股</w:t>
      </w:r>
      <w:r>
        <w:rPr>
          <w:spacing w:val="-83"/>
        </w:rPr>
        <w:t> </w:t>
      </w:r>
      <w:r>
        <w:rPr>
          <w:spacing w:val="-83"/>
        </w:rPr>
      </w:r>
      <w:r>
        <w:rPr/>
        <w:t>的中关村互联网金融服务中心的监督管理、综合服务、创新孵化三大平台通过实践基本已完成业务定位， 其中综合服务平台已经完成资产撮合交易量近</w:t>
      </w:r>
      <w:r>
        <w:rPr>
          <w:rFonts w:ascii="宋体" w:hAnsi="宋体" w:cs="宋体" w:eastAsia="宋体" w:hint="default"/>
        </w:rPr>
        <w:t>60</w:t>
      </w:r>
      <w:r>
        <w:rPr/>
        <w:t>亿元。公司还与国家信息中心展开合作，增资国信新网， 打造中国政务云和互联网增值服务领军企业。公司在互联网金融业务领域的布局已经初见成效，资金端、 </w:t>
      </w:r>
      <w:r>
        <w:rPr>
          <w:spacing w:val="-1"/>
        </w:rPr>
        <w:t>资产端、数据端、交易体系战略布局完整，已初步形成了“互联网＋金融＋服务”的闭环生态圈，基本具</w:t>
      </w:r>
      <w:r>
        <w:rPr>
          <w:spacing w:val="-86"/>
        </w:rPr>
        <w:t> </w:t>
      </w:r>
      <w:r>
        <w:rPr>
          <w:spacing w:val="-86"/>
        </w:rPr>
      </w:r>
      <w:r>
        <w:rPr/>
        <w:t>备互联网金融全业务链的服务能力。</w:t>
      </w:r>
    </w:p>
    <w:p>
      <w:pPr>
        <w:pStyle w:val="BodyText"/>
        <w:spacing w:line="408" w:lineRule="auto"/>
        <w:ind w:right="1132" w:firstLine="496"/>
        <w:jc w:val="both"/>
      </w:pPr>
      <w:r>
        <w:rPr>
          <w:spacing w:val="-3"/>
        </w:rPr>
        <w:t>报告期内，公司持续聚焦智能银行业务发展，并通过与滨河创新的企业合并扩展了银行自助金融运营</w:t>
      </w:r>
      <w:r>
        <w:rPr/>
        <w:t> 服务领域的业务，</w:t>
      </w:r>
      <w:r>
        <w:rPr>
          <w:rFonts w:ascii="宋体" w:hAnsi="宋体" w:cs="宋体" w:eastAsia="宋体" w:hint="default"/>
        </w:rPr>
        <w:t>2015</w:t>
      </w:r>
      <w:r>
        <w:rPr/>
        <w:t>年公司实现营业收入 </w:t>
      </w:r>
      <w:r>
        <w:rPr>
          <w:rFonts w:ascii="宋体" w:hAnsi="宋体" w:cs="宋体" w:eastAsia="宋体" w:hint="default"/>
        </w:rPr>
        <w:t>1,327,554,356.58</w:t>
      </w:r>
      <w:r>
        <w:rPr/>
        <w:t>元，较上年同期增长</w:t>
      </w:r>
      <w:r>
        <w:rPr>
          <w:rFonts w:ascii="宋体" w:hAnsi="宋体" w:cs="宋体" w:eastAsia="宋体" w:hint="default"/>
        </w:rPr>
        <w:t>20.87</w:t>
      </w:r>
      <w:r>
        <w:rPr>
          <w:rFonts w:ascii="宋体" w:hAnsi="宋体" w:cs="宋体" w:eastAsia="宋体" w:hint="default"/>
          <w:spacing w:val="-26"/>
        </w:rPr>
        <w:t> </w:t>
      </w:r>
      <w:r>
        <w:rPr>
          <w:rFonts w:ascii="宋体" w:hAnsi="宋体" w:cs="宋体" w:eastAsia="宋体" w:hint="default"/>
        </w:rPr>
        <w:t>%</w:t>
      </w:r>
      <w:r>
        <w:rPr/>
        <w:t>；公司实现归 属于上市公司股东的净利润 </w:t>
      </w:r>
      <w:r>
        <w:rPr>
          <w:rFonts w:ascii="宋体" w:hAnsi="宋体" w:cs="宋体" w:eastAsia="宋体" w:hint="default"/>
        </w:rPr>
        <w:t>160,334,370.22</w:t>
      </w:r>
      <w:r>
        <w:rPr/>
        <w:t>元，较上年同期上涨</w:t>
      </w:r>
      <w:r>
        <w:rPr>
          <w:spacing w:val="-3"/>
        </w:rPr>
        <w:t> </w:t>
      </w:r>
      <w:r>
        <w:rPr>
          <w:rFonts w:ascii="宋体" w:hAnsi="宋体" w:cs="宋体" w:eastAsia="宋体" w:hint="default"/>
        </w:rPr>
        <w:t>106.34%</w:t>
      </w:r>
      <w:r>
        <w:rPr/>
        <w:t>。</w:t>
      </w:r>
    </w:p>
    <w:p>
      <w:pPr>
        <w:pStyle w:val="BodyText"/>
        <w:spacing w:line="408" w:lineRule="auto"/>
        <w:ind w:right="1024" w:firstLine="496"/>
        <w:jc w:val="left"/>
      </w:pPr>
      <w:r>
        <w:rPr>
          <w:spacing w:val="-3"/>
        </w:rPr>
        <w:t>在我国利率市场化改革深入推进的背景下，我国商业银行将面临利率市场化带来的严重冲击和巨大挑</w:t>
      </w:r>
      <w:r>
        <w:rPr/>
        <w:t> </w:t>
      </w:r>
      <w:r>
        <w:rPr>
          <w:spacing w:val="-3"/>
        </w:rPr>
        <w:t>战。其中，严重依赖利差收入的中小银行受到的冲击最为强烈。当下已有很多中小银行意识到了资产管理、</w:t>
      </w:r>
      <w:r>
        <w:rPr>
          <w:spacing w:val="-92"/>
        </w:rPr>
        <w:t> </w:t>
      </w:r>
      <w:r>
        <w:rPr>
          <w:spacing w:val="-92"/>
        </w:rPr>
      </w:r>
      <w:r>
        <w:rPr/>
        <w:t>资产证券化及互联网转型的重要性，但受困于资产管理、资产证券化及互联网金融领域的经验积累、人才</w:t>
      </w:r>
      <w:r>
        <w:rPr/>
        <w:t> 储配及激励机制等方面的制约，中小银行在转型过程中面临强烈挑战。由此也相应形成了一个第三方互联 网银行平台及资产管理、资产证券化的巨大的市场需求。</w:t>
      </w:r>
    </w:p>
    <w:p>
      <w:pPr>
        <w:pStyle w:val="BodyText"/>
        <w:spacing w:line="408" w:lineRule="auto"/>
        <w:ind w:right="1024" w:firstLine="496"/>
        <w:jc w:val="left"/>
      </w:pPr>
      <w:r>
        <w:rPr>
          <w:spacing w:val="-3"/>
        </w:rPr>
        <w:t>随着互联网应用技术的普及和金融市场的有序开放，依托支付、云计算、社交网络以及搜索引擎等互</w:t>
      </w:r>
      <w:r>
        <w:rPr/>
        <w:t> 联网工具，以第三方支付、</w:t>
      </w:r>
      <w:r>
        <w:rPr>
          <w:rFonts w:ascii="宋体" w:hAnsi="宋体" w:cs="宋体" w:eastAsia="宋体" w:hint="default"/>
        </w:rPr>
        <w:t>P2P</w:t>
      </w:r>
      <w:r>
        <w:rPr/>
        <w:t>网贷、众筹融资、网上理财为代表的新兴互联网金融产业高速发展，引发 了金融市场交易模式和经营理念上的一场深层次的历史变革。</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18</w:t>
      </w:r>
      <w:r>
        <w:rPr/>
        <w:t>日，中国人民银行等十部委联 </w:t>
      </w:r>
      <w:r>
        <w:rPr>
          <w:spacing w:val="-1"/>
        </w:rPr>
        <w:t>合印发了《关于促进互联网金融健康发展的指导意见》，按照“鼓励创新、防范风险、趋利避害、健康发</w:t>
      </w:r>
      <w:r>
        <w:rPr>
          <w:spacing w:val="-83"/>
        </w:rPr>
        <w:t> </w:t>
      </w:r>
      <w:r>
        <w:rPr>
          <w:spacing w:val="-83"/>
        </w:rPr>
      </w:r>
      <w:r>
        <w:rPr>
          <w:spacing w:val="-1"/>
        </w:rPr>
        <w:t>展”的总体要求，提出了一系列鼓励创新、支持互联网金融稳步发展的政策措施。目前，中国已成为全球</w:t>
      </w:r>
      <w:r>
        <w:rPr>
          <w:spacing w:val="-86"/>
        </w:rPr>
        <w:t> </w:t>
      </w:r>
      <w:r>
        <w:rPr>
          <w:spacing w:val="-86"/>
        </w:rPr>
      </w:r>
      <w:r>
        <w:rPr/>
        <w:t>规模最大的互联网金融市场。</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2" w:firstLine="496"/>
        <w:jc w:val="both"/>
      </w:pPr>
      <w:r>
        <w:rPr>
          <w:spacing w:val="-3"/>
        </w:rPr>
        <w:t>自</w:t>
      </w:r>
      <w:r>
        <w:rPr>
          <w:rFonts w:ascii="宋体" w:hAnsi="宋体" w:cs="宋体" w:eastAsia="宋体" w:hint="default"/>
          <w:spacing w:val="-3"/>
        </w:rPr>
        <w:t>2014</w:t>
      </w:r>
      <w:r>
        <w:rPr>
          <w:spacing w:val="-3"/>
        </w:rPr>
        <w:t>年起，资产证券化市场呈现爆发式增长，截至</w:t>
      </w:r>
      <w:r>
        <w:rPr>
          <w:rFonts w:ascii="宋体" w:hAnsi="宋体" w:cs="宋体" w:eastAsia="宋体" w:hint="default"/>
          <w:spacing w:val="-3"/>
        </w:rPr>
        <w:t>2015</w:t>
      </w:r>
      <w:r>
        <w:rPr>
          <w:spacing w:val="-3"/>
        </w:rPr>
        <w:t>年末，国内资产证券化市场规模较</w:t>
      </w:r>
      <w:r>
        <w:rPr>
          <w:rFonts w:ascii="宋体" w:hAnsi="宋体" w:cs="宋体" w:eastAsia="宋体" w:hint="default"/>
          <w:spacing w:val="-3"/>
        </w:rPr>
        <w:t>2013</w:t>
      </w:r>
      <w:r>
        <w:rPr>
          <w:spacing w:val="-3"/>
        </w:rPr>
        <w:t>年末</w:t>
      </w:r>
      <w:r>
        <w:rPr>
          <w:spacing w:val="-2"/>
        </w:rPr>
        <w:t> </w:t>
      </w:r>
      <w:r>
        <w:rPr>
          <w:spacing w:val="-1"/>
        </w:rPr>
        <w:t>增长了</w:t>
      </w:r>
      <w:r>
        <w:rPr>
          <w:rFonts w:ascii="宋体" w:hAnsi="宋体" w:cs="宋体" w:eastAsia="宋体" w:hint="default"/>
          <w:spacing w:val="-1"/>
        </w:rPr>
        <w:t>13</w:t>
      </w:r>
      <w:r>
        <w:rPr>
          <w:spacing w:val="-1"/>
        </w:rPr>
        <w:t>倍。</w:t>
      </w:r>
      <w:r>
        <w:rPr>
          <w:rFonts w:ascii="宋体" w:hAnsi="宋体" w:cs="宋体" w:eastAsia="宋体" w:hint="default"/>
          <w:spacing w:val="-1"/>
        </w:rPr>
        <w:t>2015</w:t>
      </w:r>
      <w:r>
        <w:rPr>
          <w:spacing w:val="-1"/>
        </w:rPr>
        <w:t>年，资产证券化备案制落地，推动资产证券化市场发展步入常态化。</w:t>
      </w:r>
      <w:r>
        <w:rPr>
          <w:rFonts w:ascii="宋体" w:hAnsi="宋体" w:cs="宋体" w:eastAsia="宋体" w:hint="default"/>
          <w:spacing w:val="-1"/>
        </w:rPr>
        <w:t>2016</w:t>
      </w:r>
      <w:r>
        <w:rPr>
          <w:spacing w:val="-1"/>
        </w:rPr>
        <w:t>年，资产证券</w:t>
      </w:r>
      <w:r>
        <w:rPr>
          <w:spacing w:val="-80"/>
        </w:rPr>
        <w:t> </w:t>
      </w:r>
      <w:r>
        <w:rPr>
          <w:spacing w:val="-80"/>
        </w:rPr>
      </w:r>
      <w:r>
        <w:rPr/>
        <w:t>化市场将保持快速发展势头向万亿级规模进军。</w:t>
      </w:r>
    </w:p>
    <w:p>
      <w:pPr>
        <w:pStyle w:val="BodyText"/>
        <w:spacing w:line="408" w:lineRule="auto"/>
        <w:ind w:right="1109" w:firstLine="496"/>
        <w:jc w:val="both"/>
      </w:pPr>
      <w:r>
        <w:rPr>
          <w:spacing w:val="-3"/>
        </w:rPr>
        <w:t>一系列政策指引和市场发展显示，中国即将进入资产证券化发展的加速期，并且推进以资产证券化为</w:t>
      </w:r>
      <w:r>
        <w:rPr/>
        <w:t> </w:t>
      </w:r>
      <w:r>
        <w:rPr>
          <w:spacing w:val="-1"/>
        </w:rPr>
        <w:t>核心的互联网金融业务的时机和条件已经成熟。公司立足于各行业互联网转型及资产证券化的需求，深入</w:t>
      </w:r>
      <w:r>
        <w:rPr>
          <w:spacing w:val="-81"/>
        </w:rPr>
        <w:t> </w:t>
      </w:r>
      <w:r>
        <w:rPr>
          <w:spacing w:val="-81"/>
        </w:rPr>
      </w:r>
      <w:r>
        <w:rPr>
          <w:spacing w:val="-1"/>
        </w:rPr>
        <w:t>推进资产证券化、互联网银行、金融资产交易、资产管理、征信、大数据、供应链金融等互联网金融创新</w:t>
      </w:r>
      <w:r>
        <w:rPr>
          <w:spacing w:val="-83"/>
        </w:rPr>
        <w:t> </w:t>
      </w:r>
      <w:r>
        <w:rPr>
          <w:spacing w:val="-83"/>
        </w:rPr>
      </w:r>
      <w:r>
        <w:rPr/>
        <w:t>业务，打造中国领先的第三方互联网银行平台、资产证券化互联网综合服务平台，形成科技金融生态圈， 助力地方政府金融改革、中小商业银行及传统龙头企业互联网转型和资产证券化。</w:t>
      </w:r>
    </w:p>
    <w:p>
      <w:pPr>
        <w:spacing w:line="240" w:lineRule="auto" w:before="11"/>
        <w:rPr>
          <w:rFonts w:ascii="宋体" w:hAnsi="宋体" w:cs="宋体" w:eastAsia="宋体" w:hint="default"/>
          <w:sz w:val="18"/>
          <w:szCs w:val="18"/>
        </w:rPr>
      </w:pPr>
    </w:p>
    <w:p>
      <w:pPr>
        <w:pStyle w:val="Heading2"/>
        <w:spacing w:line="240" w:lineRule="auto"/>
        <w:ind w:right="1024"/>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84"/>
              <w:jc w:val="left"/>
              <w:rPr>
                <w:rFonts w:ascii="宋体" w:hAnsi="宋体" w:cs="宋体" w:eastAsia="宋体" w:hint="default"/>
                <w:sz w:val="18"/>
                <w:szCs w:val="18"/>
              </w:rPr>
            </w:pPr>
            <w:r>
              <w:rPr>
                <w:rFonts w:ascii="宋体" w:hAnsi="宋体" w:cs="宋体" w:eastAsia="宋体" w:hint="default"/>
                <w:sz w:val="18"/>
                <w:szCs w:val="18"/>
              </w:rPr>
              <w:t>期末长期股权投资账面价值为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339,486,166.39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元，较期初增长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1151.8%</w:t>
            </w:r>
            <w:r>
              <w:rPr>
                <w:rFonts w:ascii="宋体" w:hAnsi="宋体" w:cs="宋体" w:eastAsia="宋体" w:hint="default"/>
                <w:sz w:val="18"/>
                <w:szCs w:val="18"/>
              </w:rPr>
              <w:t>，主要系公 司投资参股安粮期货、大金所及金网络等所致。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77"/>
              <w:jc w:val="left"/>
              <w:rPr>
                <w:rFonts w:ascii="宋体" w:hAnsi="宋体" w:cs="宋体" w:eastAsia="宋体" w:hint="default"/>
                <w:sz w:val="18"/>
                <w:szCs w:val="18"/>
              </w:rPr>
            </w:pPr>
            <w:r>
              <w:rPr>
                <w:rFonts w:ascii="宋体" w:hAnsi="宋体" w:cs="宋体" w:eastAsia="宋体" w:hint="default"/>
                <w:sz w:val="18"/>
                <w:szCs w:val="18"/>
              </w:rPr>
              <w:t>期末固定资产账面价值为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64,590,677.09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元，较期初下降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37.46%</w:t>
            </w:r>
            <w:r>
              <w:rPr>
                <w:rFonts w:ascii="宋体" w:hAnsi="宋体" w:cs="宋体" w:eastAsia="宋体" w:hint="default"/>
                <w:sz w:val="18"/>
                <w:szCs w:val="18"/>
              </w:rPr>
              <w:t>，主要系公司提高 固定资产使用效率，原有固定资产计提折旧后剩余账面价值减小所致。</w:t>
            </w:r>
          </w:p>
        </w:tc>
      </w:tr>
      <w:tr>
        <w:trPr>
          <w:trHeight w:val="393"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650" w:right="1024"/>
        <w:jc w:val="left"/>
      </w:pPr>
      <w:r>
        <w:rPr>
          <w:rFonts w:ascii="宋体" w:hAnsi="宋体" w:cs="宋体" w:eastAsia="宋体" w:hint="default"/>
        </w:rPr>
        <w:t>1</w:t>
      </w:r>
      <w:r>
        <w:rPr/>
        <w:t>、坚定的互联网金融发展战略和健康的品牌形象 </w:t>
      </w:r>
      <w:r>
        <w:rPr>
          <w:spacing w:val="-3"/>
        </w:rPr>
        <w:t>公司自</w:t>
      </w:r>
      <w:r>
        <w:rPr>
          <w:rFonts w:ascii="宋体" w:hAnsi="宋体" w:cs="宋体" w:eastAsia="宋体" w:hint="default"/>
          <w:spacing w:val="-3"/>
        </w:rPr>
        <w:t>2014</w:t>
      </w:r>
      <w:r>
        <w:rPr>
          <w:spacing w:val="-3"/>
        </w:rPr>
        <w:t>年开始实施以互联网金融综合服务为核心的发展战略，随着公司各项业务的不断落地，互</w:t>
      </w:r>
    </w:p>
    <w:p>
      <w:pPr>
        <w:pStyle w:val="BodyText"/>
        <w:spacing w:line="408" w:lineRule="auto"/>
        <w:ind w:right="1110"/>
        <w:jc w:val="both"/>
      </w:pPr>
      <w:r>
        <w:rPr/>
        <w:t>联网金融生态圈逐渐成型，公司的互联网金融发展模式得到政府部门、资本市场与社会各界的广泛认可。 </w:t>
      </w:r>
      <w:r>
        <w:rPr>
          <w:spacing w:val="-1"/>
        </w:rPr>
        <w:t>公司荣获“</w:t>
      </w:r>
      <w:r>
        <w:rPr>
          <w:rFonts w:ascii="宋体" w:hAnsi="宋体" w:cs="宋体" w:eastAsia="宋体" w:hint="default"/>
          <w:spacing w:val="-1"/>
        </w:rPr>
        <w:t>2015</w:t>
      </w:r>
      <w:r>
        <w:rPr>
          <w:spacing w:val="-1"/>
        </w:rPr>
        <w:t>年度中国最受欢迎互联网金融第三方服务商”殊荣。公司与中国人民银行金融研究所合作</w:t>
      </w:r>
      <w:r>
        <w:rPr>
          <w:spacing w:val="-82"/>
        </w:rPr>
        <w:t> </w:t>
      </w:r>
      <w:r>
        <w:rPr>
          <w:spacing w:val="-82"/>
        </w:rPr>
      </w:r>
      <w:r>
        <w:rPr>
          <w:spacing w:val="-1"/>
        </w:rPr>
        <w:t>撰写的《中国互联网金融发展报告（</w:t>
      </w:r>
      <w:r>
        <w:rPr>
          <w:rFonts w:ascii="宋体" w:hAnsi="宋体" w:cs="宋体" w:eastAsia="宋体" w:hint="default"/>
          <w:spacing w:val="-1"/>
        </w:rPr>
        <w:t>2015</w:t>
      </w:r>
      <w:r>
        <w:rPr>
          <w:spacing w:val="-1"/>
        </w:rPr>
        <w:t>）》，由互联网金融协会会长、前中国人民银行副行长李东荣博</w:t>
      </w:r>
      <w:r>
        <w:rPr>
          <w:spacing w:val="-81"/>
        </w:rPr>
        <w:t> </w:t>
      </w:r>
      <w:r>
        <w:rPr>
          <w:spacing w:val="-81"/>
        </w:rPr>
      </w:r>
      <w:r>
        <w:rPr/>
        <w:t>士担任主编，由中科金财公司董事长朱烨东博士担任执行主编，获得了诸多业内专家的一致认可。</w:t>
      </w:r>
    </w:p>
    <w:p>
      <w:pPr>
        <w:pStyle w:val="BodyText"/>
        <w:spacing w:line="240" w:lineRule="auto"/>
        <w:ind w:left="650" w:right="1024"/>
        <w:jc w:val="left"/>
      </w:pPr>
      <w:r>
        <w:rPr>
          <w:rFonts w:ascii="宋体" w:hAnsi="宋体" w:cs="宋体" w:eastAsia="宋体" w:hint="default"/>
        </w:rPr>
        <w:t>2</w:t>
      </w:r>
      <w:r>
        <w:rPr/>
        <w:t>、前瞻性及完备的互联网金融生态圈布局</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96"/>
        <w:jc w:val="both"/>
      </w:pPr>
      <w:r>
        <w:rPr>
          <w:spacing w:val="-3"/>
        </w:rPr>
        <w:t>公司凭借十余年扎根银行</w:t>
      </w:r>
      <w:r>
        <w:rPr>
          <w:rFonts w:ascii="宋体" w:hAnsi="宋体" w:cs="宋体" w:eastAsia="宋体" w:hint="default"/>
          <w:spacing w:val="-3"/>
        </w:rPr>
        <w:t>IT</w:t>
      </w:r>
      <w:r>
        <w:rPr>
          <w:spacing w:val="-3"/>
        </w:rPr>
        <w:t>的经验，对金融行业尤其是银行行业有深刻的理解，能够敏锐地洞察传统</w:t>
      </w:r>
      <w:r>
        <w:rPr/>
        <w:t> </w:t>
      </w:r>
      <w:r>
        <w:rPr>
          <w:spacing w:val="-1"/>
        </w:rPr>
        <w:t>金融行业的需求，从而得以在互联网金融发展进程中，前瞻性地规划发展布局，抢占市场先机，在新的市</w:t>
      </w:r>
      <w:r>
        <w:rPr>
          <w:spacing w:val="-86"/>
        </w:rPr>
        <w:t> </w:t>
      </w:r>
      <w:r>
        <w:rPr>
          <w:spacing w:val="-86"/>
        </w:rPr>
      </w:r>
      <w:r>
        <w:rPr>
          <w:spacing w:val="-1"/>
        </w:rPr>
        <w:t>场空间和格局中保持领先优势。借助中科金财互联网银行及智能银行领域领先地位，公司有能力在资产证</w:t>
      </w:r>
      <w:r>
        <w:rPr>
          <w:spacing w:val="-81"/>
        </w:rPr>
        <w:t> </w:t>
      </w:r>
      <w:r>
        <w:rPr>
          <w:spacing w:val="-81"/>
        </w:rPr>
      </w:r>
      <w:r>
        <w:rPr>
          <w:spacing w:val="-1"/>
        </w:rPr>
        <w:t>券化、互联网银行、金融资产交易、资产管理、征信、大数据、供应链金融等领域深入开展业务。公司率</w:t>
      </w:r>
      <w:r>
        <w:rPr>
          <w:spacing w:val="-84"/>
        </w:rPr>
        <w:t> </w:t>
      </w:r>
      <w:r>
        <w:rPr>
          <w:spacing w:val="-84"/>
        </w:rPr>
      </w:r>
      <w:r>
        <w:rPr>
          <w:spacing w:val="-1"/>
        </w:rPr>
        <w:t>先战略投资大连金融资产交易所和安徽金融资产交易所，提供综合金融交易服务；积极建设第三方互联网</w:t>
      </w:r>
      <w:r>
        <w:rPr>
          <w:spacing w:val="-81"/>
        </w:rPr>
        <w:t> </w:t>
      </w:r>
      <w:r>
        <w:rPr>
          <w:spacing w:val="-81"/>
        </w:rPr>
      </w:r>
      <w:r>
        <w:rPr>
          <w:spacing w:val="-1"/>
        </w:rPr>
        <w:t>银行平台，提供中小银行转型服务；参股安粮期货，掌握金融业务牌照；与中航工业、华夏幸福达成战略</w:t>
      </w:r>
      <w:r>
        <w:rPr>
          <w:spacing w:val="-83"/>
        </w:rPr>
        <w:t> </w:t>
      </w:r>
      <w:r>
        <w:rPr>
          <w:spacing w:val="-83"/>
        </w:rPr>
      </w:r>
      <w:r>
        <w:rPr>
          <w:spacing w:val="-1"/>
        </w:rPr>
        <w:t>合作，对接优质资产；入股中关村互联网金融服务中心，与国家信息中心成立合资公司国信新网，布局大</w:t>
      </w:r>
      <w:r>
        <w:rPr>
          <w:spacing w:val="-86"/>
        </w:rPr>
        <w:t> </w:t>
      </w:r>
      <w:r>
        <w:rPr>
          <w:spacing w:val="-86"/>
        </w:rPr>
      </w:r>
      <w:r>
        <w:rPr>
          <w:spacing w:val="-1"/>
        </w:rPr>
        <w:t>数据与征信。资产端、资金端、数据端、交易体系生态圈闭环已形成，为公司互联网金融战略稳步推进奠</w:t>
      </w:r>
      <w:r>
        <w:rPr>
          <w:spacing w:val="-83"/>
        </w:rPr>
        <w:t> </w:t>
      </w:r>
      <w:r>
        <w:rPr>
          <w:spacing w:val="-83"/>
        </w:rPr>
      </w:r>
      <w:r>
        <w:rPr/>
        <w:t>定坚实的基础。</w:t>
      </w:r>
    </w:p>
    <w:p>
      <w:pPr>
        <w:pStyle w:val="BodyText"/>
        <w:spacing w:line="408" w:lineRule="auto"/>
        <w:ind w:left="649" w:right="1122"/>
        <w:jc w:val="left"/>
      </w:pPr>
      <w:r>
        <w:rPr>
          <w:rFonts w:ascii="宋体" w:hAnsi="宋体" w:cs="宋体" w:eastAsia="宋体" w:hint="default"/>
        </w:rPr>
        <w:t>3</w:t>
      </w:r>
      <w:r>
        <w:rPr/>
        <w:t>、专业化服务能力 公司长期以来为人民银行、银监会、证监会、银联、银行间交易商协会、支付清算协会等</w:t>
      </w:r>
      <w:r>
        <w:rPr>
          <w:rFonts w:ascii="宋体" w:hAnsi="宋体" w:cs="宋体" w:eastAsia="宋体" w:hint="default"/>
        </w:rPr>
        <w:t>460</w:t>
      </w:r>
      <w:r>
        <w:rPr/>
        <w:t>余家银</w:t>
      </w:r>
    </w:p>
    <w:p>
      <w:pPr>
        <w:pStyle w:val="BodyText"/>
        <w:spacing w:line="408" w:lineRule="auto"/>
        <w:ind w:right="1131"/>
        <w:jc w:val="both"/>
      </w:pPr>
      <w:r>
        <w:rPr>
          <w:spacing w:val="-1"/>
        </w:rPr>
        <w:t>行及金融机构客户提供智能银行及互联网转型综合服务，能够为银行客户提供包括管理咨询、业务流程再</w:t>
      </w:r>
      <w:r>
        <w:rPr>
          <w:spacing w:val="-81"/>
        </w:rPr>
        <w:t> </w:t>
      </w:r>
      <w:r>
        <w:rPr>
          <w:spacing w:val="-81"/>
        </w:rPr>
      </w:r>
      <w:r>
        <w:rPr>
          <w:spacing w:val="-1"/>
        </w:rPr>
        <w:t>造、多渠道整合、移动支付运营外包、大数据分析、金融机具制造、自助网点运营外包、金融互联网运营</w:t>
      </w:r>
      <w:r>
        <w:rPr>
          <w:spacing w:val="-83"/>
        </w:rPr>
        <w:t> </w:t>
      </w:r>
      <w:r>
        <w:rPr>
          <w:spacing w:val="-83"/>
        </w:rPr>
      </w:r>
      <w:r>
        <w:rPr>
          <w:spacing w:val="-1"/>
        </w:rPr>
        <w:t>外包等全业务链的综合服务。公司与清华大学五道口金融学院、南开大学金融学院开展战略合作，形成了</w:t>
      </w:r>
      <w:r>
        <w:rPr>
          <w:spacing w:val="-83"/>
        </w:rPr>
        <w:t> </w:t>
      </w:r>
      <w:r>
        <w:rPr>
          <w:spacing w:val="-83"/>
        </w:rPr>
      </w:r>
      <w:r>
        <w:rPr>
          <w:spacing w:val="-1"/>
        </w:rPr>
        <w:t>关于资产证券化、互联网银行的整套“产学研用”研发培训体系。以客户为中心的经营理念，以及实力雄</w:t>
      </w:r>
      <w:r>
        <w:rPr>
          <w:spacing w:val="-85"/>
        </w:rPr>
        <w:t> </w:t>
      </w:r>
      <w:r>
        <w:rPr>
          <w:spacing w:val="-85"/>
        </w:rPr>
      </w:r>
      <w:r>
        <w:rPr>
          <w:spacing w:val="-1"/>
        </w:rPr>
        <w:t>厚的学术支持，使公司的经营者及专家能够深刻的理解银行及金融机构在利率市场化、资产证券化过程中</w:t>
      </w:r>
      <w:r>
        <w:rPr>
          <w:spacing w:val="-81"/>
        </w:rPr>
        <w:t> </w:t>
      </w:r>
      <w:r>
        <w:rPr>
          <w:spacing w:val="-81"/>
        </w:rPr>
      </w:r>
      <w:r>
        <w:rPr/>
        <w:t>的需求，是目前国内为银行及金融机构提供互联网转型服务能力最全面的公司之一。</w:t>
      </w:r>
    </w:p>
    <w:p>
      <w:pPr>
        <w:pStyle w:val="BodyText"/>
        <w:spacing w:line="408" w:lineRule="auto"/>
        <w:ind w:left="650" w:right="1024"/>
        <w:jc w:val="left"/>
      </w:pPr>
      <w:r>
        <w:rPr>
          <w:rFonts w:ascii="宋体" w:hAnsi="宋体" w:cs="宋体" w:eastAsia="宋体" w:hint="default"/>
        </w:rPr>
        <w:t>4</w:t>
      </w:r>
      <w:r>
        <w:rPr/>
        <w:t>、技术实力 </w:t>
      </w:r>
      <w:r>
        <w:rPr>
          <w:spacing w:val="-3"/>
        </w:rPr>
        <w:t>公司具备北京市高新技术企业、双软认定企业、北京市火炬计划企业、北京市经信委“四个一批”工</w:t>
      </w:r>
    </w:p>
    <w:p>
      <w:pPr>
        <w:pStyle w:val="BodyText"/>
        <w:spacing w:line="408" w:lineRule="auto"/>
        <w:ind w:right="1024"/>
        <w:jc w:val="left"/>
      </w:pPr>
      <w:r>
        <w:rPr/>
        <w:t>程企业、中关村“十百千工程”企业等系列资质。公司通过了</w:t>
      </w:r>
      <w:r>
        <w:rPr>
          <w:rFonts w:ascii="宋体" w:hAnsi="宋体" w:cs="宋体" w:eastAsia="宋体" w:hint="default"/>
        </w:rPr>
        <w:t>ISO/IEC 20000-1:2005</w:t>
      </w:r>
      <w:r>
        <w:rPr>
          <w:rFonts w:ascii="宋体" w:hAnsi="宋体" w:cs="宋体" w:eastAsia="宋体" w:hint="default"/>
          <w:spacing w:val="-5"/>
        </w:rPr>
        <w:t> </w:t>
      </w:r>
      <w:r>
        <w:rPr>
          <w:rFonts w:ascii="宋体" w:hAnsi="宋体" w:cs="宋体" w:eastAsia="宋体" w:hint="default"/>
        </w:rPr>
        <w:t>IT</w:t>
      </w:r>
      <w:r>
        <w:rPr/>
        <w:t>服务管理体系认 证、</w:t>
      </w:r>
      <w:r>
        <w:rPr>
          <w:rFonts w:ascii="宋体" w:hAnsi="宋体" w:cs="宋体" w:eastAsia="宋体" w:hint="default"/>
        </w:rPr>
        <w:t>ISO/IEC</w:t>
      </w:r>
      <w:r>
        <w:rPr>
          <w:rFonts w:ascii="宋体" w:hAnsi="宋体" w:cs="宋体" w:eastAsia="宋体" w:hint="default"/>
          <w:spacing w:val="-4"/>
        </w:rPr>
        <w:t> </w:t>
      </w:r>
      <w:r>
        <w:rPr>
          <w:rFonts w:ascii="宋体" w:hAnsi="宋体" w:cs="宋体" w:eastAsia="宋体" w:hint="default"/>
        </w:rPr>
        <w:t>27001</w:t>
      </w:r>
      <w:r>
        <w:rPr/>
        <w:t>：</w:t>
      </w:r>
      <w:r>
        <w:rPr>
          <w:rFonts w:ascii="宋体" w:hAnsi="宋体" w:cs="宋体" w:eastAsia="宋体" w:hint="default"/>
        </w:rPr>
        <w:t>2005</w:t>
      </w:r>
      <w:r>
        <w:rPr/>
        <w:t>信息安全管理体系认证、</w:t>
      </w:r>
      <w:r>
        <w:rPr>
          <w:rFonts w:ascii="宋体" w:hAnsi="宋体" w:cs="宋体" w:eastAsia="宋体" w:hint="default"/>
        </w:rPr>
        <w:t>ISO9001:2008</w:t>
      </w:r>
      <w:r>
        <w:rPr/>
        <w:t>质量管理体系认证、</w:t>
      </w:r>
      <w:r>
        <w:rPr>
          <w:rFonts w:ascii="宋体" w:hAnsi="宋体" w:cs="宋体" w:eastAsia="宋体" w:hint="default"/>
        </w:rPr>
        <w:t>ISO14001</w:t>
      </w:r>
      <w:r>
        <w:rPr/>
        <w:t>（环境管 </w:t>
      </w:r>
      <w:r>
        <w:rPr>
          <w:spacing w:val="-1"/>
        </w:rPr>
        <w:t>理体系）认证、软件能力成熟度模型</w:t>
      </w:r>
      <w:r>
        <w:rPr>
          <w:rFonts w:ascii="宋体" w:hAnsi="宋体" w:cs="宋体" w:eastAsia="宋体" w:hint="default"/>
          <w:spacing w:val="-1"/>
        </w:rPr>
        <w:t>CMMI</w:t>
      </w:r>
      <w:r>
        <w:rPr>
          <w:spacing w:val="-1"/>
        </w:rPr>
        <w:t>三级认证，获得了计算机信息系统集成一级资质、</w:t>
      </w:r>
      <w:r>
        <w:rPr>
          <w:rFonts w:ascii="宋体" w:hAnsi="宋体" w:cs="宋体" w:eastAsia="宋体" w:hint="default"/>
          <w:spacing w:val="-1"/>
        </w:rPr>
        <w:t>ITSS</w:t>
      </w:r>
      <w:r>
        <w:rPr>
          <w:spacing w:val="-1"/>
        </w:rPr>
        <w:t>信息技术</w:t>
      </w:r>
      <w:r>
        <w:rPr>
          <w:spacing w:val="-81"/>
        </w:rPr>
        <w:t> </w:t>
      </w:r>
      <w:r>
        <w:rPr>
          <w:spacing w:val="-81"/>
        </w:rPr>
      </w:r>
      <w:r>
        <w:rPr>
          <w:spacing w:val="-1"/>
        </w:rPr>
        <w:t>服务运行维护标准符合性证书等系列行业资质，公司软件服务资质完整性目前居中国软件行业前列。截止</w:t>
      </w:r>
      <w:r>
        <w:rPr>
          <w:spacing w:val="-81"/>
        </w:rPr>
        <w:t> </w:t>
      </w:r>
      <w:r>
        <w:rPr>
          <w:spacing w:val="-81"/>
        </w:rPr>
      </w:r>
      <w:r>
        <w:rPr>
          <w:rFonts w:ascii="宋体" w:hAnsi="宋体" w:cs="宋体" w:eastAsia="宋体" w:hint="default"/>
        </w:rPr>
        <w:t>2015</w:t>
      </w:r>
      <w:r>
        <w:rPr/>
        <w:t>年底，公司拥有专利</w:t>
      </w:r>
      <w:r>
        <w:rPr>
          <w:rFonts w:ascii="宋体" w:hAnsi="宋体" w:cs="宋体" w:eastAsia="宋体" w:hint="default"/>
        </w:rPr>
        <w:t>60</w:t>
      </w:r>
      <w:r>
        <w:rPr/>
        <w:t>项，软件著作权证书累计达到</w:t>
      </w:r>
      <w:r>
        <w:rPr>
          <w:rFonts w:ascii="宋体" w:hAnsi="宋体" w:cs="宋体" w:eastAsia="宋体" w:hint="default"/>
        </w:rPr>
        <w:t>135</w:t>
      </w:r>
      <w:r>
        <w:rPr/>
        <w:t>项。</w:t>
      </w:r>
    </w:p>
    <w:p>
      <w:pPr>
        <w:pStyle w:val="BodyText"/>
        <w:spacing w:line="408" w:lineRule="auto"/>
        <w:ind w:left="650" w:right="1024"/>
        <w:jc w:val="left"/>
      </w:pPr>
      <w:r>
        <w:rPr>
          <w:rFonts w:ascii="宋体" w:hAnsi="宋体" w:cs="宋体" w:eastAsia="宋体" w:hint="default"/>
        </w:rPr>
        <w:t>5</w:t>
      </w:r>
      <w:r>
        <w:rPr/>
        <w:t>、开放的经营理念和卓越的经营人才培养能力 </w:t>
      </w:r>
      <w:r>
        <w:rPr>
          <w:spacing w:val="-3"/>
        </w:rPr>
        <w:t>公司经过多年摸索，建立并推行了“中科金财多层级合伙人经营责任制”，将公司划分为独立经营单</w:t>
      </w:r>
    </w:p>
    <w:p>
      <w:pPr>
        <w:pStyle w:val="BodyText"/>
        <w:spacing w:line="408" w:lineRule="auto"/>
        <w:ind w:right="1130"/>
        <w:jc w:val="both"/>
      </w:pPr>
      <w:r>
        <w:rPr>
          <w:spacing w:val="-1"/>
        </w:rPr>
        <w:t>元，通过建立与市场直接联系的独立核算制进行运营，调动员工参与经营管理，从而实现全员参与的经营</w:t>
      </w:r>
      <w:r>
        <w:rPr>
          <w:spacing w:val="-83"/>
        </w:rPr>
        <w:t> </w:t>
      </w:r>
      <w:r>
        <w:rPr>
          <w:spacing w:val="-83"/>
        </w:rPr>
      </w:r>
      <w:r>
        <w:rPr>
          <w:spacing w:val="-1"/>
        </w:rPr>
        <w:t>模式。中科金财多层级合伙人经营责任制注重发现及培养经营人才，强调以客户为中心、全局观及组织协</w:t>
      </w:r>
      <w:r>
        <w:rPr>
          <w:spacing w:val="-83"/>
        </w:rPr>
        <w:t> </w:t>
      </w:r>
      <w:r>
        <w:rPr>
          <w:spacing w:val="-83"/>
        </w:rPr>
      </w:r>
      <w:r>
        <w:rPr>
          <w:spacing w:val="-1"/>
        </w:rPr>
        <w:t>同性，打破了传统企业部门间的隔阂，有效调动员工参与经营管理的自主性和积极性，极大提升了员工的</w:t>
      </w:r>
      <w:r>
        <w:rPr>
          <w:spacing w:val="-82"/>
        </w:rPr>
        <w:t> </w:t>
      </w:r>
      <w:r>
        <w:rPr>
          <w:spacing w:val="-82"/>
        </w:rPr>
      </w:r>
      <w:r>
        <w:rPr>
          <w:spacing w:val="-1"/>
        </w:rPr>
        <w:t>经营热情及主人翁意识。在实际经营过程中各经营单元体现出极强的经营智慧与合作意识，大大降低了沟</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t>通成本、交易成本、营销成本及运营成本，劳动生产率大幅提高，同时吸引了大量的银行、证券、保险、 </w:t>
      </w:r>
      <w:r>
        <w:rPr>
          <w:spacing w:val="-3"/>
        </w:rPr>
        <w:t>期货、信托、金融衍生品、供应链金融、研究、咨询等各领域精英加盟中科金财。开放且共享的经营理念，</w:t>
      </w:r>
      <w:r>
        <w:rPr>
          <w:spacing w:val="-94"/>
        </w:rPr>
        <w:t> </w:t>
      </w:r>
      <w:r>
        <w:rPr>
          <w:spacing w:val="-94"/>
        </w:rPr>
      </w:r>
      <w:r>
        <w:rPr/>
        <w:t>以及经营人才的吸引、发掘、培养能力已经成为公司重要的核心竞争力之一。</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1024"/>
        <w:jc w:val="left"/>
        <w:rPr>
          <w:b w:val="0"/>
          <w:bCs w:val="0"/>
        </w:rPr>
      </w:pPr>
      <w:bookmarkStart w:name="_TOC_250007" w:id="23"/>
      <w:bookmarkStart w:name="第四节 管理层讨论与分析" w:id="24"/>
      <w:r>
        <w:rPr>
          <w:b w:val="0"/>
          <w:bCs w:val="0"/>
        </w:rPr>
      </w:r>
      <w:r>
        <w:rPr/>
        <w:t>第四节</w:t>
      </w:r>
      <w:r>
        <w:rPr>
          <w:spacing w:val="-9"/>
        </w:rPr>
        <w:t> </w:t>
      </w:r>
      <w:r>
        <w:rPr/>
        <w:t>管理层讨论与分析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4"/>
        <w:jc w:val="left"/>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4" w:firstLine="496"/>
        <w:jc w:val="left"/>
      </w:pPr>
      <w:r>
        <w:rPr>
          <w:rFonts w:ascii="宋体" w:hAnsi="宋体" w:cs="宋体" w:eastAsia="宋体" w:hint="default"/>
          <w:spacing w:val="-3"/>
        </w:rPr>
        <w:t>2015</w:t>
      </w:r>
      <w:r>
        <w:rPr>
          <w:spacing w:val="-3"/>
        </w:rPr>
        <w:t>年公司继续坚持以互联网金融综合服务及智能银行整体解决方案为核心业务的发展战略，并在互</w:t>
      </w:r>
      <w:r>
        <w:rPr/>
        <w:t> 联网金融业务方面取得实质性进展。金融资产交易所方面，公司参股的大连金融资产交易所于</w:t>
      </w:r>
      <w:r>
        <w:rPr>
          <w:rFonts w:ascii="宋体" w:hAnsi="宋体" w:cs="宋体" w:eastAsia="宋体" w:hint="default"/>
        </w:rPr>
        <w:t>2015</w:t>
      </w:r>
      <w:r>
        <w:rPr/>
        <w:t>年</w:t>
      </w:r>
      <w:r>
        <w:rPr>
          <w:rFonts w:ascii="宋体" w:hAnsi="宋体" w:cs="宋体" w:eastAsia="宋体" w:hint="default"/>
        </w:rPr>
        <w:t>9</w:t>
      </w:r>
      <w:r>
        <w:rPr/>
        <w:t>月 上线，截至</w:t>
      </w:r>
      <w:r>
        <w:rPr>
          <w:rFonts w:ascii="宋体" w:hAnsi="宋体" w:cs="宋体" w:eastAsia="宋体" w:hint="default"/>
        </w:rPr>
        <w:t>2015</w:t>
      </w:r>
      <w:r>
        <w:rPr/>
        <w:t>年底，大金所实现交易量接近</w:t>
      </w:r>
      <w:r>
        <w:rPr>
          <w:rFonts w:ascii="宋体" w:hAnsi="宋体" w:cs="宋体" w:eastAsia="宋体" w:hint="default"/>
        </w:rPr>
        <w:t>100</w:t>
      </w:r>
      <w:r>
        <w:rPr/>
        <w:t>亿元；公司参股的安徽金融资产交易所也于</w:t>
      </w:r>
      <w:r>
        <w:rPr>
          <w:rFonts w:ascii="宋体" w:hAnsi="宋体" w:cs="宋体" w:eastAsia="宋体" w:hint="default"/>
        </w:rPr>
        <w:t>2015</w:t>
      </w:r>
      <w:r>
        <w:rPr/>
        <w:t>年底正 </w:t>
      </w:r>
      <w:r>
        <w:rPr>
          <w:spacing w:val="-1"/>
        </w:rPr>
        <w:t>式上线。互联网银行云平台方面，平台的建设推广工作正在有序进行中，相关产品正在稳步推进。公司还</w:t>
      </w:r>
      <w:r>
        <w:rPr>
          <w:spacing w:val="-86"/>
        </w:rPr>
        <w:t> </w:t>
      </w:r>
      <w:r>
        <w:rPr>
          <w:spacing w:val="-86"/>
        </w:rPr>
      </w:r>
      <w:r>
        <w:rPr>
          <w:spacing w:val="-1"/>
        </w:rPr>
        <w:t>与中航工业展开深入合作，与中航资本签订战略合作协议，并与中航国际、中航新兴、中航文创等合资成</w:t>
      </w:r>
      <w:r>
        <w:rPr>
          <w:spacing w:val="-86"/>
        </w:rPr>
        <w:t> </w:t>
      </w:r>
      <w:r>
        <w:rPr>
          <w:spacing w:val="-86"/>
        </w:rPr>
      </w:r>
      <w:r>
        <w:rPr>
          <w:spacing w:val="-1"/>
        </w:rPr>
        <w:t>立金网络公司，开展资产证券化、供应链金融等业务。报告期内，公司参股的中关村互联网金融服务中心</w:t>
      </w:r>
      <w:r>
        <w:rPr>
          <w:spacing w:val="-85"/>
        </w:rPr>
        <w:t> </w:t>
      </w:r>
      <w:r>
        <w:rPr>
          <w:spacing w:val="-85"/>
        </w:rPr>
      </w:r>
      <w:r>
        <w:rPr>
          <w:spacing w:val="-1"/>
        </w:rPr>
        <w:t>的监督管理、综合服务、创新孵化三大平台通过实践基本已完成业务定位，其中综合服务平台已经完成资</w:t>
      </w:r>
      <w:r>
        <w:rPr>
          <w:spacing w:val="-83"/>
        </w:rPr>
        <w:t> </w:t>
      </w:r>
      <w:r>
        <w:rPr>
          <w:spacing w:val="-83"/>
        </w:rPr>
      </w:r>
      <w:r>
        <w:rPr>
          <w:spacing w:val="-1"/>
        </w:rPr>
        <w:t>产撮合交易量近</w:t>
      </w:r>
      <w:r>
        <w:rPr>
          <w:rFonts w:ascii="宋体" w:hAnsi="宋体" w:cs="宋体" w:eastAsia="宋体" w:hint="default"/>
          <w:spacing w:val="-1"/>
        </w:rPr>
        <w:t>60</w:t>
      </w:r>
      <w:r>
        <w:rPr>
          <w:spacing w:val="-1"/>
        </w:rPr>
        <w:t>亿元。公司还与国家信息中心展开合作，增资国信新网，打造中国政务云和互联网增值</w:t>
      </w:r>
      <w:r>
        <w:rPr>
          <w:spacing w:val="-84"/>
        </w:rPr>
        <w:t> </w:t>
      </w:r>
      <w:r>
        <w:rPr>
          <w:spacing w:val="-84"/>
        </w:rPr>
      </w:r>
      <w:r>
        <w:rPr>
          <w:spacing w:val="-1"/>
        </w:rPr>
        <w:t>服务领军企业。公司在互联网金融业务领域的布局已经初见成效，资产端、资金端、数据端、交易体系战</w:t>
      </w:r>
      <w:r>
        <w:rPr>
          <w:spacing w:val="-83"/>
        </w:rPr>
        <w:t> </w:t>
      </w:r>
      <w:r>
        <w:rPr>
          <w:spacing w:val="-83"/>
        </w:rPr>
      </w:r>
      <w:r>
        <w:rPr>
          <w:spacing w:val="-1"/>
        </w:rPr>
        <w:t>略布局完整，已初步形成了“互联网＋金融＋服务”的闭环生态圈，为公司打造中国领先的银行科技金融</w:t>
      </w:r>
      <w:r>
        <w:rPr>
          <w:spacing w:val="-82"/>
        </w:rPr>
        <w:t> </w:t>
      </w:r>
      <w:r>
        <w:rPr>
          <w:spacing w:val="-82"/>
        </w:rPr>
      </w:r>
      <w:r>
        <w:rPr>
          <w:spacing w:val="-1"/>
        </w:rPr>
        <w:t>综合服务商、第三方互联网银行平台综合服务商及资产证券化互联网综合服务商，助力中小商业银行、传</w:t>
      </w:r>
      <w:r>
        <w:rPr>
          <w:spacing w:val="-83"/>
        </w:rPr>
        <w:t> </w:t>
      </w:r>
      <w:r>
        <w:rPr>
          <w:spacing w:val="-83"/>
        </w:rPr>
      </w:r>
      <w:r>
        <w:rPr/>
        <w:t>统龙头企业、地方政府互联网转型及资产证券化奠定了坚实的基础。</w:t>
      </w:r>
    </w:p>
    <w:p>
      <w:pPr>
        <w:pStyle w:val="BodyText"/>
        <w:spacing w:line="408" w:lineRule="auto"/>
        <w:ind w:right="1119" w:firstLine="496"/>
        <w:jc w:val="left"/>
      </w:pPr>
      <w:r>
        <w:rPr/>
        <w:t>公司一直以来致力于为人民银行、银监会、证监会、银联、银行间交易商协会、支付清算协会及</w:t>
      </w:r>
      <w:r>
        <w:rPr>
          <w:rFonts w:ascii="宋体" w:hAnsi="宋体" w:cs="宋体" w:eastAsia="宋体" w:hint="default"/>
        </w:rPr>
        <w:t>460 </w:t>
      </w:r>
      <w:r>
        <w:rPr>
          <w:spacing w:val="-1"/>
        </w:rPr>
        <w:t>余家银行及金融机构客户提供智能银行整体解决方案及互联网转型综合服务。报告期内，公司持续聚焦智</w:t>
      </w:r>
      <w:r>
        <w:rPr>
          <w:spacing w:val="-81"/>
        </w:rPr>
        <w:t> </w:t>
      </w:r>
      <w:r>
        <w:rPr>
          <w:spacing w:val="-81"/>
        </w:rPr>
      </w:r>
      <w:r>
        <w:rPr>
          <w:spacing w:val="-1"/>
        </w:rPr>
        <w:t>能银行业务发展，通过与滨河创新的企业合并扩展了银行自助金融运营服务领域的业务，同时，公司积极</w:t>
      </w:r>
      <w:r>
        <w:rPr>
          <w:spacing w:val="-83"/>
        </w:rPr>
        <w:t> </w:t>
      </w:r>
      <w:r>
        <w:rPr>
          <w:spacing w:val="-83"/>
        </w:rPr>
      </w:r>
      <w:r>
        <w:rPr/>
        <w:t>推进落实经营责任制，有效提升经营效率，保障了公司的持续健康发展。</w:t>
      </w:r>
      <w:r>
        <w:rPr>
          <w:rFonts w:ascii="宋体" w:hAnsi="宋体" w:cs="宋体" w:eastAsia="宋体" w:hint="default"/>
        </w:rPr>
        <w:t>2015</w:t>
      </w:r>
      <w:r>
        <w:rPr/>
        <w:t>年公司实现营业收入 </w:t>
      </w:r>
      <w:r>
        <w:rPr>
          <w:rFonts w:ascii="宋体" w:hAnsi="宋体" w:cs="宋体" w:eastAsia="宋体" w:hint="default"/>
        </w:rPr>
        <w:t>1,327,554,356.58</w:t>
      </w:r>
      <w:r>
        <w:rPr/>
        <w:t>元，较上年同期增长</w:t>
      </w:r>
      <w:r>
        <w:rPr>
          <w:rFonts w:ascii="宋体" w:hAnsi="宋体" w:cs="宋体" w:eastAsia="宋体" w:hint="default"/>
        </w:rPr>
        <w:t>20.87 %</w:t>
      </w:r>
      <w:r>
        <w:rPr/>
        <w:t>；公司实现归属于上市公司股东的净利润</w:t>
      </w:r>
      <w:r>
        <w:rPr>
          <w:spacing w:val="-26"/>
        </w:rPr>
        <w:t> </w:t>
      </w:r>
      <w:r>
        <w:rPr>
          <w:rFonts w:ascii="宋体" w:hAnsi="宋体" w:cs="宋体" w:eastAsia="宋体" w:hint="default"/>
        </w:rPr>
        <w:t>160,334,370.22 </w:t>
      </w:r>
      <w:r>
        <w:rPr/>
        <w:t>元，较上年同期上涨</w:t>
      </w:r>
      <w:r>
        <w:rPr>
          <w:spacing w:val="-1"/>
        </w:rPr>
        <w:t> </w:t>
      </w:r>
      <w:r>
        <w:rPr>
          <w:rFonts w:ascii="宋体" w:hAnsi="宋体" w:cs="宋体" w:eastAsia="宋体" w:hint="default"/>
        </w:rPr>
        <w:t>106.34%</w:t>
      </w:r>
      <w:r>
        <w:rPr/>
        <w:t>。</w:t>
      </w:r>
    </w:p>
    <w:p>
      <w:pPr>
        <w:pStyle w:val="BodyText"/>
        <w:spacing w:line="408" w:lineRule="auto"/>
        <w:ind w:left="649" w:right="2487"/>
        <w:jc w:val="left"/>
      </w:pPr>
      <w:r>
        <w:rPr/>
        <w:t>报告期内，公司主要开展了以下工作： </w:t>
      </w:r>
      <w:r>
        <w:rPr>
          <w:rFonts w:ascii="宋体" w:hAnsi="宋体" w:cs="宋体" w:eastAsia="宋体" w:hint="default"/>
        </w:rPr>
        <w:t>1.</w:t>
      </w:r>
      <w:r>
        <w:rPr/>
        <w:t>大力推行中科金财多层级合伙人经营责任制，提升公司经营人才的吸引和培养能力</w:t>
      </w:r>
    </w:p>
    <w:p>
      <w:pPr>
        <w:pStyle w:val="BodyText"/>
        <w:spacing w:line="408" w:lineRule="auto"/>
        <w:ind w:right="1129" w:firstLine="496"/>
        <w:jc w:val="both"/>
      </w:pPr>
      <w:r>
        <w:rPr>
          <w:rFonts w:ascii="宋体" w:hAnsi="宋体" w:cs="宋体" w:eastAsia="宋体" w:hint="default"/>
          <w:spacing w:val="-3"/>
        </w:rPr>
        <w:t>2015</w:t>
      </w:r>
      <w:r>
        <w:rPr>
          <w:spacing w:val="-3"/>
        </w:rPr>
        <w:t>年，公司坚持以“发展吸引人，文化凝聚人，机制稳定人，事业成就人”的人才战略，大力推行</w:t>
      </w:r>
      <w:r>
        <w:rPr/>
        <w:t> </w:t>
      </w:r>
      <w:r>
        <w:rPr>
          <w:spacing w:val="-1"/>
        </w:rPr>
        <w:t>中科金财多层级合伙人经营责任制，主动发现和培养了大批踏实能干的复合型的经营人才，业务团队之间</w:t>
      </w:r>
      <w:r>
        <w:rPr>
          <w:spacing w:val="-81"/>
        </w:rPr>
        <w:t> </w:t>
      </w:r>
      <w:r>
        <w:rPr>
          <w:spacing w:val="-81"/>
        </w:rPr>
      </w:r>
      <w:r>
        <w:rPr>
          <w:spacing w:val="-1"/>
        </w:rPr>
        <w:t>充分沟通、合作与分享，业务协同效应明显，经营能力与劳动生产率不断提高。随着公司中科金财多层级</w:t>
      </w:r>
      <w:r>
        <w:rPr>
          <w:spacing w:val="-86"/>
        </w:rPr>
        <w:t> </w:t>
      </w:r>
      <w:r>
        <w:rPr>
          <w:spacing w:val="-86"/>
        </w:rPr>
      </w:r>
      <w:r>
        <w:rPr>
          <w:spacing w:val="-1"/>
        </w:rPr>
        <w:t>合伙人经营责任制的实施，吸引了大量的银行、证券、保险、期货、信托、金融衍生品、供应链金融、研</w:t>
      </w:r>
      <w:r>
        <w:rPr>
          <w:spacing w:val="-86"/>
        </w:rPr>
        <w:t> </w:t>
      </w:r>
      <w:r>
        <w:rPr>
          <w:spacing w:val="-86"/>
        </w:rPr>
      </w:r>
      <w:r>
        <w:rPr>
          <w:spacing w:val="-1"/>
        </w:rPr>
        <w:t>究、咨询等各领域精英的加入。公司的多层级合伙人经营责任制得到了社会各界的广泛关注与认同，多家</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spacing w:val="-1"/>
        </w:rPr>
        <w:t>企业要求公司输出管理经验，进一步增强了公司的品牌效应及员工的凝聚力。公司经营人才的吸引培养能</w:t>
      </w:r>
      <w:r>
        <w:rPr>
          <w:spacing w:val="-81"/>
        </w:rPr>
        <w:t> </w:t>
      </w:r>
      <w:r>
        <w:rPr>
          <w:spacing w:val="-81"/>
        </w:rPr>
      </w:r>
      <w:r>
        <w:rPr/>
        <w:t>力、组织协同能力已经成为公司最突出的核心竞争力。</w:t>
      </w:r>
    </w:p>
    <w:p>
      <w:pPr>
        <w:pStyle w:val="BodyText"/>
        <w:spacing w:line="240" w:lineRule="auto"/>
        <w:ind w:left="649" w:right="1024"/>
        <w:jc w:val="left"/>
      </w:pPr>
      <w:r>
        <w:rPr>
          <w:rFonts w:ascii="宋体" w:hAnsi="宋体" w:cs="宋体" w:eastAsia="宋体" w:hint="default"/>
        </w:rPr>
        <w:t>2.</w:t>
      </w:r>
      <w:r>
        <w:rPr/>
        <w:t>稳步推进互联网银行云平台建设</w:t>
      </w:r>
    </w:p>
    <w:p>
      <w:pPr>
        <w:spacing w:line="240" w:lineRule="auto" w:before="10"/>
        <w:rPr>
          <w:rFonts w:ascii="宋体" w:hAnsi="宋体" w:cs="宋体" w:eastAsia="宋体" w:hint="default"/>
          <w:sz w:val="14"/>
          <w:szCs w:val="14"/>
        </w:rPr>
      </w:pPr>
    </w:p>
    <w:p>
      <w:pPr>
        <w:pStyle w:val="BodyText"/>
        <w:spacing w:line="408" w:lineRule="auto" w:before="0"/>
        <w:ind w:right="1132" w:firstLine="496"/>
        <w:jc w:val="both"/>
      </w:pPr>
      <w:r>
        <w:rPr>
          <w:rFonts w:ascii="宋体" w:hAnsi="宋体" w:cs="宋体" w:eastAsia="宋体" w:hint="default"/>
          <w:spacing w:val="-3"/>
        </w:rPr>
        <w:t>2015</w:t>
      </w:r>
      <w:r>
        <w:rPr>
          <w:spacing w:val="-3"/>
        </w:rPr>
        <w:t>年，公司先发独立打造中立第三方的互联网银行云平台和专业化运营团队，致力于帮助国内众多</w:t>
      </w:r>
      <w:r>
        <w:rPr/>
        <w:t> </w:t>
      </w:r>
      <w:r>
        <w:rPr>
          <w:spacing w:val="-1"/>
        </w:rPr>
        <w:t>中小银行向互联网银行转型，提供共享平台、一站式咨询、合作运营和</w:t>
      </w:r>
      <w:r>
        <w:rPr>
          <w:rFonts w:ascii="宋体" w:hAnsi="宋体" w:cs="宋体" w:eastAsia="宋体" w:hint="default"/>
          <w:spacing w:val="-1"/>
        </w:rPr>
        <w:t>IT</w:t>
      </w:r>
      <w:r>
        <w:rPr>
          <w:spacing w:val="-1"/>
        </w:rPr>
        <w:t>支持等全方位转型服务，并在线</w:t>
      </w:r>
      <w:r>
        <w:rPr>
          <w:spacing w:val="-86"/>
        </w:rPr>
        <w:t> </w:t>
      </w:r>
      <w:r>
        <w:rPr>
          <w:spacing w:val="-86"/>
        </w:rPr>
      </w:r>
      <w:r>
        <w:rPr>
          <w:spacing w:val="-1"/>
        </w:rPr>
        <w:t>上获客、金融产品设计、优质资产等方面具备较强优势。目前，互联网银行云平台的建设推广工作正在稳</w:t>
      </w:r>
      <w:r>
        <w:rPr>
          <w:spacing w:val="-86"/>
        </w:rPr>
        <w:t> </w:t>
      </w:r>
      <w:r>
        <w:rPr>
          <w:spacing w:val="-86"/>
        </w:rPr>
      </w:r>
      <w:r>
        <w:rPr/>
        <w:t>步推进中。</w:t>
      </w:r>
    </w:p>
    <w:p>
      <w:pPr>
        <w:pStyle w:val="BodyText"/>
        <w:spacing w:line="240" w:lineRule="auto"/>
        <w:ind w:left="650" w:right="1024"/>
        <w:jc w:val="left"/>
      </w:pPr>
      <w:r>
        <w:rPr>
          <w:rFonts w:ascii="宋体" w:hAnsi="宋体" w:cs="宋体" w:eastAsia="宋体" w:hint="default"/>
        </w:rPr>
        <w:t>3.</w:t>
      </w:r>
      <w:r>
        <w:rPr/>
        <w:t>与以央企为代表的大型优质企业合作不断深入</w:t>
      </w:r>
    </w:p>
    <w:p>
      <w:pPr>
        <w:spacing w:line="240" w:lineRule="auto" w:before="10"/>
        <w:rPr>
          <w:rFonts w:ascii="宋体" w:hAnsi="宋体" w:cs="宋体" w:eastAsia="宋体" w:hint="default"/>
          <w:sz w:val="14"/>
          <w:szCs w:val="14"/>
        </w:rPr>
      </w:pPr>
    </w:p>
    <w:p>
      <w:pPr>
        <w:pStyle w:val="BodyText"/>
        <w:spacing w:line="408" w:lineRule="auto" w:before="0"/>
        <w:ind w:right="1133" w:firstLine="496"/>
        <w:jc w:val="both"/>
      </w:pPr>
      <w:r>
        <w:rPr>
          <w:rFonts w:ascii="宋体" w:hAnsi="宋体" w:cs="宋体" w:eastAsia="宋体" w:hint="default"/>
        </w:rPr>
        <w:t>2015</w:t>
      </w:r>
      <w:r>
        <w:rPr/>
        <w:t>年</w:t>
      </w:r>
      <w:r>
        <w:rPr>
          <w:rFonts w:ascii="宋体" w:hAnsi="宋体" w:cs="宋体" w:eastAsia="宋体" w:hint="default"/>
        </w:rPr>
        <w:t>3</w:t>
      </w:r>
      <w:r>
        <w:rPr/>
        <w:t>月，公司与华夏幸福基业控股股份公司、华夏幸福基业股份有限公司、廊坊银行股份有限公 </w:t>
      </w:r>
      <w:r>
        <w:rPr>
          <w:spacing w:val="-1"/>
        </w:rPr>
        <w:t>司签署了《战略合作框架协议》，相关各方拟充分整合彼此的优势资源，以各方认可的区域和产业布局为</w:t>
      </w:r>
      <w:r>
        <w:rPr>
          <w:spacing w:val="-85"/>
        </w:rPr>
        <w:t> </w:t>
      </w:r>
      <w:r>
        <w:rPr>
          <w:spacing w:val="-85"/>
        </w:rPr>
      </w:r>
      <w:r>
        <w:rPr>
          <w:spacing w:val="-1"/>
        </w:rPr>
        <w:t>基础，在互联网金融产业园开发、互联网金融产业园区建设、打造互联网银行生态圈、产业链融资、供应</w:t>
      </w:r>
      <w:r>
        <w:rPr>
          <w:spacing w:val="-83"/>
        </w:rPr>
        <w:t> </w:t>
      </w:r>
      <w:r>
        <w:rPr>
          <w:spacing w:val="-83"/>
        </w:rPr>
      </w:r>
      <w:r>
        <w:rPr/>
        <w:t>链融资、产业园区企业相关金融电子商务服务等领域开展多种合作，以实现双方共赢。</w:t>
      </w:r>
    </w:p>
    <w:p>
      <w:pPr>
        <w:pStyle w:val="BodyText"/>
        <w:spacing w:line="408" w:lineRule="auto"/>
        <w:ind w:left="154" w:right="1131" w:firstLine="496"/>
        <w:jc w:val="both"/>
      </w:pPr>
      <w:r>
        <w:rPr>
          <w:rFonts w:ascii="宋体" w:hAnsi="宋体" w:cs="宋体" w:eastAsia="宋体" w:hint="default"/>
        </w:rPr>
        <w:t>2015</w:t>
      </w:r>
      <w:r>
        <w:rPr/>
        <w:t>年</w:t>
      </w:r>
      <w:r>
        <w:rPr>
          <w:rFonts w:ascii="宋体" w:hAnsi="宋体" w:cs="宋体" w:eastAsia="宋体" w:hint="default"/>
        </w:rPr>
        <w:t>7</w:t>
      </w:r>
      <w:r>
        <w:rPr/>
        <w:t>月，公司与中航资本控股股份有限公司签署了《战略合作框架协议》，拟充分发挥中航资本 </w:t>
      </w:r>
      <w:r>
        <w:rPr>
          <w:spacing w:val="-1"/>
        </w:rPr>
        <w:t>在金融、产业和技术方面的优势和公司在互联网金融方面的资源整合能力，在证券、信托产品销售、投行</w:t>
      </w:r>
      <w:r>
        <w:rPr>
          <w:spacing w:val="-86"/>
        </w:rPr>
        <w:t> </w:t>
      </w:r>
      <w:r>
        <w:rPr>
          <w:spacing w:val="-86"/>
        </w:rPr>
      </w:r>
      <w:r>
        <w:rPr>
          <w:spacing w:val="-1"/>
        </w:rPr>
        <w:t>和资产证券化以及各类资金合作等业务领域先行交流，并积极探讨在金融资产交易所、公募基金、互联网</w:t>
      </w:r>
      <w:r>
        <w:rPr>
          <w:spacing w:val="-83"/>
        </w:rPr>
        <w:t> </w:t>
      </w:r>
      <w:r>
        <w:rPr>
          <w:spacing w:val="-83"/>
        </w:rPr>
      </w:r>
      <w:r>
        <w:rPr/>
        <w:t>金融公司等新的金融领域开展股权、业务合作。</w:t>
      </w:r>
    </w:p>
    <w:p>
      <w:pPr>
        <w:pStyle w:val="BodyText"/>
        <w:spacing w:line="408" w:lineRule="auto"/>
        <w:ind w:right="1131" w:firstLine="496"/>
        <w:jc w:val="both"/>
      </w:pPr>
      <w:r>
        <w:rPr>
          <w:rFonts w:ascii="宋体" w:hAnsi="宋体" w:cs="宋体" w:eastAsia="宋体" w:hint="default"/>
          <w:spacing w:val="-3"/>
        </w:rPr>
        <w:t>2015</w:t>
      </w:r>
      <w:r>
        <w:rPr>
          <w:spacing w:val="-3"/>
        </w:rPr>
        <w:t>年</w:t>
      </w:r>
      <w:r>
        <w:rPr>
          <w:rFonts w:ascii="宋体" w:hAnsi="宋体" w:cs="宋体" w:eastAsia="宋体" w:hint="default"/>
          <w:spacing w:val="-3"/>
        </w:rPr>
        <w:t>11</w:t>
      </w:r>
      <w:r>
        <w:rPr>
          <w:spacing w:val="-3"/>
        </w:rPr>
        <w:t>月，公司与中国航空技术国际控股有限公司、中航新兴产业投资有限公司、中航文创有限责</w:t>
      </w:r>
      <w:r>
        <w:rPr/>
        <w:t> </w:t>
      </w:r>
      <w:r>
        <w:rPr>
          <w:spacing w:val="-3"/>
        </w:rPr>
        <w:t>任公司、北京成城众志投资管理合伙企业同出资成立金网络（北京）电子商务有限公司，注册资金为</w:t>
      </w:r>
      <w:r>
        <w:rPr>
          <w:rFonts w:ascii="宋体" w:hAnsi="宋体" w:cs="宋体" w:eastAsia="宋体" w:hint="default"/>
          <w:spacing w:val="-3"/>
        </w:rPr>
        <w:t>8,000</w:t>
      </w:r>
      <w:r>
        <w:rPr>
          <w:rFonts w:ascii="宋体" w:hAnsi="宋体" w:cs="宋体" w:eastAsia="宋体" w:hint="default"/>
          <w:spacing w:val="-89"/>
        </w:rPr>
        <w:t> </w:t>
      </w:r>
      <w:r>
        <w:rPr>
          <w:spacing w:val="-1"/>
        </w:rPr>
        <w:t>万元，由公司出资</w:t>
      </w:r>
      <w:r>
        <w:rPr>
          <w:rFonts w:ascii="宋体" w:hAnsi="宋体" w:cs="宋体" w:eastAsia="宋体" w:hint="default"/>
          <w:spacing w:val="-1"/>
        </w:rPr>
        <w:t>2,000</w:t>
      </w:r>
      <w:r>
        <w:rPr>
          <w:spacing w:val="-1"/>
        </w:rPr>
        <w:t>万元，占注册资本的</w:t>
      </w:r>
      <w:r>
        <w:rPr>
          <w:rFonts w:ascii="宋体" w:hAnsi="宋体" w:cs="宋体" w:eastAsia="宋体" w:hint="default"/>
          <w:spacing w:val="-1"/>
        </w:rPr>
        <w:t>25%</w:t>
      </w:r>
      <w:r>
        <w:rPr>
          <w:spacing w:val="-1"/>
        </w:rPr>
        <w:t>。公司与中航系合作成立的合资公司，将以金融信息服务</w:t>
      </w:r>
      <w:r>
        <w:rPr>
          <w:spacing w:val="-83"/>
        </w:rPr>
        <w:t> </w:t>
      </w:r>
      <w:r>
        <w:rPr>
          <w:spacing w:val="-83"/>
        </w:rPr>
      </w:r>
      <w:r>
        <w:rPr>
          <w:spacing w:val="-1"/>
        </w:rPr>
        <w:t>为核心，通过互联网平台，依托中航商圈全产业链，整合内外部优质资源，共同推进以中航工业用户资源</w:t>
      </w:r>
      <w:r>
        <w:rPr>
          <w:spacing w:val="-86"/>
        </w:rPr>
        <w:t> </w:t>
      </w:r>
      <w:r>
        <w:rPr>
          <w:spacing w:val="-86"/>
        </w:rPr>
      </w:r>
      <w:r>
        <w:rPr/>
        <w:t>为基础的综合型电子商务平台和以企业资产证券化为依托的互联网金融平台业务的快速发展。</w:t>
      </w:r>
    </w:p>
    <w:p>
      <w:pPr>
        <w:pStyle w:val="BodyText"/>
        <w:spacing w:line="408" w:lineRule="auto"/>
        <w:ind w:left="154" w:right="1027" w:firstLine="496"/>
        <w:jc w:val="both"/>
      </w:pPr>
      <w:r>
        <w:rPr>
          <w:spacing w:val="-5"/>
        </w:rPr>
        <w:t>以央企为代表的传统优质企业合作，有助于公司在互联网银行、资产管理、资产证券化、产业链融资、</w:t>
      </w:r>
      <w:r>
        <w:rPr/>
        <w:t> </w:t>
      </w:r>
      <w:r>
        <w:rPr>
          <w:spacing w:val="-3"/>
        </w:rPr>
        <w:t>供应链融资等领域的业务开展，合作投资的方式更有利于提高公司业务的广度和深度，提升公司盈利能力，</w:t>
      </w:r>
      <w:r>
        <w:rPr>
          <w:spacing w:val="-92"/>
        </w:rPr>
        <w:t> </w:t>
      </w:r>
      <w:r>
        <w:rPr>
          <w:spacing w:val="-92"/>
        </w:rPr>
      </w:r>
      <w:r>
        <w:rPr/>
        <w:t>有利于进一步完善公司在互联网金融领域的业务布局，符合公司长远发展的战略定位。</w:t>
      </w:r>
    </w:p>
    <w:p>
      <w:pPr>
        <w:pStyle w:val="BodyText"/>
        <w:spacing w:line="240" w:lineRule="auto"/>
        <w:ind w:left="650" w:right="1024"/>
        <w:jc w:val="left"/>
      </w:pPr>
      <w:r>
        <w:rPr>
          <w:rFonts w:ascii="宋体" w:hAnsi="宋体" w:cs="宋体" w:eastAsia="宋体" w:hint="default"/>
        </w:rPr>
        <w:t>4.</w:t>
      </w:r>
      <w:r>
        <w:rPr/>
        <w:t>布局金融资产交易所等金融机构，互联网金融业务步入实质性阶段</w:t>
      </w:r>
    </w:p>
    <w:p>
      <w:pPr>
        <w:spacing w:line="240" w:lineRule="auto" w:before="10"/>
        <w:rPr>
          <w:rFonts w:ascii="宋体" w:hAnsi="宋体" w:cs="宋体" w:eastAsia="宋体" w:hint="default"/>
          <w:sz w:val="14"/>
          <w:szCs w:val="14"/>
        </w:rPr>
      </w:pPr>
    </w:p>
    <w:p>
      <w:pPr>
        <w:pStyle w:val="BodyText"/>
        <w:spacing w:line="408" w:lineRule="auto" w:before="0"/>
        <w:ind w:right="1131" w:firstLine="496"/>
        <w:jc w:val="both"/>
      </w:pPr>
      <w:r>
        <w:rPr>
          <w:rFonts w:ascii="宋体" w:hAnsi="宋体" w:cs="宋体" w:eastAsia="宋体" w:hint="default"/>
        </w:rPr>
        <w:t>2015</w:t>
      </w:r>
      <w:r>
        <w:rPr/>
        <w:t>年</w:t>
      </w:r>
      <w:r>
        <w:rPr>
          <w:rFonts w:ascii="宋体" w:hAnsi="宋体" w:cs="宋体" w:eastAsia="宋体" w:hint="default"/>
        </w:rPr>
        <w:t>5</w:t>
      </w:r>
      <w:r>
        <w:rPr/>
        <w:t>月，公司完成对大连金融资产交易所的增资扩股事项。大金所是在大连市政府、金融局、国 </w:t>
      </w:r>
      <w:r>
        <w:rPr>
          <w:spacing w:val="-1"/>
        </w:rPr>
        <w:t>资委的指导和大力支持下，经国务院批准设立的综合性金融资产和相关产品专业交易平台，是东北地区第</w:t>
      </w:r>
      <w:r>
        <w:rPr>
          <w:spacing w:val="-81"/>
        </w:rPr>
        <w:t> </w:t>
      </w:r>
      <w:r>
        <w:rPr>
          <w:spacing w:val="-81"/>
        </w:rPr>
      </w:r>
      <w:r>
        <w:rPr>
          <w:spacing w:val="-1"/>
        </w:rPr>
        <w:t>一家、目前也是唯一一家以“交易所”冠名的金融资产交易机构。大金所坚持政府指导、市场化运作，以</w:t>
      </w:r>
      <w:r>
        <w:rPr>
          <w:spacing w:val="-85"/>
        </w:rPr>
        <w:t> </w:t>
      </w:r>
      <w:r>
        <w:rPr>
          <w:spacing w:val="-85"/>
        </w:rPr>
      </w:r>
      <w:r>
        <w:rPr>
          <w:spacing w:val="-1"/>
        </w:rPr>
        <w:t>服务实体经济、支持城市基础设施建设、增加金融资产流动性、提供多元化投融资渠道为宗旨，将立足大</w:t>
      </w:r>
      <w:r>
        <w:rPr>
          <w:spacing w:val="-86"/>
        </w:rPr>
        <w:t> </w:t>
      </w:r>
      <w:r>
        <w:rPr>
          <w:spacing w:val="-86"/>
        </w:rPr>
      </w:r>
      <w:r>
        <w:rPr>
          <w:spacing w:val="-1"/>
        </w:rPr>
        <w:t>连、面向东北、辐射东北亚，打造各类金融资产的互联网交易平台、各类生息资产的证券化平台、各类政</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93"/>
        <w:jc w:val="left"/>
      </w:pPr>
      <w:r>
        <w:rPr>
          <w:spacing w:val="-1"/>
        </w:rPr>
        <w:t>府项目的投融资平台、各类不良资产的处置交易平台、境内资产与境外资金的对接平台以及线下资产与线</w:t>
      </w:r>
      <w:r>
        <w:rPr>
          <w:spacing w:val="-81"/>
        </w:rPr>
        <w:t> </w:t>
      </w:r>
      <w:r>
        <w:rPr>
          <w:spacing w:val="-81"/>
        </w:rPr>
      </w:r>
      <w:r>
        <w:rPr>
          <w:spacing w:val="-1"/>
        </w:rPr>
        <w:t>上投资人的对接平台。大金所以“普惠金融”为己任，通过引导民间资本投向政府鼓励的产业，实现“盘</w:t>
      </w:r>
      <w:r>
        <w:rPr>
          <w:spacing w:val="-85"/>
        </w:rPr>
        <w:t> </w:t>
      </w:r>
      <w:r>
        <w:rPr>
          <w:spacing w:val="-85"/>
        </w:rPr>
      </w:r>
      <w:r>
        <w:rPr>
          <w:spacing w:val="-1"/>
        </w:rPr>
        <w:t>活存量、用好增量”，成为政府在路桥、机场、治污、地铁、安居工程等基础设施项目方面的重要融资渠</w:t>
      </w:r>
      <w:r>
        <w:rPr>
          <w:spacing w:val="-84"/>
        </w:rPr>
        <w:t> </w:t>
      </w:r>
      <w:r>
        <w:rPr>
          <w:spacing w:val="-84"/>
        </w:rPr>
      </w:r>
      <w:r>
        <w:rPr>
          <w:spacing w:val="-1"/>
        </w:rPr>
        <w:t>道，在政府项目资本金筹集及后续配资方面发挥重要作用。大金所致力于为政府、企业提供多元化投融资</w:t>
      </w:r>
      <w:r>
        <w:rPr>
          <w:spacing w:val="-83"/>
        </w:rPr>
        <w:t> </w:t>
      </w:r>
      <w:r>
        <w:rPr>
          <w:spacing w:val="-83"/>
        </w:rPr>
      </w:r>
      <w:r>
        <w:rPr/>
        <w:t>渠道，为百姓提供安全的财富增值渠道，将成为大连建设东北亚金融中心的重要力量与不可或缺的要素。 增资入股大金所使公司在互联网金融领域的业务布局得以迅速开展。大金所平台于</w:t>
      </w:r>
      <w:r>
        <w:rPr>
          <w:rFonts w:ascii="宋体" w:hAnsi="宋体" w:cs="宋体" w:eastAsia="宋体" w:hint="default"/>
        </w:rPr>
        <w:t>2015</w:t>
      </w:r>
      <w:r>
        <w:rPr/>
        <w:t>年</w:t>
      </w:r>
      <w:r>
        <w:rPr>
          <w:rFonts w:ascii="宋体" w:hAnsi="宋体" w:cs="宋体" w:eastAsia="宋体" w:hint="default"/>
        </w:rPr>
        <w:t>9</w:t>
      </w:r>
      <w:r>
        <w:rPr/>
        <w:t>月底正式上线 运行，截至</w:t>
      </w:r>
      <w:r>
        <w:rPr>
          <w:rFonts w:ascii="宋体" w:hAnsi="宋体" w:cs="宋体" w:eastAsia="宋体" w:hint="default"/>
        </w:rPr>
        <w:t>2015</w:t>
      </w:r>
      <w:r>
        <w:rPr/>
        <w:t>年底，大金所实现交易量接近</w:t>
      </w:r>
      <w:r>
        <w:rPr>
          <w:rFonts w:ascii="宋体" w:hAnsi="宋体" w:cs="宋体" w:eastAsia="宋体" w:hint="default"/>
        </w:rPr>
        <w:t>100</w:t>
      </w:r>
      <w:r>
        <w:rPr/>
        <w:t>亿元。</w:t>
      </w:r>
    </w:p>
    <w:p>
      <w:pPr>
        <w:pStyle w:val="BodyText"/>
        <w:spacing w:line="408" w:lineRule="auto"/>
        <w:ind w:right="1024" w:firstLine="496"/>
        <w:jc w:val="left"/>
      </w:pPr>
      <w:r>
        <w:rPr>
          <w:rFonts w:ascii="宋体" w:hAnsi="宋体" w:cs="宋体" w:eastAsia="宋体" w:hint="default"/>
          <w:spacing w:val="-3"/>
        </w:rPr>
        <w:t>2015</w:t>
      </w:r>
      <w:r>
        <w:rPr>
          <w:spacing w:val="-3"/>
        </w:rPr>
        <w:t>年</w:t>
      </w:r>
      <w:r>
        <w:rPr>
          <w:rFonts w:ascii="宋体" w:hAnsi="宋体" w:cs="宋体" w:eastAsia="宋体" w:hint="default"/>
          <w:spacing w:val="-3"/>
        </w:rPr>
        <w:t>5</w:t>
      </w:r>
      <w:r>
        <w:rPr>
          <w:spacing w:val="-3"/>
        </w:rPr>
        <w:t>月，公司完成对安粮期货的增资事项。安粮期货主要从事国内商品期货经纪、金融期货经纪、</w:t>
      </w:r>
      <w:r>
        <w:rPr/>
        <w:t> 基金销售、资产管理业务。自成立以来，安粮期货稳健经营，业务快速发展，已发展成为安徽省主营业务 规模最大的期货经营机构之一。安粮期货未来目标定位于打造独具特色、有核心竞争力的互联网期货创新 业务体系，建立多元化的互联网金融集团，在风险管理业务、资产管理业务、金融交叉持牌等方面迅速布 局，拓展线上金融业务渠道，增强盈利能力。安粮期货具有资产管理、风险管理、证券投资基金销售、金 融衍生品交易、期权股指期货、期货经纪等金融业务牌照及金融业务团队，这与中科金财的互联网金融战 略高度协同，有助于公司快速推进及开展金融资产交易、资产管理、资产证券化等互联网金融综合服务业 务，公司在互联网金融领域的业务布局得到进一步完善。</w:t>
      </w:r>
    </w:p>
    <w:p>
      <w:pPr>
        <w:pStyle w:val="BodyText"/>
        <w:spacing w:line="408" w:lineRule="auto"/>
        <w:ind w:left="154" w:right="1016" w:firstLine="496"/>
        <w:jc w:val="left"/>
      </w:pPr>
      <w:r>
        <w:rPr/>
        <w:t>安粮期货系安徽省金融资产交易所重要股东。安徽省金融资产交易所是国内继北京金融资产交易所、 天津金融资产交易所之后经国务院审批的中国第三家金融资产交易机构。安金所立足于长三角这个经济和 金融最发达区域，业务发展辐射全国，放眼世界，致力于成为在长江沿线经济带最有影响力的金融资产交 易所之一。安金所提供各类金融资产交易、资产证券化、不良资产流转、平台项目投融资以及跨境资金对 接、股权债权、众筹等金融服务，打造线上线下多种交易模式，为各类金融资产打造一个从登记、托管、 交易到结算的全新、全景、全流程的综合金融交易平台，用创新思维的方式开创互联网金融的新局面。通 过投资安金所，中科金财进一步完善了包括金融资产交易、资产管理、风险管理、期权交易和新三板做市 等在内的资产证券化全产业链体系建设。安金所于</w:t>
      </w:r>
      <w:r>
        <w:rPr>
          <w:rFonts w:ascii="宋体" w:hAnsi="宋体" w:cs="宋体" w:eastAsia="宋体" w:hint="default"/>
        </w:rPr>
        <w:t>2015</w:t>
      </w:r>
      <w:r>
        <w:rPr/>
        <w:t>年</w:t>
      </w:r>
      <w:r>
        <w:rPr>
          <w:rFonts w:ascii="宋体" w:hAnsi="宋体" w:cs="宋体" w:eastAsia="宋体" w:hint="default"/>
        </w:rPr>
        <w:t>4</w:t>
      </w:r>
      <w:r>
        <w:rPr/>
        <w:t>月完成增资扩股，平台于</w:t>
      </w:r>
      <w:r>
        <w:rPr>
          <w:rFonts w:ascii="宋体" w:hAnsi="宋体" w:cs="宋体" w:eastAsia="宋体" w:hint="default"/>
        </w:rPr>
        <w:t>2015</w:t>
      </w:r>
      <w:r>
        <w:rPr/>
        <w:t>年</w:t>
      </w:r>
      <w:r>
        <w:rPr>
          <w:rFonts w:ascii="宋体" w:hAnsi="宋体" w:cs="宋体" w:eastAsia="宋体" w:hint="default"/>
        </w:rPr>
        <w:t>12</w:t>
      </w:r>
      <w:r>
        <w:rPr/>
        <w:t>月正式上线 运行。</w:t>
      </w:r>
    </w:p>
    <w:p>
      <w:pPr>
        <w:pStyle w:val="BodyText"/>
        <w:spacing w:line="240" w:lineRule="auto"/>
        <w:ind w:left="650" w:right="1024"/>
        <w:jc w:val="left"/>
      </w:pPr>
      <w:r>
        <w:rPr>
          <w:rFonts w:ascii="宋体" w:hAnsi="宋体" w:cs="宋体" w:eastAsia="宋体" w:hint="default"/>
        </w:rPr>
        <w:t>5.</w:t>
      </w:r>
      <w:r>
        <w:rPr/>
        <w:t>完成对滨河创新的整合，显著增强公司盈利能力及业务协同</w:t>
      </w:r>
    </w:p>
    <w:p>
      <w:pPr>
        <w:spacing w:line="240" w:lineRule="auto" w:before="10"/>
        <w:rPr>
          <w:rFonts w:ascii="宋体" w:hAnsi="宋体" w:cs="宋体" w:eastAsia="宋体" w:hint="default"/>
          <w:sz w:val="14"/>
          <w:szCs w:val="14"/>
        </w:rPr>
      </w:pPr>
    </w:p>
    <w:p>
      <w:pPr>
        <w:pStyle w:val="BodyText"/>
        <w:spacing w:line="408" w:lineRule="auto" w:before="0"/>
        <w:ind w:right="1024" w:firstLine="496"/>
        <w:jc w:val="left"/>
      </w:pPr>
      <w:r>
        <w:rPr>
          <w:rFonts w:ascii="宋体" w:hAnsi="宋体" w:cs="宋体" w:eastAsia="宋体" w:hint="default"/>
          <w:spacing w:val="-3"/>
        </w:rPr>
        <w:t>2014</w:t>
      </w:r>
      <w:r>
        <w:rPr>
          <w:spacing w:val="-3"/>
        </w:rPr>
        <w:t>年，公司成功完成了对天津滨河创新科技有限公司</w:t>
      </w:r>
      <w:r>
        <w:rPr>
          <w:rFonts w:ascii="宋体" w:hAnsi="宋体" w:cs="宋体" w:eastAsia="宋体" w:hint="default"/>
          <w:spacing w:val="-3"/>
        </w:rPr>
        <w:t>100%</w:t>
      </w:r>
      <w:r>
        <w:rPr>
          <w:spacing w:val="-3"/>
        </w:rPr>
        <w:t>股权的收购。滨河创新是银行信息化建设</w:t>
      </w:r>
      <w:r>
        <w:rPr/>
        <w:t> 整体外包服务的专业运营商，以保障银行信息数据、系统运行安全为基础，以自助平台建设及运营管理为 </w:t>
      </w:r>
      <w:r>
        <w:rPr>
          <w:spacing w:val="-3"/>
        </w:rPr>
        <w:t>支撑，承接农信社及城商行信息化建设整体服务外包业务。滨河创新与中科金财的业务具有很高的协同性，</w:t>
      </w:r>
      <w:r>
        <w:rPr>
          <w:spacing w:val="-92"/>
        </w:rPr>
        <w:t> </w:t>
      </w:r>
      <w:r>
        <w:rPr>
          <w:spacing w:val="-92"/>
        </w:rPr>
      </w:r>
      <w:r>
        <w:rPr/>
        <w:t>通过整合滨河创新掌握的中小金融机构客户资源，公司在智能银行领域的产品与服务优势进一步充分体 现，竞争优势更加稳固。</w:t>
      </w:r>
      <w:r>
        <w:rPr>
          <w:rFonts w:ascii="宋体" w:hAnsi="宋体" w:cs="宋体" w:eastAsia="宋体" w:hint="default"/>
        </w:rPr>
        <w:t>2015</w:t>
      </w:r>
      <w:r>
        <w:rPr/>
        <w:t>年滨河创新实现扣除非经常性损益后的净利润</w:t>
      </w:r>
      <w:r>
        <w:rPr>
          <w:rFonts w:ascii="宋体" w:hAnsi="宋体" w:cs="宋体" w:eastAsia="宋体" w:hint="default"/>
        </w:rPr>
        <w:t>7269.22</w:t>
      </w:r>
      <w:r>
        <w:rPr/>
        <w:t>万元，业务发展情况</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649" w:right="1723" w:hanging="496"/>
        <w:jc w:val="left"/>
      </w:pPr>
      <w:r>
        <w:rPr/>
        <w:t>良好。与滨河创新的整合使公司的盈利能力得到显著增强，为公司快速稳健发展奠定坚实的基础。 </w:t>
      </w:r>
      <w:r>
        <w:rPr>
          <w:rFonts w:ascii="宋体" w:hAnsi="宋体" w:cs="宋体" w:eastAsia="宋体" w:hint="default"/>
        </w:rPr>
        <w:t>6.</w:t>
      </w:r>
      <w:r>
        <w:rPr/>
        <w:t>参股中关村互联网金融中心，提升公司互联网金融数据端实力</w:t>
      </w:r>
    </w:p>
    <w:p>
      <w:pPr>
        <w:pStyle w:val="BodyText"/>
        <w:spacing w:line="408" w:lineRule="auto"/>
        <w:ind w:right="1093" w:firstLine="496"/>
        <w:jc w:val="left"/>
      </w:pPr>
      <w:r>
        <w:rPr>
          <w:rFonts w:ascii="宋体" w:hAnsi="宋体" w:cs="宋体" w:eastAsia="宋体" w:hint="default"/>
        </w:rPr>
        <w:t>2015</w:t>
      </w:r>
      <w:r>
        <w:rPr/>
        <w:t>年</w:t>
      </w:r>
      <w:r>
        <w:rPr>
          <w:rFonts w:ascii="宋体" w:hAnsi="宋体" w:cs="宋体" w:eastAsia="宋体" w:hint="default"/>
        </w:rPr>
        <w:t>4</w:t>
      </w:r>
      <w:r>
        <w:rPr/>
        <w:t>月，公司参股的中关村互联网金融服务中心正式推出监督管理、综合服务、创新孵化三大服 </w:t>
      </w:r>
      <w:r>
        <w:rPr>
          <w:spacing w:val="-1"/>
        </w:rPr>
        <w:t>务平台，包含互联网金融行业风向标——海淀指数以及合格互联网金融机构评审体系、登记备案系统、证</w:t>
      </w:r>
      <w:r>
        <w:rPr>
          <w:spacing w:val="-83"/>
        </w:rPr>
        <w:t> </w:t>
      </w:r>
      <w:r>
        <w:rPr>
          <w:spacing w:val="-83"/>
        </w:rPr>
      </w:r>
      <w:r>
        <w:rPr/>
        <w:t>据链备案系统、征信数据库、科技金融增信系统、互联网金融资产撮合、创客空间等多项重磅服务内容。 网金中心于</w:t>
      </w:r>
      <w:r>
        <w:rPr>
          <w:rFonts w:ascii="宋体" w:hAnsi="宋体" w:cs="宋体" w:eastAsia="宋体" w:hint="default"/>
        </w:rPr>
        <w:t>2015</w:t>
      </w:r>
      <w:r>
        <w:rPr/>
        <w:t>年</w:t>
      </w:r>
      <w:r>
        <w:rPr>
          <w:rFonts w:ascii="宋体" w:hAnsi="宋体" w:cs="宋体" w:eastAsia="宋体" w:hint="default"/>
        </w:rPr>
        <w:t>8</w:t>
      </w:r>
      <w:r>
        <w:rPr/>
        <w:t>月开展的互联网金融资产撮合服务，截至</w:t>
      </w:r>
      <w:r>
        <w:rPr>
          <w:rFonts w:ascii="宋体" w:hAnsi="宋体" w:cs="宋体" w:eastAsia="宋体" w:hint="default"/>
        </w:rPr>
        <w:t>2015</w:t>
      </w:r>
      <w:r>
        <w:rPr/>
        <w:t>年底已完成交易量近六十亿元，实现营 业收入</w:t>
      </w:r>
      <w:r>
        <w:rPr>
          <w:rFonts w:ascii="宋体" w:hAnsi="宋体" w:cs="宋体" w:eastAsia="宋体" w:hint="default"/>
        </w:rPr>
        <w:t>6406</w:t>
      </w:r>
      <w:r>
        <w:rPr/>
        <w:t>万元，并且已与互联网金融行业</w:t>
      </w:r>
      <w:r>
        <w:rPr>
          <w:rFonts w:ascii="宋体" w:hAnsi="宋体" w:cs="宋体" w:eastAsia="宋体" w:hint="default"/>
        </w:rPr>
        <w:t>60</w:t>
      </w:r>
      <w:r>
        <w:rPr/>
        <w:t>家实力平台共同搭建互联网金融资产撮合服务战略合作伙 </w:t>
      </w:r>
      <w:r>
        <w:rPr>
          <w:spacing w:val="-1"/>
        </w:rPr>
        <w:t>伴。网金中心致力于成为全国顶尖的互联网金融服务机构，有望为公司的互联网金融业务提供业务和数据</w:t>
      </w:r>
      <w:r>
        <w:rPr>
          <w:spacing w:val="-81"/>
        </w:rPr>
        <w:t> </w:t>
      </w:r>
      <w:r>
        <w:rPr>
          <w:spacing w:val="-81"/>
        </w:rPr>
      </w:r>
      <w:r>
        <w:rPr/>
        <w:t>领域的支持，完善公司的互联网金融生态闭环。</w:t>
      </w:r>
    </w:p>
    <w:p>
      <w:pPr>
        <w:pStyle w:val="BodyText"/>
        <w:spacing w:line="240" w:lineRule="auto"/>
        <w:ind w:left="650" w:right="1024"/>
        <w:jc w:val="left"/>
      </w:pPr>
      <w:r>
        <w:rPr>
          <w:rFonts w:ascii="宋体" w:hAnsi="宋体" w:cs="宋体" w:eastAsia="宋体" w:hint="default"/>
        </w:rPr>
        <w:t>7.</w:t>
      </w:r>
      <w:r>
        <w:rPr/>
        <w:t>完成非公开发行，资金实力获得进一步增强</w:t>
      </w:r>
    </w:p>
    <w:p>
      <w:pPr>
        <w:spacing w:line="240" w:lineRule="auto" w:before="10"/>
        <w:rPr>
          <w:rFonts w:ascii="宋体" w:hAnsi="宋体" w:cs="宋体" w:eastAsia="宋体" w:hint="default"/>
          <w:sz w:val="14"/>
          <w:szCs w:val="14"/>
        </w:rPr>
      </w:pPr>
    </w:p>
    <w:p>
      <w:pPr>
        <w:pStyle w:val="BodyText"/>
        <w:spacing w:line="408" w:lineRule="auto" w:before="0"/>
        <w:ind w:right="1130" w:firstLine="496"/>
        <w:jc w:val="both"/>
      </w:pP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30</w:t>
      </w:r>
      <w:r>
        <w:rPr/>
        <w:t>日，中国证券监督管理委员会证监许可</w:t>
      </w:r>
      <w:r>
        <w:rPr>
          <w:rFonts w:ascii="宋体" w:hAnsi="宋体" w:cs="宋体" w:eastAsia="宋体" w:hint="default"/>
        </w:rPr>
        <w:t>[2015]3136</w:t>
      </w:r>
      <w:r>
        <w:rPr/>
        <w:t>号文核准了公司非公开发行</w:t>
      </w:r>
      <w:r>
        <w:rPr>
          <w:rFonts w:ascii="宋体" w:hAnsi="宋体" w:cs="宋体" w:eastAsia="宋体" w:hint="default"/>
        </w:rPr>
        <w:t>A</w:t>
      </w:r>
      <w:r>
        <w:rPr/>
        <w:t>股股票 </w:t>
      </w:r>
      <w:r>
        <w:rPr>
          <w:spacing w:val="-1"/>
        </w:rPr>
        <w:t>事宜，募集资金</w:t>
      </w:r>
      <w:r>
        <w:rPr>
          <w:rFonts w:ascii="宋体" w:hAnsi="宋体" w:cs="宋体" w:eastAsia="宋体" w:hint="default"/>
          <w:spacing w:val="-1"/>
        </w:rPr>
        <w:t>9.72</w:t>
      </w:r>
      <w:r>
        <w:rPr>
          <w:spacing w:val="-1"/>
        </w:rPr>
        <w:t>亿元将用于建设互联网金融云中心项目、增资安粮期货、智能银行研发中心项目及补</w:t>
      </w:r>
      <w:r>
        <w:rPr>
          <w:spacing w:val="-81"/>
        </w:rPr>
        <w:t> </w:t>
      </w:r>
      <w:r>
        <w:rPr>
          <w:spacing w:val="-81"/>
        </w:rPr>
      </w:r>
      <w:r>
        <w:rPr>
          <w:spacing w:val="-1"/>
        </w:rPr>
        <w:t>充流动资金。本次募资工作完成后，大大增强了公司的资本实力，解决了公司后续发展的资金瓶颈，为公</w:t>
      </w:r>
      <w:r>
        <w:rPr>
          <w:spacing w:val="-86"/>
        </w:rPr>
        <w:t> </w:t>
      </w:r>
      <w:r>
        <w:rPr>
          <w:spacing w:val="-86"/>
        </w:rPr>
      </w:r>
      <w:r>
        <w:rPr/>
        <w:t>司未来的发展提供了资金保证。</w:t>
      </w:r>
    </w:p>
    <w:p>
      <w:pPr>
        <w:spacing w:line="240" w:lineRule="auto" w:before="11"/>
        <w:rPr>
          <w:rFonts w:ascii="宋体" w:hAnsi="宋体" w:cs="宋体" w:eastAsia="宋体" w:hint="default"/>
          <w:sz w:val="18"/>
          <w:szCs w:val="18"/>
        </w:rPr>
      </w:pPr>
    </w:p>
    <w:p>
      <w:pPr>
        <w:pStyle w:val="Heading2"/>
        <w:spacing w:line="240" w:lineRule="auto"/>
        <w:ind w:right="1024"/>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20" w:lineRule="auto" w:before="0"/>
        <w:ind w:left="153" w:right="550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21"/>
          <w:szCs w:val="21"/>
        </w:rPr>
        <w:t>参见“管理层讨论与分析”中的“一、概述”相关内容。 </w:t>
      </w:r>
      <w:bookmarkStart w:name="2、收入与成本" w:id="28"/>
      <w:bookmarkEnd w:id="28"/>
      <w:r>
        <w:rPr>
          <w:rFonts w:ascii="宋体" w:hAnsi="宋体" w:cs="宋体" w:eastAsia="宋体" w:hint="default"/>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51"/>
        <w:ind w:left="153" w:right="1024"/>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600"/>
        <w:gridCol w:w="1589"/>
        <w:gridCol w:w="1600"/>
        <w:gridCol w:w="1583"/>
        <w:gridCol w:w="1601"/>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1,327,554,356.58</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1,098,367,226.38</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20.87%</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478,822,698.92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304,901,109.56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27.76%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556,714,817.46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608,649,932.04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55.41%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政府与公用事业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291,019,676.52</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152,639,130.51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13.90%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997,163.68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32,177,054.27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2.93%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-96.90%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智能银行解决方案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519,875,788.39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336,164,879.17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数据中心综合建设 解决方案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658,449,992.18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605,892,571.85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服务管理解决方</w:t>
            </w:r>
            <w:r>
              <w:rPr>
                <w:rFonts w:ascii="宋体" w:hAnsi="宋体" w:cs="宋体" w:eastAsia="宋体" w:hint="default"/>
                <w:w w:val="99"/>
                <w:sz w:val="18"/>
                <w:szCs w:val="18"/>
              </w:rPr>
              <w:t> </w:t>
            </w:r>
            <w:r>
              <w:rPr>
                <w:rFonts w:ascii="宋体" w:hAnsi="宋体" w:cs="宋体" w:eastAsia="宋体" w:hint="default"/>
                <w:sz w:val="18"/>
                <w:szCs w:val="18"/>
              </w:rPr>
              <w:t>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140,519,178.91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146,935,581.72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8,709,397.10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9,374,193.64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919,462,305.82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816,342,294.40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408,092,050.76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282,024,931.98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44.70%</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556,714,817.46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390,642,123.55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478,822,698.92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302,624,572.11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政府与公用事业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291,019,676.52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250,620,599.34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服务管理解决</w:t>
            </w:r>
            <w:r>
              <w:rPr>
                <w:rFonts w:ascii="宋体" w:hAnsi="宋体" w:cs="宋体" w:eastAsia="宋体" w:hint="default"/>
                <w:w w:val="99"/>
                <w:sz w:val="18"/>
                <w:szCs w:val="18"/>
              </w:rPr>
              <w:t> </w:t>
            </w:r>
            <w:r>
              <w:rPr>
                <w:rFonts w:ascii="宋体" w:hAnsi="宋体" w:cs="宋体" w:eastAsia="宋体" w:hint="default"/>
                <w:sz w:val="18"/>
                <w:szCs w:val="18"/>
              </w:rPr>
              <w:t>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140,519,178.91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55,213,587.43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数据中心综合建 设解决方案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658,449,992.18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577,990,947.70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智能银行解决方 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519,875,788.39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304,525,968.82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919,462,305.82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638,283,795.87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408,092,050.76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306,523,409.95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1024"/>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1024"/>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7" w:footer="979" w:top="1060" w:bottom="1160" w:left="980" w:right="0"/>
        </w:sectPr>
      </w:pPr>
    </w:p>
    <w:p>
      <w:pPr>
        <w:spacing w:before="38"/>
        <w:ind w:left="154" w:right="0" w:firstLine="0"/>
        <w:jc w:val="left"/>
        <w:rPr>
          <w:rFonts w:ascii="宋体" w:hAnsi="宋体" w:cs="宋体" w:eastAsia="宋体" w:hint="default"/>
          <w:sz w:val="20"/>
          <w:szCs w:val="20"/>
        </w:rPr>
      </w:pPr>
      <w:r>
        <w:rPr>
          <w:rFonts w:ascii="宋体" w:hAnsi="宋体" w:cs="宋体" w:eastAsia="宋体" w:hint="default"/>
          <w:b/>
          <w:bCs/>
          <w:w w:val="95"/>
          <w:sz w:val="20"/>
          <w:szCs w:val="20"/>
        </w:rPr>
        <w:t>行业和产品分类</w:t>
      </w:r>
      <w:r>
        <w:rPr>
          <w:rFonts w:ascii="宋体" w:hAnsi="宋体" w:cs="宋体" w:eastAsia="宋体" w:hint="default"/>
          <w:sz w:val="20"/>
          <w:szCs w:val="2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
        <w:rPr>
          <w:rFonts w:ascii="宋体" w:hAnsi="宋体" w:cs="宋体" w:eastAsia="宋体" w:hint="default"/>
          <w:b/>
          <w:bCs/>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59" w:space="736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302,624,572.11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230,367,086.44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390,642,123.55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462,889,581.69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政府与公用事业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250,620,599.34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110,516,131.85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126.77%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919,910.82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27,461,611.66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-96.65%</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智能银行解决方 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304,525,968.82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258,086,542.80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17.99%</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数据中心综合建 设解决方案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577,990,947.70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506,706,609.34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14.07%</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服务管理解决</w:t>
            </w:r>
            <w:r>
              <w:rPr>
                <w:rFonts w:ascii="宋体" w:hAnsi="宋体" w:cs="宋体" w:eastAsia="宋体" w:hint="default"/>
                <w:w w:val="99"/>
                <w:sz w:val="18"/>
                <w:szCs w:val="18"/>
              </w:rPr>
              <w:t> </w:t>
            </w:r>
            <w:r>
              <w:rPr>
                <w:rFonts w:ascii="宋体" w:hAnsi="宋体" w:cs="宋体" w:eastAsia="宋体" w:hint="default"/>
                <w:sz w:val="18"/>
                <w:szCs w:val="18"/>
              </w:rPr>
              <w:t>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55,213,587.43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61,035,520.29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7,076,701.87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5,405,739.21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30.91%</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4"/>
        <w:spacing w:line="240" w:lineRule="auto"/>
        <w:ind w:left="153" w:right="1024"/>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left="153" w:right="1024"/>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b/>
          <w:bCs/>
          <w:sz w:val="18"/>
          <w:szCs w:val="18"/>
        </w:rPr>
        <w:t>公司主要销售客户情况</w:t>
      </w:r>
      <w:r>
        <w:rPr>
          <w:rFonts w:ascii="宋体" w:hAnsi="宋体" w:cs="宋体" w:eastAsia="宋体" w:hint="default"/>
          <w:sz w:val="18"/>
          <w:szCs w:val="18"/>
        </w:rPr>
      </w:r>
    </w:p>
    <w:p>
      <w:pPr>
        <w:spacing w:line="240" w:lineRule="auto" w:before="1"/>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394,377,400.33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29.70%</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b/>
          <w:bCs/>
          <w:sz w:val="18"/>
          <w:szCs w:val="18"/>
        </w:rPr>
        <w:t>公司前</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大客户资料</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河北省农村信用社联合社</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116,864,148.00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中经网（北京）数据科技发展有限公司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79,402,103.38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北京友邦佳通电子科技有限公司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75,979,466.80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71,690,656.56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河南省卫生厅统计信息中心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50,441,025.59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394,377,400.33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29.70%</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3" w:right="912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公司主要供应商情况</w:t>
      </w:r>
      <w:r>
        <w:rPr>
          <w:rFonts w:ascii="宋体" w:hAnsi="宋体" w:cs="宋体" w:eastAsia="宋体" w:hint="default"/>
          <w:sz w:val="18"/>
          <w:szCs w:val="18"/>
        </w:rPr>
      </w:r>
    </w:p>
    <w:p>
      <w:pPr>
        <w:spacing w:line="240" w:lineRule="auto" w:before="6"/>
        <w:rPr>
          <w:rFonts w:ascii="宋体" w:hAnsi="宋体" w:cs="宋体" w:eastAsia="宋体" w:hint="default"/>
          <w:b/>
          <w:bCs/>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303,538,051.11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33.94%</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b/>
          <w:bCs/>
          <w:sz w:val="18"/>
          <w:szCs w:val="18"/>
        </w:rPr>
        <w:t>公司前</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名供应商资料</w:t>
      </w:r>
      <w:r>
        <w:rPr>
          <w:rFonts w:ascii="宋体" w:hAnsi="宋体" w:cs="宋体" w:eastAsia="宋体" w:hint="default"/>
          <w:sz w:val="18"/>
          <w:szCs w:val="18"/>
        </w:rPr>
      </w:r>
    </w:p>
    <w:p>
      <w:pPr>
        <w:spacing w:line="240" w:lineRule="auto" w:before="0"/>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113,395,540.99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81,640,001.66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44,428,354.70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戴尔（中国）有限公司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35,609,210.56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北京元鼎时代科技股份有限公司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28,464,943.20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303,538,051.11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33.94%</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1024"/>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37,180,153.03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24,619,642.82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51.02%</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主要系本期将滨河创新全年数据纳 </w:t>
            </w:r>
            <w:r>
              <w:rPr>
                <w:rFonts w:ascii="宋体" w:hAnsi="宋体" w:cs="宋体" w:eastAsia="宋体" w:hint="default"/>
                <w:spacing w:val="-2"/>
                <w:sz w:val="18"/>
                <w:szCs w:val="18"/>
              </w:rPr>
              <w:t>入合并范围，上年同期只合并滨河创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新第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月数据所致。</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175,518,437.79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169,933,498.61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12,774,713.94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16,924,047.07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16,425,225.62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5,705,685.49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主要系本期将滨河创新全年数据纳 入合并范围及母公司适用企业所得 税税率从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变更为</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（上期公司</w:t>
            </w:r>
            <w:r>
              <w:rPr>
                <w:rFonts w:ascii="宋体" w:hAnsi="宋体" w:cs="宋体" w:eastAsia="宋体" w:hint="default"/>
                <w:sz w:val="18"/>
                <w:szCs w:val="18"/>
              </w:rPr>
              <w:t> 享受</w:t>
            </w:r>
            <w:r>
              <w:rPr>
                <w:rFonts w:ascii="Times New Roman" w:hAnsi="Times New Roman" w:cs="Times New Roman" w:eastAsia="Times New Roman" w:hint="default"/>
                <w:sz w:val="18"/>
                <w:szCs w:val="18"/>
              </w:rPr>
              <w:t>“</w:t>
            </w:r>
            <w:r>
              <w:rPr>
                <w:rFonts w:ascii="宋体" w:hAnsi="宋体" w:cs="宋体" w:eastAsia="宋体" w:hint="default"/>
                <w:sz w:val="18"/>
                <w:szCs w:val="18"/>
              </w:rPr>
              <w:t>国家规划布局内重点软件企业 和集成电路设计企业</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优惠税</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率）所致。</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8" w:lineRule="auto" w:before="153"/>
        <w:ind w:right="1024" w:firstLine="423"/>
        <w:jc w:val="left"/>
        <w:rPr>
          <w:rFonts w:ascii="宋体" w:hAnsi="宋体" w:cs="宋体" w:eastAsia="宋体" w:hint="default"/>
        </w:rPr>
      </w:pPr>
      <w:r>
        <w:rPr/>
        <w:pict>
          <v:shape style="position:absolute;margin-left:57.029999pt;margin-top:94.31369pt;width:478.6pt;height:156.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141,759,082.07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110,623,397.15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32,261,185.45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32,148,039.74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-6.30%</w:t>
                        </w:r>
                      </w:p>
                    </w:tc>
                  </w:tr>
                </w:tbl>
                <w:p>
                  <w:pPr/>
                </w:p>
              </w:txbxContent>
            </v:textbox>
            <w10:wrap type="none"/>
          </v:shape>
        </w:pict>
      </w:r>
      <w:r>
        <w:rPr>
          <w:spacing w:val="-1"/>
        </w:rPr>
        <w:t>报告期内，公司继续保持较高的研发投入，紧密围绕智能银行整体解决方案及互联网金融综合服务的</w:t>
      </w:r>
      <w:r>
        <w:rPr/>
        <w:t> 发展战略，开展了多个产品及应用系统的自主研发，共投入研发费用</w:t>
      </w:r>
      <w:r>
        <w:rPr>
          <w:rFonts w:ascii="宋体" w:hAnsi="宋体" w:cs="宋体" w:eastAsia="宋体" w:hint="default"/>
        </w:rPr>
        <w:t>141,759,082.07</w:t>
      </w:r>
      <w:r>
        <w:rPr/>
        <w:t>元，较上年增长 </w:t>
      </w:r>
      <w:r>
        <w:rPr>
          <w:rFonts w:ascii="宋体" w:hAnsi="宋体" w:cs="宋体" w:eastAsia="宋体" w:hint="default"/>
        </w:rPr>
        <w:t>28.15%</w:t>
      </w:r>
      <w:r>
        <w:rPr/>
        <w:t>，研发投入占营业收入的比例达到</w:t>
      </w:r>
      <w:r>
        <w:rPr>
          <w:rFonts w:ascii="宋体" w:hAnsi="宋体" w:cs="宋体" w:eastAsia="宋体" w:hint="default"/>
        </w:rPr>
        <w:t>10.68%</w:t>
      </w:r>
      <w:r>
        <w:rPr/>
        <w:t>，其中资本化部分金额为</w:t>
      </w:r>
      <w:r>
        <w:rPr>
          <w:rFonts w:ascii="宋体" w:hAnsi="宋体" w:cs="宋体" w:eastAsia="宋体" w:hint="default"/>
        </w:rPr>
        <w:t>32,261,185.45</w:t>
      </w:r>
      <w:r>
        <w:rPr/>
        <w:t>元。 </w:t>
      </w:r>
      <w:r>
        <w:rPr>
          <w:rFonts w:ascii="宋体" w:hAnsi="宋体" w:cs="宋体" w:eastAsia="宋体" w:hint="default"/>
          <w:b/>
          <w:bCs/>
        </w:rPr>
        <w:t>公司研发投入情况</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44"/>
        <w:ind w:left="154" w:right="1024"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1024"/>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1,728,414,621.00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1,582,951,008.87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1,355,709,489.62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1,340,530,596.57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372,705,131.38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242,420,412.30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1,889,578,819.90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501,266,223.44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276.96%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2,361,061,792.53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800,070,722.90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195.11%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-471,482,972.63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-298,804,499.46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-57.79%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50,635,957.75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327,161,599.62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79,037,740.42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119,539,673.35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-28,401,782.67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207,621,926.27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-113.68%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5" w:right="0"/>
              <w:jc w:val="left"/>
              <w:rPr>
                <w:rFonts w:ascii="Times New Roman" w:hAnsi="Times New Roman" w:cs="Times New Roman" w:eastAsia="Times New Roman" w:hint="default"/>
                <w:sz w:val="18"/>
                <w:szCs w:val="18"/>
              </w:rPr>
            </w:pPr>
            <w:r>
              <w:rPr>
                <w:rFonts w:ascii="Times New Roman"/>
                <w:sz w:val="18"/>
              </w:rPr>
              <w:t>-127,105,838.19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151,237,710.45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-184.04%</w:t>
            </w:r>
            <w:r>
              <w:rPr>
                <w:rFonts w:ascii="Times New Roman"/>
                <w:sz w:val="18"/>
              </w:rPr>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2"/>
          <w:szCs w:val="12"/>
        </w:rPr>
      </w:pPr>
    </w:p>
    <w:p>
      <w:pPr>
        <w:spacing w:line="429" w:lineRule="auto" w:before="0"/>
        <w:ind w:left="153" w:right="1024" w:firstLine="426"/>
        <w:jc w:val="left"/>
        <w:rPr>
          <w:rFonts w:ascii="宋体" w:hAnsi="宋体" w:cs="宋体" w:eastAsia="宋体" w:hint="default"/>
          <w:sz w:val="20"/>
          <w:szCs w:val="20"/>
        </w:rPr>
      </w:pPr>
      <w:r>
        <w:rPr>
          <w:rFonts w:ascii="宋体" w:hAnsi="宋体" w:cs="宋体" w:eastAsia="宋体" w:hint="default"/>
          <w:spacing w:val="-1"/>
          <w:sz w:val="20"/>
          <w:szCs w:val="20"/>
        </w:rPr>
        <w:t>经营活动产生的现金流量净额较上年增长</w:t>
      </w:r>
      <w:r>
        <w:rPr>
          <w:rFonts w:ascii="宋体" w:hAnsi="宋体" w:cs="宋体" w:eastAsia="宋体" w:hint="default"/>
          <w:spacing w:val="-1"/>
          <w:sz w:val="20"/>
          <w:szCs w:val="20"/>
        </w:rPr>
        <w:t>53.74%</w:t>
      </w:r>
      <w:r>
        <w:rPr>
          <w:rFonts w:ascii="宋体" w:hAnsi="宋体" w:cs="宋体" w:eastAsia="宋体" w:hint="default"/>
          <w:spacing w:val="-1"/>
          <w:sz w:val="20"/>
          <w:szCs w:val="20"/>
        </w:rPr>
        <w:t>，主要系公司加强收款、控制项目备货规模等因素综合影</w:t>
      </w:r>
      <w:r>
        <w:rPr>
          <w:rFonts w:ascii="宋体" w:hAnsi="宋体" w:cs="宋体" w:eastAsia="宋体" w:hint="default"/>
          <w:w w:val="100"/>
          <w:sz w:val="20"/>
          <w:szCs w:val="20"/>
        </w:rPr>
        <w:t> </w:t>
      </w:r>
      <w:r>
        <w:rPr>
          <w:rFonts w:ascii="宋体" w:hAnsi="宋体" w:cs="宋体" w:eastAsia="宋体" w:hint="default"/>
          <w:sz w:val="20"/>
          <w:szCs w:val="20"/>
        </w:rPr>
        <w:t>响所致。</w:t>
      </w:r>
    </w:p>
    <w:p>
      <w:pPr>
        <w:spacing w:line="429" w:lineRule="auto" w:before="48"/>
        <w:ind w:left="153" w:right="1024" w:firstLine="426"/>
        <w:jc w:val="left"/>
        <w:rPr>
          <w:rFonts w:ascii="宋体" w:hAnsi="宋体" w:cs="宋体" w:eastAsia="宋体" w:hint="default"/>
          <w:sz w:val="20"/>
          <w:szCs w:val="20"/>
        </w:rPr>
      </w:pPr>
      <w:r>
        <w:rPr>
          <w:rFonts w:ascii="宋体" w:hAnsi="宋体" w:cs="宋体" w:eastAsia="宋体" w:hint="default"/>
          <w:spacing w:val="-3"/>
          <w:sz w:val="20"/>
          <w:szCs w:val="20"/>
        </w:rPr>
        <w:t>投资活动现金流入小计较上年增长</w:t>
      </w:r>
      <w:r>
        <w:rPr>
          <w:rFonts w:ascii="宋体" w:hAnsi="宋体" w:cs="宋体" w:eastAsia="宋体" w:hint="default"/>
          <w:spacing w:val="-3"/>
          <w:sz w:val="20"/>
          <w:szCs w:val="20"/>
        </w:rPr>
        <w:t>276.96%</w:t>
      </w:r>
      <w:r>
        <w:rPr>
          <w:rFonts w:ascii="宋体" w:hAnsi="宋体" w:cs="宋体" w:eastAsia="宋体" w:hint="default"/>
          <w:spacing w:val="-3"/>
          <w:sz w:val="20"/>
          <w:szCs w:val="20"/>
        </w:rPr>
        <w:t>，主要系公司精细资金管理，增加短期保本型理财产品的操作频</w:t>
      </w:r>
      <w:r>
        <w:rPr>
          <w:rFonts w:ascii="宋体" w:hAnsi="宋体" w:cs="宋体" w:eastAsia="宋体" w:hint="default"/>
          <w:w w:val="100"/>
          <w:sz w:val="20"/>
          <w:szCs w:val="20"/>
        </w:rPr>
        <w:t> </w:t>
      </w:r>
      <w:r>
        <w:rPr>
          <w:rFonts w:ascii="宋体" w:hAnsi="宋体" w:cs="宋体" w:eastAsia="宋体" w:hint="default"/>
          <w:sz w:val="20"/>
          <w:szCs w:val="20"/>
        </w:rPr>
        <w:t>次及获得投资收益增加所致。</w:t>
      </w:r>
    </w:p>
    <w:p>
      <w:pPr>
        <w:spacing w:line="429" w:lineRule="auto" w:before="48"/>
        <w:ind w:left="153" w:right="1024" w:firstLine="426"/>
        <w:jc w:val="left"/>
        <w:rPr>
          <w:rFonts w:ascii="宋体" w:hAnsi="宋体" w:cs="宋体" w:eastAsia="宋体" w:hint="default"/>
          <w:sz w:val="20"/>
          <w:szCs w:val="20"/>
        </w:rPr>
      </w:pPr>
      <w:r>
        <w:rPr>
          <w:rFonts w:ascii="宋体" w:hAnsi="宋体" w:cs="宋体" w:eastAsia="宋体" w:hint="default"/>
          <w:spacing w:val="-3"/>
          <w:sz w:val="20"/>
          <w:szCs w:val="20"/>
        </w:rPr>
        <w:t>投资活动现金流出小计较上年增长</w:t>
      </w:r>
      <w:r>
        <w:rPr>
          <w:rFonts w:ascii="宋体" w:hAnsi="宋体" w:cs="宋体" w:eastAsia="宋体" w:hint="default"/>
          <w:spacing w:val="-3"/>
          <w:sz w:val="20"/>
          <w:szCs w:val="20"/>
        </w:rPr>
        <w:t>195.11%</w:t>
      </w:r>
      <w:r>
        <w:rPr>
          <w:rFonts w:ascii="宋体" w:hAnsi="宋体" w:cs="宋体" w:eastAsia="宋体" w:hint="default"/>
          <w:spacing w:val="-3"/>
          <w:sz w:val="20"/>
          <w:szCs w:val="20"/>
        </w:rPr>
        <w:t>，主要系公司本期投资安粮期货、大金所等参股公司及增加短期</w:t>
      </w:r>
      <w:r>
        <w:rPr>
          <w:rFonts w:ascii="宋体" w:hAnsi="宋体" w:cs="宋体" w:eastAsia="宋体" w:hint="default"/>
          <w:w w:val="100"/>
          <w:sz w:val="20"/>
          <w:szCs w:val="20"/>
        </w:rPr>
        <w:t> </w:t>
      </w:r>
      <w:r>
        <w:rPr>
          <w:rFonts w:ascii="宋体" w:hAnsi="宋体" w:cs="宋体" w:eastAsia="宋体" w:hint="default"/>
          <w:sz w:val="20"/>
          <w:szCs w:val="20"/>
        </w:rPr>
        <w:t>保本型理财产品的操作频次所致。</w:t>
      </w:r>
    </w:p>
    <w:p>
      <w:pPr>
        <w:spacing w:line="429" w:lineRule="auto" w:before="48"/>
        <w:ind w:left="579" w:right="1024" w:firstLine="0"/>
        <w:jc w:val="left"/>
        <w:rPr>
          <w:rFonts w:ascii="宋体" w:hAnsi="宋体" w:cs="宋体" w:eastAsia="宋体" w:hint="default"/>
          <w:sz w:val="20"/>
          <w:szCs w:val="20"/>
        </w:rPr>
      </w:pPr>
      <w:r>
        <w:rPr>
          <w:rFonts w:ascii="宋体" w:hAnsi="宋体" w:cs="宋体" w:eastAsia="宋体" w:hint="default"/>
          <w:spacing w:val="-3"/>
          <w:w w:val="100"/>
          <w:sz w:val="20"/>
          <w:szCs w:val="20"/>
        </w:rPr>
        <w:t>投资活动产生的现金流量净额较上年下降</w:t>
      </w:r>
      <w:r>
        <w:rPr>
          <w:rFonts w:ascii="宋体" w:hAnsi="宋体" w:cs="宋体" w:eastAsia="宋体" w:hint="default"/>
          <w:spacing w:val="-3"/>
          <w:w w:val="100"/>
          <w:sz w:val="20"/>
          <w:szCs w:val="20"/>
        </w:rPr>
        <w:t>57.79%</w:t>
      </w:r>
      <w:r>
        <w:rPr>
          <w:rFonts w:ascii="宋体" w:hAnsi="宋体" w:cs="宋体" w:eastAsia="宋体" w:hint="default"/>
          <w:spacing w:val="-3"/>
          <w:w w:val="100"/>
          <w:sz w:val="20"/>
          <w:szCs w:val="20"/>
        </w:rPr>
        <w:t>，主要系公司本期投资安粮期货及大金所等参股公司所致。</w:t>
      </w:r>
      <w:r>
        <w:rPr>
          <w:rFonts w:ascii="宋体" w:hAnsi="宋体" w:cs="宋体" w:eastAsia="宋体" w:hint="default"/>
          <w:spacing w:val="-68"/>
          <w:w w:val="100"/>
          <w:sz w:val="20"/>
          <w:szCs w:val="20"/>
        </w:rPr>
        <w:t> </w:t>
      </w:r>
      <w:r>
        <w:rPr>
          <w:rFonts w:ascii="宋体" w:hAnsi="宋体" w:cs="宋体" w:eastAsia="宋体" w:hint="default"/>
          <w:spacing w:val="-68"/>
          <w:w w:val="100"/>
          <w:sz w:val="20"/>
          <w:szCs w:val="20"/>
        </w:rPr>
      </w:r>
      <w:r>
        <w:rPr>
          <w:rFonts w:ascii="宋体" w:hAnsi="宋体" w:cs="宋体" w:eastAsia="宋体" w:hint="default"/>
          <w:spacing w:val="-3"/>
          <w:w w:val="100"/>
          <w:sz w:val="20"/>
          <w:szCs w:val="20"/>
        </w:rPr>
        <w:t>筹资活动现金流入小计较上年下降</w:t>
      </w:r>
      <w:r>
        <w:rPr>
          <w:rFonts w:ascii="宋体" w:hAnsi="宋体" w:cs="宋体" w:eastAsia="宋体" w:hint="default"/>
          <w:spacing w:val="-3"/>
          <w:w w:val="100"/>
          <w:sz w:val="20"/>
          <w:szCs w:val="20"/>
        </w:rPr>
        <w:t>84.52%</w:t>
      </w:r>
      <w:r>
        <w:rPr>
          <w:rFonts w:ascii="宋体" w:hAnsi="宋体" w:cs="宋体" w:eastAsia="宋体" w:hint="default"/>
          <w:spacing w:val="-3"/>
          <w:w w:val="100"/>
          <w:sz w:val="20"/>
          <w:szCs w:val="20"/>
        </w:rPr>
        <w:t>，主要系公司上期收到收购滨河创新股权定向募集配套资金所致。</w:t>
      </w:r>
      <w:r>
        <w:rPr>
          <w:rFonts w:ascii="宋体" w:hAnsi="宋体" w:cs="宋体" w:eastAsia="宋体" w:hint="default"/>
          <w:spacing w:val="-67"/>
          <w:w w:val="100"/>
          <w:sz w:val="20"/>
          <w:szCs w:val="20"/>
        </w:rPr>
        <w:t> </w:t>
      </w:r>
      <w:r>
        <w:rPr>
          <w:rFonts w:ascii="宋体" w:hAnsi="宋体" w:cs="宋体" w:eastAsia="宋体" w:hint="default"/>
          <w:spacing w:val="-67"/>
          <w:w w:val="100"/>
          <w:sz w:val="20"/>
          <w:szCs w:val="20"/>
        </w:rPr>
      </w:r>
      <w:r>
        <w:rPr>
          <w:rFonts w:ascii="宋体" w:hAnsi="宋体" w:cs="宋体" w:eastAsia="宋体" w:hint="default"/>
          <w:sz w:val="20"/>
          <w:szCs w:val="20"/>
        </w:rPr>
        <w:t>筹资活动现金流出小计较上年下降</w:t>
      </w:r>
      <w:r>
        <w:rPr>
          <w:rFonts w:ascii="宋体" w:hAnsi="宋体" w:cs="宋体" w:eastAsia="宋体" w:hint="default"/>
          <w:sz w:val="20"/>
          <w:szCs w:val="20"/>
        </w:rPr>
        <w:t>33.88%</w:t>
      </w:r>
      <w:r>
        <w:rPr>
          <w:rFonts w:ascii="宋体" w:hAnsi="宋体" w:cs="宋体" w:eastAsia="宋体" w:hint="default"/>
          <w:sz w:val="20"/>
          <w:szCs w:val="20"/>
        </w:rPr>
        <w:t>，主要系使用及归还银行短期借款减少所致。</w:t>
      </w:r>
      <w:r>
        <w:rPr>
          <w:rFonts w:ascii="宋体" w:hAnsi="宋体" w:cs="宋体" w:eastAsia="宋体" w:hint="default"/>
          <w:w w:val="100"/>
          <w:sz w:val="20"/>
          <w:szCs w:val="20"/>
        </w:rPr>
        <w:t> </w:t>
      </w:r>
      <w:r>
        <w:rPr>
          <w:rFonts w:ascii="宋体" w:hAnsi="宋体" w:cs="宋体" w:eastAsia="宋体" w:hint="default"/>
          <w:spacing w:val="-3"/>
          <w:w w:val="100"/>
          <w:sz w:val="20"/>
          <w:szCs w:val="20"/>
        </w:rPr>
        <w:t>筹资活动产生的现金流量净额较上年下降</w:t>
      </w:r>
      <w:r>
        <w:rPr>
          <w:rFonts w:ascii="宋体" w:hAnsi="宋体" w:cs="宋体" w:eastAsia="宋体" w:hint="default"/>
          <w:spacing w:val="-3"/>
          <w:w w:val="100"/>
          <w:sz w:val="20"/>
          <w:szCs w:val="20"/>
        </w:rPr>
        <w:t>113.68%</w:t>
      </w:r>
      <w:r>
        <w:rPr>
          <w:rFonts w:ascii="宋体" w:hAnsi="宋体" w:cs="宋体" w:eastAsia="宋体" w:hint="default"/>
          <w:spacing w:val="-3"/>
          <w:w w:val="100"/>
          <w:sz w:val="20"/>
          <w:szCs w:val="20"/>
        </w:rPr>
        <w:t>，主要系公司上期收到收购滨河创新股权定向募集配套资</w:t>
      </w:r>
    </w:p>
    <w:p>
      <w:pPr>
        <w:spacing w:before="48"/>
        <w:ind w:left="153" w:right="1024" w:firstLine="0"/>
        <w:jc w:val="left"/>
        <w:rPr>
          <w:rFonts w:ascii="宋体" w:hAnsi="宋体" w:cs="宋体" w:eastAsia="宋体" w:hint="default"/>
          <w:sz w:val="20"/>
          <w:szCs w:val="20"/>
        </w:rPr>
      </w:pPr>
      <w:r>
        <w:rPr>
          <w:rFonts w:ascii="宋体" w:hAnsi="宋体" w:cs="宋体" w:eastAsia="宋体" w:hint="default"/>
          <w:sz w:val="20"/>
          <w:szCs w:val="20"/>
        </w:rPr>
        <w:t>金所致。</w:t>
      </w:r>
    </w:p>
    <w:p>
      <w:pPr>
        <w:spacing w:line="240" w:lineRule="auto" w:before="10"/>
        <w:rPr>
          <w:rFonts w:ascii="宋体" w:hAnsi="宋体" w:cs="宋体" w:eastAsia="宋体" w:hint="default"/>
          <w:sz w:val="15"/>
          <w:szCs w:val="15"/>
        </w:rPr>
      </w:pPr>
    </w:p>
    <w:p>
      <w:pPr>
        <w:spacing w:before="0"/>
        <w:ind w:left="579" w:right="1024" w:firstLine="0"/>
        <w:jc w:val="left"/>
        <w:rPr>
          <w:rFonts w:ascii="宋体" w:hAnsi="宋体" w:cs="宋体" w:eastAsia="宋体" w:hint="default"/>
          <w:sz w:val="20"/>
          <w:szCs w:val="20"/>
        </w:rPr>
      </w:pPr>
      <w:r>
        <w:rPr>
          <w:rFonts w:ascii="宋体" w:hAnsi="宋体" w:cs="宋体" w:eastAsia="宋体" w:hint="default"/>
          <w:sz w:val="20"/>
          <w:szCs w:val="20"/>
        </w:rPr>
        <w:t>现金及现金等价物净增加额较上年下降</w:t>
      </w:r>
      <w:r>
        <w:rPr>
          <w:rFonts w:ascii="宋体" w:hAnsi="宋体" w:cs="宋体" w:eastAsia="宋体" w:hint="default"/>
          <w:sz w:val="20"/>
          <w:szCs w:val="20"/>
        </w:rPr>
        <w:t>184.04%</w:t>
      </w:r>
      <w:r>
        <w:rPr>
          <w:rFonts w:ascii="宋体" w:hAnsi="宋体" w:cs="宋体" w:eastAsia="宋体" w:hint="default"/>
          <w:sz w:val="20"/>
          <w:szCs w:val="20"/>
        </w:rPr>
        <w:t>，主要系上述因素综合影响所致。</w:t>
      </w:r>
    </w:p>
    <w:p>
      <w:pPr>
        <w:spacing w:line="240" w:lineRule="auto" w:before="2"/>
        <w:rPr>
          <w:rFonts w:ascii="宋体" w:hAnsi="宋体" w:cs="宋体" w:eastAsia="宋体" w:hint="default"/>
          <w:sz w:val="14"/>
          <w:szCs w:val="14"/>
        </w:rPr>
      </w:pPr>
    </w:p>
    <w:p>
      <w:pPr>
        <w:spacing w:before="0"/>
        <w:ind w:left="154" w:right="1024"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24"/>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571,048,628.7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22.06%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691,799,630.78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29.60%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-7.54%</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93"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86,037,681.38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3.32%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58,856,687.46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2.52%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0.80%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385,491,161.8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14.89%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428,768,115.95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18.35%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-3.46%</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339,486,166.3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13.11%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27,119,839.51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主要系公司本期投资安粮期货、大金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所和金网络等联营企业所致。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64,590,677.09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103,282,710.55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5,473,382.76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5,887,828.81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1,821,078.05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24"/>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323,796,600.00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821,920,000.00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-60.60%</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107"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安粮期 货有限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商品期 货经 纪、金 融期货 经纪、 基金销 售、资 产管理</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255,36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6,200.0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安徽省 粮油食 品进出 口（集 团）公 司、芜 湖市建 设投资 有限公 司、乾 元联合 投资有 限公</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4" w:lineRule="auto"/>
              <w:ind w:left="22" w:right="41"/>
              <w:jc w:val="left"/>
              <w:rPr>
                <w:rFonts w:ascii="宋体" w:hAnsi="宋体" w:cs="宋体" w:eastAsia="宋体" w:hint="default"/>
                <w:sz w:val="18"/>
                <w:szCs w:val="18"/>
              </w:rPr>
            </w:pPr>
            <w:r>
              <w:rPr>
                <w:rFonts w:ascii="宋体" w:hAnsi="宋体" w:cs="宋体" w:eastAsia="宋体" w:hint="default"/>
                <w:sz w:val="18"/>
                <w:szCs w:val="18"/>
              </w:rPr>
              <w:t>增资扩 股审核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个工作 日</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2" w:right="197"/>
              <w:jc w:val="both"/>
              <w:rPr>
                <w:rFonts w:ascii="宋体" w:hAnsi="宋体" w:cs="宋体" w:eastAsia="宋体" w:hint="default"/>
                <w:sz w:val="18"/>
                <w:szCs w:val="18"/>
              </w:rPr>
            </w:pPr>
            <w:r>
              <w:rPr>
                <w:rFonts w:ascii="宋体" w:hAnsi="宋体" w:cs="宋体" w:eastAsia="宋体" w:hint="default"/>
                <w:sz w:val="18"/>
                <w:szCs w:val="18"/>
              </w:rPr>
              <w:t>已全 部过 户</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0" w:right="0"/>
              <w:jc w:val="left"/>
              <w:rPr>
                <w:rFonts w:ascii="Times New Roman" w:hAnsi="Times New Roman" w:cs="Times New Roman" w:eastAsia="Times New Roman" w:hint="default"/>
                <w:sz w:val="18"/>
                <w:szCs w:val="18"/>
              </w:rPr>
            </w:pPr>
            <w:r>
              <w:rPr>
                <w:rFonts w:ascii="Times New Roman"/>
                <w:sz w:val="18"/>
              </w:rPr>
              <w:t>1,371,47</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9.79</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日报》、</w:t>
            </w:r>
          </w:p>
          <w:p>
            <w:pPr>
              <w:pStyle w:val="TableParagraph"/>
              <w:spacing w:line="316" w:lineRule="auto" w:before="19"/>
              <w:ind w:left="22" w:right="5"/>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9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27"/>
                <w:sz w:val="18"/>
                <w:szCs w:val="18"/>
              </w:rPr>
              <w:t>报》、巨</w:t>
            </w:r>
            <w:r>
              <w:rPr>
                <w:rFonts w:ascii="宋体" w:hAnsi="宋体" w:cs="宋体" w:eastAsia="宋体" w:hint="default"/>
                <w:sz w:val="18"/>
                <w:szCs w:val="18"/>
              </w:rPr>
              <w:t> 潮资讯 网</w:t>
            </w:r>
          </w:p>
          <w:p>
            <w:pPr>
              <w:pStyle w:val="TableParagraph"/>
              <w:spacing w:line="240" w:lineRule="auto" w:before="1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611"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3"/>
              <w:jc w:val="both"/>
              <w:rPr>
                <w:rFonts w:ascii="宋体" w:hAnsi="宋体" w:cs="宋体" w:eastAsia="宋体" w:hint="default"/>
                <w:sz w:val="18"/>
                <w:szCs w:val="18"/>
              </w:rPr>
            </w:pPr>
            <w:r>
              <w:rPr>
                <w:rFonts w:ascii="宋体" w:hAnsi="宋体" w:cs="宋体" w:eastAsia="宋体" w:hint="default"/>
                <w:sz w:val="18"/>
                <w:szCs w:val="18"/>
              </w:rPr>
              <w:t>司、安 徽省投 资集团 控股有 限公司</w:t>
            </w: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0"/>
              <w:ind w:left="22" w:right="4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m.cn</w:t>
            </w:r>
            <w:r>
              <w:rPr>
                <w:rFonts w:ascii="宋体" w:hAnsi="宋体" w:cs="宋体" w:eastAsia="宋体" w:hint="default"/>
                <w:sz w:val="18"/>
                <w:szCs w:val="18"/>
              </w:rPr>
              <w:t>）</w:t>
            </w:r>
          </w:p>
        </w:tc>
      </w:tr>
      <w:tr>
        <w:trPr>
          <w:trHeight w:val="1007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3"/>
              <w:ind w:left="22" w:right="81"/>
              <w:jc w:val="both"/>
              <w:rPr>
                <w:rFonts w:ascii="宋体" w:hAnsi="宋体" w:cs="宋体" w:eastAsia="宋体" w:hint="default"/>
                <w:sz w:val="18"/>
                <w:szCs w:val="18"/>
              </w:rPr>
            </w:pPr>
            <w:r>
              <w:rPr>
                <w:rFonts w:ascii="宋体" w:hAnsi="宋体" w:cs="宋体" w:eastAsia="宋体" w:hint="default"/>
                <w:sz w:val="18"/>
                <w:szCs w:val="18"/>
              </w:rPr>
              <w:t>大连金 融资产 交易所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金融企 业国有 资产交 易服务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25,023,</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600.00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大连产 权交易 所（有 限责任 </w:t>
            </w:r>
            <w:r>
              <w:rPr>
                <w:rFonts w:ascii="宋体" w:hAnsi="宋体" w:cs="宋体" w:eastAsia="宋体" w:hint="default"/>
                <w:spacing w:val="-23"/>
                <w:sz w:val="18"/>
                <w:szCs w:val="18"/>
              </w:rPr>
              <w:t>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大连市 国有资 产投资 经营集 团有限 公司、 三寰集 团有限 公司、 浙江金 融资产 交易中 心股份 有限公 司、大 连中鼎 资讯有 限公 司、良 运集团 有限公 司、大 连鼎金 企业管 理中心</w:t>
            </w:r>
          </w:p>
          <w:p>
            <w:pPr>
              <w:pStyle w:val="TableParagraph"/>
              <w:spacing w:line="319" w:lineRule="auto" w:before="19"/>
              <w:ind w:left="22" w:right="43"/>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390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7"/>
                <w:sz w:val="20"/>
                <w:szCs w:val="20"/>
              </w:rPr>
              <w:pict>
                <v:group style="width:30.3pt;height:195pt;mso-position-horizontal-relative:char;mso-position-vertical-relative:line" coordorigin="0,0" coordsize="606,3900">
                  <v:group style="position:absolute;left:0;top:0;width:606;height:3900" coordorigin="0,0" coordsize="606,3900">
                    <v:shape style="position:absolute;left:0;top:0;width:606;height:3900" coordorigin="0,0" coordsize="606,3900" path="m0,3900l606,3900,606,0,0,0,0,3900xe" filled="true" fillcolor="#ffffff" stroked="false">
                      <v:path arrowok="t"/>
                      <v:fill type="solid"/>
                    </v:shape>
                  </v:group>
                </v:group>
              </w:pict>
            </w:r>
            <w:r>
              <w:rPr>
                <w:rFonts w:ascii="Times New Roman" w:hAnsi="Times New Roman" w:cs="Times New Roman" w:eastAsia="Times New Roman" w:hint="default"/>
                <w:position w:val="-77"/>
                <w:sz w:val="20"/>
                <w:szCs w:val="20"/>
              </w:rPr>
            </w:r>
          </w:p>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增资扩 股协议 约定条 件满足 后的</w:t>
            </w:r>
          </w:p>
          <w:p>
            <w:pPr>
              <w:pStyle w:val="TableParagraph"/>
              <w:spacing w:line="302" w:lineRule="auto" w:before="19"/>
              <w:ind w:left="22"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工作日</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9" w:lineRule="auto"/>
              <w:ind w:left="22" w:right="197"/>
              <w:jc w:val="both"/>
              <w:rPr>
                <w:rFonts w:ascii="宋体" w:hAnsi="宋体" w:cs="宋体" w:eastAsia="宋体" w:hint="default"/>
                <w:sz w:val="18"/>
                <w:szCs w:val="18"/>
              </w:rPr>
            </w:pPr>
            <w:r>
              <w:rPr>
                <w:rFonts w:ascii="宋体" w:hAnsi="宋体" w:cs="宋体" w:eastAsia="宋体" w:hint="default"/>
                <w:sz w:val="18"/>
                <w:szCs w:val="18"/>
              </w:rPr>
              <w:t>已全 部过 户</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-2,620,4</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54.20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日报》、</w:t>
            </w:r>
          </w:p>
          <w:p>
            <w:pPr>
              <w:pStyle w:val="TableParagraph"/>
              <w:spacing w:line="316" w:lineRule="auto" w:before="19"/>
              <w:ind w:left="22" w:right="5"/>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9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27"/>
                <w:sz w:val="18"/>
                <w:szCs w:val="18"/>
              </w:rPr>
              <w:t>报》、巨</w:t>
            </w:r>
            <w:r>
              <w:rPr>
                <w:rFonts w:ascii="宋体" w:hAnsi="宋体" w:cs="宋体" w:eastAsia="宋体" w:hint="default"/>
                <w:sz w:val="18"/>
                <w:szCs w:val="18"/>
              </w:rPr>
              <w:t> 潮资讯 网</w:t>
            </w:r>
          </w:p>
          <w:p>
            <w:pPr>
              <w:pStyle w:val="TableParagraph"/>
              <w:spacing w:line="338" w:lineRule="auto" w:before="17"/>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m.cn</w:t>
            </w:r>
            <w:r>
              <w:rPr>
                <w:rFonts w:ascii="宋体" w:hAnsi="宋体" w:cs="宋体" w:eastAsia="宋体" w:hint="default"/>
                <w:sz w:val="18"/>
                <w:szCs w:val="18"/>
              </w:rPr>
              <w:t>）</w:t>
            </w:r>
          </w:p>
        </w:tc>
      </w:tr>
      <w:tr>
        <w:trPr>
          <w:trHeight w:val="2235"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金网络</w:t>
            </w:r>
          </w:p>
          <w:p>
            <w:pPr>
              <w:pStyle w:val="TableParagraph"/>
              <w:spacing w:line="319" w:lineRule="auto" w:before="76"/>
              <w:ind w:left="22" w:right="81"/>
              <w:jc w:val="left"/>
              <w:rPr>
                <w:rFonts w:ascii="宋体" w:hAnsi="宋体" w:cs="宋体" w:eastAsia="宋体" w:hint="default"/>
                <w:sz w:val="18"/>
                <w:szCs w:val="18"/>
              </w:rPr>
            </w:pPr>
            <w:r>
              <w:rPr>
                <w:rFonts w:ascii="宋体" w:hAnsi="宋体" w:cs="宋体" w:eastAsia="宋体" w:hint="default"/>
                <w:sz w:val="18"/>
                <w:szCs w:val="18"/>
              </w:rPr>
              <w:t>（北 京）电 子商务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金融信 息服 务；计 算机系 统集 成；软 件开</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25.00%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中国航 空技术 国际控 股有限 公司、 中航新 兴产业</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2" w:lineRule="auto"/>
              <w:ind w:left="22" w:right="41"/>
              <w:jc w:val="left"/>
              <w:rPr>
                <w:rFonts w:ascii="宋体" w:hAnsi="宋体" w:cs="宋体" w:eastAsia="宋体" w:hint="default"/>
                <w:sz w:val="18"/>
                <w:szCs w:val="18"/>
              </w:rPr>
            </w:pPr>
            <w:r>
              <w:rPr>
                <w:rFonts w:ascii="宋体" w:hAnsi="宋体" w:cs="宋体" w:eastAsia="宋体" w:hint="default"/>
                <w:sz w:val="18"/>
                <w:szCs w:val="18"/>
              </w:rPr>
              <w:t>出资协 议签署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日内</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互联网 金融</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已设 立</w:t>
            </w: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-2,100,0</w:t>
            </w:r>
          </w:p>
          <w:p>
            <w:pPr>
              <w:pStyle w:val="TableParagraph"/>
              <w:spacing w:line="240" w:lineRule="auto" w:before="106"/>
              <w:ind w:left="234" w:right="0"/>
              <w:jc w:val="center"/>
              <w:rPr>
                <w:rFonts w:ascii="Times New Roman" w:hAnsi="Times New Roman" w:cs="Times New Roman" w:eastAsia="Times New Roman" w:hint="default"/>
                <w:sz w:val="18"/>
                <w:szCs w:val="18"/>
              </w:rPr>
            </w:pPr>
            <w:r>
              <w:rPr>
                <w:rFonts w:ascii="Times New Roman"/>
                <w:sz w:val="18"/>
              </w:rPr>
              <w:t>92.16</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日报》、</w:t>
            </w:r>
          </w:p>
          <w:p>
            <w:pPr>
              <w:pStyle w:val="TableParagraph"/>
              <w:spacing w:line="316" w:lineRule="auto" w:before="19"/>
              <w:ind w:left="22" w:right="5"/>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9"/>
              <w:ind w:left="22" w:right="95"/>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5667"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发、生 产计算 机、软 件及辅 助设 备；软 件的技 术推广 服务； 资产管 理、投 资管 理、投 资咨 询；互 联网信 息服务 等。</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3"/>
              <w:jc w:val="left"/>
              <w:rPr>
                <w:rFonts w:ascii="宋体" w:hAnsi="宋体" w:cs="宋体" w:eastAsia="宋体" w:hint="default"/>
                <w:sz w:val="18"/>
                <w:szCs w:val="18"/>
              </w:rPr>
            </w:pPr>
            <w:r>
              <w:rPr>
                <w:rFonts w:ascii="宋体" w:hAnsi="宋体" w:cs="宋体" w:eastAsia="宋体" w:hint="default"/>
                <w:sz w:val="18"/>
                <w:szCs w:val="18"/>
              </w:rPr>
              <w:t>投资有 限公 司、中 航文创 有限责 任公 司、北 京成城 志投资 管理合 伙企业</w:t>
            </w:r>
          </w:p>
          <w:p>
            <w:pPr>
              <w:pStyle w:val="TableParagraph"/>
              <w:spacing w:line="319" w:lineRule="auto" w:before="19"/>
              <w:ind w:left="22" w:right="43"/>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27"/>
                <w:sz w:val="18"/>
                <w:szCs w:val="18"/>
              </w:rPr>
              <w:t>报》、巨</w:t>
            </w:r>
            <w:r>
              <w:rPr>
                <w:rFonts w:ascii="宋体" w:hAnsi="宋体" w:cs="宋体" w:eastAsia="宋体" w:hint="default"/>
                <w:sz w:val="18"/>
                <w:szCs w:val="18"/>
              </w:rPr>
              <w:t> 潮资讯 网</w:t>
            </w:r>
          </w:p>
          <w:p>
            <w:pPr>
              <w:pStyle w:val="TableParagraph"/>
              <w:spacing w:line="338" w:lineRule="auto" w:before="17"/>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info.co m.cn</w:t>
            </w:r>
            <w:r>
              <w:rPr>
                <w:rFonts w:ascii="宋体" w:hAnsi="宋体" w:cs="宋体" w:eastAsia="宋体" w:hint="default"/>
                <w:sz w:val="18"/>
                <w:szCs w:val="18"/>
              </w:rPr>
              <w:t>）</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300,38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9,800.0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-3,349,0</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66.57</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24"/>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1024"/>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1024"/>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left="153" w:right="1024"/>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公开发行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33,373.35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1,908.97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33,010.5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3,043.66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3.72%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1,204.62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尚未赎回</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4731"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5,500,000.</w:t>
            </w:r>
          </w:p>
          <w:p>
            <w:pPr>
              <w:pStyle w:val="TableParagraph"/>
              <w:spacing w:line="314" w:lineRule="auto" w:before="65"/>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 活期存款 方式存放 于各监管 银行金额</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55,588.83</w:t>
            </w:r>
          </w:p>
          <w:p>
            <w:pPr>
              <w:pStyle w:val="TableParagraph"/>
              <w:spacing w:line="316" w:lineRule="auto" w:before="65"/>
              <w:ind w:left="22" w:right="23"/>
              <w:jc w:val="left"/>
              <w:rPr>
                <w:rFonts w:ascii="宋体" w:hAnsi="宋体" w:cs="宋体" w:eastAsia="宋体" w:hint="default"/>
                <w:sz w:val="18"/>
                <w:szCs w:val="18"/>
              </w:rPr>
            </w:pPr>
            <w:r>
              <w:rPr>
                <w:rFonts w:ascii="宋体" w:hAnsi="宋体" w:cs="宋体" w:eastAsia="宋体" w:hint="default"/>
                <w:spacing w:val="-18"/>
                <w:sz w:val="18"/>
                <w:szCs w:val="18"/>
              </w:rPr>
              <w:t>元，以定期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存款方式 存放于各 监管银行 金额</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6,490,660.</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宋体" w:hAnsi="宋体" w:cs="宋体" w:eastAsia="宋体" w:hint="default"/>
                <w:sz w:val="18"/>
                <w:szCs w:val="18"/>
              </w:rPr>
              <w:t>公司债券</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23,760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23,760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购买资产 配套募集 资金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24,775.93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841.98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24,782.07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81,909.28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2,750.95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81,552.57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3,043.66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3.72%</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1,204.62</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539"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[2012]152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号文《关于核准北京中科金财科技股份有限公司首次公开发行股票的 批复》核准，北京中科金财科技股份有限公司于中国境内首次公开发行人民币普通股股票。公司于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日通过</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深圳证券交易所发行人民币普通股（</w:t>
            </w:r>
            <w:r>
              <w:rPr>
                <w:rFonts w:ascii="Times New Roman" w:hAnsi="Times New Roman" w:cs="Times New Roman" w:eastAsia="Times New Roman" w:hint="default"/>
                <w:spacing w:val="-3"/>
                <w:sz w:val="18"/>
                <w:szCs w:val="18"/>
              </w:rPr>
              <w:t>A </w:t>
            </w:r>
            <w:r>
              <w:rPr>
                <w:rFonts w:ascii="宋体" w:hAnsi="宋体" w:cs="宋体" w:eastAsia="宋体" w:hint="default"/>
                <w:spacing w:val="-5"/>
                <w:sz w:val="18"/>
                <w:szCs w:val="18"/>
              </w:rPr>
              <w:t>股）</w:t>
            </w:r>
            <w:r>
              <w:rPr>
                <w:rFonts w:ascii="Times New Roman" w:hAnsi="Times New Roman" w:cs="Times New Roman" w:eastAsia="Times New Roman" w:hint="default"/>
                <w:spacing w:val="-5"/>
                <w:sz w:val="18"/>
                <w:szCs w:val="18"/>
              </w:rPr>
              <w:t>1745.00 </w:t>
            </w:r>
            <w:r>
              <w:rPr>
                <w:rFonts w:ascii="宋体" w:hAnsi="宋体" w:cs="宋体" w:eastAsia="宋体" w:hint="default"/>
                <w:spacing w:val="-4"/>
                <w:sz w:val="18"/>
                <w:szCs w:val="18"/>
              </w:rPr>
              <w:t>万股，发行价格为每股人民币 </w:t>
            </w:r>
            <w:r>
              <w:rPr>
                <w:rFonts w:ascii="Times New Roman" w:hAnsi="Times New Roman" w:cs="Times New Roman" w:eastAsia="Times New Roman" w:hint="default"/>
                <w:sz w:val="18"/>
                <w:szCs w:val="18"/>
              </w:rPr>
              <w:t>22.00 </w:t>
            </w:r>
            <w:r>
              <w:rPr>
                <w:rFonts w:ascii="宋体" w:hAnsi="宋体" w:cs="宋体" w:eastAsia="宋体" w:hint="default"/>
                <w:spacing w:val="-5"/>
                <w:sz w:val="18"/>
                <w:szCs w:val="18"/>
              </w:rPr>
              <w:t>元，募集资金总额为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383,900,000.00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333,733,517.24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元，上述募集资金到位情况已经立信会计师事务所（特殊普通合伙）审验，并</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日出具信会师报字</w:t>
            </w:r>
            <w:r>
              <w:rPr>
                <w:rFonts w:ascii="Times New Roman" w:hAnsi="Times New Roman" w:cs="Times New Roman" w:eastAsia="Times New Roman" w:hint="default"/>
                <w:spacing w:val="-7"/>
                <w:sz w:val="18"/>
                <w:szCs w:val="18"/>
              </w:rPr>
              <w:t>[2012]</w:t>
            </w:r>
            <w:r>
              <w:rPr>
                <w:rFonts w:ascii="宋体" w:hAnsi="宋体" w:cs="宋体" w:eastAsia="宋体" w:hint="default"/>
                <w:spacing w:val="-7"/>
                <w:sz w:val="18"/>
                <w:szCs w:val="18"/>
              </w:rPr>
              <w:t>第（</w:t>
            </w:r>
            <w:r>
              <w:rPr>
                <w:rFonts w:ascii="Times New Roman" w:hAnsi="Times New Roman" w:cs="Times New Roman" w:eastAsia="Times New Roman" w:hint="default"/>
                <w:spacing w:val="-7"/>
                <w:sz w:val="18"/>
                <w:szCs w:val="18"/>
              </w:rPr>
              <w:t>210034</w:t>
            </w:r>
            <w:r>
              <w:rPr>
                <w:rFonts w:ascii="宋体" w:hAnsi="宋体" w:cs="宋体" w:eastAsia="宋体" w:hint="default"/>
                <w:spacing w:val="-7"/>
                <w:sz w:val="18"/>
                <w:szCs w:val="18"/>
              </w:rPr>
              <w:t>）号验资报告。截止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日，募集资金累计使用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33,010.50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万元，募集资金可使用余额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1,204.62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
                <w:sz w:val="18"/>
                <w:szCs w:val="18"/>
              </w:rPr>
              <w:t>（</w:t>
            </w:r>
            <w:r>
              <w:rPr>
                <w:rFonts w:ascii="宋体" w:hAnsi="宋体" w:cs="宋体" w:eastAsia="宋体" w:hint="default"/>
                <w:sz w:val="18"/>
                <w:szCs w:val="18"/>
              </w:rPr>
              <w:t>含利息收入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2"/>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2"/>
                <w:sz w:val="18"/>
                <w:szCs w:val="18"/>
              </w:rPr>
              <w:t>向</w:t>
            </w:r>
            <w:r>
              <w:rPr>
                <w:rFonts w:ascii="宋体" w:hAnsi="宋体" w:cs="宋体" w:eastAsia="宋体" w:hint="default"/>
                <w:sz w:val="18"/>
                <w:szCs w:val="18"/>
              </w:rPr>
              <w:t>社会公开发行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240,000,00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元的公司债券</w:t>
            </w:r>
            <w:r>
              <w:rPr>
                <w:rFonts w:ascii="宋体" w:hAnsi="宋体" w:cs="宋体" w:eastAsia="宋体" w:hint="default"/>
                <w:spacing w:val="-90"/>
                <w:sz w:val="18"/>
                <w:szCs w:val="18"/>
              </w:rPr>
              <w:t>，</w:t>
            </w:r>
            <w:r>
              <w:rPr>
                <w:rFonts w:ascii="宋体" w:hAnsi="宋体" w:cs="宋体" w:eastAsia="宋体" w:hint="default"/>
                <w:sz w:val="18"/>
                <w:szCs w:val="18"/>
              </w:rPr>
              <w:t>债券票面利率为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6.7%</w:t>
            </w:r>
            <w:r>
              <w:rPr>
                <w:rFonts w:ascii="宋体" w:hAnsi="宋体" w:cs="宋体" w:eastAsia="宋体" w:hint="default"/>
                <w:spacing w:val="-90"/>
                <w:sz w:val="18"/>
                <w:szCs w:val="18"/>
              </w:rPr>
              <w:t>，</w:t>
            </w:r>
            <w:r>
              <w:rPr>
                <w:rFonts w:ascii="宋体" w:hAnsi="宋体" w:cs="宋体" w:eastAsia="宋体" w:hint="default"/>
                <w:sz w:val="18"/>
                <w:szCs w:val="18"/>
              </w:rPr>
              <w:t>交易</w:t>
            </w:r>
            <w:r>
              <w:rPr>
                <w:rFonts w:ascii="宋体" w:hAnsi="宋体" w:cs="宋体" w:eastAsia="宋体" w:hint="default"/>
                <w:spacing w:val="-2"/>
                <w:sz w:val="18"/>
                <w:szCs w:val="18"/>
              </w:rPr>
              <w:t>费</w:t>
            </w:r>
            <w:r>
              <w:rPr>
                <w:rFonts w:ascii="宋体" w:hAnsi="宋体" w:cs="宋体" w:eastAsia="宋体" w:hint="default"/>
                <w:sz w:val="18"/>
                <w:szCs w:val="18"/>
              </w:rPr>
              <w:t>用为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w:t>
            </w:r>
          </w:p>
          <w:p>
            <w:pPr>
              <w:pStyle w:val="TableParagraph"/>
              <w:spacing w:line="338" w:lineRule="auto" w:before="64"/>
              <w:ind w:left="382" w:right="22" w:hanging="360"/>
              <w:jc w:val="left"/>
              <w:rPr>
                <w:rFonts w:ascii="宋体" w:hAnsi="宋体" w:cs="宋体" w:eastAsia="宋体" w:hint="default"/>
                <w:sz w:val="18"/>
                <w:szCs w:val="18"/>
              </w:rPr>
            </w:pPr>
            <w:r>
              <w:rPr>
                <w:rFonts w:ascii="宋体" w:hAnsi="宋体" w:cs="宋体" w:eastAsia="宋体" w:hint="default"/>
                <w:sz w:val="18"/>
                <w:szCs w:val="18"/>
              </w:rPr>
              <w:t>元。公司债券已获得中国证券监督管理委员会证监许可</w:t>
            </w:r>
            <w:r>
              <w:rPr>
                <w:rFonts w:ascii="Times New Roman" w:hAnsi="Times New Roman" w:cs="Times New Roman" w:eastAsia="Times New Roman" w:hint="default"/>
                <w:sz w:val="18"/>
                <w:szCs w:val="18"/>
              </w:rPr>
              <w:t>[2013]39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 </w:t>
            </w:r>
            <w:r>
              <w:rPr>
                <w:rFonts w:ascii="宋体" w:hAnsi="宋体" w:cs="宋体" w:eastAsia="宋体" w:hint="default"/>
                <w:spacing w:val="-2"/>
                <w:sz w:val="18"/>
                <w:szCs w:val="18"/>
              </w:rPr>
              <w:t>经北京中科金财科技股份有限公司第三届董事会第八次会议、</w:t>
            </w:r>
            <w:r>
              <w:rPr>
                <w:rFonts w:ascii="Times New Roman" w:hAnsi="Times New Roman" w:cs="Times New Roman" w:eastAsia="Times New Roman" w:hint="default"/>
                <w:spacing w:val="-2"/>
                <w:sz w:val="18"/>
                <w:szCs w:val="18"/>
              </w:rPr>
              <w:t>2014</w:t>
            </w:r>
            <w:r>
              <w:rPr>
                <w:rFonts w:ascii="Times New Roman" w:hAnsi="Times New Roman" w:cs="Times New Roman" w:eastAsia="Times New Roman" w:hint="default"/>
                <w:spacing w:val="28"/>
                <w:sz w:val="18"/>
                <w:szCs w:val="18"/>
              </w:rPr>
              <w:t> </w:t>
            </w:r>
            <w:r>
              <w:rPr>
                <w:rFonts w:ascii="宋体" w:hAnsi="宋体" w:cs="宋体" w:eastAsia="宋体" w:hint="default"/>
                <w:spacing w:val="-2"/>
                <w:sz w:val="18"/>
                <w:szCs w:val="18"/>
              </w:rPr>
              <w:t>年第一次临时股东大会决议，并经中国证券监督委</w:t>
            </w:r>
          </w:p>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员会证监许可</w:t>
            </w:r>
            <w:r>
              <w:rPr>
                <w:rFonts w:ascii="Times New Roman" w:hAnsi="Times New Roman" w:cs="Times New Roman" w:eastAsia="Times New Roman" w:hint="default"/>
                <w:sz w:val="18"/>
                <w:szCs w:val="18"/>
              </w:rPr>
              <w:t>[2014]1218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号文《关于核准北京中科金财科技股份有限公司向刘开同等发行股份购买资产并募集配套资金的</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批复》核准，公司非公开发行不超过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11,733,568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股新股募集本次发行股份购买资产的配套资金。发行价格为人民币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22.67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股，募集配套资金总额为人民币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265,999,986.56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元，扣除财务顾问承销费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元及其他发行费用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1,240,654.99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元，募集配套资金净额为人民币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247,759,331.57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元。上述非公开发行的配套募集资金已经立信会计师事务所（特殊普通合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伙）审验，并于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日出具信会师报字（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Times New Roman" w:hAnsi="Times New Roman" w:cs="Times New Roman" w:eastAsia="Times New Roman" w:hint="default"/>
                <w:sz w:val="18"/>
                <w:szCs w:val="18"/>
              </w:rPr>
              <w:t>211369</w:t>
            </w:r>
            <w:r>
              <w:rPr>
                <w:rFonts w:ascii="宋体" w:hAnsi="宋体" w:cs="宋体" w:eastAsia="宋体" w:hint="default"/>
                <w:sz w:val="18"/>
                <w:szCs w:val="18"/>
              </w:rPr>
              <w:t>）号验资报告。</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4" w:right="23" w:hanging="90"/>
              <w:jc w:val="left"/>
              <w:rPr>
                <w:rFonts w:ascii="宋体" w:hAnsi="宋体" w:cs="宋体" w:eastAsia="宋体" w:hint="default"/>
                <w:sz w:val="18"/>
                <w:szCs w:val="18"/>
              </w:rPr>
            </w:pPr>
            <w:r>
              <w:rPr>
                <w:rFonts w:ascii="宋体" w:hAnsi="宋体" w:cs="宋体" w:eastAsia="宋体" w:hint="default"/>
                <w:sz w:val="18"/>
                <w:szCs w:val="18"/>
              </w:rPr>
              <w:t>是否已变 更项目</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4" w:right="24"/>
              <w:jc w:val="left"/>
              <w:rPr>
                <w:rFonts w:ascii="宋体" w:hAnsi="宋体" w:cs="宋体" w:eastAsia="宋体" w:hint="default"/>
                <w:sz w:val="18"/>
                <w:szCs w:val="18"/>
              </w:rPr>
            </w:pPr>
            <w:r>
              <w:rPr>
                <w:rFonts w:ascii="宋体" w:hAnsi="宋体" w:cs="宋体" w:eastAsia="宋体" w:hint="default"/>
                <w:sz w:val="18"/>
                <w:szCs w:val="18"/>
              </w:rPr>
              <w:t>募集资金 承诺投资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4" w:right="24" w:hanging="90"/>
              <w:jc w:val="left"/>
              <w:rPr>
                <w:rFonts w:ascii="宋体" w:hAnsi="宋体" w:cs="宋体" w:eastAsia="宋体" w:hint="default"/>
                <w:sz w:val="18"/>
                <w:szCs w:val="18"/>
              </w:rPr>
            </w:pPr>
            <w:r>
              <w:rPr>
                <w:rFonts w:ascii="宋体" w:hAnsi="宋体" w:cs="宋体" w:eastAsia="宋体" w:hint="default"/>
                <w:sz w:val="18"/>
                <w:szCs w:val="18"/>
              </w:rPr>
              <w:t>调整后投 资总额</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5" w:right="23"/>
              <w:jc w:val="left"/>
              <w:rPr>
                <w:rFonts w:ascii="宋体" w:hAnsi="宋体" w:cs="宋体" w:eastAsia="宋体" w:hint="default"/>
                <w:sz w:val="18"/>
                <w:szCs w:val="18"/>
              </w:rPr>
            </w:pPr>
            <w:r>
              <w:rPr>
                <w:rFonts w:ascii="宋体" w:hAnsi="宋体" w:cs="宋体" w:eastAsia="宋体" w:hint="default"/>
                <w:sz w:val="18"/>
                <w:szCs w:val="18"/>
              </w:rPr>
              <w:t>截至期末 累计投入</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5" w:right="23"/>
              <w:jc w:val="left"/>
              <w:rPr>
                <w:rFonts w:ascii="宋体" w:hAnsi="宋体" w:cs="宋体" w:eastAsia="宋体" w:hint="default"/>
                <w:sz w:val="18"/>
                <w:szCs w:val="18"/>
              </w:rPr>
            </w:pPr>
            <w:r>
              <w:rPr>
                <w:rFonts w:ascii="宋体" w:hAnsi="宋体" w:cs="宋体" w:eastAsia="宋体" w:hint="default"/>
                <w:sz w:val="18"/>
                <w:szCs w:val="18"/>
              </w:rPr>
              <w:t>截至期末 投资进度</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5" w:right="23"/>
              <w:jc w:val="left"/>
              <w:rPr>
                <w:rFonts w:ascii="宋体" w:hAnsi="宋体" w:cs="宋体" w:eastAsia="宋体" w:hint="default"/>
                <w:sz w:val="18"/>
                <w:szCs w:val="18"/>
              </w:rPr>
            </w:pPr>
            <w:r>
              <w:rPr>
                <w:rFonts w:ascii="宋体" w:hAnsi="宋体" w:cs="宋体" w:eastAsia="宋体" w:hint="default"/>
                <w:sz w:val="18"/>
                <w:szCs w:val="18"/>
              </w:rPr>
              <w:t>项目达到 预定可使</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5" w:right="23"/>
              <w:jc w:val="left"/>
              <w:rPr>
                <w:rFonts w:ascii="宋体" w:hAnsi="宋体" w:cs="宋体" w:eastAsia="宋体" w:hint="default"/>
                <w:sz w:val="18"/>
                <w:szCs w:val="18"/>
              </w:rPr>
            </w:pPr>
            <w:r>
              <w:rPr>
                <w:rFonts w:ascii="宋体" w:hAnsi="宋体" w:cs="宋体" w:eastAsia="宋体" w:hint="default"/>
                <w:sz w:val="18"/>
                <w:szCs w:val="18"/>
              </w:rPr>
              <w:t>本报告期 实现的效</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5" w:right="23"/>
              <w:jc w:val="left"/>
              <w:rPr>
                <w:rFonts w:ascii="宋体" w:hAnsi="宋体" w:cs="宋体" w:eastAsia="宋体" w:hint="default"/>
                <w:sz w:val="18"/>
                <w:szCs w:val="18"/>
              </w:rPr>
            </w:pPr>
            <w:r>
              <w:rPr>
                <w:rFonts w:ascii="宋体" w:hAnsi="宋体" w:cs="宋体" w:eastAsia="宋体" w:hint="default"/>
                <w:sz w:val="18"/>
                <w:szCs w:val="18"/>
              </w:rPr>
              <w:t>项目可行 性是否发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5"/>
        <w:gridCol w:w="784"/>
        <w:gridCol w:w="780"/>
        <w:gridCol w:w="779"/>
        <w:gridCol w:w="780"/>
        <w:gridCol w:w="784"/>
        <w:gridCol w:w="773"/>
        <w:gridCol w:w="788"/>
        <w:gridCol w:w="776"/>
        <w:gridCol w:w="780"/>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174" w:right="79" w:hanging="9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r>
              <w:rPr>
                <w:rFonts w:ascii="宋体" w:hAnsi="宋体" w:cs="宋体" w:eastAsia="宋体" w:hint="default"/>
                <w:w w:val="99"/>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7"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10"/>
              <w:ind w:left="151" w:right="151" w:firstLine="3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(2)/(1)</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91" w:right="19" w:hanging="270"/>
              <w:jc w:val="left"/>
              <w:rPr>
                <w:rFonts w:ascii="宋体" w:hAnsi="宋体" w:cs="宋体" w:eastAsia="宋体" w:hint="default"/>
                <w:sz w:val="18"/>
                <w:szCs w:val="18"/>
              </w:rPr>
            </w:pPr>
            <w:r>
              <w:rPr>
                <w:rFonts w:ascii="宋体" w:hAnsi="宋体" w:cs="宋体" w:eastAsia="宋体" w:hint="default"/>
                <w:sz w:val="18"/>
                <w:szCs w:val="18"/>
              </w:rPr>
              <w:t>用状态日 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94" w:right="23" w:hanging="270"/>
              <w:jc w:val="left"/>
              <w:rPr>
                <w:rFonts w:ascii="宋体" w:hAnsi="宋体" w:cs="宋体" w:eastAsia="宋体" w:hint="default"/>
                <w:sz w:val="18"/>
                <w:szCs w:val="18"/>
              </w:rPr>
            </w:pPr>
            <w:r>
              <w:rPr>
                <w:rFonts w:ascii="宋体" w:hAnsi="宋体" w:cs="宋体" w:eastAsia="宋体" w:hint="default"/>
                <w:sz w:val="18"/>
                <w:szCs w:val="18"/>
              </w:rPr>
              <w:t>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基础组件支撑平台</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V2.0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2,650.6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2,017.94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76.13%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营销与服务网络建 设</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184.54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184.54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38" w:lineRule="auto"/>
              <w:ind w:left="22" w:right="16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影像集中作业平台 </w:t>
            </w:r>
            <w:r>
              <w:rPr>
                <w:rFonts w:ascii="Times New Roman" w:hAnsi="Times New Roman" w:cs="Times New Roman" w:eastAsia="Times New Roman" w:hint="default"/>
                <w:sz w:val="18"/>
                <w:szCs w:val="18"/>
              </w:rPr>
              <w:t>V2.0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6,526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5,037.32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77.19%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1,591.73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4.IT </w:t>
            </w:r>
            <w:r>
              <w:rPr>
                <w:rFonts w:ascii="宋体" w:hAnsi="宋体" w:cs="宋体" w:eastAsia="宋体" w:hint="default"/>
                <w:sz w:val="18"/>
                <w:szCs w:val="18"/>
              </w:rPr>
              <w:t>服务综合业务管 理系统</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4,522.96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4,522.96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3,692.08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81.63%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1,639.68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6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智能银行渠道整合 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3,043.66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2,598.17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85.36%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109.03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结余募集资金永久 补充流动资金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3,441.07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0.00%</w:t>
            </w:r>
          </w:p>
        </w:tc>
        <w:tc>
          <w:tcPr>
            <w:tcW w:w="77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年购买资产配套 募集资金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24,775.93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24,775.93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841.98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24,782.07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7,279.1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41,703.69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41,703.69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2,385.78</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41,753.19</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10,619.54</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票据自助受理系统</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4,082.99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4,082.99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3,521.02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86.24%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531.84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5,235.08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5,235.08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5,235.08</w:t>
            </w:r>
          </w:p>
        </w:tc>
        <w:tc>
          <w:tcPr>
            <w:tcW w:w="78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100.00%</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7,127.52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7,127.52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7,283.29</w:t>
            </w:r>
          </w:p>
        </w:tc>
        <w:tc>
          <w:tcPr>
            <w:tcW w:w="78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102.19%</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16,445.59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16,445.59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365.18</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16,039.39</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531.84</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9"/>
              <w:jc w:val="right"/>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58,149.28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58,149.28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2,750.96</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57,792.58</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11,151.38</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97"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总投资额为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3,228.20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万元，项目达到预定可使用状态日期为</w:t>
            </w:r>
          </w:p>
          <w:p>
            <w:pPr>
              <w:pStyle w:val="TableParagraph"/>
              <w:spacing w:line="300" w:lineRule="auto" w:before="61"/>
              <w:ind w:left="16" w:right="25"/>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日。近年来因国内房地产价格不断上涨，原计划购置的办公场地价格已大大超出预 算，因此公司在</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的实施决策上保持了充分的谨慎，在开办过程中一直暂 以租赁的形式开展营销网络的建设。此外，公司在车辆、设备购置、费用支出等方面也是本着勤俭</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vMerge/>
            <w:tcBorders>
              <w:left w:val="single" w:sz="9" w:space="0" w:color="D2D2D2"/>
              <w:right w:val="single" w:sz="4" w:space="0" w:color="000000"/>
            </w:tcBorders>
          </w:tcPr>
          <w:p>
            <w:pPr/>
          </w:p>
        </w:tc>
      </w:tr>
      <w:tr>
        <w:trPr>
          <w:trHeight w:val="298"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81.8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98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节约的原则，充分调配现有资源，节省了大量资金。因营销与服务网络建设项目的预计目标及效益 已经基本达成，为了提高募集资金的使用效益，推进公司发展战略的实施，公司决定终止原募投项 目，将项目剩余募集资金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3043.66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万元（未包括利息收入）用于投资新的项目。</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83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333,733,517.24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元，扣除募集资金项目投资总额人民币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169,277,600.00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元，超额募集资金为人民币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164,455,917.24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日第二届董事会第八次会议及第二届监事会第四次会议，审议通过了《关于审议部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分超募资金用于偿还银行贷款的议案</w:t>
                        </w:r>
                        <w:r>
                          <w:rPr>
                            <w:rFonts w:ascii="宋体" w:hAnsi="宋体" w:cs="宋体" w:eastAsia="宋体" w:hint="default"/>
                            <w:spacing w:val="-90"/>
                            <w:sz w:val="18"/>
                            <w:szCs w:val="18"/>
                          </w:rPr>
                          <w:t>》</w:t>
                        </w:r>
                        <w:r>
                          <w:rPr>
                            <w:rFonts w:ascii="宋体" w:hAnsi="宋体" w:cs="宋体" w:eastAsia="宋体" w:hint="default"/>
                            <w:sz w:val="18"/>
                            <w:szCs w:val="18"/>
                          </w:rPr>
                          <w:t>，同意以超募资金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52,350,78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 </w:t>
                        </w:r>
                        <w:r>
                          <w:rPr>
                            <w:rFonts w:ascii="宋体" w:hAnsi="宋体" w:cs="宋体" w:eastAsia="宋体" w:hint="default"/>
                            <w:sz w:val="18"/>
                            <w:szCs w:val="18"/>
                          </w:rPr>
                          <w:t>元偿还银行贷款。公司独立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董事及保荐机构分别发表了同意的独立意见及核查意见，并已对外公告披露。公司已于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年使用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52,350,780.00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元偿还银行贷款。</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日第二届董事会第十次会议、第二届监事会第六次会议审议通过了《关于部分超募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1"/>
                            <w:sz w:val="18"/>
                            <w:szCs w:val="18"/>
                          </w:rPr>
                          <w:t>一</w:t>
                        </w:r>
                        <w:r>
                          <w:rPr>
                            <w:rFonts w:ascii="宋体" w:hAnsi="宋体" w:cs="宋体" w:eastAsia="宋体" w:hint="default"/>
                            <w:sz w:val="18"/>
                            <w:szCs w:val="18"/>
                          </w:rPr>
                          <w:t>次临时股东大会审议通过，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 </w:t>
                        </w:r>
                        <w:r>
                          <w:rPr>
                            <w:rFonts w:ascii="宋体" w:hAnsi="宋体" w:cs="宋体" w:eastAsia="宋体" w:hint="default"/>
                            <w:sz w:val="18"/>
                            <w:szCs w:val="18"/>
                          </w:rPr>
                          <w:t>元暂时补充流动资金（使用期限不超过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90"/>
                            <w:sz w:val="18"/>
                            <w:szCs w:val="18"/>
                          </w:rPr>
                          <w:t>）</w:t>
                        </w:r>
                        <w:r>
                          <w:rPr>
                            <w:rFonts w:ascii="宋体" w:hAnsi="宋体" w:cs="宋体" w:eastAsia="宋体" w:hint="default"/>
                            <w:sz w:val="18"/>
                            <w:szCs w:val="18"/>
                          </w:rPr>
                          <w:t>。公司独立董事及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保荐机构分别发表了同意的独立意见及核查意见，并已对外公告披露。公司已于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年使用超募资</w:t>
                        </w:r>
                      </w:p>
                      <w:p>
                        <w:pPr>
                          <w:pStyle w:val="TableParagraph"/>
                          <w:spacing w:line="302" w:lineRule="auto" w:before="63"/>
                          <w:ind w:left="22" w:right="69"/>
                          <w:jc w:val="left"/>
                          <w:rPr>
                            <w:rFonts w:ascii="宋体" w:hAnsi="宋体" w:cs="宋体" w:eastAsia="宋体" w:hint="default"/>
                            <w:sz w:val="18"/>
                            <w:szCs w:val="18"/>
                          </w:rPr>
                        </w:pPr>
                        <w:r>
                          <w:rPr>
                            <w:rFonts w:ascii="宋体" w:hAnsi="宋体" w:cs="宋体" w:eastAsia="宋体" w:hint="default"/>
                            <w:sz w:val="18"/>
                            <w:szCs w:val="18"/>
                          </w:rPr>
                          <w:t>金 </w:t>
                        </w:r>
                        <w:r>
                          <w:rPr>
                            <w:rFonts w:ascii="Times New Roman" w:hAnsi="Times New Roman" w:cs="Times New Roman" w:eastAsia="Times New Roman" w:hint="default"/>
                            <w:sz w:val="18"/>
                            <w:szCs w:val="18"/>
                          </w:rPr>
                          <w:t>71,000,000.00 </w:t>
                        </w:r>
                        <w:r>
                          <w:rPr>
                            <w:rFonts w:ascii="宋体" w:hAnsi="宋体" w:cs="宋体" w:eastAsia="宋体" w:hint="default"/>
                            <w:sz w:val="18"/>
                            <w:szCs w:val="18"/>
                          </w:rPr>
                          <w:t>元补充流动资金。</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日上述资金已归还至原募集资金专用账户，公 司已通知保荐机构及保荐人，并对外公告披露。</w:t>
                        </w:r>
                      </w:p>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日第二届董事会第十次会议和第二届监事会第六次会议，审议并通过了《关于部分</w:t>
                        </w:r>
                      </w:p>
                      <w:p>
                        <w:pPr>
                          <w:pStyle w:val="TableParagraph"/>
                          <w:spacing w:line="300" w:lineRule="auto" w:before="63"/>
                          <w:ind w:left="22" w:right="21"/>
                          <w:jc w:val="both"/>
                          <w:rPr>
                            <w:rFonts w:ascii="宋体" w:hAnsi="宋体" w:cs="宋体" w:eastAsia="宋体" w:hint="default"/>
                            <w:sz w:val="18"/>
                            <w:szCs w:val="18"/>
                          </w:rPr>
                        </w:pPr>
                        <w:r>
                          <w:rPr>
                            <w:rFonts w:ascii="宋体" w:hAnsi="宋体" w:cs="宋体" w:eastAsia="宋体" w:hint="default"/>
                            <w:spacing w:val="-8"/>
                            <w:sz w:val="18"/>
                            <w:szCs w:val="18"/>
                          </w:rPr>
                          <w:t>超募资金用于票据自助受理系统项目的议案》，同意将</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4,082.99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万元超募资金用于票据自助受理系统</w:t>
                        </w:r>
                        <w:r>
                          <w:rPr>
                            <w:rFonts w:ascii="宋体" w:hAnsi="宋体" w:cs="宋体" w:eastAsia="宋体" w:hint="default"/>
                            <w:spacing w:val="-88"/>
                            <w:sz w:val="18"/>
                            <w:szCs w:val="18"/>
                          </w:rPr>
                          <w:t> </w:t>
                        </w:r>
                        <w:r>
                          <w:rPr>
                            <w:rFonts w:ascii="宋体" w:hAnsi="宋体" w:cs="宋体" w:eastAsia="宋体" w:hint="default"/>
                            <w:sz w:val="18"/>
                            <w:szCs w:val="18"/>
                          </w:rPr>
                          <w:t>项目。公司独立董事及保荐机构分别发表了同意的独立意见及核查意见，并已对外公告披露。</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日第三届董事会第三次会议及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pacing w:val="-57"/>
                            <w:sz w:val="18"/>
                            <w:szCs w:val="18"/>
                          </w:rPr>
                          <w:t>了</w:t>
                        </w:r>
                        <w:r>
                          <w:rPr>
                            <w:rFonts w:ascii="宋体" w:hAnsi="宋体" w:cs="宋体" w:eastAsia="宋体" w:hint="default"/>
                            <w:sz w:val="18"/>
                            <w:szCs w:val="18"/>
                          </w:rPr>
                          <w:t>《关于审议超募资金投资项目延期的议案</w:t>
                        </w:r>
                        <w:r>
                          <w:rPr>
                            <w:rFonts w:ascii="宋体" w:hAnsi="宋体" w:cs="宋体" w:eastAsia="宋体" w:hint="default"/>
                            <w:spacing w:val="-90"/>
                            <w:sz w:val="18"/>
                            <w:szCs w:val="18"/>
                          </w:rPr>
                          <w:t>》</w:t>
                        </w:r>
                        <w:r>
                          <w:rPr>
                            <w:rFonts w:ascii="宋体" w:hAnsi="宋体" w:cs="宋体" w:eastAsia="宋体" w:hint="default"/>
                            <w:spacing w:val="-57"/>
                            <w:sz w:val="18"/>
                            <w:szCs w:val="18"/>
                          </w:rPr>
                          <w:t>，</w:t>
                        </w:r>
                        <w:r>
                          <w:rPr>
                            <w:rFonts w:ascii="宋体" w:hAnsi="宋体" w:cs="宋体" w:eastAsia="宋体" w:hint="default"/>
                            <w:sz w:val="18"/>
                            <w:szCs w:val="18"/>
                          </w:rPr>
                          <w:t>同意将</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票</w:t>
                        </w:r>
                        <w:r>
                          <w:rPr>
                            <w:rFonts w:ascii="宋体" w:hAnsi="宋体" w:cs="宋体" w:eastAsia="宋体" w:hint="default"/>
                            <w:spacing w:val="1"/>
                            <w:sz w:val="18"/>
                            <w:szCs w:val="18"/>
                          </w:rPr>
                          <w:t>据</w:t>
                        </w:r>
                        <w:r>
                          <w:rPr>
                            <w:rFonts w:ascii="宋体" w:hAnsi="宋体" w:cs="宋体" w:eastAsia="宋体" w:hint="default"/>
                            <w:sz w:val="18"/>
                            <w:szCs w:val="18"/>
                          </w:rPr>
                          <w:t>自助受理系统项目</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完成时间延长至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8"/>
                            <w:sz w:val="18"/>
                            <w:szCs w:val="18"/>
                          </w:rPr>
                          <w:t>。</w:t>
                        </w:r>
                        <w:r>
                          <w:rPr>
                            <w:rFonts w:ascii="宋体" w:hAnsi="宋体" w:cs="宋体" w:eastAsia="宋体" w:hint="default"/>
                            <w:sz w:val="18"/>
                            <w:szCs w:val="18"/>
                          </w:rPr>
                          <w:t>公司独立董事及保荐机构分别发表了同意的独立意见及核查意见</w:t>
                        </w:r>
                        <w:r>
                          <w:rPr>
                            <w:rFonts w:ascii="宋体" w:hAnsi="宋体" w:cs="宋体" w:eastAsia="宋体" w:hint="default"/>
                            <w:spacing w:val="-89"/>
                            <w:sz w:val="18"/>
                            <w:szCs w:val="18"/>
                          </w:rPr>
                          <w:t>，</w:t>
                        </w:r>
                        <w:r>
                          <w:rPr>
                            <w:rFonts w:ascii="宋体" w:hAnsi="宋体" w:cs="宋体" w:eastAsia="宋体" w:hint="default"/>
                            <w:sz w:val="18"/>
                            <w:szCs w:val="18"/>
                          </w:rPr>
                          <w:t>并已对外公告披露</w:t>
                        </w:r>
                      </w:p>
                      <w:p>
                        <w:pPr>
                          <w:pStyle w:val="TableParagraph"/>
                          <w:spacing w:line="300" w:lineRule="auto" w:before="63"/>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日第三届董事会第九次会议及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年第二次临时股东大会，审议</w:t>
                        </w:r>
                        <w:r>
                          <w:rPr>
                            <w:rFonts w:ascii="宋体" w:hAnsi="宋体" w:cs="宋体" w:eastAsia="宋体" w:hint="default"/>
                            <w:sz w:val="18"/>
                            <w:szCs w:val="18"/>
                          </w:rPr>
                          <w:t> </w:t>
                        </w:r>
                        <w:r>
                          <w:rPr>
                            <w:rFonts w:ascii="宋体" w:hAnsi="宋体" w:cs="宋体" w:eastAsia="宋体" w:hint="default"/>
                            <w:spacing w:val="-4"/>
                            <w:w w:val="100"/>
                            <w:sz w:val="18"/>
                            <w:szCs w:val="18"/>
                          </w:rPr>
                          <w:t>通过了《关于审议超募资金投资项目延期的议案》，同意将</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票据自助受理系统项目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完成时间延长至</w:t>
                        </w:r>
                        <w:r>
                          <w:rPr>
                            <w:rFonts w:ascii="宋体" w:hAnsi="宋体" w:cs="宋体" w:eastAsia="宋体" w:hint="default"/>
                            <w:spacing w:val="-70"/>
                            <w:w w:val="10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日。公司独立董事及保荐机构分别发表了同意的独立意见及核查意见，并已对外公</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告披露。截至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日，项目已完成，公司已累计使用超募资金投入本项目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35,210,236.58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日第二届董事会第十六次会议和第二届监事会第八次会议审议并通过</w:t>
                        </w:r>
                        <w:r>
                          <w:rPr>
                            <w:rFonts w:ascii="宋体" w:hAnsi="宋体" w:cs="宋体" w:eastAsia="宋体" w:hint="default"/>
                            <w:spacing w:val="-88"/>
                            <w:sz w:val="18"/>
                            <w:szCs w:val="18"/>
                          </w:rPr>
                          <w:t>了</w:t>
                        </w:r>
                        <w:r>
                          <w:rPr>
                            <w:rFonts w:ascii="宋体" w:hAnsi="宋体" w:cs="宋体" w:eastAsia="宋体" w:hint="default"/>
                            <w:sz w:val="18"/>
                            <w:szCs w:val="18"/>
                          </w:rPr>
                          <w:t>《关于审议</w:t>
                        </w:r>
                      </w:p>
                      <w:p>
                        <w:pPr>
                          <w:pStyle w:val="TableParagraph"/>
                          <w:spacing w:line="307" w:lineRule="auto" w:before="63"/>
                          <w:ind w:left="22" w:right="22"/>
                          <w:jc w:val="left"/>
                          <w:rPr>
                            <w:rFonts w:ascii="宋体" w:hAnsi="宋体" w:cs="宋体" w:eastAsia="宋体" w:hint="default"/>
                            <w:sz w:val="18"/>
                            <w:szCs w:val="18"/>
                          </w:rPr>
                        </w:pPr>
                        <w:r>
                          <w:rPr>
                            <w:rFonts w:ascii="宋体" w:hAnsi="宋体" w:cs="宋体" w:eastAsia="宋体" w:hint="default"/>
                            <w:spacing w:val="-4"/>
                            <w:sz w:val="18"/>
                            <w:szCs w:val="18"/>
                          </w:rPr>
                          <w:t>部分超募资金永久性补充流动资金的议案》，同意公司运用</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48,000,000.00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元超募资金永久性补充流</w:t>
                        </w:r>
                        <w:r>
                          <w:rPr>
                            <w:rFonts w:ascii="宋体" w:hAnsi="宋体" w:cs="宋体" w:eastAsia="宋体" w:hint="default"/>
                            <w:spacing w:val="-80"/>
                            <w:sz w:val="18"/>
                            <w:szCs w:val="18"/>
                          </w:rPr>
                          <w:t> </w:t>
                        </w:r>
                        <w:r>
                          <w:rPr>
                            <w:rFonts w:ascii="宋体" w:hAnsi="宋体" w:cs="宋体" w:eastAsia="宋体" w:hint="default"/>
                            <w:sz w:val="18"/>
                            <w:szCs w:val="18"/>
                          </w:rPr>
                          <w:t>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并承诺本次利用部分超募资金永久补充流动资金后十二个月内不进行证券投资等高风险投 资及为他人提供财务资助并对外披露，每十二个月用于偿还银行借款或补充流动资金的累计金额不 超过超募资金总额的</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年年度股东大会审议通过了该议案；公司</w:t>
                        </w:r>
                      </w:p>
                      <w:p>
                        <w:pPr>
                          <w:pStyle w:val="TableParagraph"/>
                          <w:spacing w:line="240" w:lineRule="auto" w:before="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独立董事及保荐机构分别发表了同意的独立意见及核查意见，并已对外公告披露。</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日公司已使用超募资金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元补充流动资金。</w:t>
                        </w:r>
                      </w:p>
                      <w:p>
                        <w:pPr>
                          <w:pStyle w:val="TableParagraph"/>
                          <w:spacing w:line="240" w:lineRule="auto" w:before="10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日召开的第三届董事会第五次会议、第三届监事会第五次会议和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年年度股东大会审议并通过</w:t>
                        </w:r>
                        <w:r>
                          <w:rPr>
                            <w:rFonts w:ascii="宋体" w:hAnsi="宋体" w:cs="宋体" w:eastAsia="宋体" w:hint="default"/>
                            <w:spacing w:val="-88"/>
                            <w:sz w:val="18"/>
                            <w:szCs w:val="18"/>
                          </w:rPr>
                          <w:t>了</w:t>
                        </w:r>
                        <w:r>
                          <w:rPr>
                            <w:rFonts w:ascii="宋体" w:hAnsi="宋体" w:cs="宋体" w:eastAsia="宋体" w:hint="default"/>
                            <w:sz w:val="18"/>
                            <w:szCs w:val="18"/>
                          </w:rPr>
                          <w:t>《关于审议部分超募资金永久性补充流动资金的议案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07" w:lineRule="auto" w:before="63"/>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同意使用部分超募资金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23,275,237.24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元及利息永久性补充流动资金，并承诺本次利用部分超募资金 永久性补充流动资金后十二个月内不进行证券投资等高风险投资及为他人提供财务资助并对外披 露，每十二个月用于偿还银行借款或补充流动资金的累计金额不超过超募资金总额的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。公司独 立董事及保荐机构分别发表了同意的独立意见及核查意见，并已对外公告披露。公司于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日分别使用超募资金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22,242,183.57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2,590,755.29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元永久性补充流动资金。</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3.7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施地点变更情况</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6"/>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481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原募投项目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总投资额为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3,228.20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万元，计划两年内在西安、武汉、广州</w:t>
                        </w:r>
                        <w:r>
                          <w:rPr>
                            <w:rFonts w:ascii="宋体" w:hAnsi="宋体" w:cs="宋体" w:eastAsia="宋体" w:hint="default"/>
                            <w:sz w:val="18"/>
                            <w:szCs w:val="18"/>
                          </w:rPr>
                          <w:t> 成都、南京、天津、沈阳七个城市建立营销与服务网络，资金主要用于购置营销与服务网络商业用 房、办公用各类必要的设备、设施、营业用车辆等。项目达到预定可使用状态日期为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4" w:lineRule="auto" w:before="5"/>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8"/>
                            <w:sz w:val="18"/>
                            <w:szCs w:val="18"/>
                          </w:rPr>
                          <w:t> </w:t>
                        </w:r>
                        <w:r>
                          <w:rPr>
                            <w:rFonts w:ascii="宋体" w:hAnsi="宋体" w:cs="宋体" w:eastAsia="宋体" w:hint="default"/>
                            <w:spacing w:val="-2"/>
                            <w:sz w:val="18"/>
                            <w:szCs w:val="18"/>
                          </w:rPr>
                          <w:t>日。近年来国内房地产价格不断上涨，原计划购置的办公场地价格已大大超出预算，因此公司在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营销与服务网络建设项目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的实施决策上保持了充分的谨慎，在开办过程中一直暂以租赁的形式开 展营销网络的建设。此外，公司在车辆、设备购置、费用支出等方面也是本着勤俭节约的原则，充 分调配现有资源，节省了大量资金。至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月，该项目累计实际投入金额</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184.54</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万元，占投</w:t>
                        </w:r>
                        <w:r>
                          <w:rPr>
                            <w:rFonts w:ascii="宋体" w:hAnsi="宋体" w:cs="宋体" w:eastAsia="宋体" w:hint="default"/>
                            <w:sz w:val="18"/>
                            <w:szCs w:val="18"/>
                          </w:rPr>
                          <w:t> 资总额的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5.72</w:t>
                        </w:r>
                        <w:r>
                          <w:rPr>
                            <w:rFonts w:ascii="宋体" w:hAnsi="宋体" w:cs="宋体" w:eastAsia="宋体" w:hint="default"/>
                            <w:sz w:val="18"/>
                            <w:szCs w:val="18"/>
                          </w:rPr>
                          <w:t>％。公司已经建立起了以北京为中心、遍布全国的营销与服务网络体系，营销与服务 网络建设项目的预计目标及效益已经基本达成。为了提高募集资金的使用效益，推进公司发展战略 的实施，公司决定终止原募投项目，将项目剩余募集资金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3,043.66 </w:t>
                        </w:r>
                        <w:r>
                          <w:rPr>
                            <w:rFonts w:ascii="宋体" w:hAnsi="宋体" w:cs="宋体" w:eastAsia="宋体" w:hint="default"/>
                            <w:sz w:val="18"/>
                            <w:szCs w:val="18"/>
                          </w:rPr>
                          <w:t>万元（未包括利息收入）用于投 资新的项目。</w:t>
                        </w:r>
                      </w:p>
                      <w:p>
                        <w:pPr>
                          <w:pStyle w:val="TableParagraph"/>
                          <w:spacing w:line="240" w:lineRule="auto" w:before="6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日第三届董事会第三次会议</w:t>
                        </w:r>
                        <w:r>
                          <w:rPr>
                            <w:rFonts w:ascii="宋体" w:hAnsi="宋体" w:cs="宋体" w:eastAsia="宋体" w:hint="default"/>
                            <w:spacing w:val="-67"/>
                            <w:sz w:val="18"/>
                            <w:szCs w:val="18"/>
                          </w:rPr>
                          <w:t>，</w:t>
                        </w:r>
                        <w:r>
                          <w:rPr>
                            <w:rFonts w:ascii="宋体" w:hAnsi="宋体" w:cs="宋体" w:eastAsia="宋体" w:hint="default"/>
                            <w:sz w:val="18"/>
                            <w:szCs w:val="18"/>
                          </w:rPr>
                          <w:t>审议通过</w:t>
                        </w:r>
                        <w:r>
                          <w:rPr>
                            <w:rFonts w:ascii="宋体" w:hAnsi="宋体" w:cs="宋体" w:eastAsia="宋体" w:hint="default"/>
                            <w:spacing w:val="-67"/>
                            <w:sz w:val="18"/>
                            <w:szCs w:val="18"/>
                          </w:rPr>
                          <w:t>了</w:t>
                        </w:r>
                        <w:r>
                          <w:rPr>
                            <w:rFonts w:ascii="宋体" w:hAnsi="宋体" w:cs="宋体" w:eastAsia="宋体" w:hint="default"/>
                            <w:sz w:val="18"/>
                            <w:szCs w:val="18"/>
                          </w:rPr>
                          <w:t>《关于审议募集资金投资项目变更的议案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00" w:lineRule="auto" w:before="63"/>
                          <w:ind w:left="22" w:right="19"/>
                          <w:jc w:val="both"/>
                          <w:rPr>
                            <w:rFonts w:ascii="宋体" w:hAnsi="宋体" w:cs="宋体" w:eastAsia="宋体" w:hint="default"/>
                            <w:sz w:val="18"/>
                            <w:szCs w:val="18"/>
                          </w:rPr>
                        </w:pPr>
                        <w:r>
                          <w:rPr>
                            <w:rFonts w:ascii="宋体" w:hAnsi="宋体" w:cs="宋体" w:eastAsia="宋体" w:hint="default"/>
                            <w:sz w:val="18"/>
                            <w:szCs w:val="18"/>
                          </w:rPr>
                          <w:t>会议同意公司将募集资金投资项目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剩余资金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3,043.66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万元（未包括利息 收入）用于实施</w:t>
                        </w:r>
                        <w:r>
                          <w:rPr>
                            <w:rFonts w:ascii="Times New Roman" w:hAnsi="Times New Roman" w:cs="Times New Roman" w:eastAsia="Times New Roman" w:hint="default"/>
                            <w:sz w:val="18"/>
                            <w:szCs w:val="18"/>
                          </w:rPr>
                          <w:t>“</w:t>
                        </w:r>
                        <w:r>
                          <w:rPr>
                            <w:rFonts w:ascii="宋体" w:hAnsi="宋体" w:cs="宋体" w:eastAsia="宋体" w:hint="default"/>
                            <w:sz w:val="18"/>
                            <w:szCs w:val="18"/>
                          </w:rPr>
                          <w:t>智能银行渠道整合平台</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。监事会、独立董事及保荐机构均出具了同意的 </w:t>
                        </w:r>
                        <w:r>
                          <w:rPr>
                            <w:rFonts w:ascii="宋体" w:hAnsi="宋体" w:cs="宋体" w:eastAsia="宋体" w:hint="default"/>
                            <w:spacing w:val="-10"/>
                            <w:sz w:val="18"/>
                            <w:szCs w:val="18"/>
                          </w:rPr>
                          <w:t>意见。</w:t>
                        </w:r>
                        <w:r>
                          <w:rPr>
                            <w:rFonts w:ascii="Times New Roman" w:hAnsi="Times New Roman" w:cs="Times New Roman" w:eastAsia="Times New Roman" w:hint="default"/>
                            <w:spacing w:val="-10"/>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年第二次临时股东大会审议并通过了该议案，公司已进行了公告披露</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3"/>
                          <w:ind w:left="22" w:right="0"/>
                          <w:jc w:val="both"/>
                          <w:rPr>
                            <w:rFonts w:ascii="宋体" w:hAnsi="宋体" w:cs="宋体" w:eastAsia="宋体" w:hint="default"/>
                            <w:sz w:val="18"/>
                            <w:szCs w:val="18"/>
                          </w:rPr>
                        </w:pPr>
                        <w:r>
                          <w:rPr>
                            <w:rFonts w:ascii="宋体" w:hAnsi="宋体" w:cs="宋体" w:eastAsia="宋体" w:hint="default"/>
                            <w:sz w:val="18"/>
                            <w:szCs w:val="18"/>
                          </w:rPr>
                          <w:t>公司募集资金投资项目预计总投资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169,277,600.00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元，募集资金到位前，公司利用自筹资金对募集</w:t>
                        </w:r>
                      </w:p>
                      <w:p>
                        <w:pPr>
                          <w:pStyle w:val="TableParagraph"/>
                          <w:spacing w:line="307" w:lineRule="auto" w:before="61"/>
                          <w:ind w:left="22" w:right="22"/>
                          <w:jc w:val="both"/>
                          <w:rPr>
                            <w:rFonts w:ascii="宋体" w:hAnsi="宋体" w:cs="宋体" w:eastAsia="宋体" w:hint="default"/>
                            <w:sz w:val="18"/>
                            <w:szCs w:val="18"/>
                          </w:rPr>
                        </w:pPr>
                        <w:r>
                          <w:rPr>
                            <w:rFonts w:ascii="宋体" w:hAnsi="宋体" w:cs="宋体" w:eastAsia="宋体" w:hint="default"/>
                            <w:sz w:val="18"/>
                            <w:szCs w:val="18"/>
                          </w:rPr>
                          <w:t>资金项目累计投入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1,531,353.22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元。立信会计师事务所（特殊普通合伙）对公司以自筹资金先期投 入募集资金项目进行了审核，并出具了《关于北京中科金财科技股份有限公司以募集资金置换预先 </w:t>
                        </w:r>
                        <w:r>
                          <w:rPr>
                            <w:rFonts w:ascii="宋体" w:hAnsi="宋体" w:cs="宋体" w:eastAsia="宋体" w:hint="default"/>
                            <w:spacing w:val="-3"/>
                            <w:sz w:val="18"/>
                            <w:szCs w:val="18"/>
                          </w:rPr>
                          <w:t>已投入募集资金项目的自筹资金的鉴证报告》（信会师报字【</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210073 </w:t>
                        </w:r>
                        <w:r>
                          <w:rPr>
                            <w:rFonts w:ascii="宋体" w:hAnsi="宋体" w:cs="宋体" w:eastAsia="宋体" w:hint="default"/>
                            <w:spacing w:val="-13"/>
                            <w:sz w:val="18"/>
                            <w:szCs w:val="18"/>
                          </w:rPr>
                          <w:t>号）；</w:t>
                        </w:r>
                        <w:r>
                          <w:rPr>
                            <w:rFonts w:ascii="Times New Roman" w:hAnsi="Times New Roman" w:cs="Times New Roman" w:eastAsia="Times New Roman" w:hint="default"/>
                            <w:spacing w:val="-13"/>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日，公司第二届董事会第八次会议及公司第二届监事会第四次会议审议通过了《关于审议募集资金 </w:t>
                        </w:r>
                        <w:r>
                          <w:rPr>
                            <w:rFonts w:ascii="宋体" w:hAnsi="宋体" w:cs="宋体" w:eastAsia="宋体" w:hint="default"/>
                            <w:spacing w:val="-8"/>
                            <w:sz w:val="18"/>
                            <w:szCs w:val="18"/>
                          </w:rPr>
                          <w:t>置换的议案》，同意以募集资金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1,531,353.22</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元置换已投入募集资金投资项目的自筹资金；独立董事</w:t>
                        </w:r>
                        <w:r>
                          <w:rPr>
                            <w:rFonts w:ascii="宋体" w:hAnsi="宋体" w:cs="宋体" w:eastAsia="宋体" w:hint="default"/>
                            <w:sz w:val="18"/>
                            <w:szCs w:val="18"/>
                          </w:rPr>
                          <w:t> 对以上项目发表了同意意见、保荐机构发表了同意该项目实施的核查意见，并均已对外公告披露。</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6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募投项目中基础组件支撑平台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V2.0 </w:t>
                        </w:r>
                        <w:r>
                          <w:rPr>
                            <w:rFonts w:ascii="宋体" w:hAnsi="宋体" w:cs="宋体" w:eastAsia="宋体" w:hint="default"/>
                            <w:sz w:val="18"/>
                            <w:szCs w:val="18"/>
                          </w:rPr>
                          <w:t>项目于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日获得计算机软件著作权：基础组件支</w:t>
                        </w:r>
                        <w:r>
                          <w:rPr>
                            <w:rFonts w:ascii="宋体" w:hAnsi="宋体" w:cs="宋体" w:eastAsia="宋体" w:hint="default"/>
                            <w:sz w:val="18"/>
                            <w:szCs w:val="18"/>
                          </w:rPr>
                          <w:t> 撑平台</w:t>
                        </w:r>
                        <w:r>
                          <w:rPr>
                            <w:rFonts w:ascii="宋体" w:hAnsi="宋体" w:cs="宋体" w:eastAsia="宋体" w:hint="default"/>
                            <w:spacing w:val="-36"/>
                            <w:sz w:val="18"/>
                            <w:szCs w:val="18"/>
                          </w:rPr>
                          <w:t> </w:t>
                        </w:r>
                        <w:r>
                          <w:rPr>
                            <w:rFonts w:ascii="Times New Roman" w:hAnsi="Times New Roman" w:cs="Times New Roman" w:eastAsia="Times New Roman" w:hint="default"/>
                            <w:spacing w:val="-9"/>
                            <w:sz w:val="18"/>
                            <w:szCs w:val="18"/>
                          </w:rPr>
                          <w:t>V2.0</w:t>
                        </w:r>
                        <w:r>
                          <w:rPr>
                            <w:rFonts w:ascii="宋体" w:hAnsi="宋体" w:cs="宋体" w:eastAsia="宋体" w:hint="default"/>
                            <w:spacing w:val="-9"/>
                            <w:sz w:val="18"/>
                            <w:szCs w:val="18"/>
                          </w:rPr>
                          <w:t>，登记号为</w:t>
                        </w:r>
                        <w:r>
                          <w:rPr>
                            <w:rFonts w:ascii="宋体" w:hAnsi="宋体" w:cs="宋体" w:eastAsia="宋体" w:hint="default"/>
                            <w:spacing w:val="-36"/>
                            <w:sz w:val="18"/>
                            <w:szCs w:val="18"/>
                          </w:rPr>
                          <w:t> </w:t>
                        </w:r>
                        <w:r>
                          <w:rPr>
                            <w:rFonts w:ascii="Times New Roman" w:hAnsi="Times New Roman" w:cs="Times New Roman" w:eastAsia="Times New Roman" w:hint="default"/>
                            <w:spacing w:val="-7"/>
                            <w:sz w:val="18"/>
                            <w:szCs w:val="18"/>
                          </w:rPr>
                          <w:t>2012SR008324</w:t>
                        </w:r>
                        <w:r>
                          <w:rPr>
                            <w:rFonts w:ascii="宋体" w:hAnsi="宋体" w:cs="宋体" w:eastAsia="宋体" w:hint="default"/>
                            <w:spacing w:val="-7"/>
                            <w:sz w:val="18"/>
                            <w:szCs w:val="18"/>
                          </w:rPr>
                          <w:t>，项目完成后，公司对项目进行决算，确认项目结余资金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632.67</w:t>
                        </w:r>
                        <w:r>
                          <w:rPr>
                            <w:rFonts w:ascii="Times New Roman" w:hAnsi="Times New Roman" w:cs="Times New Roman" w:eastAsia="Times New Roman" w:hint="default"/>
                            <w:spacing w:val="-41"/>
                            <w:sz w:val="18"/>
                            <w:szCs w:val="18"/>
                          </w:rPr>
                          <w:t> </w:t>
                        </w:r>
                        <w:r>
                          <w:rPr>
                            <w:rFonts w:ascii="宋体" w:hAnsi="宋体" w:cs="宋体" w:eastAsia="宋体" w:hint="default"/>
                            <w:spacing w:val="-5"/>
                            <w:sz w:val="18"/>
                            <w:szCs w:val="18"/>
                          </w:rPr>
                          <w:t>万元（不含利息收入），原因为市场价格浮动及社会环境的变化节约了设备投入资金、在研发过程中</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工作切分合理，优化了人员结构，节约了人工成本等。</w:t>
                        </w:r>
                      </w:p>
                      <w:p>
                        <w:pPr>
                          <w:pStyle w:val="TableParagraph"/>
                          <w:spacing w:line="312" w:lineRule="auto" w:before="64"/>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服务综合业务管理系统项目于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日获得计算机软件著作权：</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服务综合业务管 理系统</w:t>
                        </w:r>
                        <w:r>
                          <w:rPr>
                            <w:rFonts w:ascii="宋体" w:hAnsi="宋体" w:cs="宋体" w:eastAsia="宋体" w:hint="default"/>
                            <w:spacing w:val="-36"/>
                            <w:sz w:val="18"/>
                            <w:szCs w:val="18"/>
                          </w:rPr>
                          <w:t> </w:t>
                        </w:r>
                        <w:r>
                          <w:rPr>
                            <w:rFonts w:ascii="Times New Roman" w:hAnsi="Times New Roman" w:cs="Times New Roman" w:eastAsia="Times New Roman" w:hint="default"/>
                            <w:spacing w:val="-9"/>
                            <w:sz w:val="18"/>
                            <w:szCs w:val="18"/>
                          </w:rPr>
                          <w:t>V1.0</w:t>
                        </w:r>
                        <w:r>
                          <w:rPr>
                            <w:rFonts w:ascii="宋体" w:hAnsi="宋体" w:cs="宋体" w:eastAsia="宋体" w:hint="default"/>
                            <w:spacing w:val="-9"/>
                            <w:sz w:val="18"/>
                            <w:szCs w:val="18"/>
                          </w:rPr>
                          <w:t>，登记号为</w:t>
                        </w:r>
                        <w:r>
                          <w:rPr>
                            <w:rFonts w:ascii="宋体" w:hAnsi="宋体" w:cs="宋体" w:eastAsia="宋体" w:hint="default"/>
                            <w:spacing w:val="-36"/>
                            <w:sz w:val="18"/>
                            <w:szCs w:val="18"/>
                          </w:rPr>
                          <w:t> </w:t>
                        </w:r>
                        <w:r>
                          <w:rPr>
                            <w:rFonts w:ascii="Times New Roman" w:hAnsi="Times New Roman" w:cs="Times New Roman" w:eastAsia="Times New Roman" w:hint="default"/>
                            <w:spacing w:val="-7"/>
                            <w:sz w:val="18"/>
                            <w:szCs w:val="18"/>
                          </w:rPr>
                          <w:t>2014SR033606</w:t>
                        </w:r>
                        <w:r>
                          <w:rPr>
                            <w:rFonts w:ascii="宋体" w:hAnsi="宋体" w:cs="宋体" w:eastAsia="宋体" w:hint="default"/>
                            <w:spacing w:val="-7"/>
                            <w:sz w:val="18"/>
                            <w:szCs w:val="18"/>
                          </w:rPr>
                          <w:t>，项目完成后，公司对项目进行决算，确认项目结余资金</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830.88</w:t>
                        </w:r>
                        <w:r>
                          <w:rPr>
                            <w:rFonts w:ascii="Times New Roman" w:hAnsi="Times New Roman" w:cs="Times New Roman" w:eastAsia="Times New Roman" w:hint="default"/>
                            <w:spacing w:val="-41"/>
                            <w:sz w:val="18"/>
                            <w:szCs w:val="18"/>
                          </w:rPr>
                          <w:t> </w:t>
                        </w:r>
                        <w:r>
                          <w:rPr>
                            <w:rFonts w:ascii="宋体" w:hAnsi="宋体" w:cs="宋体" w:eastAsia="宋体" w:hint="default"/>
                            <w:spacing w:val="-5"/>
                            <w:sz w:val="18"/>
                            <w:szCs w:val="18"/>
                          </w:rPr>
                          <w:t>万元（不含利息收入），原因为公司在项目实施过程中，严格按照募集资金管理的有关规定谨慎使用</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募集资金，按照投资预算严格控制募集资金投入，精打细算，力求节约。项目在研发过程中利用了 公司现有设备，使研发软件投入方面有较大结余，同时通过对项目投入的人员的合理分工，优化了 人员结构，节约了人工成本。</w:t>
                        </w:r>
                      </w:p>
                      <w:p>
                        <w:pPr>
                          <w:pStyle w:val="TableParagraph"/>
                          <w:spacing w:line="240" w:lineRule="auto" w:before="62"/>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影像集中作</w:t>
                        </w:r>
                        <w:r>
                          <w:rPr>
                            <w:rFonts w:ascii="宋体" w:hAnsi="宋体" w:cs="宋体" w:eastAsia="宋体" w:hint="default"/>
                            <w:spacing w:val="-2"/>
                            <w:sz w:val="18"/>
                            <w:szCs w:val="18"/>
                          </w:rPr>
                          <w:t>业</w:t>
                        </w:r>
                        <w:r>
                          <w:rPr>
                            <w:rFonts w:ascii="宋体" w:hAnsi="宋体" w:cs="宋体" w:eastAsia="宋体" w:hint="default"/>
                            <w:sz w:val="18"/>
                            <w:szCs w:val="18"/>
                          </w:rPr>
                          <w:t>平台</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项目于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日获得计算机软件著作权</w:t>
                        </w:r>
                        <w:r>
                          <w:rPr>
                            <w:rFonts w:ascii="宋体" w:hAnsi="宋体" w:cs="宋体" w:eastAsia="宋体" w:hint="default"/>
                            <w:spacing w:val="-90"/>
                            <w:sz w:val="18"/>
                            <w:szCs w:val="18"/>
                          </w:rPr>
                          <w:t>：</w:t>
                        </w:r>
                        <w:r>
                          <w:rPr>
                            <w:rFonts w:ascii="宋体" w:hAnsi="宋体" w:cs="宋体" w:eastAsia="宋体" w:hint="default"/>
                            <w:sz w:val="18"/>
                            <w:szCs w:val="18"/>
                          </w:rPr>
                          <w:t>影像集中作业平台</w:t>
                        </w:r>
                        <w:r>
                          <w:rPr>
                            <w:rFonts w:ascii="宋体" w:hAnsi="宋体" w:cs="宋体" w:eastAsia="宋体" w:hint="default"/>
                            <w:spacing w:val="-54"/>
                            <w:sz w:val="18"/>
                            <w:szCs w:val="18"/>
                          </w:rPr>
                          <w:t> </w:t>
                        </w:r>
                        <w:r>
                          <w:rPr>
                            <w:rFonts w:ascii="Times New Roman" w:hAnsi="Times New Roman" w:cs="Times New Roman" w:eastAsia="Times New Roman" w:hint="default"/>
                            <w:spacing w:val="-1"/>
                            <w:w w:val="99"/>
                            <w:sz w:val="18"/>
                            <w:szCs w:val="18"/>
                          </w:rPr>
                          <w:t>V</w:t>
                        </w:r>
                        <w:r>
                          <w:rPr>
                            <w:rFonts w:ascii="Times New Roman" w:hAnsi="Times New Roman" w:cs="Times New Roman" w:eastAsia="Times New Roman" w:hint="default"/>
                            <w:sz w:val="18"/>
                            <w:szCs w:val="18"/>
                          </w:rPr>
                          <w:t>2.0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44"/>
        <w:ind w:left="0" w:right="1140" w:firstLine="0"/>
        <w:jc w:val="right"/>
        <w:rPr>
          <w:rFonts w:ascii="宋体" w:hAnsi="宋体" w:cs="宋体" w:eastAsia="宋体" w:hint="default"/>
          <w:sz w:val="18"/>
          <w:szCs w:val="18"/>
        </w:rPr>
      </w:pPr>
      <w:r>
        <w:rPr/>
        <w:pict>
          <v:shape style="position:absolute;margin-left:56.459999pt;margin-top:-399.348297pt;width:479.2pt;height:517.2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49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登记号为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2014SR033607</w:t>
                        </w:r>
                        <w:r>
                          <w:rPr>
                            <w:rFonts w:ascii="宋体" w:hAnsi="宋体" w:cs="宋体" w:eastAsia="宋体" w:hint="default"/>
                            <w:sz w:val="18"/>
                            <w:szCs w:val="18"/>
                          </w:rPr>
                          <w:t>，项目完成后，公司对项目进行决算，确认项目结余资金</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1,488.68</w:t>
                        </w:r>
                        <w:r>
                          <w:rPr>
                            <w:rFonts w:ascii="Times New Roman" w:hAnsi="Times New Roman" w:cs="Times New Roman" w:eastAsia="Times New Roman" w:hint="default"/>
                            <w:spacing w:val="-19"/>
                            <w:sz w:val="18"/>
                            <w:szCs w:val="18"/>
                          </w:rPr>
                          <w:t> </w:t>
                        </w:r>
                        <w:r>
                          <w:rPr>
                            <w:rFonts w:ascii="宋体" w:hAnsi="宋体" w:cs="宋体" w:eastAsia="宋体" w:hint="default"/>
                            <w:spacing w:val="-6"/>
                            <w:sz w:val="18"/>
                            <w:szCs w:val="18"/>
                          </w:rPr>
                          <w:t>万元（不</w:t>
                        </w:r>
                        <w:r>
                          <w:rPr>
                            <w:rFonts w:ascii="宋体" w:hAnsi="宋体" w:cs="宋体" w:eastAsia="宋体" w:hint="default"/>
                            <w:sz w:val="18"/>
                            <w:szCs w:val="18"/>
                          </w:rPr>
                          <w:t> </w:t>
                        </w:r>
                        <w:r>
                          <w:rPr>
                            <w:rFonts w:ascii="宋体" w:hAnsi="宋体" w:cs="宋体" w:eastAsia="宋体" w:hint="default"/>
                            <w:spacing w:val="-5"/>
                            <w:sz w:val="18"/>
                            <w:szCs w:val="18"/>
                          </w:rPr>
                          <w:t>含利息收入），原因为项目实施过程中，公司一直着力于项目的技术革新，通过不断研发新工艺，极</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大程度提高了单位生产效率，加快了影像集中作业平台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项目的产能释放和整体经济效益的提 升。此外，得益于研发技术及设备的升级换代，公司在研发进度及品质保证的情况下相应减少了部 分设备的采购数量，节约了一定的项目投入。</w:t>
                        </w:r>
                      </w:p>
                      <w:p>
                        <w:pPr>
                          <w:pStyle w:val="TableParagraph"/>
                          <w:spacing w:line="309" w:lineRule="auto" w:before="64"/>
                          <w:ind w:left="22" w:right="2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、智能银行渠道整合平台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日获得计算机软件著作权：智能银行渠道整合平 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r>
                          <w:rPr>
                            <w:rFonts w:ascii="宋体" w:hAnsi="宋体" w:cs="宋体" w:eastAsia="宋体" w:hint="default"/>
                            <w:sz w:val="18"/>
                            <w:szCs w:val="18"/>
                          </w:rPr>
                          <w:t>，登记号为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2015SR193992</w:t>
                        </w:r>
                        <w:r>
                          <w:rPr>
                            <w:rFonts w:ascii="宋体" w:hAnsi="宋体" w:cs="宋体" w:eastAsia="宋体" w:hint="default"/>
                            <w:sz w:val="18"/>
                            <w:szCs w:val="18"/>
                          </w:rPr>
                          <w:t>，项目完成后，公司对项目进行决算，确认项目结余资金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445.49 </w:t>
                        </w:r>
                        <w:r>
                          <w:rPr>
                            <w:rFonts w:ascii="宋体" w:hAnsi="宋体" w:cs="宋体" w:eastAsia="宋体" w:hint="default"/>
                            <w:spacing w:val="-5"/>
                            <w:sz w:val="18"/>
                            <w:szCs w:val="18"/>
                          </w:rPr>
                          <w:t>万元（不含利息收入），原因为公司利用了现有设备，外购设备时争取适当合理的价格，结余了设备</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投入资金；开发初期节约了机房和演示场地的投入费用；在研发过程中工作切分合理，优化了人员 结构，节约了人工成本等。</w:t>
                        </w:r>
                      </w:p>
                      <w:p>
                        <w:pPr>
                          <w:pStyle w:val="TableParagraph"/>
                          <w:spacing w:line="307" w:lineRule="auto" w:before="62"/>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、票据自助受理系统于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日获得计算机软件著作权：票据自助受理系统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r>
                          <w:rPr>
                            <w:rFonts w:ascii="宋体" w:hAnsi="宋体" w:cs="宋体" w:eastAsia="宋体" w:hint="default"/>
                            <w:sz w:val="18"/>
                            <w:szCs w:val="18"/>
                          </w:rPr>
                          <w:t>，登记 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2015SR091693</w:t>
                        </w:r>
                        <w:r>
                          <w:rPr>
                            <w:rFonts w:ascii="宋体" w:hAnsi="宋体" w:cs="宋体" w:eastAsia="宋体" w:hint="default"/>
                            <w:sz w:val="18"/>
                            <w:szCs w:val="18"/>
                          </w:rPr>
                          <w:t>，项目完成后，公司对项目进行决算，确认项目结余资金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561.97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万元（不含利 </w:t>
                        </w:r>
                        <w:r>
                          <w:rPr>
                            <w:rFonts w:ascii="宋体" w:hAnsi="宋体" w:cs="宋体" w:eastAsia="宋体" w:hint="default"/>
                            <w:spacing w:val="-5"/>
                            <w:sz w:val="18"/>
                            <w:szCs w:val="18"/>
                          </w:rPr>
                          <w:t>息收入），原因为在研发过程中工作切分合理，优化了人员结构，节约了人工成本；银行采购分期上</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线，备机生产需分期完成等。</w:t>
                        </w:r>
                      </w:p>
                    </w:tc>
                  </w:tr>
                  <w:tr>
                    <w:trPr>
                      <w:trHeight w:val="481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日第二届董事会第十六次会议及第二届监事会第八次会议审议通过了《关于审议使 </w:t>
                        </w:r>
                        <w:r>
                          <w:rPr>
                            <w:rFonts w:ascii="宋体" w:hAnsi="宋体" w:cs="宋体" w:eastAsia="宋体" w:hint="default"/>
                            <w:spacing w:val="-5"/>
                            <w:sz w:val="18"/>
                            <w:szCs w:val="18"/>
                          </w:rPr>
                          <w:t>用闲置募集资金购买保本型理财产品的议案》，同意公司在保证募集资金项目正常建设和确保资金安</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全的前提下，滚动使用不超过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亿元闲置募集资金用于购买保本型的理财产品进行理财投资，单笔</w:t>
                        </w:r>
                      </w:p>
                      <w:p>
                        <w:pPr>
                          <w:pStyle w:val="TableParagraph"/>
                          <w:spacing w:line="319" w:lineRule="auto" w:before="5"/>
                          <w:ind w:left="22" w:right="24"/>
                          <w:jc w:val="left"/>
                          <w:rPr>
                            <w:rFonts w:ascii="宋体" w:hAnsi="宋体" w:cs="宋体" w:eastAsia="宋体" w:hint="default"/>
                            <w:sz w:val="18"/>
                            <w:szCs w:val="18"/>
                          </w:rPr>
                        </w:pPr>
                        <w:r>
                          <w:rPr>
                            <w:rFonts w:ascii="宋体" w:hAnsi="宋体" w:cs="宋体" w:eastAsia="宋体" w:hint="default"/>
                            <w:sz w:val="18"/>
                            <w:szCs w:val="18"/>
                          </w:rPr>
                          <w:t>理财产品的投资期限原则上不超过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个月。本议案已经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 议通过</w:t>
                        </w:r>
                        <w:r>
                          <w:rPr>
                            <w:rFonts w:ascii="Times New Roman" w:hAnsi="Times New Roman" w:cs="Times New Roman" w:eastAsia="Times New Roman" w:hint="default"/>
                            <w:sz w:val="18"/>
                            <w:szCs w:val="18"/>
                          </w:rPr>
                          <w:t>,</w:t>
                        </w:r>
                        <w:r>
                          <w:rPr>
                            <w:rFonts w:ascii="宋体" w:hAnsi="宋体" w:cs="宋体" w:eastAsia="宋体" w:hint="default"/>
                            <w:sz w:val="18"/>
                            <w:szCs w:val="18"/>
                          </w:rPr>
                          <w:t>公司独立董事及保荐机构分别发表了同意的独立意见及核查意见，并已对外公告披露。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日第三届董事会第三次会议审议通过了《关于调整部分闲置募集资金购买保本型理</w:t>
                        </w:r>
                      </w:p>
                      <w:p>
                        <w:pPr>
                          <w:pStyle w:val="TableParagraph"/>
                          <w:spacing w:line="246" w:lineRule="exact"/>
                          <w:ind w:left="22" w:right="0"/>
                          <w:jc w:val="left"/>
                          <w:rPr>
                            <w:rFonts w:ascii="宋体" w:hAnsi="宋体" w:cs="宋体" w:eastAsia="宋体" w:hint="default"/>
                            <w:sz w:val="18"/>
                            <w:szCs w:val="18"/>
                          </w:rPr>
                        </w:pPr>
                        <w:r>
                          <w:rPr>
                            <w:rFonts w:ascii="宋体" w:hAnsi="宋体" w:cs="宋体" w:eastAsia="宋体" w:hint="default"/>
                            <w:sz w:val="18"/>
                            <w:szCs w:val="18"/>
                          </w:rPr>
                          <w:t>财产品额度及期限的议案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同意公司增加滚动使用不超过人民币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亿</w:t>
                        </w:r>
                        <w:r>
                          <w:rPr>
                            <w:rFonts w:ascii="宋体" w:hAnsi="宋体" w:cs="宋体" w:eastAsia="宋体" w:hint="default"/>
                            <w:sz w:val="18"/>
                            <w:szCs w:val="18"/>
                          </w:rPr>
                          <w:t>元的闲置募集资金额度</w:t>
                        </w:r>
                        <w:r>
                          <w:rPr>
                            <w:rFonts w:ascii="宋体" w:hAnsi="宋体" w:cs="宋体" w:eastAsia="宋体" w:hint="default"/>
                            <w:spacing w:val="-45"/>
                            <w:sz w:val="18"/>
                            <w:szCs w:val="18"/>
                          </w:rPr>
                          <w:t>，</w:t>
                        </w:r>
                        <w:r>
                          <w:rPr>
                            <w:rFonts w:ascii="宋体" w:hAnsi="宋体" w:cs="宋体" w:eastAsia="宋体" w:hint="default"/>
                            <w:sz w:val="18"/>
                            <w:szCs w:val="18"/>
                          </w:rPr>
                          <w:t>择机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购买保本型理财产品，有效期自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年第二次临时股东大会通过之日起一年内。本调整议案已经</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年第二次临时股东大会审议通过，公司独立董事及保荐机构分别发表了同意</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的独立意见及核查意见，并已对外公告披露。</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日第三届董事会第九次会议审议通过</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了《关于审议使用闲置募集资金购买保本型理财产品的议案</w:t>
                        </w:r>
                        <w:r>
                          <w:rPr>
                            <w:rFonts w:ascii="宋体" w:hAnsi="宋体" w:cs="宋体" w:eastAsia="宋体" w:hint="default"/>
                            <w:spacing w:val="-90"/>
                            <w:sz w:val="18"/>
                            <w:szCs w:val="18"/>
                          </w:rPr>
                          <w:t>》</w:t>
                        </w:r>
                        <w:r>
                          <w:rPr>
                            <w:rFonts w:ascii="宋体" w:hAnsi="宋体" w:cs="宋体" w:eastAsia="宋体" w:hint="default"/>
                            <w:sz w:val="18"/>
                            <w:szCs w:val="18"/>
                          </w:rPr>
                          <w:t>，同意公司拟滚动使用不超过 </w:t>
                        </w:r>
                        <w:r>
                          <w:rPr>
                            <w:rFonts w:ascii="Times New Roman" w:hAnsi="Times New Roman" w:cs="Times New Roman" w:eastAsia="Times New Roman" w:hint="default"/>
                            <w:sz w:val="18"/>
                            <w:szCs w:val="18"/>
                          </w:rPr>
                          <w:t>20,000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万元的闲置募集资金，购买保本型的理财产品。单笔理财产品的投资期限原则上不得超过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个月</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授权期限自</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年第二次临时股东大会审议通过之日起一年。本议案已经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年第二次临时股东大会审议通过，公司独立董事及保荐机构分别发表了同意的独立意见及核查意见</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并已对外公告披露。</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公司按照相关法律、法规、规范性文件的规定和要求使用募集资金，并对募集资金使用情况及时地 进行了披露，不存在募集资金使用及管理的违规情形。</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0"/>
        <w:ind w:right="1024"/>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45"/>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智能银行渠</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营销与服务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3,043.66</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1,543.8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2,598.17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85.36%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109.03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0" w:right="1136" w:firstLine="0"/>
        <w:jc w:val="right"/>
        <w:rPr>
          <w:rFonts w:ascii="宋体" w:hAnsi="宋体" w:cs="宋体" w:eastAsia="宋体" w:hint="default"/>
          <w:sz w:val="18"/>
          <w:szCs w:val="18"/>
        </w:rPr>
      </w:pPr>
      <w:r>
        <w:rPr/>
        <w:pict>
          <v:shape style="position:absolute;margin-left:56.459999pt;margin-top:-56.868301pt;width:479.3pt;height:397.4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67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道整合平台</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V1.0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网络建设</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3,043.66</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1,543.8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3" w:right="0"/>
                          <w:jc w:val="left"/>
                          <w:rPr>
                            <w:rFonts w:ascii="Times New Roman" w:hAnsi="Times New Roman" w:cs="Times New Roman" w:eastAsia="Times New Roman" w:hint="default"/>
                            <w:sz w:val="18"/>
                            <w:szCs w:val="18"/>
                          </w:rPr>
                        </w:pPr>
                        <w:r>
                          <w:rPr>
                            <w:rFonts w:ascii="Times New Roman"/>
                            <w:sz w:val="18"/>
                          </w:rPr>
                          <w:t>2,598.17</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109.03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543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316"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w w:val="100"/>
                            <w:sz w:val="18"/>
                            <w:szCs w:val="18"/>
                          </w:rPr>
                          <w:t>原募投项目</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营销与服务网络建设项目</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总投资额为</w:t>
                        </w:r>
                        <w:r>
                          <w:rPr>
                            <w:rFonts w:ascii="宋体" w:hAnsi="宋体" w:cs="宋体" w:eastAsia="宋体" w:hint="default"/>
                            <w:spacing w:val="-45"/>
                            <w:w w:val="100"/>
                            <w:sz w:val="18"/>
                            <w:szCs w:val="18"/>
                          </w:rPr>
                          <w:t> </w:t>
                        </w:r>
                        <w:r>
                          <w:rPr>
                            <w:rFonts w:ascii="Times New Roman" w:hAnsi="Times New Roman" w:cs="Times New Roman" w:eastAsia="Times New Roman" w:hint="default"/>
                            <w:spacing w:val="-1"/>
                            <w:sz w:val="18"/>
                            <w:szCs w:val="18"/>
                          </w:rPr>
                          <w:t>3,228.20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万元，计划两年内在西安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武汉、广州、成都、南京、天津、沈阳七个城市建立营销与服务网络，资金主要用于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购置营销与服务网络商业用房、办公用各类必要的设备、设施、营业用车辆等。项目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达到预定可使用状态日期为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日。近年来国内房地产价格不断上涨，原 计划购置的办公场地价格已大大超出预算，因此公司在</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宋体" w:hAnsi="宋体" w:cs="宋体" w:eastAsia="宋体" w:hint="default"/>
                            <w:spacing w:val="-1"/>
                            <w:sz w:val="18"/>
                            <w:szCs w:val="18"/>
                          </w:rPr>
                          <w:t>实施决策上保持了充分的谨慎，在开办过程中一直暂以租赁的形式开展营销网络的建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设。此外，公司在车辆、设备购置、费用支出等方面也是本着勤俭节约的原则，充分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1"/>
                            <w:sz w:val="18"/>
                            <w:szCs w:val="18"/>
                          </w:rPr>
                          <w:t>调配现有资源，节省了大量资金。至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月，该项目累计实际投入金额</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184.54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 </w:t>
                        </w:r>
                        <w:r>
                          <w:rPr>
                            <w:rFonts w:ascii="宋体" w:hAnsi="宋体" w:cs="宋体" w:eastAsia="宋体" w:hint="default"/>
                            <w:spacing w:val="-3"/>
                            <w:sz w:val="18"/>
                            <w:szCs w:val="18"/>
                          </w:rPr>
                          <w:t>元，占投资总额的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5.72</w:t>
                        </w:r>
                        <w:r>
                          <w:rPr>
                            <w:rFonts w:ascii="宋体" w:hAnsi="宋体" w:cs="宋体" w:eastAsia="宋体" w:hint="default"/>
                            <w:sz w:val="18"/>
                            <w:szCs w:val="18"/>
                          </w:rPr>
                          <w:t>％。公司已经建立起了以北京为中心、遍布全国的营销与服务 </w:t>
                        </w:r>
                        <w:r>
                          <w:rPr>
                            <w:rFonts w:ascii="宋体" w:hAnsi="宋体" w:cs="宋体" w:eastAsia="宋体" w:hint="default"/>
                            <w:spacing w:val="-1"/>
                            <w:sz w:val="18"/>
                            <w:szCs w:val="18"/>
                          </w:rPr>
                          <w:t>网络体系，营销与服务网络建设项目的预计目标及效益已经基本达成。为了提高募集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资金的使用效益，推进公司发展战略的实施，公司决定终止原募投项目，将项目剩余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3,043.66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万元（未包括利息收入）用于投资新的项目。</w:t>
                        </w:r>
                      </w:p>
                      <w:p>
                        <w:pPr>
                          <w:pStyle w:val="TableParagraph"/>
                          <w:spacing w:line="300" w:lineRule="auto" w:before="44"/>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日第三届董事会第三次会议，审议通过了《关于审议募集资金投资项 </w:t>
                        </w:r>
                        <w:r>
                          <w:rPr>
                            <w:rFonts w:ascii="宋体" w:hAnsi="宋体" w:cs="宋体" w:eastAsia="宋体" w:hint="default"/>
                            <w:spacing w:val="-5"/>
                            <w:w w:val="100"/>
                            <w:sz w:val="18"/>
                            <w:szCs w:val="18"/>
                          </w:rPr>
                          <w:t>目变更的议案》，会议同意公司将募集资金投资项目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营销与服务网络建设项目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剩余资</w:t>
                        </w:r>
                        <w:r>
                          <w:rPr>
                            <w:rFonts w:ascii="宋体" w:hAnsi="宋体" w:cs="宋体" w:eastAsia="宋体" w:hint="default"/>
                            <w:spacing w:val="-74"/>
                            <w:w w:val="100"/>
                            <w:sz w:val="18"/>
                            <w:szCs w:val="18"/>
                          </w:rPr>
                          <w:t> </w:t>
                        </w:r>
                        <w:r>
                          <w:rPr>
                            <w:rFonts w:ascii="宋体" w:hAnsi="宋体" w:cs="宋体" w:eastAsia="宋体" w:hint="default"/>
                            <w:sz w:val="18"/>
                            <w:szCs w:val="18"/>
                          </w:rPr>
                          <w:t>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3,043.66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万元（未包括利息收入）用于实施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智能银行渠道整合平台</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项目</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。监</w:t>
                        </w:r>
                        <w:r>
                          <w:rPr>
                            <w:rFonts w:ascii="宋体" w:hAnsi="宋体" w:cs="宋体" w:eastAsia="宋体" w:hint="default"/>
                            <w:spacing w:val="-85"/>
                            <w:sz w:val="18"/>
                            <w:szCs w:val="18"/>
                          </w:rPr>
                          <w:t> </w:t>
                        </w:r>
                        <w:r>
                          <w:rPr>
                            <w:rFonts w:ascii="宋体" w:hAnsi="宋体" w:cs="宋体" w:eastAsia="宋体" w:hint="default"/>
                            <w:spacing w:val="-3"/>
                            <w:sz w:val="18"/>
                            <w:szCs w:val="18"/>
                          </w:rPr>
                          <w:t>事会、独立董事及保荐机构均出具了同意的意见。</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时股东大会审议并通过了该议案，公司已进行了公告披露。</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2"/>
        <w:spacing w:line="240" w:lineRule="auto" w:before="26"/>
        <w:ind w:left="154" w:right="1024"/>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2"/>
        <w:rPr>
          <w:rFonts w:ascii="宋体" w:hAnsi="宋体" w:cs="宋体" w:eastAsia="宋体" w:hint="default"/>
          <w:sz w:val="20"/>
          <w:szCs w:val="20"/>
        </w:rPr>
      </w:pPr>
    </w:p>
    <w:p>
      <w:pPr>
        <w:pStyle w:val="Heading4"/>
        <w:spacing w:line="240" w:lineRule="auto"/>
        <w:ind w:left="153" w:right="1024"/>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r>
        <w:rPr/>
        <w:pict>
          <v:group style="position:absolute;margin-left:221.720001pt;margin-top:72.47998pt;width:51.75pt;height:119.1pt;mso-position-horizontal-relative:page;mso-position-vertical-relative:page;z-index:-1213480" coordorigin="4434,1450" coordsize="1035,2382">
            <v:group style="position:absolute;left:4434;top:1450;width:1035;height:2029" coordorigin="4434,1450" coordsize="1035,2029">
              <v:shape style="position:absolute;left:4434;top:1450;width:1035;height:2029" coordorigin="4434,1450" coordsize="1035,2029" path="m4434,3478l5469,3478,5469,1450,4434,1450,4434,3478xe" filled="true" fillcolor="#ffffff" stroked="false">
                <v:path arrowok="t"/>
                <v:fill type="solid"/>
              </v:shape>
            </v:group>
            <v:group style="position:absolute;left:4457;top:3478;width:990;height:353" coordorigin="4457,3478" coordsize="990,353">
              <v:shape style="position:absolute;left:4457;top:3478;width:990;height:353" coordorigin="4457,3478" coordsize="990,353" path="m4457,3831l5446,3831,5446,3478,4457,3478,4457,383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77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天津滨河创 新科技有限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软件、电子 信息、工业 装备与自动 化系统技术 及产品的开 发、咨询、 服务、转让 电子产品、 通讯设备、 计算机、软 件及辅助设 备、计算机 配件、金融 机具及配件 等</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1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6" w:right="0"/>
              <w:jc w:val="left"/>
              <w:rPr>
                <w:rFonts w:ascii="Times New Roman" w:hAnsi="Times New Roman" w:cs="Times New Roman" w:eastAsia="Times New Roman" w:hint="default"/>
                <w:sz w:val="18"/>
                <w:szCs w:val="18"/>
              </w:rPr>
            </w:pPr>
            <w:r>
              <w:rPr>
                <w:rFonts w:ascii="Times New Roman"/>
                <w:sz w:val="18"/>
              </w:rPr>
              <w:t>50,083,700.0</w:t>
            </w:r>
          </w:p>
          <w:p>
            <w:pPr>
              <w:pStyle w:val="TableParagraph"/>
              <w:spacing w:line="240" w:lineRule="auto" w:before="106"/>
              <w:ind w:left="16"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277,087,818.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220,940,376.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175,534,126.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78,411,172.3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72,790,980.3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32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北京中科金 财电子商务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移动支付解 决方案、移 动营销解决 方案、移动 多媒体互动 电子杂志产 品、手机银 行等行业移 动信息化产 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105,607,578.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105,607,578.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27,753,095.2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3,489,887.94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4,565,478.05</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安粮期货有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商品期货经 纪、金融期 货经纪、基 金销售、资 产管理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1,536,696,12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610,223,484.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92,133,821.3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15,057,574.1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13,376,621.4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74" w:lineRule="auto" w:before="77"/>
        <w:ind w:left="649" w:right="1024" w:hanging="496"/>
        <w:jc w:val="left"/>
        <w:rPr>
          <w:rFonts w:ascii="宋体" w:hAnsi="宋体" w:cs="宋体" w:eastAsia="宋体" w:hint="default"/>
          <w:sz w:val="21"/>
          <w:szCs w:val="21"/>
        </w:rPr>
      </w:pPr>
      <w:r>
        <w:rPr>
          <w:rFonts w:ascii="宋体" w:hAnsi="宋体" w:cs="宋体" w:eastAsia="宋体" w:hint="default"/>
          <w:b/>
          <w:bCs/>
          <w:sz w:val="21"/>
          <w:szCs w:val="21"/>
        </w:rPr>
        <w:t>主要控股参股公司情况说明</w:t>
      </w:r>
      <w:r>
        <w:rPr>
          <w:rFonts w:ascii="宋体" w:hAnsi="宋体" w:cs="宋体" w:eastAsia="宋体" w:hint="default"/>
          <w:b/>
          <w:bCs/>
          <w:w w:val="99"/>
          <w:sz w:val="21"/>
          <w:szCs w:val="21"/>
        </w:rPr>
        <w:t> </w:t>
      </w:r>
      <w:r>
        <w:rPr>
          <w:rFonts w:ascii="宋体" w:hAnsi="宋体" w:cs="宋体" w:eastAsia="宋体" w:hint="default"/>
          <w:spacing w:val="-3"/>
          <w:sz w:val="21"/>
          <w:szCs w:val="21"/>
        </w:rPr>
        <w:t>报告期内，公司参股成立了中关村互联网金融服务中心、金网络公司，对安粮期货、大连金融资产交</w:t>
      </w:r>
    </w:p>
    <w:p>
      <w:pPr>
        <w:pStyle w:val="BodyText"/>
        <w:spacing w:line="408" w:lineRule="auto" w:before="75"/>
        <w:ind w:left="650" w:right="7526" w:hanging="496"/>
        <w:jc w:val="left"/>
      </w:pPr>
      <w:r>
        <w:rPr/>
        <w:t>易所进行了增资。具体情况如下： </w:t>
      </w:r>
      <w:r>
        <w:rPr>
          <w:rFonts w:ascii="宋体" w:hAnsi="宋体" w:cs="宋体" w:eastAsia="宋体" w:hint="default"/>
        </w:rPr>
        <w:t>1.</w:t>
      </w:r>
      <w:r>
        <w:rPr/>
        <w:t>中关村互联网金融服务中心</w:t>
      </w:r>
    </w:p>
    <w:p>
      <w:pPr>
        <w:pStyle w:val="BodyText"/>
        <w:spacing w:line="408" w:lineRule="auto"/>
        <w:ind w:right="1130" w:firstLine="496"/>
        <w:jc w:val="both"/>
      </w:pPr>
      <w:r>
        <w:rPr/>
        <w:t>公司参股的中关村互联网金融服务中心是全国首家互联网金融行业服务平台。</w:t>
      </w:r>
      <w:r>
        <w:rPr>
          <w:rFonts w:ascii="宋体" w:hAnsi="宋体" w:cs="宋体" w:eastAsia="宋体" w:hint="default"/>
        </w:rPr>
        <w:t>2015</w:t>
      </w:r>
      <w:r>
        <w:rPr/>
        <w:t>年</w:t>
      </w:r>
      <w:r>
        <w:rPr>
          <w:rFonts w:ascii="宋体" w:hAnsi="宋体" w:cs="宋体" w:eastAsia="宋体" w:hint="default"/>
        </w:rPr>
        <w:t>4</w:t>
      </w:r>
      <w:r>
        <w:rPr/>
        <w:t>月，网金中心 </w:t>
      </w:r>
      <w:r>
        <w:rPr>
          <w:spacing w:val="-1"/>
        </w:rPr>
        <w:t>正式推出监督管理、综合服务、创新孵化三大服务平台，包含互联网金融行业风向标——海淀指数以及合</w:t>
      </w:r>
      <w:r>
        <w:rPr>
          <w:spacing w:val="-83"/>
        </w:rPr>
        <w:t> </w:t>
      </w:r>
      <w:r>
        <w:rPr>
          <w:spacing w:val="-83"/>
        </w:rPr>
      </w:r>
      <w:r>
        <w:rPr>
          <w:spacing w:val="-1"/>
        </w:rPr>
        <w:t>格互联网金融机构评审体系、登记备案系统、证据链备案系统、征信数据库、科技金融增信系统、优质资</w:t>
      </w:r>
      <w:r>
        <w:rPr>
          <w:spacing w:val="-83"/>
        </w:rPr>
        <w:t> </w:t>
      </w:r>
      <w:r>
        <w:rPr>
          <w:spacing w:val="-83"/>
        </w:rPr>
      </w:r>
      <w:r>
        <w:rPr/>
        <w:t>产撮合、创客空间等多项重磅服务内容。</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649" w:right="1024"/>
        <w:jc w:val="left"/>
      </w:pPr>
      <w:r>
        <w:rPr>
          <w:rFonts w:ascii="宋体" w:hAnsi="宋体" w:cs="宋体" w:eastAsia="宋体" w:hint="default"/>
        </w:rPr>
        <w:t>2.</w:t>
      </w:r>
      <w:r>
        <w:rPr/>
        <w:t>安粮期货</w:t>
      </w:r>
    </w:p>
    <w:p>
      <w:pPr>
        <w:spacing w:line="240" w:lineRule="auto" w:before="10"/>
        <w:rPr>
          <w:rFonts w:ascii="宋体" w:hAnsi="宋体" w:cs="宋体" w:eastAsia="宋体" w:hint="default"/>
          <w:sz w:val="14"/>
          <w:szCs w:val="14"/>
        </w:rPr>
      </w:pPr>
    </w:p>
    <w:p>
      <w:pPr>
        <w:pStyle w:val="BodyText"/>
        <w:spacing w:line="408" w:lineRule="auto" w:before="0"/>
        <w:ind w:right="1130" w:firstLine="496"/>
        <w:jc w:val="both"/>
      </w:pPr>
      <w:r>
        <w:rPr>
          <w:rFonts w:ascii="宋体" w:hAnsi="宋体" w:cs="宋体" w:eastAsia="宋体" w:hint="default"/>
        </w:rPr>
        <w:t>2015</w:t>
      </w:r>
      <w:r>
        <w:rPr/>
        <w:t>年</w:t>
      </w:r>
      <w:r>
        <w:rPr>
          <w:rFonts w:ascii="宋体" w:hAnsi="宋体" w:cs="宋体" w:eastAsia="宋体" w:hint="default"/>
        </w:rPr>
        <w:t>4</w:t>
      </w:r>
      <w:r>
        <w:rPr/>
        <w:t>月，公司以人民币</w:t>
      </w:r>
      <w:r>
        <w:rPr>
          <w:rFonts w:ascii="宋体" w:hAnsi="宋体" w:cs="宋体" w:eastAsia="宋体" w:hint="default"/>
        </w:rPr>
        <w:t>25,536.62</w:t>
      </w:r>
      <w:r>
        <w:rPr/>
        <w:t>万元认购安粮期货</w:t>
      </w:r>
      <w:r>
        <w:rPr>
          <w:rFonts w:ascii="宋体" w:hAnsi="宋体" w:cs="宋体" w:eastAsia="宋体" w:hint="default"/>
        </w:rPr>
        <w:t>40%</w:t>
      </w:r>
      <w:r>
        <w:rPr/>
        <w:t>的股权。安粮期货成立于</w:t>
      </w:r>
      <w:r>
        <w:rPr>
          <w:rFonts w:ascii="宋体" w:hAnsi="宋体" w:cs="宋体" w:eastAsia="宋体" w:hint="default"/>
        </w:rPr>
        <w:t>1996</w:t>
      </w:r>
      <w:r>
        <w:rPr/>
        <w:t>年</w:t>
      </w:r>
      <w:r>
        <w:rPr>
          <w:rFonts w:ascii="宋体" w:hAnsi="宋体" w:cs="宋体" w:eastAsia="宋体" w:hint="default"/>
        </w:rPr>
        <w:t>7</w:t>
      </w:r>
      <w:r>
        <w:rPr/>
        <w:t>月</w:t>
      </w:r>
      <w:r>
        <w:rPr>
          <w:rFonts w:ascii="宋体" w:hAnsi="宋体" w:cs="宋体" w:eastAsia="宋体" w:hint="default"/>
        </w:rPr>
        <w:t>9</w:t>
      </w:r>
      <w:r>
        <w:rPr/>
        <w:t>日，</w:t>
      </w:r>
      <w:r>
        <w:rPr>
          <w:spacing w:val="-2"/>
        </w:rPr>
        <w:t> </w:t>
      </w:r>
      <w:r>
        <w:rPr>
          <w:spacing w:val="-1"/>
        </w:rPr>
        <w:t>是经中国证监会批准设立的专业期货公司，是中国期货业协会首批团体会员、大连商品交易所和郑州商品</w:t>
      </w:r>
      <w:r>
        <w:rPr>
          <w:spacing w:val="-80"/>
        </w:rPr>
        <w:t> </w:t>
      </w:r>
      <w:r>
        <w:rPr>
          <w:spacing w:val="-80"/>
        </w:rPr>
      </w:r>
      <w:r>
        <w:rPr>
          <w:spacing w:val="-1"/>
        </w:rPr>
        <w:t>交易所理事单位、上海期货交易所技术委员会单位，中国金融期货交易所交易结算会员资格。目前主要从</w:t>
      </w:r>
      <w:r>
        <w:rPr>
          <w:spacing w:val="-83"/>
        </w:rPr>
        <w:t> </w:t>
      </w:r>
      <w:r>
        <w:rPr>
          <w:spacing w:val="-83"/>
        </w:rPr>
      </w:r>
      <w:r>
        <w:rPr>
          <w:spacing w:val="-1"/>
        </w:rPr>
        <w:t>事国内商品期货经纪、金融期货经纪、基金销售、资产管理。自成立以来，安粮期货稳健经营，业务快速</w:t>
      </w:r>
      <w:r>
        <w:rPr>
          <w:spacing w:val="-83"/>
        </w:rPr>
        <w:t> </w:t>
      </w:r>
      <w:r>
        <w:rPr>
          <w:spacing w:val="-83"/>
        </w:rPr>
      </w:r>
      <w:r>
        <w:rPr/>
        <w:t>发展，已发展成为安徽省主营业务规模最大的期货经营机构之一。</w:t>
      </w:r>
    </w:p>
    <w:p>
      <w:pPr>
        <w:pStyle w:val="BodyText"/>
        <w:spacing w:line="240" w:lineRule="auto"/>
        <w:ind w:left="649" w:right="1024"/>
        <w:jc w:val="left"/>
      </w:pPr>
      <w:r>
        <w:rPr>
          <w:rFonts w:ascii="宋体" w:hAnsi="宋体" w:cs="宋体" w:eastAsia="宋体" w:hint="default"/>
        </w:rPr>
        <w:t>3.</w:t>
      </w:r>
      <w:r>
        <w:rPr/>
        <w:t>大连金融资产交易所</w:t>
      </w:r>
    </w:p>
    <w:p>
      <w:pPr>
        <w:spacing w:line="240" w:lineRule="auto" w:before="10"/>
        <w:rPr>
          <w:rFonts w:ascii="宋体" w:hAnsi="宋体" w:cs="宋体" w:eastAsia="宋体" w:hint="default"/>
          <w:sz w:val="14"/>
          <w:szCs w:val="14"/>
        </w:rPr>
      </w:pPr>
    </w:p>
    <w:p>
      <w:pPr>
        <w:pStyle w:val="BodyText"/>
        <w:spacing w:line="408" w:lineRule="auto" w:before="0"/>
        <w:ind w:right="1024" w:firstLine="496"/>
        <w:jc w:val="left"/>
      </w:pP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月，公司以人民币</w:t>
      </w:r>
      <w:r>
        <w:rPr>
          <w:rFonts w:ascii="宋体" w:hAnsi="宋体" w:cs="宋体" w:eastAsia="宋体" w:hint="default"/>
          <w:spacing w:val="-2"/>
        </w:rPr>
        <w:t>2,502.36</w:t>
      </w:r>
      <w:r>
        <w:rPr>
          <w:spacing w:val="-2"/>
        </w:rPr>
        <w:t>万元认购大连金融资产交易所</w:t>
      </w:r>
      <w:r>
        <w:rPr>
          <w:rFonts w:ascii="宋体" w:hAnsi="宋体" w:cs="宋体" w:eastAsia="宋体" w:hint="default"/>
          <w:spacing w:val="-2"/>
        </w:rPr>
        <w:t>20%</w:t>
      </w:r>
      <w:r>
        <w:rPr>
          <w:spacing w:val="-2"/>
        </w:rPr>
        <w:t>的股权。大连金融资产交易所成</w:t>
      </w:r>
      <w:r>
        <w:rPr/>
        <w:t> 立于</w:t>
      </w:r>
      <w:r>
        <w:rPr>
          <w:rFonts w:ascii="宋体" w:hAnsi="宋体" w:cs="宋体" w:eastAsia="宋体" w:hint="default"/>
        </w:rPr>
        <w:t>2011</w:t>
      </w:r>
      <w:r>
        <w:rPr/>
        <w:t>年，是经国务院批准设立的综合性金融资产和相关产品专业交易平台，是大连市国资委控股的企 </w:t>
      </w:r>
      <w:r>
        <w:rPr>
          <w:spacing w:val="-3"/>
        </w:rPr>
        <w:t>业，是东北地区第一家、目前也是唯一一家以“交易所”冠名的金融资产交易机构，立足大连，面向东北，</w:t>
      </w:r>
      <w:r>
        <w:rPr>
          <w:spacing w:val="-95"/>
        </w:rPr>
        <w:t> </w:t>
      </w:r>
      <w:r>
        <w:rPr>
          <w:spacing w:val="-95"/>
        </w:rPr>
      </w:r>
      <w:r>
        <w:rPr/>
        <w:t>辐射全国，致力于成为东北亚地区最具影响力的非标金融资产交易所。业务主要包括：定向融资计划、投</w:t>
      </w:r>
      <w:r>
        <w:rPr/>
        <w:t> 资收益权业务、通道业务、不良资产处置等。大金所网站于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20</w:t>
      </w:r>
      <w:r>
        <w:rPr/>
        <w:t>日正式对外开业，截至</w:t>
      </w:r>
      <w:r>
        <w:rPr>
          <w:rFonts w:ascii="宋体" w:hAnsi="宋体" w:cs="宋体" w:eastAsia="宋体" w:hint="default"/>
        </w:rPr>
        <w:t>2015</w:t>
      </w:r>
      <w:r>
        <w:rPr/>
        <w:t>年底 实现交易量近</w:t>
      </w:r>
      <w:r>
        <w:rPr>
          <w:rFonts w:ascii="宋体" w:hAnsi="宋体" w:cs="宋体" w:eastAsia="宋体" w:hint="default"/>
        </w:rPr>
        <w:t>100</w:t>
      </w:r>
      <w:r>
        <w:rPr/>
        <w:t>亿元。</w:t>
      </w:r>
    </w:p>
    <w:p>
      <w:pPr>
        <w:pStyle w:val="BodyText"/>
        <w:spacing w:line="240" w:lineRule="auto"/>
        <w:ind w:left="650" w:right="1024"/>
        <w:jc w:val="left"/>
      </w:pPr>
      <w:r>
        <w:rPr>
          <w:rFonts w:ascii="宋体" w:hAnsi="宋体" w:cs="宋体" w:eastAsia="宋体" w:hint="default"/>
        </w:rPr>
        <w:t>4.</w:t>
      </w:r>
      <w:r>
        <w:rPr/>
        <w:t>金网络</w:t>
      </w:r>
    </w:p>
    <w:p>
      <w:pPr>
        <w:spacing w:line="240" w:lineRule="auto" w:before="10"/>
        <w:rPr>
          <w:rFonts w:ascii="宋体" w:hAnsi="宋体" w:cs="宋体" w:eastAsia="宋体" w:hint="default"/>
          <w:sz w:val="14"/>
          <w:szCs w:val="14"/>
        </w:rPr>
      </w:pPr>
    </w:p>
    <w:p>
      <w:pPr>
        <w:pStyle w:val="BodyText"/>
        <w:spacing w:line="408" w:lineRule="auto" w:before="0"/>
        <w:ind w:right="1024" w:firstLine="496"/>
        <w:jc w:val="left"/>
      </w:pPr>
      <w:r>
        <w:rPr>
          <w:rFonts w:ascii="宋体" w:hAnsi="宋体" w:cs="宋体" w:eastAsia="宋体" w:hint="default"/>
          <w:spacing w:val="-3"/>
        </w:rPr>
        <w:t>2015</w:t>
      </w:r>
      <w:r>
        <w:rPr>
          <w:spacing w:val="-3"/>
        </w:rPr>
        <w:t>年</w:t>
      </w:r>
      <w:r>
        <w:rPr>
          <w:rFonts w:ascii="宋体" w:hAnsi="宋体" w:cs="宋体" w:eastAsia="宋体" w:hint="default"/>
          <w:spacing w:val="-3"/>
        </w:rPr>
        <w:t>11</w:t>
      </w:r>
      <w:r>
        <w:rPr>
          <w:spacing w:val="-3"/>
        </w:rPr>
        <w:t>月，公司与中航国际、中航新兴、中航文创、成城众志共同出资成立金网络（北京）电子商</w:t>
      </w:r>
      <w:r>
        <w:rPr/>
        <w:t> 务有限公司，注册资金为</w:t>
      </w:r>
      <w:r>
        <w:rPr>
          <w:rFonts w:ascii="宋体" w:hAnsi="宋体" w:cs="宋体" w:eastAsia="宋体" w:hint="default"/>
        </w:rPr>
        <w:t>8,000</w:t>
      </w:r>
      <w:r>
        <w:rPr/>
        <w:t>万元，由公司出资</w:t>
      </w:r>
      <w:r>
        <w:rPr>
          <w:rFonts w:ascii="宋体" w:hAnsi="宋体" w:cs="宋体" w:eastAsia="宋体" w:hint="default"/>
        </w:rPr>
        <w:t>2,000</w:t>
      </w:r>
      <w:r>
        <w:rPr/>
        <w:t>万元，占注册资本的</w:t>
      </w:r>
      <w:r>
        <w:rPr>
          <w:rFonts w:ascii="宋体" w:hAnsi="宋体" w:cs="宋体" w:eastAsia="宋体" w:hint="default"/>
        </w:rPr>
        <w:t>25%</w:t>
      </w:r>
      <w:r>
        <w:rPr/>
        <w:t>。金网络是公司与中航系 共同出资成立的“互联网</w:t>
      </w:r>
      <w:r>
        <w:rPr>
          <w:rFonts w:ascii="宋体" w:hAnsi="宋体" w:cs="宋体" w:eastAsia="宋体" w:hint="default"/>
        </w:rPr>
        <w:t>+</w:t>
      </w:r>
      <w:r>
        <w:rPr/>
        <w:t>金融”公司，致力于以金融信息服务为核心，通过互联网平台，依托中航工业 </w:t>
      </w:r>
      <w:r>
        <w:rPr>
          <w:spacing w:val="-1"/>
        </w:rPr>
        <w:t>集团产业链，整合内外部优质资源，推进以中航工业用户资源为基础的综合型电子商务平台和以企业资产</w:t>
      </w:r>
      <w:r>
        <w:rPr>
          <w:spacing w:val="-81"/>
        </w:rPr>
        <w:t> </w:t>
      </w:r>
      <w:r>
        <w:rPr>
          <w:spacing w:val="-81"/>
        </w:rPr>
      </w:r>
      <w:r>
        <w:rPr/>
        <w:t>证券化为依托的金网络互联网金融平台业务的快速发展。</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649" w:right="1024"/>
        <w:jc w:val="left"/>
      </w:pPr>
      <w:r>
        <w:rPr/>
        <w:t>（一）行业格局和趋势</w:t>
      </w:r>
    </w:p>
    <w:p>
      <w:pPr>
        <w:spacing w:line="240" w:lineRule="auto" w:before="10"/>
        <w:rPr>
          <w:rFonts w:ascii="宋体" w:hAnsi="宋体" w:cs="宋体" w:eastAsia="宋体" w:hint="default"/>
          <w:sz w:val="14"/>
          <w:szCs w:val="14"/>
        </w:rPr>
      </w:pPr>
    </w:p>
    <w:p>
      <w:pPr>
        <w:pStyle w:val="BodyText"/>
        <w:spacing w:line="408" w:lineRule="auto" w:before="0"/>
        <w:ind w:left="650" w:right="1024"/>
        <w:jc w:val="left"/>
      </w:pPr>
      <w:r>
        <w:rPr>
          <w:rFonts w:ascii="宋体" w:hAnsi="宋体" w:cs="宋体" w:eastAsia="宋体" w:hint="default"/>
        </w:rPr>
        <w:t>1.</w:t>
      </w:r>
      <w:r>
        <w:rPr/>
        <w:t>未来</w:t>
      </w:r>
      <w:r>
        <w:rPr>
          <w:rFonts w:ascii="宋体" w:hAnsi="宋体" w:cs="宋体" w:eastAsia="宋体" w:hint="default"/>
        </w:rPr>
        <w:t>3-5</w:t>
      </w:r>
      <w:r>
        <w:rPr/>
        <w:t>年内互联网银行将是中国互联网金融的主战场 </w:t>
      </w:r>
      <w:r>
        <w:rPr>
          <w:spacing w:val="-3"/>
        </w:rPr>
        <w:t>在中国金融体制改革逐步深入的背景下，银行业面临着利率市场化、存款保险制度放开、民营银行牌</w:t>
      </w:r>
    </w:p>
    <w:p>
      <w:pPr>
        <w:pStyle w:val="BodyText"/>
        <w:spacing w:line="408" w:lineRule="auto"/>
        <w:ind w:left="154" w:right="1131"/>
        <w:jc w:val="both"/>
      </w:pPr>
      <w:r>
        <w:rPr>
          <w:spacing w:val="-1"/>
        </w:rPr>
        <w:t>照放开以及互联网金融等因素的冲击，缺乏资产管理、资产证券化及信贷管理能力的中小商业银行将面临</w:t>
      </w:r>
      <w:r>
        <w:rPr>
          <w:spacing w:val="-81"/>
        </w:rPr>
        <w:t> </w:t>
      </w:r>
      <w:r>
        <w:rPr>
          <w:spacing w:val="-81"/>
        </w:rPr>
      </w:r>
      <w:r>
        <w:rPr>
          <w:spacing w:val="-1"/>
        </w:rPr>
        <w:t>大规模存款搬家、利率迅速下降、不良率大幅上升、亏损甚至倒闭的危机，其降低运营成本，有效控制风</w:t>
      </w:r>
      <w:r>
        <w:rPr>
          <w:spacing w:val="-83"/>
        </w:rPr>
        <w:t> </w:t>
      </w:r>
      <w:r>
        <w:rPr>
          <w:spacing w:val="-83"/>
        </w:rPr>
      </w:r>
      <w:r>
        <w:rPr>
          <w:spacing w:val="-1"/>
        </w:rPr>
        <w:t>险，提高经营效益的需求将日益凸显。但受困于资产管理、资产证券化及互联网金融领域的经验积累、人</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spacing w:val="-1"/>
        </w:rPr>
        <w:t>才储配及激励机制等方面的制约，中小银行在转型过程中面临强烈挑战。由此也相应形成了一个第三方互</w:t>
      </w:r>
      <w:r>
        <w:rPr>
          <w:spacing w:val="-81"/>
        </w:rPr>
        <w:t> </w:t>
      </w:r>
      <w:r>
        <w:rPr>
          <w:spacing w:val="-81"/>
        </w:rPr>
      </w:r>
      <w:r>
        <w:rPr/>
        <w:t>联网银行平台及资产管理、资产证券化的巨大的市场需求。</w:t>
      </w:r>
    </w:p>
    <w:p>
      <w:pPr>
        <w:pStyle w:val="BodyText"/>
        <w:spacing w:line="408" w:lineRule="auto"/>
        <w:ind w:right="1139" w:firstLine="496"/>
        <w:jc w:val="left"/>
      </w:pPr>
      <w:r>
        <w:rPr/>
        <w:t>根据中国人民银行的统计数据，截止到</w:t>
      </w:r>
      <w:r>
        <w:rPr>
          <w:rFonts w:ascii="宋体" w:hAnsi="宋体" w:cs="宋体" w:eastAsia="宋体" w:hint="default"/>
        </w:rPr>
        <w:t>2015</w:t>
      </w:r>
      <w:r>
        <w:rPr/>
        <w:t>年底，银行资产占中国金融资产总规模的</w:t>
      </w:r>
      <w:r>
        <w:rPr>
          <w:rFonts w:ascii="宋体" w:hAnsi="宋体" w:cs="宋体" w:eastAsia="宋体" w:hint="default"/>
        </w:rPr>
        <w:t>92.6%</w:t>
      </w:r>
      <w:r>
        <w:rPr/>
        <w:t>，充分说 明了中国的金融是以银行为主导的；而以</w:t>
      </w:r>
      <w:r>
        <w:rPr>
          <w:rFonts w:ascii="宋体" w:hAnsi="宋体" w:cs="宋体" w:eastAsia="宋体" w:hint="default"/>
        </w:rPr>
        <w:t>P2P</w:t>
      </w:r>
      <w:r>
        <w:rPr/>
        <w:t>、众筹为首的互联网金融为社会提供的融资规模较小，属于 民间金融互联网化，是传统金融的有益补充。因此，未来</w:t>
      </w:r>
      <w:r>
        <w:rPr>
          <w:rFonts w:ascii="宋体" w:hAnsi="宋体" w:cs="宋体" w:eastAsia="宋体" w:hint="default"/>
        </w:rPr>
        <w:t>3-5</w:t>
      </w:r>
      <w:r>
        <w:rPr/>
        <w:t>年内互联网银行将是中国互联网金融的主要 发展形式。</w:t>
      </w:r>
    </w:p>
    <w:p>
      <w:pPr>
        <w:pStyle w:val="BodyText"/>
        <w:spacing w:line="240" w:lineRule="auto"/>
        <w:ind w:left="649" w:right="1024"/>
        <w:jc w:val="left"/>
      </w:pPr>
      <w:r>
        <w:rPr>
          <w:rFonts w:ascii="宋体" w:hAnsi="宋体" w:cs="宋体" w:eastAsia="宋体" w:hint="default"/>
        </w:rPr>
        <w:t>2.</w:t>
      </w:r>
      <w:r>
        <w:rPr/>
        <w:t>互联网金融逐步转向规范化，科技金融成为新趋势</w:t>
      </w:r>
    </w:p>
    <w:p>
      <w:pPr>
        <w:spacing w:line="240" w:lineRule="auto" w:before="10"/>
        <w:rPr>
          <w:rFonts w:ascii="宋体" w:hAnsi="宋体" w:cs="宋体" w:eastAsia="宋体" w:hint="default"/>
          <w:sz w:val="14"/>
          <w:szCs w:val="14"/>
        </w:rPr>
      </w:pPr>
    </w:p>
    <w:p>
      <w:pPr>
        <w:pStyle w:val="BodyText"/>
        <w:spacing w:line="408" w:lineRule="auto" w:before="0"/>
        <w:ind w:right="1024" w:firstLine="496"/>
        <w:jc w:val="left"/>
      </w:pPr>
      <w:r>
        <w:rPr>
          <w:rFonts w:ascii="宋体" w:hAnsi="宋体" w:cs="宋体" w:eastAsia="宋体" w:hint="default"/>
        </w:rPr>
        <w:t>2015</w:t>
      </w:r>
      <w:r>
        <w:rPr/>
        <w:t>年，互联网金融进入规范发展之年。</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18</w:t>
      </w:r>
      <w:r>
        <w:rPr/>
        <w:t>日，央行等十部委联合印发《关于促进互联网 金融健康发展的指导意见》，官方首次定义互联网金融的概念，按照“依法监管、适度监管、分类监管、 协同监管、创新监管”的原则，确立了互联网金融主要业态的监管职责分工，落实监管责任，明确业务边 界。</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3</w:t>
      </w:r>
      <w:r>
        <w:rPr/>
        <w:t>日，《中共中央关于制定国民经济和社会发展第十三个五年规划的建议》正式发布，互 联网金融首次纳入国家五年规划，在第三节第六条中指明要规范发展互联网金融。央行行长周小川在《十 三五规划》辅导读本上刊文指出，将顺应信息技术发展趋势，支持并规范第三方支付、众筹和</w:t>
      </w:r>
      <w:r>
        <w:rPr>
          <w:rFonts w:ascii="宋体" w:hAnsi="宋体" w:cs="宋体" w:eastAsia="宋体" w:hint="default"/>
        </w:rPr>
        <w:t>P2P</w:t>
      </w:r>
      <w:r>
        <w:rPr/>
        <w:t>借贷平 台等互联网金融业态发展，推进各类金融机构大数据平台建设，建立大数据标准体系和管理规范。</w:t>
      </w:r>
      <w:r>
        <w:rPr>
          <w:rFonts w:ascii="宋体" w:hAnsi="宋体" w:cs="宋体" w:eastAsia="宋体" w:hint="default"/>
        </w:rPr>
        <w:t>2015</w:t>
      </w:r>
      <w:r>
        <w:rPr/>
        <w:t>年 </w:t>
      </w:r>
      <w:r>
        <w:rPr>
          <w:rFonts w:ascii="宋体" w:hAnsi="宋体" w:cs="宋体" w:eastAsia="宋体" w:hint="default"/>
          <w:spacing w:val="-3"/>
        </w:rPr>
        <w:t>12</w:t>
      </w:r>
      <w:r>
        <w:rPr>
          <w:spacing w:val="-3"/>
        </w:rPr>
        <w:t>月</w:t>
      </w:r>
      <w:r>
        <w:rPr>
          <w:rFonts w:ascii="宋体" w:hAnsi="宋体" w:cs="宋体" w:eastAsia="宋体" w:hint="default"/>
          <w:spacing w:val="-3"/>
        </w:rPr>
        <w:t>28</w:t>
      </w:r>
      <w:r>
        <w:rPr>
          <w:spacing w:val="-3"/>
        </w:rPr>
        <w:t>日，网贷行业首份监管细则《网络借贷信息中介机构业务活动管理暂行办法（征求意见稿）》问世。</w:t>
      </w:r>
      <w:r>
        <w:rPr>
          <w:spacing w:val="-90"/>
        </w:rPr>
        <w:t> </w:t>
      </w:r>
      <w:r>
        <w:rPr>
          <w:spacing w:val="-90"/>
        </w:rPr>
      </w:r>
      <w:r>
        <w:rPr/>
        <w:t>征求意见稿对于网贷平台的备案管理、机构义务、禁止行为、信息披露等多方面进行了规定。</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6 </w:t>
      </w:r>
      <w:r>
        <w:rPr/>
        <w:t>日，两会政府工作报告中提出“规范发展互联网金融”，而</w:t>
      </w:r>
      <w:r>
        <w:rPr>
          <w:rFonts w:ascii="宋体" w:hAnsi="宋体" w:cs="宋体" w:eastAsia="宋体" w:hint="default"/>
        </w:rPr>
        <w:t>2015</w:t>
      </w:r>
      <w:r>
        <w:rPr/>
        <w:t>年政府工作报告中的表述为“促进电子商 务、工业互联网和互联网金融健康发展”。</w:t>
      </w:r>
    </w:p>
    <w:p>
      <w:pPr>
        <w:pStyle w:val="BodyText"/>
        <w:spacing w:line="408" w:lineRule="auto"/>
        <w:ind w:left="154" w:right="1132" w:firstLine="496"/>
        <w:jc w:val="both"/>
      </w:pPr>
      <w:r>
        <w:rPr>
          <w:spacing w:val="-3"/>
        </w:rPr>
        <w:t>随着互联网金融监管政策的逐渐明晰，以及行业竞争的加剧，互联网金融企业将面临从无门槛到有监</w:t>
      </w:r>
      <w:r>
        <w:rPr/>
        <w:t> </w:t>
      </w:r>
      <w:r>
        <w:rPr>
          <w:spacing w:val="-1"/>
        </w:rPr>
        <w:t>管、合规要求的门槛的转变。互联网金融的野蛮生长时代终结，不规范的互联网金融平台将迎来洗牌，但</w:t>
      </w:r>
      <w:r>
        <w:rPr>
          <w:spacing w:val="-85"/>
        </w:rPr>
        <w:t> </w:t>
      </w:r>
      <w:r>
        <w:rPr>
          <w:spacing w:val="-85"/>
        </w:rPr>
      </w:r>
      <w:r>
        <w:rPr/>
        <w:t>对于规范、具备创新能力和资本实力的互联网金融企业则是新的机遇。</w:t>
      </w:r>
    </w:p>
    <w:p>
      <w:pPr>
        <w:pStyle w:val="BodyText"/>
        <w:spacing w:line="408" w:lineRule="auto"/>
        <w:ind w:right="1131" w:firstLine="496"/>
        <w:jc w:val="both"/>
      </w:pPr>
      <w:r>
        <w:rPr/>
        <w:t>规范化发展也正在推动互联网金融创新业态更深层次的变革。科技金融</w:t>
      </w:r>
      <w:r>
        <w:rPr>
          <w:rFonts w:ascii="宋体" w:hAnsi="宋体" w:cs="宋体" w:eastAsia="宋体" w:hint="default"/>
        </w:rPr>
        <w:t>(FinTech)</w:t>
      </w:r>
      <w:r>
        <w:rPr/>
        <w:t>强调技术对传统金 </w:t>
      </w:r>
      <w:r>
        <w:rPr>
          <w:spacing w:val="-1"/>
        </w:rPr>
        <w:t>融进行风险定价、缩小成本交易、扩大服务范围、客户精准定位，即通过科技的方式评估风险和流动性风</w:t>
      </w:r>
      <w:r>
        <w:rPr>
          <w:spacing w:val="-86"/>
        </w:rPr>
        <w:t> </w:t>
      </w:r>
      <w:r>
        <w:rPr>
          <w:spacing w:val="-86"/>
        </w:rPr>
      </w:r>
      <w:r>
        <w:rPr>
          <w:spacing w:val="-1"/>
        </w:rPr>
        <w:t>险，改善现有的金融生态，通过这种方式极大地触达到用户，带给用户前所未有的产品体验。随着互联网</w:t>
      </w:r>
      <w:r>
        <w:rPr>
          <w:spacing w:val="-86"/>
        </w:rPr>
        <w:t> </w:t>
      </w:r>
      <w:r>
        <w:rPr>
          <w:spacing w:val="-86"/>
        </w:rPr>
      </w:r>
      <w:r>
        <w:rPr>
          <w:spacing w:val="-1"/>
        </w:rPr>
        <w:t>金融行业步入规范化发展，在监管套利消失的背景下，没有技术壁垒的公司将丧失生存能力，科技将成为</w:t>
      </w:r>
      <w:r>
        <w:rPr>
          <w:spacing w:val="-83"/>
        </w:rPr>
        <w:t> </w:t>
      </w:r>
      <w:r>
        <w:rPr>
          <w:spacing w:val="-83"/>
        </w:rPr>
      </w:r>
      <w:r>
        <w:rPr/>
        <w:t>推动互联网金融发展的重要动力，科技金融有望成为未来互联网金融发展的主要趋势。</w:t>
      </w:r>
    </w:p>
    <w:p>
      <w:pPr>
        <w:pStyle w:val="BodyText"/>
        <w:spacing w:line="240" w:lineRule="auto"/>
        <w:ind w:left="650" w:right="1024"/>
        <w:jc w:val="left"/>
      </w:pPr>
      <w:r>
        <w:rPr>
          <w:rFonts w:ascii="宋体" w:hAnsi="宋体" w:cs="宋体" w:eastAsia="宋体" w:hint="default"/>
        </w:rPr>
        <w:t>3.</w:t>
      </w:r>
      <w:r>
        <w:rPr/>
        <w:t>资产证券化备案制落地，推动资产证券化市场快速发展</w:t>
      </w:r>
    </w:p>
    <w:p>
      <w:pPr>
        <w:spacing w:line="240" w:lineRule="auto" w:before="10"/>
        <w:rPr>
          <w:rFonts w:ascii="宋体" w:hAnsi="宋体" w:cs="宋体" w:eastAsia="宋体" w:hint="default"/>
          <w:sz w:val="14"/>
          <w:szCs w:val="14"/>
        </w:rPr>
      </w:pPr>
    </w:p>
    <w:p>
      <w:pPr>
        <w:pStyle w:val="BodyText"/>
        <w:spacing w:line="408" w:lineRule="auto" w:before="0"/>
        <w:ind w:left="154" w:right="1130" w:firstLine="496"/>
        <w:jc w:val="both"/>
        <w:rPr>
          <w:rFonts w:ascii="宋体" w:hAnsi="宋体" w:cs="宋体" w:eastAsia="宋体" w:hint="default"/>
        </w:rPr>
      </w:pPr>
      <w:r>
        <w:rPr>
          <w:rFonts w:ascii="宋体" w:hAnsi="宋体" w:cs="宋体" w:eastAsia="宋体" w:hint="default"/>
          <w:spacing w:val="-3"/>
        </w:rPr>
        <w:t>2015</w:t>
      </w:r>
      <w:r>
        <w:rPr>
          <w:spacing w:val="-3"/>
        </w:rPr>
        <w:t>年，资产证券化备案制落地，推动资产证券化市场发展步入常态化，规模持续增长，流动性明显</w:t>
      </w:r>
      <w:r>
        <w:rPr/>
        <w:t> </w:t>
      </w:r>
      <w:r>
        <w:rPr>
          <w:spacing w:val="-5"/>
        </w:rPr>
        <w:t>提升，创新迭出，市场参与者类型更加多样，产品结构更加丰富。根据中央国债登记结算公司的统计，</w:t>
      </w:r>
      <w:r>
        <w:rPr>
          <w:rFonts w:ascii="宋体" w:hAnsi="宋体" w:cs="宋体" w:eastAsia="宋体" w:hint="default"/>
          <w:spacing w:val="-5"/>
        </w:rPr>
        <w:t>2015</w:t>
      </w:r>
      <w:r>
        <w:rPr>
          <w:rFonts w:ascii="宋体" w:hAnsi="宋体" w:cs="宋体" w:eastAsia="宋体" w:hint="default"/>
          <w:spacing w:val="-93"/>
        </w:rPr>
        <w:t> </w:t>
      </w:r>
      <w:r>
        <w:rPr>
          <w:rFonts w:ascii="宋体" w:hAnsi="宋体" w:cs="宋体" w:eastAsia="宋体" w:hint="default"/>
          <w:spacing w:val="-93"/>
        </w:rPr>
      </w:r>
      <w:r>
        <w:rPr>
          <w:spacing w:val="-4"/>
        </w:rPr>
        <w:t>年全国共发行资产证券化产品</w:t>
      </w:r>
      <w:r>
        <w:rPr>
          <w:rFonts w:ascii="宋体" w:hAnsi="宋体" w:cs="宋体" w:eastAsia="宋体" w:hint="default"/>
          <w:spacing w:val="-4"/>
        </w:rPr>
        <w:t>6032.4</w:t>
      </w:r>
      <w:r>
        <w:rPr>
          <w:spacing w:val="-4"/>
        </w:rPr>
        <w:t>亿元，同比增长</w:t>
      </w:r>
      <w:r>
        <w:rPr>
          <w:rFonts w:ascii="宋体" w:hAnsi="宋体" w:cs="宋体" w:eastAsia="宋体" w:hint="default"/>
          <w:spacing w:val="-4"/>
        </w:rPr>
        <w:t>84%</w:t>
      </w:r>
      <w:r>
        <w:rPr>
          <w:spacing w:val="-4"/>
        </w:rPr>
        <w:t>；市场存量为</w:t>
      </w:r>
      <w:r>
        <w:rPr>
          <w:rFonts w:ascii="宋体" w:hAnsi="宋体" w:cs="宋体" w:eastAsia="宋体" w:hint="default"/>
          <w:spacing w:val="-4"/>
        </w:rPr>
        <w:t>7703.95</w:t>
      </w:r>
      <w:r>
        <w:rPr>
          <w:spacing w:val="-4"/>
        </w:rPr>
        <w:t>亿元，同比增长</w:t>
      </w:r>
      <w:r>
        <w:rPr>
          <w:rFonts w:ascii="宋体" w:hAnsi="宋体" w:cs="宋体" w:eastAsia="宋体" w:hint="default"/>
          <w:spacing w:val="-4"/>
        </w:rPr>
        <w:t>129%</w:t>
      </w:r>
      <w:r>
        <w:rPr>
          <w:spacing w:val="-4"/>
        </w:rPr>
        <w:t>。自</w:t>
      </w:r>
      <w:r>
        <w:rPr>
          <w:rFonts w:ascii="宋体" w:hAnsi="宋体" w:cs="宋体" w:eastAsia="宋体" w:hint="default"/>
          <w:spacing w:val="-4"/>
        </w:rPr>
        <w:t>2014</w:t>
      </w:r>
    </w:p>
    <w:p>
      <w:pPr>
        <w:spacing w:after="0" w:line="408" w:lineRule="auto"/>
        <w:jc w:val="both"/>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54" w:right="1024"/>
        <w:jc w:val="left"/>
      </w:pPr>
      <w:r>
        <w:rPr>
          <w:spacing w:val="-3"/>
        </w:rPr>
        <w:t>年起，资产证券化市场呈现爆发式增长，截至</w:t>
      </w:r>
      <w:r>
        <w:rPr>
          <w:rFonts w:ascii="宋体" w:hAnsi="宋体" w:cs="宋体" w:eastAsia="宋体" w:hint="default"/>
          <w:spacing w:val="-3"/>
        </w:rPr>
        <w:t>2015</w:t>
      </w:r>
      <w:r>
        <w:rPr>
          <w:spacing w:val="-3"/>
        </w:rPr>
        <w:t>年末，国内资产证券化市场规模较</w:t>
      </w:r>
      <w:r>
        <w:rPr>
          <w:rFonts w:ascii="宋体" w:hAnsi="宋体" w:cs="宋体" w:eastAsia="宋体" w:hint="default"/>
          <w:spacing w:val="-3"/>
        </w:rPr>
        <w:t>2013</w:t>
      </w:r>
      <w:r>
        <w:rPr>
          <w:spacing w:val="-3"/>
        </w:rPr>
        <w:t>年末增长了</w:t>
      </w:r>
      <w:r>
        <w:rPr>
          <w:rFonts w:ascii="宋体" w:hAnsi="宋体" w:cs="宋体" w:eastAsia="宋体" w:hint="default"/>
          <w:spacing w:val="-3"/>
        </w:rPr>
        <w:t>13</w:t>
      </w:r>
      <w:r>
        <w:rPr>
          <w:spacing w:val="-3"/>
        </w:rPr>
        <w:t>倍。</w:t>
      </w:r>
      <w:r>
        <w:rPr>
          <w:spacing w:val="-81"/>
        </w:rPr>
        <w:t> </w:t>
      </w:r>
      <w:r>
        <w:rPr>
          <w:rFonts w:ascii="宋体" w:hAnsi="宋体" w:cs="宋体" w:eastAsia="宋体" w:hint="default"/>
        </w:rPr>
        <w:t>2016</w:t>
      </w:r>
      <w:r>
        <w:rPr/>
        <w:t>年，资产证券化市场将保持快速发展势头向万亿级规模进军。</w:t>
      </w:r>
    </w:p>
    <w:p>
      <w:pPr>
        <w:pStyle w:val="BodyText"/>
        <w:spacing w:line="408" w:lineRule="auto"/>
        <w:ind w:right="1130" w:firstLine="496"/>
        <w:jc w:val="both"/>
      </w:pPr>
      <w:r>
        <w:rPr/>
        <w:t>根据美国证券业及金融市场协会（</w:t>
      </w:r>
      <w:r>
        <w:rPr>
          <w:rFonts w:ascii="宋体" w:hAnsi="宋体" w:cs="宋体" w:eastAsia="宋体" w:hint="default"/>
        </w:rPr>
        <w:t>SIFMA</w:t>
      </w:r>
      <w:r>
        <w:rPr/>
        <w:t>）的统计，</w:t>
      </w:r>
      <w:r>
        <w:rPr>
          <w:rFonts w:ascii="宋体" w:hAnsi="宋体" w:cs="宋体" w:eastAsia="宋体" w:hint="default"/>
        </w:rPr>
        <w:t>2015</w:t>
      </w:r>
      <w:r>
        <w:rPr/>
        <w:t>年美国资产证券化余额超过</w:t>
      </w:r>
      <w:r>
        <w:rPr>
          <w:rFonts w:ascii="宋体" w:hAnsi="宋体" w:cs="宋体" w:eastAsia="宋体" w:hint="default"/>
        </w:rPr>
        <w:t>10</w:t>
      </w:r>
      <w:r>
        <w:rPr/>
        <w:t>万亿美元，新 </w:t>
      </w:r>
      <w:r>
        <w:rPr>
          <w:spacing w:val="-1"/>
        </w:rPr>
        <w:t>增发行量</w:t>
      </w:r>
      <w:r>
        <w:rPr>
          <w:rFonts w:ascii="宋体" w:hAnsi="宋体" w:cs="宋体" w:eastAsia="宋体" w:hint="default"/>
          <w:spacing w:val="-1"/>
        </w:rPr>
        <w:t>1.9</w:t>
      </w:r>
      <w:r>
        <w:rPr>
          <w:spacing w:val="-1"/>
        </w:rPr>
        <w:t>万亿美元。美国资产证券化规模相对于</w:t>
      </w:r>
      <w:r>
        <w:rPr>
          <w:rFonts w:ascii="宋体" w:hAnsi="宋体" w:cs="宋体" w:eastAsia="宋体" w:hint="default"/>
          <w:spacing w:val="-1"/>
        </w:rPr>
        <w:t>GDP</w:t>
      </w:r>
      <w:r>
        <w:rPr>
          <w:spacing w:val="-1"/>
        </w:rPr>
        <w:t>的比例近</w:t>
      </w:r>
      <w:r>
        <w:rPr>
          <w:rFonts w:ascii="宋体" w:hAnsi="宋体" w:cs="宋体" w:eastAsia="宋体" w:hint="default"/>
          <w:spacing w:val="-1"/>
        </w:rPr>
        <w:t>60%</w:t>
      </w:r>
      <w:r>
        <w:rPr>
          <w:spacing w:val="-1"/>
        </w:rPr>
        <w:t>，而中国资产证券化规模相对于</w:t>
      </w:r>
      <w:r>
        <w:rPr>
          <w:rFonts w:ascii="宋体" w:hAnsi="宋体" w:cs="宋体" w:eastAsia="宋体" w:hint="default"/>
          <w:spacing w:val="-1"/>
        </w:rPr>
        <w:t>GDP</w:t>
      </w:r>
      <w:r>
        <w:rPr>
          <w:spacing w:val="-1"/>
        </w:rPr>
        <w:t>的</w:t>
      </w:r>
      <w:r>
        <w:rPr>
          <w:spacing w:val="-79"/>
        </w:rPr>
        <w:t> </w:t>
      </w:r>
      <w:r>
        <w:rPr>
          <w:spacing w:val="-1"/>
        </w:rPr>
        <w:t>比例仅为</w:t>
      </w:r>
      <w:r>
        <w:rPr>
          <w:rFonts w:ascii="宋体" w:hAnsi="宋体" w:cs="宋体" w:eastAsia="宋体" w:hint="default"/>
          <w:spacing w:val="-1"/>
        </w:rPr>
        <w:t>1%</w:t>
      </w:r>
      <w:r>
        <w:rPr>
          <w:spacing w:val="-1"/>
        </w:rPr>
        <w:t>。因此，与美国相比，中国资产证券化市场当前的体量还处在幼年期，这也预示着整个资产证</w:t>
      </w:r>
      <w:r>
        <w:rPr>
          <w:spacing w:val="-86"/>
        </w:rPr>
        <w:t> </w:t>
      </w:r>
      <w:r>
        <w:rPr>
          <w:spacing w:val="-86"/>
        </w:rPr>
      </w:r>
      <w:r>
        <w:rPr/>
        <w:t>券化市场在中国的发展空间非常巨大。</w:t>
      </w:r>
    </w:p>
    <w:p>
      <w:pPr>
        <w:pStyle w:val="BodyText"/>
        <w:spacing w:line="408" w:lineRule="auto"/>
        <w:ind w:right="1024" w:firstLine="496"/>
        <w:jc w:val="left"/>
      </w:pPr>
      <w:r>
        <w:rPr>
          <w:spacing w:val="-3"/>
        </w:rPr>
        <w:t>一系列政策指引和市场发展显示，中国即将进入资产证券化发展的加速期，并且推进以资产证券化为</w:t>
      </w:r>
      <w:r>
        <w:rPr/>
        <w:t> 核心的互联网金融业务的时机和条件已经成熟。</w:t>
      </w:r>
    </w:p>
    <w:p>
      <w:pPr>
        <w:pStyle w:val="BodyText"/>
        <w:spacing w:line="408" w:lineRule="auto"/>
        <w:ind w:left="650" w:right="1024"/>
        <w:jc w:val="left"/>
      </w:pPr>
      <w:r>
        <w:rPr/>
        <w:t>（二）公司发展战略 </w:t>
      </w:r>
      <w:r>
        <w:rPr>
          <w:spacing w:val="-3"/>
        </w:rPr>
        <w:t>公司将坚持以银行科技金融综合服务、第三方互联网银行平台综合服务、资产证券化互联网综合服务</w:t>
      </w:r>
    </w:p>
    <w:p>
      <w:pPr>
        <w:pStyle w:val="BodyText"/>
        <w:spacing w:line="408" w:lineRule="auto"/>
        <w:ind w:left="154" w:right="1130"/>
        <w:jc w:val="both"/>
      </w:pPr>
      <w:r>
        <w:rPr>
          <w:spacing w:val="-1"/>
        </w:rPr>
        <w:t>及智能银行整体解决方案为核心业务的发展战略，立足于各行业互联网转型及资产证券化的需求，深入推</w:t>
      </w:r>
      <w:r>
        <w:rPr>
          <w:spacing w:val="-80"/>
        </w:rPr>
        <w:t> </w:t>
      </w:r>
      <w:r>
        <w:rPr>
          <w:spacing w:val="-80"/>
        </w:rPr>
      </w:r>
      <w:r>
        <w:rPr>
          <w:spacing w:val="-1"/>
        </w:rPr>
        <w:t>进资产证券化、互联网银行、金融资产交易、资产管理、征信、大数据、供应链金融等互联网金融创新业</w:t>
      </w:r>
      <w:r>
        <w:rPr>
          <w:spacing w:val="-83"/>
        </w:rPr>
        <w:t> </w:t>
      </w:r>
      <w:r>
        <w:rPr>
          <w:spacing w:val="-83"/>
        </w:rPr>
      </w:r>
      <w:r>
        <w:rPr>
          <w:spacing w:val="-1"/>
        </w:rPr>
        <w:t>务，打造中国领先的第三方互联网银行平台、资产证券化互联网综合服务平台，形成科技金融生态圈，助</w:t>
      </w:r>
      <w:r>
        <w:rPr>
          <w:spacing w:val="-85"/>
        </w:rPr>
        <w:t> </w:t>
      </w:r>
      <w:r>
        <w:rPr>
          <w:spacing w:val="-85"/>
        </w:rPr>
      </w:r>
      <w:r>
        <w:rPr/>
        <w:t>力地方政府金融改革、中小商业银行及传统龙头企业互联网转型和资产证券化。</w:t>
      </w:r>
    </w:p>
    <w:p>
      <w:pPr>
        <w:pStyle w:val="BodyText"/>
        <w:spacing w:line="408" w:lineRule="auto"/>
        <w:ind w:left="649" w:right="3327"/>
        <w:jc w:val="left"/>
      </w:pPr>
      <w:r>
        <w:rPr/>
        <w:t>（三）经营计划 为确保实现公司发展战略目标，公司</w:t>
      </w:r>
      <w:r>
        <w:rPr>
          <w:rFonts w:ascii="宋体" w:hAnsi="宋体" w:cs="宋体" w:eastAsia="宋体" w:hint="default"/>
        </w:rPr>
        <w:t>2016</w:t>
      </w:r>
      <w:r>
        <w:rPr/>
        <w:t>年度经营计划主要包括以下内容： </w:t>
      </w:r>
      <w:r>
        <w:rPr>
          <w:rFonts w:ascii="宋体" w:hAnsi="宋体" w:cs="宋体" w:eastAsia="宋体" w:hint="default"/>
        </w:rPr>
        <w:t>1.</w:t>
      </w:r>
      <w:r>
        <w:rPr/>
        <w:t>进一步推进金融资产交易业务发展</w:t>
      </w:r>
    </w:p>
    <w:p>
      <w:pPr>
        <w:pStyle w:val="BodyText"/>
        <w:spacing w:line="408" w:lineRule="auto"/>
        <w:ind w:left="154" w:right="1024" w:firstLine="496"/>
        <w:jc w:val="left"/>
      </w:pPr>
      <w:r>
        <w:rPr>
          <w:spacing w:val="-5"/>
        </w:rPr>
        <w:t>公司将继续基于金融资产交易所的卡位优势，积极进行互联网金融产品创新，并进一步完善风控体系，</w:t>
      </w:r>
      <w:r>
        <w:rPr/>
        <w:t> 实现交易规模和用户规模的快速增长。公司还将继续发挥金融资产交易所集群的优势，实现各金融资产交 易所之间客户互换、资产互换，从而提升整个平台的效率和活跃度，提升用户粘性，发挥规模效应。</w:t>
      </w:r>
    </w:p>
    <w:p>
      <w:pPr>
        <w:pStyle w:val="BodyText"/>
        <w:spacing w:line="408" w:lineRule="auto"/>
        <w:ind w:left="650" w:right="1024"/>
        <w:jc w:val="left"/>
      </w:pPr>
      <w:r>
        <w:rPr>
          <w:rFonts w:ascii="宋体" w:hAnsi="宋体" w:cs="宋体" w:eastAsia="宋体" w:hint="default"/>
        </w:rPr>
        <w:t>2.</w:t>
      </w:r>
      <w:r>
        <w:rPr/>
        <w:t>进一步加强与央企的合作 </w:t>
      </w:r>
      <w:r>
        <w:rPr>
          <w:spacing w:val="-3"/>
        </w:rPr>
        <w:t>公司将综合国家战略和行业需求，参照与中航工业集团合作的模式，积极与各央企展开合作，为央企</w:t>
      </w:r>
    </w:p>
    <w:p>
      <w:pPr>
        <w:pStyle w:val="BodyText"/>
        <w:spacing w:line="408" w:lineRule="auto"/>
        <w:ind w:left="649" w:right="1024" w:hanging="496"/>
        <w:jc w:val="left"/>
      </w:pPr>
      <w:r>
        <w:rPr/>
        <w:t>提供资产证券化和互联网金融转型服务，进一步增强公司科技金融生态体系的活力。 </w:t>
      </w:r>
      <w:r>
        <w:rPr>
          <w:rFonts w:ascii="宋体" w:hAnsi="宋体" w:cs="宋体" w:eastAsia="宋体" w:hint="default"/>
        </w:rPr>
        <w:t>3.</w:t>
      </w:r>
      <w:r>
        <w:rPr/>
        <w:t>进一步推进互联网银行云平台业务发展 </w:t>
      </w:r>
      <w:r>
        <w:rPr>
          <w:spacing w:val="-3"/>
        </w:rPr>
        <w:t>公司将继续加快展开与银行的合作和联合运营推广工作，提升云平台上线银行数量，初步实现云平台</w:t>
      </w:r>
    </w:p>
    <w:p>
      <w:pPr>
        <w:pStyle w:val="BodyText"/>
        <w:spacing w:line="408" w:lineRule="auto"/>
        <w:ind w:left="649" w:right="5637" w:hanging="496"/>
        <w:jc w:val="left"/>
      </w:pPr>
      <w:r>
        <w:rPr/>
        <w:t>业务规模的快速增长。 </w:t>
      </w:r>
      <w:r>
        <w:rPr>
          <w:rFonts w:ascii="宋体" w:hAnsi="宋体" w:cs="宋体" w:eastAsia="宋体" w:hint="default"/>
        </w:rPr>
        <w:t>4.</w:t>
      </w:r>
      <w:r>
        <w:rPr/>
        <w:t>布局云计算、大数据领域，积极向征信业务延伸</w:t>
      </w:r>
    </w:p>
    <w:p>
      <w:pPr>
        <w:pStyle w:val="BodyText"/>
        <w:spacing w:line="408" w:lineRule="auto"/>
        <w:ind w:right="1024" w:firstLine="496"/>
        <w:jc w:val="left"/>
      </w:pPr>
      <w:r>
        <w:rPr>
          <w:spacing w:val="-3"/>
        </w:rPr>
        <w:t>公司将基于已构建的科技金融生态体系，推进云计算、大数据领域的布局，积极挖掘生态体系内海量</w:t>
      </w:r>
      <w:r>
        <w:rPr/>
        <w:t> 数据的巨大价值，进而向征信业务延伸，并最终进一步巩固科技金融生态闭环服务。</w:t>
      </w:r>
    </w:p>
    <w:p>
      <w:pPr>
        <w:pStyle w:val="BodyText"/>
        <w:spacing w:line="240" w:lineRule="auto"/>
        <w:ind w:left="650" w:right="1024"/>
        <w:jc w:val="left"/>
      </w:pPr>
      <w:r>
        <w:rPr>
          <w:rFonts w:ascii="宋体" w:hAnsi="宋体" w:cs="宋体" w:eastAsia="宋体" w:hint="default"/>
        </w:rPr>
        <w:t>5.</w:t>
      </w:r>
      <w:r>
        <w:rPr/>
        <w:t>进一步加大技术投入</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17" w:firstLine="496"/>
        <w:jc w:val="left"/>
      </w:pPr>
      <w:r>
        <w:rPr/>
        <w:t>在技术创新方面，公司将继续加大在科技金融及智能银行领域的核心产品和技术研发及产业化投入， 不断增强技术实力，保持行业技术领先水平，增强企业的核心竞争能力，为公司的成长提供产品和技术优 势。</w:t>
      </w:r>
    </w:p>
    <w:p>
      <w:pPr>
        <w:pStyle w:val="BodyText"/>
        <w:spacing w:line="408" w:lineRule="auto"/>
        <w:ind w:left="649" w:right="1024"/>
        <w:jc w:val="left"/>
      </w:pPr>
      <w:r>
        <w:rPr>
          <w:rFonts w:ascii="宋体" w:hAnsi="宋体" w:cs="宋体" w:eastAsia="宋体" w:hint="default"/>
        </w:rPr>
        <w:t>6.</w:t>
      </w:r>
      <w:r>
        <w:rPr/>
        <w:t>积极利用收购兼并等手段进行资源整合，拓宽产业链 </w:t>
      </w:r>
      <w:r>
        <w:rPr>
          <w:spacing w:val="-3"/>
        </w:rPr>
        <w:t>公司将有计划的在科技金融、智能银行、征信、供应链金融、资产管理等领域加大投资力度，通过建</w:t>
      </w:r>
    </w:p>
    <w:p>
      <w:pPr>
        <w:pStyle w:val="BodyText"/>
        <w:spacing w:line="408" w:lineRule="auto"/>
        <w:ind w:right="1024"/>
        <w:jc w:val="left"/>
      </w:pPr>
      <w:r>
        <w:rPr>
          <w:spacing w:val="-1"/>
        </w:rPr>
        <w:t>立多层级合伙人经营责任制度，实现内部创业、培育孵化和成熟收购有机结合的投资并购策略。通过将资</w:t>
      </w:r>
      <w:r>
        <w:rPr>
          <w:spacing w:val="-83"/>
        </w:rPr>
        <w:t> </w:t>
      </w:r>
      <w:r>
        <w:rPr>
          <w:spacing w:val="-83"/>
        </w:rPr>
      </w:r>
      <w:r>
        <w:rPr/>
        <w:t>本、人才、产品和技术有效整合，帮助上市公司实现协同式发展，提升综合竞争优势。</w:t>
      </w:r>
    </w:p>
    <w:p>
      <w:pPr>
        <w:pStyle w:val="BodyText"/>
        <w:spacing w:line="408" w:lineRule="auto"/>
        <w:ind w:left="649" w:right="1024"/>
        <w:jc w:val="left"/>
      </w:pPr>
      <w:r>
        <w:rPr>
          <w:rFonts w:ascii="宋体" w:hAnsi="宋体" w:cs="宋体" w:eastAsia="宋体" w:hint="default"/>
        </w:rPr>
        <w:t>7.</w:t>
      </w:r>
      <w:r>
        <w:rPr/>
        <w:t>进一步夯实智能银行综合解决方案、数据中心综合解决方案等传统优势业务 </w:t>
      </w:r>
      <w:r>
        <w:rPr>
          <w:spacing w:val="-3"/>
        </w:rPr>
        <w:t>公司将积极研究和推进智能银行转型管理咨询服务、渠道整合、轻型网点、金融大数据分析、供应链</w:t>
      </w:r>
    </w:p>
    <w:p>
      <w:pPr>
        <w:pStyle w:val="BodyText"/>
        <w:spacing w:line="408" w:lineRule="auto"/>
        <w:ind w:right="1024"/>
        <w:jc w:val="left"/>
      </w:pPr>
      <w:r>
        <w:rPr>
          <w:spacing w:val="-1"/>
        </w:rPr>
        <w:t>融资、产业链融资、移动支付和数据中心综合服务等一系列解决方案和服务，进一步夯实公司在金融</w:t>
      </w:r>
      <w:r>
        <w:rPr>
          <w:rFonts w:ascii="宋体" w:hAnsi="宋体" w:cs="宋体" w:eastAsia="宋体" w:hint="default"/>
          <w:spacing w:val="-1"/>
        </w:rPr>
        <w:t>IT</w:t>
      </w:r>
      <w:r>
        <w:rPr>
          <w:spacing w:val="-1"/>
        </w:rPr>
        <w:t>领</w:t>
      </w:r>
      <w:r>
        <w:rPr>
          <w:spacing w:val="-83"/>
        </w:rPr>
        <w:t> </w:t>
      </w:r>
      <w:r>
        <w:rPr/>
        <w:t>域的优势业务。</w:t>
      </w:r>
    </w:p>
    <w:p>
      <w:pPr>
        <w:pStyle w:val="BodyText"/>
        <w:spacing w:line="408" w:lineRule="auto"/>
        <w:ind w:left="650" w:right="8022"/>
        <w:jc w:val="left"/>
      </w:pPr>
      <w:r>
        <w:rPr/>
        <w:t>（四）</w:t>
      </w:r>
      <w:r>
        <w:rPr>
          <w:spacing w:val="29"/>
        </w:rPr>
        <w:t> </w:t>
      </w:r>
      <w:r>
        <w:rPr/>
        <w:t>可能面对的风险</w:t>
      </w:r>
      <w:r>
        <w:rPr/>
        <w:t> </w:t>
      </w:r>
      <w:r>
        <w:rPr>
          <w:rFonts w:ascii="宋体" w:hAnsi="宋体" w:cs="宋体" w:eastAsia="宋体" w:hint="default"/>
        </w:rPr>
        <w:t>1.</w:t>
      </w:r>
      <w:r>
        <w:rPr/>
        <w:t>市场竞争风险</w:t>
      </w:r>
    </w:p>
    <w:p>
      <w:pPr>
        <w:pStyle w:val="BodyText"/>
        <w:spacing w:line="408" w:lineRule="auto"/>
        <w:ind w:left="154" w:right="1016" w:firstLine="496"/>
        <w:jc w:val="left"/>
      </w:pPr>
      <w:r>
        <w:rPr/>
        <w:t>公司正在积极布局的互联网金融综合服务领域具有广阔的市场空间，但同时也面临激烈的市场竞争。 如果公司不能充分利用现有优势和资源，快速扩大市场份额，可能导致公司未来持续高速发展存在一定的 不确定因素。</w:t>
      </w:r>
    </w:p>
    <w:p>
      <w:pPr>
        <w:pStyle w:val="BodyText"/>
        <w:spacing w:line="408" w:lineRule="auto"/>
        <w:ind w:left="154" w:right="1131" w:firstLine="496"/>
        <w:jc w:val="both"/>
      </w:pPr>
      <w:r>
        <w:rPr>
          <w:spacing w:val="-3"/>
        </w:rPr>
        <w:t>针对上述风险，公司将积极顺应互联网金融业务领域发展趋势，加快在该领域的业务布局，快速推进</w:t>
      </w:r>
      <w:r>
        <w:rPr/>
        <w:t> </w:t>
      </w:r>
      <w:r>
        <w:rPr>
          <w:spacing w:val="-1"/>
        </w:rPr>
        <w:t>以金融资产交易、云银行、资产管理、资产证券化等以互联网金融创新为代表的各项业务；同时充分发挥</w:t>
      </w:r>
      <w:r>
        <w:rPr>
          <w:spacing w:val="-86"/>
        </w:rPr>
        <w:t> </w:t>
      </w:r>
      <w:r>
        <w:rPr>
          <w:spacing w:val="-86"/>
        </w:rPr>
      </w:r>
      <w:r>
        <w:rPr/>
        <w:t>公司在互联网金融领域的核心竞争优势，加大市场拓展力度，以规避市场竞争加剧对公司造成的风险。</w:t>
      </w:r>
    </w:p>
    <w:p>
      <w:pPr>
        <w:pStyle w:val="BodyText"/>
        <w:spacing w:line="408" w:lineRule="auto"/>
        <w:ind w:left="650" w:right="1024"/>
        <w:jc w:val="left"/>
      </w:pPr>
      <w:r>
        <w:rPr>
          <w:rFonts w:ascii="宋体" w:hAnsi="宋体" w:cs="宋体" w:eastAsia="宋体" w:hint="default"/>
        </w:rPr>
        <w:t>2.</w:t>
      </w:r>
      <w:r>
        <w:rPr/>
        <w:t>行业技术风险 </w:t>
      </w:r>
      <w:r>
        <w:rPr>
          <w:spacing w:val="-3"/>
        </w:rPr>
        <w:t>公司所处行业存在对产品的技术要求高，技术更新换代快，市场需求变化快的特点，如果不能及时准</w:t>
      </w:r>
    </w:p>
    <w:p>
      <w:pPr>
        <w:pStyle w:val="BodyText"/>
        <w:spacing w:line="408" w:lineRule="auto"/>
        <w:ind w:left="650" w:right="1024" w:hanging="496"/>
        <w:jc w:val="left"/>
      </w:pPr>
      <w:r>
        <w:rPr/>
        <w:t>确地把握新技术及市场需求的发展和变化，将会影响公司的快速发展。 </w:t>
      </w:r>
      <w:r>
        <w:rPr>
          <w:spacing w:val="-5"/>
        </w:rPr>
        <w:t>针对上述风险，公司将进一步加大技术研发投入，完善公司技术研发体系，加强研发技术人才的引进，</w:t>
      </w:r>
    </w:p>
    <w:p>
      <w:pPr>
        <w:pStyle w:val="BodyText"/>
        <w:spacing w:line="408" w:lineRule="auto"/>
        <w:ind w:left="650" w:right="4452" w:hanging="496"/>
        <w:jc w:val="left"/>
      </w:pPr>
      <w:r>
        <w:rPr/>
        <w:t>并在公司内部形成良好的知识共享、传递机制，不断提升创新能力。 </w:t>
      </w:r>
      <w:r>
        <w:rPr>
          <w:rFonts w:ascii="宋体" w:hAnsi="宋体" w:cs="宋体" w:eastAsia="宋体" w:hint="default"/>
        </w:rPr>
        <w:t>3.</w:t>
      </w:r>
      <w:r>
        <w:rPr/>
        <w:t>人力资源风险</w:t>
      </w:r>
    </w:p>
    <w:p>
      <w:pPr>
        <w:pStyle w:val="BodyText"/>
        <w:spacing w:line="408" w:lineRule="auto"/>
        <w:ind w:left="154" w:right="1131" w:firstLine="496"/>
        <w:jc w:val="both"/>
      </w:pPr>
      <w:r>
        <w:rPr>
          <w:spacing w:val="-3"/>
        </w:rPr>
        <w:t>人才资源是公司生存和发展的关键，随着公司积极布局互联网金融及智能银行领域的业务发展，对行</w:t>
      </w:r>
      <w:r>
        <w:rPr/>
        <w:t> </w:t>
      </w:r>
      <w:r>
        <w:rPr>
          <w:spacing w:val="-1"/>
        </w:rPr>
        <w:t>业专家型人才、高端人才及有丰富经验的项目管理人才的需求日益增强，公司人才队伍的数量及质量，是</w:t>
      </w:r>
      <w:r>
        <w:rPr>
          <w:spacing w:val="-83"/>
        </w:rPr>
        <w:t> </w:t>
      </w:r>
      <w:r>
        <w:rPr>
          <w:spacing w:val="-83"/>
        </w:rPr>
      </w:r>
      <w:r>
        <w:rPr/>
        <w:t>公司能否健康快速发展的重要保障因素。</w:t>
      </w:r>
    </w:p>
    <w:p>
      <w:pPr>
        <w:pStyle w:val="BodyText"/>
        <w:spacing w:line="408" w:lineRule="auto"/>
        <w:ind w:left="154" w:right="1024" w:firstLine="496"/>
        <w:jc w:val="left"/>
      </w:pPr>
      <w:r>
        <w:rPr>
          <w:spacing w:val="-3"/>
        </w:rPr>
        <w:t>针对上述风险，公司将进一步完善人才保障的常态化机制，通过建立多层级合伙人经营责任制等方式</w:t>
      </w:r>
      <w:r>
        <w:rPr/>
        <w:t> </w:t>
      </w:r>
      <w:r>
        <w:rPr>
          <w:spacing w:val="-1"/>
        </w:rPr>
        <w:t>加大人才培养和引进力度，提供畅通的晋升渠道、推行有效的绩效考核与激励机制等措施，来满足公司业</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24"/>
        <w:jc w:val="left"/>
      </w:pPr>
      <w:r>
        <w:rPr/>
        <w:t>务跨越式发展对人才的需求。</w:t>
      </w:r>
    </w:p>
    <w:p>
      <w:pPr>
        <w:spacing w:line="240" w:lineRule="auto" w:before="0"/>
        <w:rPr>
          <w:rFonts w:ascii="宋体" w:hAnsi="宋体" w:cs="宋体" w:eastAsia="宋体" w:hint="default"/>
          <w:sz w:val="20"/>
          <w:szCs w:val="20"/>
        </w:rPr>
      </w:pPr>
    </w:p>
    <w:p>
      <w:pPr>
        <w:pStyle w:val="Heading2"/>
        <w:spacing w:line="240" w:lineRule="auto" w:before="131"/>
        <w:ind w:right="1024"/>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24"/>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详见披露在巨潮资讯网</w:t>
            </w:r>
          </w:p>
          <w:p>
            <w:pPr>
              <w:pStyle w:val="TableParagraph"/>
              <w:spacing w:line="302" w:lineRule="auto" w:before="75"/>
              <w:ind w:left="23" w:right="38"/>
              <w:jc w:val="left"/>
              <w:rPr>
                <w:rFonts w:ascii="宋体" w:hAnsi="宋体" w:cs="宋体" w:eastAsia="宋体" w:hint="default"/>
                <w:sz w:val="18"/>
                <w:szCs w:val="18"/>
              </w:rPr>
            </w:pP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）上的投资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者关系活动记录表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详见披露在巨潮资讯网</w:t>
            </w:r>
          </w:p>
          <w:p>
            <w:pPr>
              <w:pStyle w:val="TableParagraph"/>
              <w:spacing w:line="302" w:lineRule="auto" w:before="75"/>
              <w:ind w:left="23" w:right="38"/>
              <w:jc w:val="left"/>
              <w:rPr>
                <w:rFonts w:ascii="宋体" w:hAnsi="宋体" w:cs="宋体" w:eastAsia="宋体" w:hint="default"/>
                <w:sz w:val="18"/>
                <w:szCs w:val="18"/>
              </w:rPr>
            </w:pP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）上的投资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者关系活动记录表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详见披露在巨潮资讯网</w:t>
            </w:r>
          </w:p>
          <w:p>
            <w:pPr>
              <w:pStyle w:val="TableParagraph"/>
              <w:spacing w:line="302" w:lineRule="auto" w:before="75"/>
              <w:ind w:left="23" w:right="38"/>
              <w:jc w:val="left"/>
              <w:rPr>
                <w:rFonts w:ascii="宋体" w:hAnsi="宋体" w:cs="宋体" w:eastAsia="宋体" w:hint="default"/>
                <w:sz w:val="18"/>
                <w:szCs w:val="18"/>
              </w:rPr>
            </w:pP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）上的投资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者关系活动记录表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详见披露在巨潮资讯网</w:t>
            </w:r>
          </w:p>
          <w:p>
            <w:pPr>
              <w:pStyle w:val="TableParagraph"/>
              <w:spacing w:line="302" w:lineRule="auto" w:before="75"/>
              <w:ind w:left="23" w:right="38"/>
              <w:jc w:val="left"/>
              <w:rPr>
                <w:rFonts w:ascii="宋体" w:hAnsi="宋体" w:cs="宋体" w:eastAsia="宋体" w:hint="default"/>
                <w:sz w:val="18"/>
                <w:szCs w:val="18"/>
              </w:rPr>
            </w:pP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）上的投资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者关系活动记录表</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详见披露在巨潮资讯网</w:t>
            </w:r>
          </w:p>
          <w:p>
            <w:pPr>
              <w:pStyle w:val="TableParagraph"/>
              <w:spacing w:line="302" w:lineRule="auto" w:before="75"/>
              <w:ind w:left="23" w:right="38"/>
              <w:jc w:val="left"/>
              <w:rPr>
                <w:rFonts w:ascii="宋体" w:hAnsi="宋体" w:cs="宋体" w:eastAsia="宋体" w:hint="default"/>
                <w:sz w:val="18"/>
                <w:szCs w:val="18"/>
              </w:rPr>
            </w:pP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）上的投资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者关系活动记录表</w:t>
            </w:r>
          </w:p>
        </w:tc>
      </w:tr>
      <w:tr>
        <w:trPr>
          <w:trHeight w:val="1027"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详见披露在巨潮资讯网</w:t>
            </w:r>
          </w:p>
          <w:p>
            <w:pPr>
              <w:pStyle w:val="TableParagraph"/>
              <w:spacing w:line="302" w:lineRule="auto" w:before="75"/>
              <w:ind w:left="23" w:right="38"/>
              <w:jc w:val="left"/>
              <w:rPr>
                <w:rFonts w:ascii="宋体" w:hAnsi="宋体" w:cs="宋体" w:eastAsia="宋体" w:hint="default"/>
                <w:sz w:val="18"/>
                <w:szCs w:val="18"/>
              </w:rPr>
            </w:pPr>
            <w:r>
              <w:rPr>
                <w:rFonts w:ascii="宋体" w:hAnsi="宋体" w:cs="宋体" w:eastAsia="宋体" w:hint="default"/>
                <w:spacing w:val="-1"/>
                <w:sz w:val="18"/>
                <w:szCs w:val="18"/>
              </w:rPr>
              <w:t>（</w:t>
            </w: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）上的投资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者关系活动记录表</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6"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24"/>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5"/>
          <w:szCs w:val="25"/>
        </w:rPr>
      </w:pPr>
    </w:p>
    <w:p>
      <w:pPr>
        <w:spacing w:before="0"/>
        <w:ind w:left="153" w:right="1024" w:firstLine="0"/>
        <w:jc w:val="left"/>
        <w:rPr>
          <w:rFonts w:ascii="宋体" w:hAnsi="宋体" w:cs="宋体" w:eastAsia="宋体" w:hint="default"/>
          <w:sz w:val="20"/>
          <w:szCs w:val="20"/>
        </w:rPr>
      </w:pPr>
      <w:r>
        <w:rPr>
          <w:rFonts w:ascii="宋体" w:hAnsi="宋体" w:cs="宋体" w:eastAsia="宋体" w:hint="default"/>
          <w:sz w:val="20"/>
          <w:szCs w:val="20"/>
        </w:rPr>
        <w:t>报告期内普通股利润分配政策，特别是现金分红政策的制定、执行或调整情况</w:t>
      </w:r>
    </w:p>
    <w:p>
      <w:pPr>
        <w:spacing w:before="107"/>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017" w:firstLine="496"/>
        <w:jc w:val="left"/>
      </w:pPr>
      <w:r>
        <w:rPr/>
        <w:t>根据中国证监会《上市公司监管指引第</w:t>
      </w:r>
      <w:r>
        <w:rPr>
          <w:rFonts w:ascii="宋体" w:hAnsi="宋体" w:cs="宋体" w:eastAsia="宋体" w:hint="default"/>
        </w:rPr>
        <w:t>3</w:t>
      </w:r>
      <w:r>
        <w:rPr/>
        <w:t>号</w:t>
      </w:r>
      <w:r>
        <w:rPr>
          <w:rFonts w:ascii="宋体" w:hAnsi="宋体" w:cs="宋体" w:eastAsia="宋体" w:hint="default"/>
        </w:rPr>
        <w:t>-</w:t>
      </w:r>
      <w:r>
        <w:rPr/>
        <w:t>上市公司现金分红》的文件精神，结合公司的实际情况， </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19</w:t>
      </w:r>
      <w:r>
        <w:rPr/>
        <w:t>日，公司第三届董事会第十四次会议对《公司章程》中利润分配政策的相关条款作进一步细 化，目前，公司的股利分配政策如下：</w:t>
      </w:r>
    </w:p>
    <w:p>
      <w:pPr>
        <w:pStyle w:val="BodyText"/>
        <w:spacing w:line="408" w:lineRule="auto"/>
        <w:ind w:left="650" w:right="1121"/>
        <w:jc w:val="left"/>
      </w:pPr>
      <w:r>
        <w:rPr/>
        <w:t>（一）公司利润分配政策的基本原则 </w:t>
      </w:r>
      <w:r>
        <w:rPr>
          <w:rFonts w:ascii="宋体" w:hAnsi="宋体" w:cs="宋体" w:eastAsia="宋体" w:hint="default"/>
        </w:rPr>
        <w:t>1</w:t>
      </w:r>
      <w:r>
        <w:rPr/>
        <w:t>、公司充分考虑对投资者的回报，每年将当年实现的可分配利润按本章程的规定比例和方式向股东</w:t>
      </w:r>
    </w:p>
    <w:p>
      <w:pPr>
        <w:pStyle w:val="BodyText"/>
        <w:spacing w:line="240" w:lineRule="auto"/>
        <w:ind w:left="154" w:right="1024"/>
        <w:jc w:val="left"/>
      </w:pPr>
      <w:r>
        <w:rPr/>
        <w:t>分配股利；</w:t>
      </w:r>
    </w:p>
    <w:p>
      <w:pPr>
        <w:spacing w:line="240" w:lineRule="auto" w:before="10"/>
        <w:rPr>
          <w:rFonts w:ascii="宋体" w:hAnsi="宋体" w:cs="宋体" w:eastAsia="宋体" w:hint="default"/>
          <w:sz w:val="14"/>
          <w:szCs w:val="14"/>
        </w:rPr>
      </w:pPr>
    </w:p>
    <w:p>
      <w:pPr>
        <w:pStyle w:val="BodyText"/>
        <w:spacing w:line="408" w:lineRule="auto" w:before="0"/>
        <w:ind w:left="154" w:right="1121" w:firstLine="496"/>
        <w:jc w:val="left"/>
      </w:pPr>
      <w:r>
        <w:rPr>
          <w:rFonts w:ascii="宋体" w:hAnsi="宋体" w:cs="宋体" w:eastAsia="宋体" w:hint="default"/>
        </w:rPr>
        <w:t>2</w:t>
      </w:r>
      <w:r>
        <w:rPr/>
        <w:t>、公司的利润分配政策保持连续性和稳定性，同时兼顾公司的长远利益、全体股东的整体利益及公 司的可持续发展；</w:t>
      </w:r>
    </w:p>
    <w:p>
      <w:pPr>
        <w:pStyle w:val="BodyText"/>
        <w:spacing w:line="240" w:lineRule="auto"/>
        <w:ind w:left="650" w:right="1024"/>
        <w:jc w:val="left"/>
      </w:pPr>
      <w:r>
        <w:rPr>
          <w:rFonts w:ascii="宋体" w:hAnsi="宋体" w:cs="宋体" w:eastAsia="宋体" w:hint="default"/>
        </w:rPr>
        <w:t>3</w:t>
      </w:r>
      <w:r>
        <w:rPr/>
        <w:t>、公司优先采用现金分红的利润分配方式。</w:t>
      </w:r>
    </w:p>
    <w:p>
      <w:pPr>
        <w:spacing w:line="240" w:lineRule="auto" w:before="10"/>
        <w:rPr>
          <w:rFonts w:ascii="宋体" w:hAnsi="宋体" w:cs="宋体" w:eastAsia="宋体" w:hint="default"/>
          <w:sz w:val="14"/>
          <w:szCs w:val="14"/>
        </w:rPr>
      </w:pPr>
    </w:p>
    <w:p>
      <w:pPr>
        <w:pStyle w:val="BodyText"/>
        <w:spacing w:line="408" w:lineRule="auto" w:before="0"/>
        <w:ind w:left="650" w:right="7316"/>
        <w:jc w:val="left"/>
      </w:pPr>
      <w:r>
        <w:rPr/>
        <w:t>（二）公司具体的利润分配政策 </w:t>
      </w:r>
      <w:r>
        <w:rPr>
          <w:rFonts w:ascii="宋体" w:hAnsi="宋体" w:cs="宋体" w:eastAsia="宋体" w:hint="default"/>
        </w:rPr>
        <w:t>1</w:t>
      </w:r>
      <w:r>
        <w:rPr/>
        <w:t>、利润分配的形式：</w:t>
      </w:r>
    </w:p>
    <w:p>
      <w:pPr>
        <w:pStyle w:val="BodyText"/>
        <w:spacing w:line="408" w:lineRule="auto"/>
        <w:ind w:left="154" w:right="1024" w:firstLine="496"/>
        <w:jc w:val="left"/>
      </w:pPr>
      <w:r>
        <w:rPr>
          <w:spacing w:val="-3"/>
        </w:rPr>
        <w:t>公司采用现金、股票或者现金与股票相结合的方式分配股利。在有条件的情况下，公司可以进行中期</w:t>
      </w:r>
      <w:r>
        <w:rPr/>
        <w:t> 利润分配；</w:t>
      </w:r>
    </w:p>
    <w:p>
      <w:pPr>
        <w:pStyle w:val="BodyText"/>
        <w:spacing w:line="408" w:lineRule="auto"/>
        <w:ind w:left="650" w:right="1024"/>
        <w:jc w:val="left"/>
      </w:pPr>
      <w:r>
        <w:rPr>
          <w:rFonts w:ascii="宋体" w:hAnsi="宋体" w:cs="宋体" w:eastAsia="宋体" w:hint="default"/>
        </w:rPr>
        <w:t>2</w:t>
      </w:r>
      <w:r>
        <w:rPr/>
        <w:t>、公司现金分红的具体条件和比例： </w:t>
      </w:r>
      <w:r>
        <w:rPr>
          <w:spacing w:val="-3"/>
        </w:rPr>
        <w:t>除特殊情况外，公司在当年盈利且累计未分配利润为正的情况下，采取现金方式分配股利，每年以现</w:t>
      </w:r>
    </w:p>
    <w:p>
      <w:pPr>
        <w:pStyle w:val="BodyText"/>
        <w:spacing w:line="408" w:lineRule="auto"/>
        <w:ind w:left="650" w:right="5501" w:hanging="496"/>
        <w:jc w:val="left"/>
      </w:pPr>
      <w:r>
        <w:rPr/>
        <w:t>金方式分配的利润不少于当年实现的可分配利润的</w:t>
      </w:r>
      <w:r>
        <w:rPr>
          <w:spacing w:val="1"/>
        </w:rPr>
        <w:t> </w:t>
      </w:r>
      <w:r>
        <w:rPr>
          <w:rFonts w:ascii="宋体" w:hAnsi="宋体" w:cs="宋体" w:eastAsia="宋体" w:hint="default"/>
        </w:rPr>
        <w:t>15%</w:t>
      </w:r>
      <w:r>
        <w:rPr/>
        <w:t>。 特殊情况是指：</w:t>
      </w:r>
    </w:p>
    <w:p>
      <w:pPr>
        <w:pStyle w:val="BodyText"/>
        <w:spacing w:line="408" w:lineRule="auto"/>
        <w:ind w:left="154" w:right="1121" w:firstLine="496"/>
        <w:jc w:val="left"/>
      </w:pPr>
      <w:r>
        <w:rPr/>
        <w:t>（</w:t>
      </w:r>
      <w:r>
        <w:rPr>
          <w:rFonts w:ascii="宋体" w:hAnsi="宋体" w:cs="宋体" w:eastAsia="宋体" w:hint="default"/>
        </w:rPr>
        <w:t>1</w:t>
      </w:r>
      <w:r>
        <w:rPr/>
        <w:t>）公司有重大投资计划或重大现金支出等事项发生（募集资金项目除外）。即，公司未来十二个 月内拟对外投资、收购资产或者购买设备累计支出达到或超过公司最近一期经审计净资产的 </w:t>
      </w:r>
      <w:r>
        <w:rPr>
          <w:rFonts w:ascii="宋体" w:hAnsi="宋体" w:cs="宋体" w:eastAsia="宋体" w:hint="default"/>
        </w:rPr>
        <w:t>30%</w:t>
      </w:r>
      <w:r>
        <w:rPr/>
        <w:t>；</w:t>
      </w:r>
    </w:p>
    <w:p>
      <w:pPr>
        <w:pStyle w:val="BodyText"/>
        <w:spacing w:line="240" w:lineRule="auto"/>
        <w:ind w:left="650" w:right="1024"/>
        <w:jc w:val="left"/>
      </w:pPr>
      <w:r>
        <w:rPr/>
        <w:t>（</w:t>
      </w:r>
      <w:r>
        <w:rPr>
          <w:rFonts w:ascii="宋体" w:hAnsi="宋体" w:cs="宋体" w:eastAsia="宋体" w:hint="default"/>
        </w:rPr>
        <w:t>2</w:t>
      </w:r>
      <w:r>
        <w:rPr/>
        <w:t>）公司年末资产负债率超过</w:t>
      </w:r>
      <w:r>
        <w:rPr>
          <w:spacing w:val="-3"/>
        </w:rPr>
        <w:t> </w:t>
      </w:r>
      <w:r>
        <w:rPr>
          <w:rFonts w:ascii="宋体" w:hAnsi="宋体" w:cs="宋体" w:eastAsia="宋体" w:hint="default"/>
        </w:rPr>
        <w:t>70%</w:t>
      </w:r>
      <w:r>
        <w:rPr/>
        <w:t>；</w:t>
      </w:r>
    </w:p>
    <w:p>
      <w:pPr>
        <w:spacing w:line="240" w:lineRule="auto" w:before="10"/>
        <w:rPr>
          <w:rFonts w:ascii="宋体" w:hAnsi="宋体" w:cs="宋体" w:eastAsia="宋体" w:hint="default"/>
          <w:sz w:val="14"/>
          <w:szCs w:val="14"/>
        </w:rPr>
      </w:pPr>
    </w:p>
    <w:p>
      <w:pPr>
        <w:pStyle w:val="BodyText"/>
        <w:spacing w:line="408" w:lineRule="auto" w:before="0"/>
        <w:ind w:left="650" w:right="5321"/>
        <w:jc w:val="left"/>
      </w:pPr>
      <w:r>
        <w:rPr/>
        <w:t>（</w:t>
      </w:r>
      <w:r>
        <w:rPr>
          <w:rFonts w:ascii="宋体" w:hAnsi="宋体" w:cs="宋体" w:eastAsia="宋体" w:hint="default"/>
        </w:rPr>
        <w:t>3</w:t>
      </w:r>
      <w:r>
        <w:rPr/>
        <w:t>）公司当年经营活动产生的现金流量净额为负数。 </w:t>
      </w:r>
      <w:r>
        <w:rPr>
          <w:rFonts w:ascii="宋体" w:hAnsi="宋体" w:cs="宋体" w:eastAsia="宋体" w:hint="default"/>
        </w:rPr>
        <w:t>3</w:t>
      </w:r>
      <w:r>
        <w:rPr/>
        <w:t>、公司发放股票股利的具体条件：</w:t>
      </w:r>
    </w:p>
    <w:p>
      <w:pPr>
        <w:pStyle w:val="BodyText"/>
        <w:spacing w:line="408" w:lineRule="auto"/>
        <w:ind w:right="1093" w:firstLine="496"/>
        <w:jc w:val="left"/>
      </w:pPr>
      <w:r>
        <w:rPr/>
        <w:t>公司在经营情况良好，同时当年实现的每股收益超过 </w:t>
      </w:r>
      <w:r>
        <w:rPr>
          <w:rFonts w:ascii="宋体" w:hAnsi="宋体" w:cs="宋体" w:eastAsia="宋体" w:hint="default"/>
        </w:rPr>
        <w:t>0.5</w:t>
      </w:r>
      <w:r>
        <w:rPr>
          <w:rFonts w:ascii="宋体" w:hAnsi="宋体" w:cs="宋体" w:eastAsia="宋体" w:hint="default"/>
          <w:spacing w:val="-1"/>
        </w:rPr>
        <w:t> </w:t>
      </w:r>
      <w:r>
        <w:rPr/>
        <w:t>元时，并且董事会认为公司股票价格与公 司股本规模不匹配、发放股票股利有利于公司全体股东整体利益时，可以在满足上述现金分红的条件下，</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24"/>
        <w:jc w:val="left"/>
      </w:pPr>
      <w:r>
        <w:rPr/>
        <w:t>提出股票股利分配预案。</w:t>
      </w:r>
    </w:p>
    <w:p>
      <w:pPr>
        <w:spacing w:line="240" w:lineRule="auto" w:before="10"/>
        <w:rPr>
          <w:rFonts w:ascii="宋体" w:hAnsi="宋体" w:cs="宋体" w:eastAsia="宋体" w:hint="default"/>
          <w:sz w:val="14"/>
          <w:szCs w:val="14"/>
        </w:rPr>
      </w:pPr>
    </w:p>
    <w:p>
      <w:pPr>
        <w:pStyle w:val="BodyText"/>
        <w:spacing w:line="408" w:lineRule="auto" w:before="0"/>
        <w:ind w:left="649" w:right="1122"/>
        <w:jc w:val="left"/>
      </w:pPr>
      <w:r>
        <w:rPr/>
        <w:t>（三）公司利润分配方案的审议程序： </w:t>
      </w:r>
      <w:r>
        <w:rPr>
          <w:rFonts w:ascii="宋体" w:hAnsi="宋体" w:cs="宋体" w:eastAsia="宋体" w:hint="default"/>
        </w:rPr>
        <w:t>1</w:t>
      </w:r>
      <w:r>
        <w:rPr/>
        <w:t>、公司的利润分配方案由董事会战略委员会拟定后提交公司董事会、监事会审议，独立董事应对利</w:t>
      </w:r>
    </w:p>
    <w:p>
      <w:pPr>
        <w:pStyle w:val="BodyText"/>
        <w:spacing w:line="408" w:lineRule="auto"/>
        <w:ind w:right="1024"/>
        <w:jc w:val="left"/>
      </w:pPr>
      <w:r>
        <w:rPr>
          <w:spacing w:val="-1"/>
        </w:rPr>
        <w:t>润分配方案发表明确意见。董事会应就利润分配方案的合理性进行充分讨论，形成专项决议后提交股东大</w:t>
      </w:r>
      <w:r>
        <w:rPr>
          <w:spacing w:val="-81"/>
        </w:rPr>
        <w:t> </w:t>
      </w:r>
      <w:r>
        <w:rPr>
          <w:spacing w:val="-81"/>
        </w:rPr>
      </w:r>
      <w:r>
        <w:rPr/>
        <w:t>会审议，并在发布召开股东大会的通知时，公告独立董事和监事会意见。</w:t>
      </w:r>
      <w:r>
        <w:rPr>
          <w:spacing w:val="-1"/>
        </w:rPr>
        <w:t> </w:t>
      </w:r>
      <w:r>
        <w:rPr/>
        <w:t>董事会应当综合考虑所处行业</w:t>
      </w:r>
      <w:r>
        <w:rPr/>
        <w:t> </w:t>
      </w:r>
      <w:r>
        <w:rPr>
          <w:spacing w:val="-1"/>
        </w:rPr>
        <w:t>特点、发展阶段、自身经营模式、盈利水平以及是否有重大资金支出安排等因素，区分下列情形，并按照</w:t>
      </w:r>
    </w:p>
    <w:p>
      <w:pPr>
        <w:pStyle w:val="BodyText"/>
        <w:spacing w:line="240" w:lineRule="auto"/>
        <w:ind w:right="1024"/>
        <w:jc w:val="left"/>
      </w:pPr>
      <w:r>
        <w:rPr/>
        <w:t>《公司章程》规定的程序，提出差异化的现金分红政策：</w:t>
      </w:r>
    </w:p>
    <w:p>
      <w:pPr>
        <w:spacing w:line="240" w:lineRule="auto" w:before="10"/>
        <w:rPr>
          <w:rFonts w:ascii="宋体" w:hAnsi="宋体" w:cs="宋体" w:eastAsia="宋体" w:hint="default"/>
          <w:sz w:val="14"/>
          <w:szCs w:val="14"/>
        </w:rPr>
      </w:pPr>
    </w:p>
    <w:p>
      <w:pPr>
        <w:pStyle w:val="BodyText"/>
        <w:spacing w:line="408" w:lineRule="auto" w:before="0"/>
        <w:ind w:left="154" w:right="1121" w:firstLine="496"/>
        <w:jc w:val="left"/>
      </w:pPr>
      <w:r>
        <w:rPr/>
        <w:t>（</w:t>
      </w:r>
      <w:r>
        <w:rPr>
          <w:rFonts w:ascii="宋体" w:hAnsi="宋体" w:cs="宋体" w:eastAsia="宋体" w:hint="default"/>
        </w:rPr>
        <w:t>1</w:t>
      </w:r>
      <w:r>
        <w:rPr/>
        <w:t>）公司发展阶段属成熟期且无重大资金支出安排的，进行利润分配时，现金分红在本次利润分配 中所占比例最低应达到</w:t>
      </w:r>
      <w:r>
        <w:rPr>
          <w:spacing w:val="-1"/>
        </w:rPr>
        <w:t> </w:t>
      </w:r>
      <w:r>
        <w:rPr>
          <w:rFonts w:ascii="宋体" w:hAnsi="宋体" w:cs="宋体" w:eastAsia="宋体" w:hint="default"/>
        </w:rPr>
        <w:t>80%</w:t>
      </w:r>
      <w:r>
        <w:rPr/>
        <w:t>；</w:t>
      </w:r>
    </w:p>
    <w:p>
      <w:pPr>
        <w:pStyle w:val="BodyText"/>
        <w:spacing w:line="408" w:lineRule="auto"/>
        <w:ind w:left="154" w:right="1121" w:firstLine="496"/>
        <w:jc w:val="left"/>
      </w:pPr>
      <w:r>
        <w:rPr/>
        <w:t>（</w:t>
      </w:r>
      <w:r>
        <w:rPr>
          <w:rFonts w:ascii="宋体" w:hAnsi="宋体" w:cs="宋体" w:eastAsia="宋体" w:hint="default"/>
        </w:rPr>
        <w:t>2</w:t>
      </w:r>
      <w:r>
        <w:rPr/>
        <w:t>）公司发展阶段属成熟期且有重大资金支出安排的，进行利润分配时，现金分红在本次利润分配 中所占比例最低应达到</w:t>
      </w:r>
      <w:r>
        <w:rPr>
          <w:spacing w:val="-1"/>
        </w:rPr>
        <w:t> </w:t>
      </w:r>
      <w:r>
        <w:rPr>
          <w:rFonts w:ascii="宋体" w:hAnsi="宋体" w:cs="宋体" w:eastAsia="宋体" w:hint="default"/>
        </w:rPr>
        <w:t>40%</w:t>
      </w:r>
      <w:r>
        <w:rPr/>
        <w:t>；</w:t>
      </w:r>
    </w:p>
    <w:p>
      <w:pPr>
        <w:pStyle w:val="BodyText"/>
        <w:spacing w:line="408" w:lineRule="auto"/>
        <w:ind w:left="154" w:right="1121" w:firstLine="496"/>
        <w:jc w:val="left"/>
      </w:pPr>
      <w:r>
        <w:rPr/>
        <w:t>（</w:t>
      </w:r>
      <w:r>
        <w:rPr>
          <w:rFonts w:ascii="宋体" w:hAnsi="宋体" w:cs="宋体" w:eastAsia="宋体" w:hint="default"/>
        </w:rPr>
        <w:t>3</w:t>
      </w:r>
      <w:r>
        <w:rPr/>
        <w:t>）公司发展阶段属成长期且有重大资金支出安排的，进行利润分配时，现金分红在本次利润分配 中所占比例最低应达到</w:t>
      </w:r>
      <w:r>
        <w:rPr>
          <w:spacing w:val="-1"/>
        </w:rPr>
        <w:t> </w:t>
      </w:r>
      <w:r>
        <w:rPr>
          <w:rFonts w:ascii="宋体" w:hAnsi="宋体" w:cs="宋体" w:eastAsia="宋体" w:hint="default"/>
        </w:rPr>
        <w:t>20%</w:t>
      </w:r>
      <w:r>
        <w:rPr/>
        <w:t>；</w:t>
      </w:r>
    </w:p>
    <w:p>
      <w:pPr>
        <w:pStyle w:val="BodyText"/>
        <w:spacing w:line="408" w:lineRule="auto"/>
        <w:ind w:left="154" w:right="1024" w:firstLine="496"/>
        <w:jc w:val="left"/>
      </w:pPr>
      <w:r>
        <w:rPr>
          <w:spacing w:val="-3"/>
        </w:rPr>
        <w:t>公司董事会可根据公司的经营发展情况及前项规定适时调整公司所处的发展阶段。公司发展阶段不易</w:t>
      </w:r>
      <w:r>
        <w:rPr/>
        <w:t> 区分但有重大资金支出安排的，可以按照前项规定处理。 公司在制定现金分红具体方案时，董事会应当 </w:t>
      </w:r>
      <w:r>
        <w:rPr>
          <w:spacing w:val="-1"/>
        </w:rPr>
        <w:t>认真研究和论证公司现金分红的时机、条件和最低比例、调整的条件及其决策程序要求等事宜，独立董事</w:t>
      </w:r>
      <w:r>
        <w:rPr>
          <w:spacing w:val="-83"/>
        </w:rPr>
        <w:t> </w:t>
      </w:r>
      <w:r>
        <w:rPr>
          <w:spacing w:val="-83"/>
        </w:rPr>
      </w:r>
      <w:r>
        <w:rPr/>
        <w:t>应当发表明确意见。独立董事可以征集中小股东的意见，提出分红提案，并直接提交董事会审议。</w:t>
      </w:r>
    </w:p>
    <w:p>
      <w:pPr>
        <w:pStyle w:val="BodyText"/>
        <w:spacing w:line="408" w:lineRule="auto"/>
        <w:ind w:left="154" w:right="1131" w:firstLine="496"/>
        <w:jc w:val="both"/>
      </w:pPr>
      <w:r>
        <w:rPr>
          <w:rFonts w:ascii="宋体" w:hAnsi="宋体" w:cs="宋体" w:eastAsia="宋体" w:hint="default"/>
        </w:rPr>
        <w:t>2</w:t>
      </w:r>
      <w:r>
        <w:rPr/>
        <w:t>、公司应重视投资者特别是中小股东的合理要求和意见。对于年度报告期盈利但董事会未按照《公 </w:t>
      </w:r>
      <w:r>
        <w:rPr>
          <w:spacing w:val="-1"/>
        </w:rPr>
        <w:t>司章程》的规定提出现金分红方案的，应当在定期报告中披露未提出现金分红方案的原因、未用于分红的</w:t>
      </w:r>
      <w:r>
        <w:rPr>
          <w:spacing w:val="-83"/>
        </w:rPr>
        <w:t> </w:t>
      </w:r>
      <w:r>
        <w:rPr>
          <w:spacing w:val="-83"/>
        </w:rPr>
      </w:r>
      <w:r>
        <w:rPr>
          <w:spacing w:val="-1"/>
        </w:rPr>
        <w:t>资金留存公司的用途，独立董事应当对此发表独立意见；公司在召开股东大会时除现场会议外，还应向股</w:t>
      </w:r>
      <w:r>
        <w:rPr>
          <w:spacing w:val="-83"/>
        </w:rPr>
        <w:t> </w:t>
      </w:r>
      <w:r>
        <w:rPr>
          <w:spacing w:val="-83"/>
        </w:rPr>
      </w:r>
      <w:r>
        <w:rPr/>
        <w:t>东提供网络形式的投票平台。</w:t>
      </w:r>
    </w:p>
    <w:p>
      <w:pPr>
        <w:pStyle w:val="BodyText"/>
        <w:spacing w:line="408" w:lineRule="auto"/>
        <w:ind w:left="154" w:right="1024" w:firstLine="496"/>
        <w:jc w:val="left"/>
      </w:pPr>
      <w:r>
        <w:rPr>
          <w:rFonts w:ascii="宋体" w:hAnsi="宋体" w:cs="宋体" w:eastAsia="宋体" w:hint="default"/>
          <w:spacing w:val="-3"/>
        </w:rPr>
        <w:t>3</w:t>
      </w:r>
      <w:r>
        <w:rPr>
          <w:spacing w:val="-3"/>
        </w:rPr>
        <w:t>、公司应当严格执行《公司章程》确定的现金分红政策以及股东大会审议批准的现金分红具体方案。</w:t>
      </w:r>
      <w:r>
        <w:rPr/>
        <w:t> 确有必要对《公司章程》确定的现金分红政策进行调整或者变更的，应当满足《公司章程》规定的条件， 经详细论证后，由董事会提交股东大会以特别决议审议通过，独立董事应当发表明确的独立意见。</w:t>
      </w:r>
      <w:r>
        <w:rPr>
          <w:spacing w:val="1"/>
        </w:rPr>
        <w:t> </w:t>
      </w:r>
      <w:r>
        <w:rPr/>
        <w:t>公司</w:t>
      </w:r>
      <w:r>
        <w:rPr/>
        <w:t> 应重视利润分配的透明度，按照法律法规以及证券监督管理部门、证券交易所的相关规定和要求充分披露 公司利润分配的相关事项，并提供多种途径（电话、传真、电子邮件、互动平台等）主动与独立董事以及 股东特别是中小股东沟通和交流，充分听取中小股东的意见和诉求，及时答复中小股东关心的问题。</w:t>
      </w:r>
    </w:p>
    <w:p>
      <w:pPr>
        <w:pStyle w:val="BodyText"/>
        <w:spacing w:line="408" w:lineRule="auto"/>
        <w:ind w:left="650" w:right="1117"/>
        <w:jc w:val="left"/>
      </w:pPr>
      <w:r>
        <w:rPr/>
        <w:t>（四）公司利润分配方案的实施： 公司股东大会对利润分配方案做出决议后，公司董事会须在股东大会召开后</w:t>
      </w:r>
      <w:r>
        <w:rPr>
          <w:spacing w:val="-46"/>
        </w:rPr>
        <w:t> </w:t>
      </w:r>
      <w:r>
        <w:rPr>
          <w:rFonts w:ascii="宋体" w:hAnsi="宋体" w:cs="宋体" w:eastAsia="宋体" w:hint="default"/>
          <w:spacing w:val="-5"/>
        </w:rPr>
        <w:t>2</w:t>
      </w:r>
      <w:r>
        <w:rPr>
          <w:spacing w:val="-5"/>
        </w:rPr>
        <w:t>个月内完成股利（或股</w:t>
      </w:r>
    </w:p>
    <w:p>
      <w:pPr>
        <w:pStyle w:val="BodyText"/>
        <w:spacing w:line="240" w:lineRule="auto"/>
        <w:ind w:right="1024"/>
        <w:jc w:val="left"/>
      </w:pPr>
      <w:r>
        <w:rPr/>
        <w:t>份）的派发事项。</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650" w:right="1024"/>
        <w:jc w:val="left"/>
      </w:pPr>
      <w:r>
        <w:rPr/>
        <w:t>（五）公司利润分配政策的变更： </w:t>
      </w:r>
      <w:r>
        <w:rPr>
          <w:rFonts w:ascii="宋体" w:hAnsi="宋体" w:cs="宋体" w:eastAsia="宋体" w:hint="default"/>
          <w:spacing w:val="-3"/>
        </w:rPr>
        <w:t>1</w:t>
      </w:r>
      <w:r>
        <w:rPr>
          <w:spacing w:val="-3"/>
        </w:rPr>
        <w:t>、如遇到战争、自然灾害等不可抗力、或者公司外部经营环境变化并对公司生产经营造成重大影响，</w:t>
      </w:r>
    </w:p>
    <w:p>
      <w:pPr>
        <w:pStyle w:val="BodyText"/>
        <w:spacing w:line="408" w:lineRule="auto"/>
        <w:ind w:left="154" w:right="1024"/>
        <w:jc w:val="left"/>
      </w:pPr>
      <w:r>
        <w:rPr>
          <w:spacing w:val="-1"/>
        </w:rPr>
        <w:t>或公司自身经营状况发生较大变化时，公司可对利润分配政策进行调整，调整后的利润分配政策不得违反</w:t>
      </w:r>
      <w:r>
        <w:rPr>
          <w:spacing w:val="-81"/>
        </w:rPr>
        <w:t> </w:t>
      </w:r>
      <w:r>
        <w:rPr>
          <w:spacing w:val="-81"/>
        </w:rPr>
      </w:r>
      <w:r>
        <w:rPr/>
        <w:t>中国证监会和证券交易所的有关规定</w:t>
      </w:r>
      <w:r>
        <w:rPr>
          <w:spacing w:val="1"/>
        </w:rPr>
        <w:t> </w:t>
      </w:r>
      <w:r>
        <w:rPr/>
        <w:t>。</w:t>
      </w:r>
    </w:p>
    <w:p>
      <w:pPr>
        <w:pStyle w:val="BodyText"/>
        <w:spacing w:line="408" w:lineRule="auto"/>
        <w:ind w:left="154" w:right="1131" w:firstLine="496"/>
        <w:jc w:val="both"/>
      </w:pPr>
      <w:r>
        <w:rPr>
          <w:rFonts w:ascii="宋体" w:hAnsi="宋体" w:cs="宋体" w:eastAsia="宋体" w:hint="default"/>
        </w:rPr>
        <w:t>2</w:t>
      </w:r>
      <w:r>
        <w:rPr/>
        <w:t>、公司调整利润分配政策应由董事会做出专题论述，详细论证调整理由，形成书面论证报告并经独 </w:t>
      </w:r>
      <w:r>
        <w:rPr>
          <w:spacing w:val="-1"/>
        </w:rPr>
        <w:t>立董事审议后提交股东大会特别决议通过。同时，公司应当提供网络投票方式为公众投资者参加股东大会</w:t>
      </w:r>
      <w:r>
        <w:rPr>
          <w:spacing w:val="-81"/>
        </w:rPr>
        <w:t> </w:t>
      </w:r>
      <w:r>
        <w:rPr>
          <w:spacing w:val="-81"/>
        </w:rPr>
      </w:r>
      <w:r>
        <w:rPr/>
        <w:t>提供便利。</w:t>
      </w:r>
    </w:p>
    <w:p>
      <w:pPr>
        <w:pStyle w:val="BodyText"/>
        <w:spacing w:line="408" w:lineRule="auto"/>
        <w:ind w:left="154" w:right="1140" w:firstLine="496"/>
        <w:jc w:val="both"/>
      </w:pPr>
      <w:r>
        <w:rPr>
          <w:rFonts w:ascii="宋体" w:hAnsi="宋体" w:cs="宋体" w:eastAsia="宋体" w:hint="default"/>
        </w:rPr>
        <w:t>3</w:t>
      </w:r>
      <w:r>
        <w:rPr/>
        <w:t>、在充分考虑对投资者的合理投资回报并兼顾公司的可持续发展的基础上，公司董事会可制订股利 分配规划，并报股东大会批准。</w:t>
      </w:r>
    </w:p>
    <w:p>
      <w:pPr>
        <w:pStyle w:val="BodyText"/>
        <w:spacing w:line="408" w:lineRule="auto"/>
        <w:ind w:left="154" w:right="1131" w:firstLine="496"/>
        <w:jc w:val="both"/>
      </w:pPr>
      <w:r>
        <w:rPr>
          <w:spacing w:val="-3"/>
        </w:rPr>
        <w:t>（六）存在股东违规占用公司资金情况的，公司应当扣减该股东所分配的现金红利，以偿还其占用的</w:t>
      </w:r>
      <w:r>
        <w:rPr/>
        <w:t> 资金。</w:t>
      </w:r>
    </w:p>
    <w:p>
      <w:pPr>
        <w:pStyle w:val="BodyText"/>
        <w:spacing w:line="408" w:lineRule="auto"/>
        <w:ind w:left="650" w:right="1121"/>
        <w:jc w:val="left"/>
      </w:pPr>
      <w:r>
        <w:rPr/>
        <w:t>公司现金分红政策的执行情况： 公司严格按照《公司章程》的规定制定现金分红方案。公司于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15</w:t>
      </w:r>
      <w:r>
        <w:rPr/>
        <w:t>日第三届董事会第十三次</w:t>
      </w:r>
    </w:p>
    <w:p>
      <w:pPr>
        <w:pStyle w:val="BodyText"/>
        <w:spacing w:line="408" w:lineRule="auto"/>
        <w:ind w:right="1093"/>
        <w:jc w:val="left"/>
      </w:pPr>
      <w:r>
        <w:rPr>
          <w:spacing w:val="-1"/>
        </w:rPr>
        <w:t>会议审议通过了</w:t>
      </w:r>
      <w:r>
        <w:rPr>
          <w:rFonts w:ascii="宋体" w:hAnsi="宋体" w:cs="宋体" w:eastAsia="宋体" w:hint="default"/>
          <w:spacing w:val="-1"/>
        </w:rPr>
        <w:t>2014</w:t>
      </w:r>
      <w:r>
        <w:rPr>
          <w:spacing w:val="-1"/>
        </w:rPr>
        <w:t>年度利润分配方案，公司</w:t>
      </w:r>
      <w:r>
        <w:rPr>
          <w:rFonts w:ascii="宋体" w:hAnsi="宋体" w:cs="宋体" w:eastAsia="宋体" w:hint="default"/>
          <w:spacing w:val="-1"/>
        </w:rPr>
        <w:t>2014</w:t>
      </w:r>
      <w:r>
        <w:rPr>
          <w:spacing w:val="-1"/>
        </w:rPr>
        <w:t>年年度利润分配方案如下：以</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日公司总股</w:t>
      </w:r>
      <w:r>
        <w:rPr>
          <w:spacing w:val="-79"/>
        </w:rPr>
        <w:t> </w:t>
      </w:r>
      <w:r>
        <w:rPr>
          <w:spacing w:val="-79"/>
        </w:rPr>
      </w:r>
      <w:r>
        <w:rPr/>
        <w:t>本</w:t>
      </w:r>
      <w:r>
        <w:rPr>
          <w:rFonts w:ascii="宋体" w:hAnsi="宋体" w:cs="宋体" w:eastAsia="宋体" w:hint="default"/>
        </w:rPr>
        <w:t>158,489,551</w:t>
      </w:r>
      <w:r>
        <w:rPr/>
        <w:t>股为基数，向全体股东按每</w:t>
      </w:r>
      <w:r>
        <w:rPr>
          <w:rFonts w:ascii="宋体" w:hAnsi="宋体" w:cs="宋体" w:eastAsia="宋体" w:hint="default"/>
        </w:rPr>
        <w:t>10</w:t>
      </w:r>
      <w:r>
        <w:rPr/>
        <w:t>股派发现金红利</w:t>
      </w:r>
      <w:r>
        <w:rPr>
          <w:rFonts w:ascii="宋体" w:hAnsi="宋体" w:cs="宋体" w:eastAsia="宋体" w:hint="default"/>
        </w:rPr>
        <w:t>0.60</w:t>
      </w:r>
      <w:r>
        <w:rPr/>
        <w:t>元（含税）；同时进行资本公积金转增 股本，向全体股东每</w:t>
      </w:r>
      <w:r>
        <w:rPr>
          <w:rFonts w:ascii="宋体" w:hAnsi="宋体" w:cs="宋体" w:eastAsia="宋体" w:hint="default"/>
        </w:rPr>
        <w:t>10</w:t>
      </w:r>
      <w:r>
        <w:rPr/>
        <w:t>股转增</w:t>
      </w:r>
      <w:r>
        <w:rPr>
          <w:rFonts w:ascii="宋体" w:hAnsi="宋体" w:cs="宋体" w:eastAsia="宋体" w:hint="default"/>
        </w:rPr>
        <w:t>10</w:t>
      </w:r>
      <w:r>
        <w:rPr/>
        <w:t>股，共计转增</w:t>
      </w:r>
      <w:r>
        <w:rPr>
          <w:rFonts w:ascii="宋体" w:hAnsi="宋体" w:cs="宋体" w:eastAsia="宋体" w:hint="default"/>
        </w:rPr>
        <w:t>158,489,551</w:t>
      </w:r>
      <w:r>
        <w:rPr/>
        <w:t>股，转增后公司总股本增加至</w:t>
      </w:r>
      <w:r>
        <w:rPr>
          <w:rFonts w:ascii="宋体" w:hAnsi="宋体" w:cs="宋体" w:eastAsia="宋体" w:hint="default"/>
        </w:rPr>
        <w:t>316,979,102</w:t>
      </w:r>
      <w:r>
        <w:rPr/>
        <w:t>股。 上述现金股利及转增股份已于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20</w:t>
      </w:r>
      <w:r>
        <w:rPr/>
        <w:t>日记入股东账户。</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4"/>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4"/>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18"/>
        <w:ind w:left="154" w:right="1024" w:firstLine="0"/>
        <w:jc w:val="left"/>
        <w:rPr>
          <w:rFonts w:ascii="宋体" w:hAnsi="宋体" w:cs="宋体" w:eastAsia="宋体" w:hint="default"/>
          <w:sz w:val="20"/>
          <w:szCs w:val="20"/>
        </w:rPr>
      </w:pPr>
      <w:r>
        <w:rPr>
          <w:rFonts w:ascii="宋体" w:hAnsi="宋体" w:cs="宋体" w:eastAsia="宋体" w:hint="default"/>
          <w:b/>
          <w:bCs/>
          <w:spacing w:val="1"/>
          <w:w w:val="99"/>
          <w:sz w:val="20"/>
          <w:szCs w:val="20"/>
        </w:rPr>
        <w:t>公</w:t>
      </w:r>
      <w:r>
        <w:rPr>
          <w:rFonts w:ascii="宋体" w:hAnsi="宋体" w:cs="宋体" w:eastAsia="宋体" w:hint="default"/>
          <w:b/>
          <w:bCs/>
          <w:w w:val="99"/>
          <w:sz w:val="20"/>
          <w:szCs w:val="20"/>
        </w:rPr>
        <w:t>司近</w:t>
      </w:r>
      <w:r>
        <w:rPr>
          <w:rFonts w:ascii="宋体" w:hAnsi="宋体" w:cs="宋体" w:eastAsia="宋体" w:hint="default"/>
          <w:b/>
          <w:bCs/>
          <w:spacing w:val="-50"/>
          <w:sz w:val="20"/>
          <w:szCs w:val="20"/>
        </w:rPr>
        <w:t> </w:t>
      </w:r>
      <w:r>
        <w:rPr>
          <w:rFonts w:ascii="Times New Roman" w:hAnsi="Times New Roman" w:cs="Times New Roman" w:eastAsia="Times New Roman" w:hint="default"/>
          <w:b/>
          <w:bCs/>
          <w:w w:val="100"/>
          <w:sz w:val="20"/>
          <w:szCs w:val="20"/>
        </w:rPr>
        <w:t>3</w:t>
      </w:r>
      <w:r>
        <w:rPr>
          <w:rFonts w:ascii="Times New Roman" w:hAnsi="Times New Roman" w:cs="Times New Roman" w:eastAsia="Times New Roman" w:hint="default"/>
          <w:b/>
          <w:bCs/>
          <w:spacing w:val="-1"/>
          <w:sz w:val="20"/>
          <w:szCs w:val="20"/>
        </w:rPr>
        <w:t> </w:t>
      </w:r>
      <w:r>
        <w:rPr>
          <w:rFonts w:ascii="宋体" w:hAnsi="宋体" w:cs="宋体" w:eastAsia="宋体" w:hint="default"/>
          <w:b/>
          <w:bCs/>
          <w:spacing w:val="1"/>
          <w:w w:val="99"/>
          <w:sz w:val="20"/>
          <w:szCs w:val="20"/>
        </w:rPr>
        <w:t>年</w:t>
      </w:r>
      <w:r>
        <w:rPr>
          <w:rFonts w:ascii="宋体" w:hAnsi="宋体" w:cs="宋体" w:eastAsia="宋体" w:hint="default"/>
          <w:b/>
          <w:bCs/>
          <w:w w:val="99"/>
          <w:sz w:val="20"/>
          <w:szCs w:val="20"/>
        </w:rPr>
        <w:t>（</w:t>
      </w:r>
      <w:r>
        <w:rPr>
          <w:rFonts w:ascii="宋体" w:hAnsi="宋体" w:cs="宋体" w:eastAsia="宋体" w:hint="default"/>
          <w:b/>
          <w:bCs/>
          <w:spacing w:val="1"/>
          <w:w w:val="99"/>
          <w:sz w:val="20"/>
          <w:szCs w:val="20"/>
        </w:rPr>
        <w:t>包</w:t>
      </w:r>
      <w:r>
        <w:rPr>
          <w:rFonts w:ascii="宋体" w:hAnsi="宋体" w:cs="宋体" w:eastAsia="宋体" w:hint="default"/>
          <w:b/>
          <w:bCs/>
          <w:w w:val="99"/>
          <w:sz w:val="20"/>
          <w:szCs w:val="20"/>
        </w:rPr>
        <w:t>括本</w:t>
      </w:r>
      <w:r>
        <w:rPr>
          <w:rFonts w:ascii="宋体" w:hAnsi="宋体" w:cs="宋体" w:eastAsia="宋体" w:hint="default"/>
          <w:b/>
          <w:bCs/>
          <w:spacing w:val="1"/>
          <w:w w:val="99"/>
          <w:sz w:val="20"/>
          <w:szCs w:val="20"/>
        </w:rPr>
        <w:t>报</w:t>
      </w:r>
      <w:r>
        <w:rPr>
          <w:rFonts w:ascii="宋体" w:hAnsi="宋体" w:cs="宋体" w:eastAsia="宋体" w:hint="default"/>
          <w:b/>
          <w:bCs/>
          <w:w w:val="99"/>
          <w:sz w:val="20"/>
          <w:szCs w:val="20"/>
        </w:rPr>
        <w:t>告期</w:t>
      </w:r>
      <w:r>
        <w:rPr>
          <w:rFonts w:ascii="宋体" w:hAnsi="宋体" w:cs="宋体" w:eastAsia="宋体" w:hint="default"/>
          <w:b/>
          <w:bCs/>
          <w:spacing w:val="1"/>
          <w:w w:val="99"/>
          <w:sz w:val="20"/>
          <w:szCs w:val="20"/>
        </w:rPr>
        <w:t>）</w:t>
      </w:r>
      <w:r>
        <w:rPr>
          <w:rFonts w:ascii="宋体" w:hAnsi="宋体" w:cs="宋体" w:eastAsia="宋体" w:hint="default"/>
          <w:b/>
          <w:bCs/>
          <w:w w:val="99"/>
          <w:sz w:val="20"/>
          <w:szCs w:val="20"/>
        </w:rPr>
        <w:t>的普</w:t>
      </w:r>
      <w:r>
        <w:rPr>
          <w:rFonts w:ascii="宋体" w:hAnsi="宋体" w:cs="宋体" w:eastAsia="宋体" w:hint="default"/>
          <w:b/>
          <w:bCs/>
          <w:spacing w:val="1"/>
          <w:w w:val="99"/>
          <w:sz w:val="20"/>
          <w:szCs w:val="20"/>
        </w:rPr>
        <w:t>通</w:t>
      </w:r>
      <w:r>
        <w:rPr>
          <w:rFonts w:ascii="宋体" w:hAnsi="宋体" w:cs="宋体" w:eastAsia="宋体" w:hint="default"/>
          <w:b/>
          <w:bCs/>
          <w:w w:val="99"/>
          <w:sz w:val="20"/>
          <w:szCs w:val="20"/>
        </w:rPr>
        <w:t>股股</w:t>
      </w:r>
      <w:r>
        <w:rPr>
          <w:rFonts w:ascii="宋体" w:hAnsi="宋体" w:cs="宋体" w:eastAsia="宋体" w:hint="default"/>
          <w:b/>
          <w:bCs/>
          <w:spacing w:val="1"/>
          <w:w w:val="99"/>
          <w:sz w:val="20"/>
          <w:szCs w:val="20"/>
        </w:rPr>
        <w:t>利</w:t>
      </w:r>
      <w:r>
        <w:rPr>
          <w:rFonts w:ascii="宋体" w:hAnsi="宋体" w:cs="宋体" w:eastAsia="宋体" w:hint="default"/>
          <w:b/>
          <w:bCs/>
          <w:w w:val="99"/>
          <w:sz w:val="20"/>
          <w:szCs w:val="20"/>
        </w:rPr>
        <w:t>分配</w:t>
      </w:r>
      <w:r>
        <w:rPr>
          <w:rFonts w:ascii="宋体" w:hAnsi="宋体" w:cs="宋体" w:eastAsia="宋体" w:hint="default"/>
          <w:b/>
          <w:bCs/>
          <w:spacing w:val="1"/>
          <w:w w:val="99"/>
          <w:sz w:val="20"/>
          <w:szCs w:val="20"/>
        </w:rPr>
        <w:t>方</w:t>
      </w:r>
      <w:r>
        <w:rPr>
          <w:rFonts w:ascii="宋体" w:hAnsi="宋体" w:cs="宋体" w:eastAsia="宋体" w:hint="default"/>
          <w:b/>
          <w:bCs/>
          <w:w w:val="99"/>
          <w:sz w:val="20"/>
          <w:szCs w:val="20"/>
        </w:rPr>
        <w:t>案（</w:t>
      </w:r>
      <w:r>
        <w:rPr>
          <w:rFonts w:ascii="宋体" w:hAnsi="宋体" w:cs="宋体" w:eastAsia="宋体" w:hint="default"/>
          <w:b/>
          <w:bCs/>
          <w:spacing w:val="1"/>
          <w:w w:val="99"/>
          <w:sz w:val="20"/>
          <w:szCs w:val="20"/>
        </w:rPr>
        <w:t>预</w:t>
      </w:r>
      <w:r>
        <w:rPr>
          <w:rFonts w:ascii="宋体" w:hAnsi="宋体" w:cs="宋体" w:eastAsia="宋体" w:hint="default"/>
          <w:b/>
          <w:bCs/>
          <w:w w:val="99"/>
          <w:sz w:val="20"/>
          <w:szCs w:val="20"/>
        </w:rPr>
        <w:t>案</w:t>
      </w:r>
      <w:r>
        <w:rPr>
          <w:rFonts w:ascii="宋体" w:hAnsi="宋体" w:cs="宋体" w:eastAsia="宋体" w:hint="default"/>
          <w:b/>
          <w:bCs/>
          <w:spacing w:val="-100"/>
          <w:w w:val="99"/>
          <w:sz w:val="20"/>
          <w:szCs w:val="20"/>
        </w:rPr>
        <w:t>）</w:t>
      </w:r>
      <w:r>
        <w:rPr>
          <w:rFonts w:ascii="宋体" w:hAnsi="宋体" w:cs="宋体" w:eastAsia="宋体" w:hint="default"/>
          <w:b/>
          <w:bCs/>
          <w:w w:val="99"/>
          <w:sz w:val="20"/>
          <w:szCs w:val="20"/>
        </w:rPr>
        <w:t>、资本</w:t>
      </w:r>
      <w:r>
        <w:rPr>
          <w:rFonts w:ascii="宋体" w:hAnsi="宋体" w:cs="宋体" w:eastAsia="宋体" w:hint="default"/>
          <w:b/>
          <w:bCs/>
          <w:spacing w:val="1"/>
          <w:w w:val="99"/>
          <w:sz w:val="20"/>
          <w:szCs w:val="20"/>
        </w:rPr>
        <w:t>公</w:t>
      </w:r>
      <w:r>
        <w:rPr>
          <w:rFonts w:ascii="宋体" w:hAnsi="宋体" w:cs="宋体" w:eastAsia="宋体" w:hint="default"/>
          <w:b/>
          <w:bCs/>
          <w:w w:val="99"/>
          <w:sz w:val="20"/>
          <w:szCs w:val="20"/>
        </w:rPr>
        <w:t>积金</w:t>
      </w:r>
      <w:r>
        <w:rPr>
          <w:rFonts w:ascii="宋体" w:hAnsi="宋体" w:cs="宋体" w:eastAsia="宋体" w:hint="default"/>
          <w:b/>
          <w:bCs/>
          <w:spacing w:val="1"/>
          <w:w w:val="99"/>
          <w:sz w:val="20"/>
          <w:szCs w:val="20"/>
        </w:rPr>
        <w:t>转</w:t>
      </w:r>
      <w:r>
        <w:rPr>
          <w:rFonts w:ascii="宋体" w:hAnsi="宋体" w:cs="宋体" w:eastAsia="宋体" w:hint="default"/>
          <w:b/>
          <w:bCs/>
          <w:w w:val="99"/>
          <w:sz w:val="20"/>
          <w:szCs w:val="20"/>
        </w:rPr>
        <w:t>增股</w:t>
      </w:r>
      <w:r>
        <w:rPr>
          <w:rFonts w:ascii="宋体" w:hAnsi="宋体" w:cs="宋体" w:eastAsia="宋体" w:hint="default"/>
          <w:b/>
          <w:bCs/>
          <w:spacing w:val="1"/>
          <w:w w:val="99"/>
          <w:sz w:val="20"/>
          <w:szCs w:val="20"/>
        </w:rPr>
        <w:t>本</w:t>
      </w:r>
      <w:r>
        <w:rPr>
          <w:rFonts w:ascii="宋体" w:hAnsi="宋体" w:cs="宋体" w:eastAsia="宋体" w:hint="default"/>
          <w:b/>
          <w:bCs/>
          <w:w w:val="99"/>
          <w:sz w:val="20"/>
          <w:szCs w:val="20"/>
        </w:rPr>
        <w:t>方案</w:t>
      </w:r>
      <w:r>
        <w:rPr>
          <w:rFonts w:ascii="宋体" w:hAnsi="宋体" w:cs="宋体" w:eastAsia="宋体" w:hint="default"/>
          <w:b/>
          <w:bCs/>
          <w:spacing w:val="1"/>
          <w:w w:val="99"/>
          <w:sz w:val="20"/>
          <w:szCs w:val="20"/>
        </w:rPr>
        <w:t>（</w:t>
      </w:r>
      <w:r>
        <w:rPr>
          <w:rFonts w:ascii="宋体" w:hAnsi="宋体" w:cs="宋体" w:eastAsia="宋体" w:hint="default"/>
          <w:b/>
          <w:bCs/>
          <w:w w:val="99"/>
          <w:sz w:val="20"/>
          <w:szCs w:val="20"/>
        </w:rPr>
        <w:t>预案</w:t>
      </w:r>
      <w:r>
        <w:rPr>
          <w:rFonts w:ascii="宋体" w:hAnsi="宋体" w:cs="宋体" w:eastAsia="宋体" w:hint="default"/>
          <w:b/>
          <w:bCs/>
          <w:spacing w:val="1"/>
          <w:w w:val="99"/>
          <w:sz w:val="20"/>
          <w:szCs w:val="20"/>
        </w:rPr>
        <w:t>）</w:t>
      </w:r>
      <w:r>
        <w:rPr>
          <w:rFonts w:ascii="宋体" w:hAnsi="宋体" w:cs="宋体" w:eastAsia="宋体" w:hint="default"/>
          <w:b/>
          <w:bCs/>
          <w:w w:val="99"/>
          <w:sz w:val="20"/>
          <w:szCs w:val="20"/>
        </w:rPr>
        <w:t>情况</w:t>
      </w:r>
      <w:r>
        <w:rPr>
          <w:rFonts w:ascii="宋体" w:hAnsi="宋体" w:cs="宋体" w:eastAsia="宋体" w:hint="default"/>
          <w:sz w:val="20"/>
          <w:szCs w:val="20"/>
        </w:rPr>
      </w:r>
    </w:p>
    <w:p>
      <w:pPr>
        <w:pStyle w:val="BodyText"/>
        <w:spacing w:line="408" w:lineRule="auto" w:before="143"/>
        <w:ind w:left="154" w:right="1194" w:firstLine="423"/>
        <w:jc w:val="left"/>
      </w:pPr>
      <w:r>
        <w:rPr/>
        <w:t>公司</w:t>
      </w:r>
      <w:r>
        <w:rPr>
          <w:rFonts w:ascii="宋体" w:hAnsi="宋体" w:cs="宋体" w:eastAsia="宋体" w:hint="default"/>
        </w:rPr>
        <w:t>2013</w:t>
      </w:r>
      <w:r>
        <w:rPr/>
        <w:t>年度利润分配方案：以公司截止</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104,696,301</w:t>
      </w:r>
      <w:r>
        <w:rPr/>
        <w:t>股为基数，向全体股东 每</w:t>
      </w:r>
      <w:r>
        <w:rPr>
          <w:rFonts w:ascii="宋体" w:hAnsi="宋体" w:cs="宋体" w:eastAsia="宋体" w:hint="default"/>
        </w:rPr>
        <w:t>10</w:t>
      </w:r>
      <w:r>
        <w:rPr/>
        <w:t>股派发现金股利人民币</w:t>
      </w:r>
      <w:r>
        <w:rPr>
          <w:rFonts w:ascii="宋体" w:hAnsi="宋体" w:cs="宋体" w:eastAsia="宋体" w:hint="default"/>
        </w:rPr>
        <w:t>0.70</w:t>
      </w:r>
      <w:r>
        <w:rPr/>
        <w:t>元（含税），共计派发现金股利</w:t>
      </w:r>
      <w:r>
        <w:rPr>
          <w:rFonts w:ascii="宋体" w:hAnsi="宋体" w:cs="宋体" w:eastAsia="宋体" w:hint="default"/>
        </w:rPr>
        <w:t>7,328,741.07</w:t>
      </w:r>
      <w:r>
        <w:rPr/>
        <w:t>元。</w:t>
      </w:r>
    </w:p>
    <w:p>
      <w:pPr>
        <w:pStyle w:val="BodyText"/>
        <w:spacing w:line="408" w:lineRule="auto"/>
        <w:ind w:left="154" w:right="1024" w:firstLine="423"/>
        <w:jc w:val="left"/>
      </w:pPr>
      <w:r>
        <w:rPr>
          <w:spacing w:val="-1"/>
        </w:rPr>
        <w:t>公司</w:t>
      </w:r>
      <w:r>
        <w:rPr>
          <w:rFonts w:ascii="宋体" w:hAnsi="宋体" w:cs="宋体" w:eastAsia="宋体" w:hint="default"/>
          <w:spacing w:val="-1"/>
        </w:rPr>
        <w:t>2014</w:t>
      </w:r>
      <w:r>
        <w:rPr>
          <w:spacing w:val="-1"/>
        </w:rPr>
        <w:t>年半年度利润分配方案：以公司截止</w:t>
      </w:r>
      <w:r>
        <w:rPr>
          <w:rFonts w:ascii="宋体" w:hAnsi="宋体" w:cs="宋体" w:eastAsia="宋体" w:hint="default"/>
          <w:spacing w:val="-1"/>
        </w:rPr>
        <w:t>2014</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日总股本</w:t>
      </w:r>
      <w:r>
        <w:rPr>
          <w:rFonts w:ascii="宋体" w:hAnsi="宋体" w:cs="宋体" w:eastAsia="宋体" w:hint="default"/>
          <w:spacing w:val="-1"/>
        </w:rPr>
        <w:t>104,696,301</w:t>
      </w:r>
      <w:r>
        <w:rPr>
          <w:spacing w:val="-1"/>
        </w:rPr>
        <w:t>股为基数，进行资本</w:t>
      </w:r>
      <w:r>
        <w:rPr/>
        <w:t> 公积金转增股本，全体股东每</w:t>
      </w:r>
      <w:r>
        <w:rPr>
          <w:rFonts w:ascii="宋体" w:hAnsi="宋体" w:cs="宋体" w:eastAsia="宋体" w:hint="default"/>
        </w:rPr>
        <w:t>10</w:t>
      </w:r>
      <w:r>
        <w:rPr/>
        <w:t>股转增</w:t>
      </w:r>
      <w:r>
        <w:rPr>
          <w:rFonts w:ascii="宋体" w:hAnsi="宋体" w:cs="宋体" w:eastAsia="宋体" w:hint="default"/>
        </w:rPr>
        <w:t>2</w:t>
      </w:r>
      <w:r>
        <w:rPr/>
        <w:t>股，共计转增</w:t>
      </w:r>
      <w:r>
        <w:rPr>
          <w:rFonts w:ascii="宋体" w:hAnsi="宋体" w:cs="宋体" w:eastAsia="宋体" w:hint="default"/>
        </w:rPr>
        <w:t>20,939,260</w:t>
      </w:r>
      <w:r>
        <w:rPr/>
        <w:t>股。</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firstLine="423"/>
        <w:jc w:val="left"/>
      </w:pPr>
      <w:r>
        <w:rPr/>
        <w:t>公司</w:t>
      </w:r>
      <w:r>
        <w:rPr>
          <w:rFonts w:ascii="宋体" w:hAnsi="宋体" w:cs="宋体" w:eastAsia="宋体" w:hint="default"/>
        </w:rPr>
        <w:t>2014</w:t>
      </w:r>
      <w:r>
        <w:rPr/>
        <w:t>年年度利润分配方案：以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158,489,551</w:t>
      </w:r>
      <w:r>
        <w:rPr/>
        <w:t>股为基数，向全体股东按 </w:t>
      </w:r>
      <w:r>
        <w:rPr>
          <w:spacing w:val="-1"/>
        </w:rPr>
        <w:t>每</w:t>
      </w:r>
      <w:r>
        <w:rPr>
          <w:rFonts w:ascii="宋体" w:hAnsi="宋体" w:cs="宋体" w:eastAsia="宋体" w:hint="default"/>
          <w:spacing w:val="-1"/>
        </w:rPr>
        <w:t>10</w:t>
      </w:r>
      <w:r>
        <w:rPr>
          <w:spacing w:val="-1"/>
        </w:rPr>
        <w:t>股派发现金红利</w:t>
      </w:r>
      <w:r>
        <w:rPr>
          <w:rFonts w:ascii="宋体" w:hAnsi="宋体" w:cs="宋体" w:eastAsia="宋体" w:hint="default"/>
          <w:spacing w:val="-1"/>
        </w:rPr>
        <w:t>0.60</w:t>
      </w:r>
      <w:r>
        <w:rPr>
          <w:spacing w:val="-1"/>
        </w:rPr>
        <w:t>元（含税）；同时进行资本公积金转增股本，向全体股东每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10</w:t>
      </w:r>
      <w:r>
        <w:rPr>
          <w:spacing w:val="-1"/>
        </w:rPr>
        <w:t>股，共计</w:t>
      </w:r>
      <w:r>
        <w:rPr>
          <w:spacing w:val="-83"/>
        </w:rPr>
        <w:t> </w:t>
      </w:r>
      <w:r>
        <w:rPr>
          <w:spacing w:val="-83"/>
        </w:rPr>
      </w:r>
      <w:r>
        <w:rPr/>
        <w:t>转增</w:t>
      </w:r>
      <w:r>
        <w:rPr>
          <w:rFonts w:ascii="宋体" w:hAnsi="宋体" w:cs="宋体" w:eastAsia="宋体" w:hint="default"/>
        </w:rPr>
        <w:t>158,489,551</w:t>
      </w:r>
      <w:r>
        <w:rPr/>
        <w:t>股，转增后公司总股本将增加至</w:t>
      </w:r>
      <w:r>
        <w:rPr>
          <w:rFonts w:ascii="宋体" w:hAnsi="宋体" w:cs="宋体" w:eastAsia="宋体" w:hint="default"/>
        </w:rPr>
        <w:t>316,979,102</w:t>
      </w:r>
      <w:r>
        <w:rPr/>
        <w:t>股。</w:t>
      </w:r>
    </w:p>
    <w:p>
      <w:pPr>
        <w:pStyle w:val="BodyText"/>
        <w:spacing w:line="408" w:lineRule="auto"/>
        <w:ind w:left="154" w:right="1194" w:firstLine="423"/>
        <w:jc w:val="left"/>
      </w:pPr>
      <w:r>
        <w:rPr/>
        <w:t>公司</w:t>
      </w:r>
      <w:r>
        <w:rPr>
          <w:rFonts w:ascii="宋体" w:hAnsi="宋体" w:cs="宋体" w:eastAsia="宋体" w:hint="default"/>
        </w:rPr>
        <w:t>2015</w:t>
      </w:r>
      <w:r>
        <w:rPr/>
        <w:t>年年度利润分配方案：以公司总股本</w:t>
      </w:r>
      <w:r>
        <w:rPr>
          <w:rFonts w:ascii="宋体" w:hAnsi="宋体" w:cs="宋体" w:eastAsia="宋体" w:hint="default"/>
        </w:rPr>
        <w:t>337,576,686</w:t>
      </w:r>
      <w:r>
        <w:rPr/>
        <w:t>股为基数，向全体股东按每</w:t>
      </w:r>
      <w:r>
        <w:rPr>
          <w:rFonts w:ascii="宋体" w:hAnsi="宋体" w:cs="宋体" w:eastAsia="宋体" w:hint="default"/>
        </w:rPr>
        <w:t>10</w:t>
      </w:r>
      <w:r>
        <w:rPr/>
        <w:t>股派发现金 红利</w:t>
      </w:r>
      <w:r>
        <w:rPr>
          <w:rFonts w:ascii="宋体" w:hAnsi="宋体" w:cs="宋体" w:eastAsia="宋体" w:hint="default"/>
        </w:rPr>
        <w:t>0.40</w:t>
      </w:r>
      <w:r>
        <w:rPr/>
        <w:t>元（含税）</w:t>
      </w:r>
      <w:r>
        <w:rPr>
          <w:spacing w:val="-7"/>
        </w:rPr>
        <w:t> </w:t>
      </w:r>
      <w:r>
        <w:rPr/>
        <w:t>，共计派发现金股利</w:t>
      </w:r>
      <w:r>
        <w:rPr>
          <w:rFonts w:ascii="宋体" w:hAnsi="宋体" w:cs="宋体" w:eastAsia="宋体" w:hint="default"/>
        </w:rPr>
        <w:t>13,503,067.44</w:t>
      </w:r>
      <w:r>
        <w:rPr/>
        <w:t>元。</w:t>
      </w:r>
    </w:p>
    <w:p>
      <w:pPr>
        <w:spacing w:before="34"/>
        <w:ind w:left="153" w:right="1024"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13,503,067.44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160,334,370.22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9,509,373.06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77,702,908.86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7,328,741.07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56,021,607.58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337,576,686</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13,503,067.44</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375,230,314.59</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8"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由于公司非公开发行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20,597,584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日上市，公司注册资本由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316,979,102</w:t>
            </w:r>
          </w:p>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股增加至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337,576,686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年度利润分配方案为：以公司总股本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337,576,686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股为基数，向全体股东按每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发现金红利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1"/>
                <w:sz w:val="18"/>
                <w:szCs w:val="18"/>
              </w:rPr>
              <w:t> </w:t>
            </w:r>
            <w:r>
              <w:rPr>
                <w:rFonts w:ascii="宋体" w:hAnsi="宋体" w:cs="宋体" w:eastAsia="宋体" w:hint="default"/>
                <w:sz w:val="18"/>
                <w:szCs w:val="18"/>
              </w:rPr>
              <w:t>，共计派发现金股利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13,503,067.44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24"/>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left="153" w:right="1024"/>
        <w:jc w:val="left"/>
        <w:rPr>
          <w:b w:val="0"/>
          <w:bCs w:val="0"/>
        </w:rPr>
      </w:pPr>
      <w:bookmarkStart w:name="1、公司、股东、实际控制人、收购人、董事、监事、高级管理人员或其他关联方在报告期" w:id="66"/>
      <w:bookmarkEnd w:id="6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9"/>
        <w:gridCol w:w="1417"/>
        <w:gridCol w:w="1418"/>
        <w:gridCol w:w="2411"/>
        <w:gridCol w:w="992"/>
        <w:gridCol w:w="992"/>
        <w:gridCol w:w="920"/>
      </w:tblGrid>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17"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4"/>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1417" w:type="dxa"/>
            <w:tcBorders>
              <w:top w:val="single" w:sz="4" w:space="0" w:color="000000"/>
              <w:left w:val="single" w:sz="13"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419"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3"/>
              <w:jc w:val="both"/>
              <w:rPr>
                <w:rFonts w:ascii="宋体" w:hAnsi="宋体" w:cs="宋体" w:eastAsia="宋体" w:hint="default"/>
                <w:sz w:val="18"/>
                <w:szCs w:val="18"/>
              </w:rPr>
            </w:pPr>
            <w:r>
              <w:rPr>
                <w:rFonts w:ascii="宋体" w:hAnsi="宋体" w:cs="宋体" w:eastAsia="宋体" w:hint="default"/>
                <w:sz w:val="18"/>
                <w:szCs w:val="18"/>
              </w:rPr>
              <w:t>关于滨河顺通名 下土地所涉及法 律风险事宜的承 诺函</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如因天津滨河顺通科技有限公 司名下土地未按期开工建设被 收取违约金、闲置费或被政府 或其他部门无偿收回的，因此 给滨河创新和天津滨河顺通科 技有限公司造成的损失，由本 人承担赔偿责任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2436"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307" w:lineRule="auto"/>
              <w:ind w:left="16" w:right="23"/>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 据信息技术有限 公司</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23"/>
              <w:jc w:val="both"/>
              <w:rPr>
                <w:rFonts w:ascii="宋体" w:hAnsi="宋体" w:cs="宋体" w:eastAsia="宋体" w:hint="default"/>
                <w:sz w:val="18"/>
                <w:szCs w:val="18"/>
              </w:rPr>
            </w:pPr>
            <w:r>
              <w:rPr>
                <w:rFonts w:ascii="宋体" w:hAnsi="宋体" w:cs="宋体" w:eastAsia="宋体" w:hint="default"/>
                <w:sz w:val="18"/>
                <w:szCs w:val="18"/>
              </w:rPr>
              <w:t>关于保持上市公 司独立性的承诺 函</w:t>
            </w:r>
          </w:p>
        </w:tc>
        <w:tc>
          <w:tcPr>
            <w:tcW w:w="2411"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交易对方关于保持中科金财和 滨河创新独立性，出具如下承 诺：一、保证中科金财、滨河 创新的人员独立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．保证本次 交易完成后中科金财、滨河创 新的劳动、人事及薪酬管理与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 制的其他公司或者其他经济组 织等关联方之间完全独立。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．保证本次交易完成后中科金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财、滨河创新的高级管理人员 均专职在中科金财、滨河创新 任职并领取薪酬，不在本人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 其他公司、企业或者其他经济 组织等关联方担任董事以外的 职务。二、保证中科金财、滨 河创新的机构独立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 次交易完成后中科金财、滨河 创新构建健全的公司法人治理 结构，拥有独立、完整的组织 </w:t>
            </w:r>
            <w:r>
              <w:rPr>
                <w:rFonts w:ascii="宋体" w:hAnsi="宋体" w:cs="宋体" w:eastAsia="宋体" w:hint="default"/>
                <w:spacing w:val="-6"/>
                <w:sz w:val="18"/>
                <w:szCs w:val="18"/>
              </w:rPr>
              <w:t>机构。</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．保证本次交易完成后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中科金财、滨河创新的股东</w:t>
            </w:r>
          </w:p>
          <w:p>
            <w:pPr>
              <w:pStyle w:val="TableParagraph"/>
              <w:spacing w:line="316" w:lineRule="auto" w:before="22"/>
              <w:ind w:left="22" w:right="36"/>
              <w:jc w:val="left"/>
              <w:rPr>
                <w:rFonts w:ascii="宋体" w:hAnsi="宋体" w:cs="宋体" w:eastAsia="宋体" w:hint="default"/>
                <w:sz w:val="18"/>
                <w:szCs w:val="18"/>
              </w:rPr>
            </w:pPr>
            <w:r>
              <w:rPr>
                <w:rFonts w:ascii="宋体" w:hAnsi="宋体" w:cs="宋体" w:eastAsia="宋体" w:hint="default"/>
                <w:sz w:val="18"/>
                <w:szCs w:val="18"/>
              </w:rPr>
              <w:t>（大）会、董事会、监事会等 依照法律、法规及中科金财、</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703"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417" w:type="dxa"/>
            <w:vMerge/>
            <w:tcBorders>
              <w:left w:val="single" w:sz="9"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241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4710"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9"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41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1418"/>
        <w:gridCol w:w="2411"/>
        <w:gridCol w:w="992"/>
        <w:gridCol w:w="992"/>
        <w:gridCol w:w="920"/>
      </w:tblGrid>
      <w:tr>
        <w:trPr>
          <w:trHeight w:val="317"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24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滨河创新公司章程独立行使职</w:t>
            </w:r>
          </w:p>
        </w:tc>
        <w:tc>
          <w:tcPr>
            <w:tcW w:w="99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权。三、保证中科金财、滨河</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创新的资产独立、完整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证本次交易完成后中科金财、</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滨河创新拥有与生产经营有关</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的独立、完整的资产。</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．保证</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本次交易完成后中科金财、滨</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河创新的经营场所独立于本人</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其他公司、企业或者其他经济</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组织等关联方。</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．除正常经营</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性往来外，保证本次交易完成</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后中科金财、滨河创新不存在</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资金、资产被本人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本公司及本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本公司控制的其他公司、企</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业或者其他经济组织等关联方</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占用的情形。四、保证中科金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财、滨河创新的业务独立</w:t>
            </w:r>
            <w:r>
              <w:rPr>
                <w:rFonts w:ascii="宋体" w:hAnsi="宋体" w:cs="宋体" w:eastAsia="宋体" w:hint="default"/>
                <w:spacing w:val="-40"/>
                <w:sz w:val="18"/>
                <w:szCs w:val="18"/>
              </w:rPr>
              <w:t> </w:t>
            </w:r>
            <w:r>
              <w:rPr>
                <w:rFonts w:ascii="Times New Roman" w:hAnsi="Times New Roman" w:cs="Times New Roman" w:eastAsia="Times New Roman" w:hint="default"/>
                <w:spacing w:val="-40"/>
                <w:sz w:val="18"/>
                <w:szCs w:val="18"/>
              </w:rPr>
              <w:t>1</w:t>
            </w:r>
            <w:r>
              <w:rPr>
                <w:rFonts w:ascii="宋体" w:hAnsi="宋体" w:cs="宋体" w:eastAsia="宋体" w:hint="default"/>
                <w:spacing w:val="-40"/>
                <w:sz w:val="18"/>
                <w:szCs w:val="18"/>
              </w:rPr>
              <w:t>．保</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证本次交易完成后中科金财、</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滨河创新拥有独立开展经营活</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动的相关资质，具有面向市场</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的独立、自主、持续的经营能</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力。</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．保证本次交易完成后本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的其他公司、企业或者其他经</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济组织等关联方避免从事与中</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科金财、滨河创新及其控制的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其他公司、企业或者其他经济</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组织具有竞争关系的业务。</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．保证本次交易完成后本人</w:t>
            </w:r>
            <w:r>
              <w:rPr>
                <w:rFonts w:ascii="Times New Roman" w:hAnsi="Times New Roman" w:cs="Times New Roman" w:eastAsia="Times New Roman" w:hint="default"/>
                <w:sz w:val="18"/>
                <w:szCs w:val="18"/>
              </w:rPr>
              <w:t>/</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其他公司、企业或者其他经济</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组织等关联方减少与中科金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财、滨河创新及其控制的其他</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公司、企业或者其他经济组织</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的关联交易；对于确有必要且</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无法避免的关联交易，保证按</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市场原则和公允价格进行公平</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操作，并按相关法律、法规及</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规范性文件的规定履行相关审</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批程序及信息披露义务。五、</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保证中科金财、滨河创新的财</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．保证中科金财、滨</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4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河创新本次交易完成后分别具</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2.980011pt;margin-top:72.47998pt;width:136.3pt;height:298.5pt;mso-position-horizontal-relative:page;mso-position-vertical-relative:page;z-index:-12134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滨河创新的资金使用。</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1418"/>
        <w:gridCol w:w="2411"/>
        <w:gridCol w:w="992"/>
        <w:gridCol w:w="992"/>
        <w:gridCol w:w="923"/>
      </w:tblGrid>
      <w:tr>
        <w:trPr>
          <w:trHeight w:val="5979"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备独立的财务部门以及独立的 财务核算体系，具有规范、独 </w:t>
            </w:r>
            <w:r>
              <w:rPr>
                <w:rFonts w:ascii="宋体" w:hAnsi="宋体" w:cs="宋体" w:eastAsia="宋体" w:hint="default"/>
                <w:spacing w:val="-6"/>
                <w:sz w:val="18"/>
                <w:szCs w:val="18"/>
              </w:rPr>
              <w:t>立的财务会计制度。</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．保证中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科金财、滨河创新本次交易完 成后独立在银行开户，不与本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 的其他公司、企业或者其他经 济组织等关联方共用银行账 </w:t>
            </w:r>
            <w:r>
              <w:rPr>
                <w:rFonts w:ascii="宋体" w:hAnsi="宋体" w:cs="宋体" w:eastAsia="宋体" w:hint="default"/>
                <w:spacing w:val="-6"/>
                <w:sz w:val="18"/>
                <w:szCs w:val="18"/>
              </w:rPr>
              <w:t>户。</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．保证本次交易完成后中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科金财、滨河创新的财务人员 不在本人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司控制的其他公司、企业或者 其他经济组织等关联方兼职。 </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．保证本次交易完成后中科金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财、滨河创新能够独立做出财 </w:t>
            </w:r>
            <w:r>
              <w:rPr>
                <w:rFonts w:ascii="宋体" w:hAnsi="宋体" w:cs="宋体" w:eastAsia="宋体" w:hint="default"/>
                <w:spacing w:val="-3"/>
                <w:sz w:val="18"/>
                <w:szCs w:val="18"/>
              </w:rPr>
              <w:t>务决策，本人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本公司不干预中</w:t>
            </w:r>
            <w:r>
              <w:rPr>
                <w:rFonts w:ascii="宋体" w:hAnsi="宋体" w:cs="宋体" w:eastAsia="宋体" w:hint="default"/>
                <w:spacing w:val="-84"/>
                <w:sz w:val="18"/>
                <w:szCs w:val="18"/>
              </w:rPr>
              <w:t> </w:t>
            </w:r>
            <w:r>
              <w:rPr>
                <w:rFonts w:ascii="宋体" w:hAnsi="宋体" w:cs="宋体" w:eastAsia="宋体" w:hint="default"/>
                <w:sz w:val="18"/>
                <w:szCs w:val="18"/>
              </w:rPr>
              <w:t>科金财、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．保证本次交易完成后中科金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财、滨河创新依法独立纳税。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596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8"/>
                <w:sz w:val="20"/>
                <w:szCs w:val="20"/>
              </w:rPr>
              <w:pict>
                <v:group style="width:49.1pt;height:298.5pt;mso-position-horizontal-relative:char;mso-position-vertical-relative:line" coordorigin="0,0" coordsize="982,5970">
                  <v:group style="position:absolute;left:0;top:0;width:982;height:5970" coordorigin="0,0" coordsize="982,5970">
                    <v:shape style="position:absolute;left:0;top:0;width:982;height:5970" coordorigin="0,0" coordsize="982,5970" path="m0,5969l982,5969,982,0,0,0,0,5969xe" filled="true" fillcolor="#ffffff" stroked="false">
                      <v:path arrowok="t"/>
                      <v:fill type="solid"/>
                    </v:shape>
                  </v:group>
                </v:group>
              </w:pict>
            </w:r>
            <w:r>
              <w:rPr>
                <w:rFonts w:ascii="Times New Roman" w:hAnsi="Times New Roman" w:cs="Times New Roman" w:eastAsia="Times New Roman" w:hint="default"/>
                <w:position w:val="-118"/>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1"/>
              <w:ind w:left="23" w:right="23"/>
              <w:jc w:val="both"/>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胡卫彬</w:t>
            </w:r>
            <w:r>
              <w:rPr>
                <w:rFonts w:ascii="Times New Roman" w:hAnsi="Times New Roman" w:cs="Times New Roman" w:eastAsia="Times New Roman" w:hint="default"/>
                <w:sz w:val="18"/>
                <w:szCs w:val="18"/>
              </w:rPr>
              <w:t>;</w:t>
            </w:r>
            <w:r>
              <w:rPr>
                <w:rFonts w:ascii="宋体" w:hAnsi="宋体" w:cs="宋体" w:eastAsia="宋体" w:hint="default"/>
                <w:sz w:val="18"/>
                <w:szCs w:val="18"/>
              </w:rPr>
              <w:t>蔡 宝宇</w:t>
            </w:r>
            <w:r>
              <w:rPr>
                <w:rFonts w:ascii="Times New Roman" w:hAnsi="Times New Roman" w:cs="Times New Roman" w:eastAsia="Times New Roman" w:hint="default"/>
                <w:sz w:val="18"/>
                <w:szCs w:val="18"/>
              </w:rPr>
              <w:t>;</w:t>
            </w:r>
            <w:r>
              <w:rPr>
                <w:rFonts w:ascii="宋体" w:hAnsi="宋体" w:cs="宋体" w:eastAsia="宋体" w:hint="default"/>
                <w:sz w:val="18"/>
                <w:szCs w:val="18"/>
              </w:rPr>
              <w:t>温长建</w:t>
            </w:r>
            <w:r>
              <w:rPr>
                <w:rFonts w:ascii="Times New Roman" w:hAnsi="Times New Roman" w:cs="Times New Roman" w:eastAsia="Times New Roman" w:hint="default"/>
                <w:sz w:val="18"/>
                <w:szCs w:val="18"/>
              </w:rPr>
              <w:t>;</w:t>
            </w:r>
            <w:r>
              <w:rPr>
                <w:rFonts w:ascii="宋体" w:hAnsi="宋体" w:cs="宋体" w:eastAsia="宋体" w:hint="default"/>
                <w:sz w:val="18"/>
                <w:szCs w:val="18"/>
              </w:rPr>
              <w:t>徐灵</w:t>
            </w:r>
            <w:r>
              <w:rPr>
                <w:rFonts w:ascii="宋体" w:hAnsi="宋体" w:cs="宋体" w:eastAsia="宋体" w:hint="default"/>
                <w:spacing w:val="-2"/>
                <w:sz w:val="18"/>
                <w:szCs w:val="18"/>
              </w:rPr>
              <w:t> </w:t>
            </w:r>
            <w:r>
              <w:rPr>
                <w:rFonts w:ascii="宋体" w:hAnsi="宋体" w:cs="宋体" w:eastAsia="宋体" w:hint="default"/>
                <w:sz w:val="18"/>
                <w:szCs w:val="18"/>
              </w:rPr>
              <w:t>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任职期限和竞业 禁止承诺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、任职期限：刘开同及标的公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司核心人员胡卫彬、蔡宝宇、 温长建、徐灵慧就任职期限达 </w:t>
            </w:r>
            <w:r>
              <w:rPr>
                <w:rFonts w:ascii="宋体" w:hAnsi="宋体" w:cs="宋体" w:eastAsia="宋体" w:hint="default"/>
                <w:spacing w:val="-5"/>
                <w:sz w:val="18"/>
                <w:szCs w:val="18"/>
              </w:rPr>
              <w:t>成协议如下：</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乙方承诺自发行</w:t>
            </w:r>
            <w:r>
              <w:rPr>
                <w:rFonts w:ascii="宋体" w:hAnsi="宋体" w:cs="宋体" w:eastAsia="宋体" w:hint="default"/>
                <w:spacing w:val="-86"/>
                <w:sz w:val="18"/>
                <w:szCs w:val="18"/>
              </w:rPr>
              <w:t> </w:t>
            </w:r>
            <w:r>
              <w:rPr>
                <w:rFonts w:ascii="宋体" w:hAnsi="宋体" w:cs="宋体" w:eastAsia="宋体" w:hint="default"/>
                <w:sz w:val="18"/>
                <w:szCs w:val="18"/>
              </w:rPr>
              <w:t>股份购买资产实施结束之日起 其在滨河创新的服务期限不少 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个月。</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、竞业限制：刘</w:t>
            </w:r>
            <w:r>
              <w:rPr>
                <w:rFonts w:ascii="宋体" w:hAnsi="宋体" w:cs="宋体" w:eastAsia="宋体" w:hint="default"/>
                <w:sz w:val="18"/>
                <w:szCs w:val="18"/>
              </w:rPr>
              <w:t> 开同及标的公司核心人员胡卫 彬、蔡宝宇、温长建、徐灵慧 </w:t>
            </w:r>
            <w:r>
              <w:rPr>
                <w:rFonts w:ascii="宋体" w:hAnsi="宋体" w:cs="宋体" w:eastAsia="宋体" w:hint="default"/>
                <w:spacing w:val="-5"/>
                <w:sz w:val="18"/>
                <w:szCs w:val="18"/>
              </w:rPr>
              <w:t>就竞业限制达成协议如下：</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自</w:t>
            </w:r>
            <w:r>
              <w:rPr>
                <w:rFonts w:ascii="宋体" w:hAnsi="宋体" w:cs="宋体" w:eastAsia="宋体" w:hint="default"/>
                <w:spacing w:val="-86"/>
                <w:sz w:val="18"/>
                <w:szCs w:val="18"/>
              </w:rPr>
              <w:t> </w:t>
            </w:r>
            <w:r>
              <w:rPr>
                <w:rFonts w:ascii="宋体" w:hAnsi="宋体" w:cs="宋体" w:eastAsia="宋体" w:hint="default"/>
                <w:sz w:val="18"/>
                <w:szCs w:val="18"/>
              </w:rPr>
              <w:t>本协议生效之日至其从滨河创 新离职后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个月内，乙方不得</w:t>
            </w:r>
            <w:r>
              <w:rPr>
                <w:rFonts w:ascii="宋体" w:hAnsi="宋体" w:cs="宋体" w:eastAsia="宋体" w:hint="default"/>
                <w:sz w:val="18"/>
                <w:szCs w:val="18"/>
              </w:rPr>
              <w:t> 从事与甲方或滨河创新业务相 同或类似的投资或任职行为， 即无论在何种情况下，不得以 任何方式受聘或经营于任何与 甲方及其控股子公司、滨河创 新及其下属公司业务有直接或 间接竞争或利益冲突之公司及 业务，不能到生产、开发、经 营与甲方及其控股子公司、滨 河创新及其下属公司生产、开 发、经营同类产品或经营同类 业务或有竞争关系的其他用人 单位兼职或全职；也不能自行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168"/>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4.980011pt;margin-top:72.47998pt;width:154.3pt;height:579.3pt;mso-position-horizontal-relative:page;mso-position-vertical-relative:page;z-index:-12134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6"/>
                    <w:ind w:left="1619" w:right="0" w:firstLine="0"/>
                    <w:jc w:val="left"/>
                    <w:rPr>
                      <w:rFonts w:ascii="宋体" w:hAnsi="宋体" w:cs="宋体" w:eastAsia="宋体" w:hint="default"/>
                      <w:sz w:val="18"/>
                      <w:szCs w:val="18"/>
                    </w:rPr>
                  </w:pPr>
                  <w:r>
                    <w:rPr>
                      <w:rFonts w:ascii="宋体" w:hAnsi="宋体" w:cs="宋体" w:eastAsia="宋体" w:hint="default"/>
                      <w:sz w:val="18"/>
                      <w:szCs w:val="18"/>
                    </w:rPr>
                    <w:t>同时，</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620" w:lineRule="atLeast" w:before="124"/>
                    <w:ind w:left="0" w:right="923" w:firstLine="1620"/>
                    <w:jc w:val="left"/>
                    <w:rPr>
                      <w:rFonts w:ascii="宋体" w:hAnsi="宋体" w:cs="宋体" w:eastAsia="宋体" w:hint="default"/>
                      <w:sz w:val="18"/>
                      <w:szCs w:val="18"/>
                    </w:rPr>
                  </w:pPr>
                  <w:r>
                    <w:rPr>
                      <w:rFonts w:ascii="宋体" w:hAnsi="宋体" w:cs="宋体" w:eastAsia="宋体" w:hint="default"/>
                      <w:sz w:val="18"/>
                      <w:szCs w:val="18"/>
                    </w:rPr>
                    <w:t>盗窃、 损害或侵害滨河创新利益。</w:t>
                  </w:r>
                </w:p>
              </w:txbxContent>
            </v:textbox>
            <w10:wrap type="none"/>
          </v:shape>
        </w:pict>
      </w:r>
      <w:r>
        <w:rPr/>
        <w:pict>
          <v:group style="position:absolute;margin-left:390.160004pt;margin-top:72.47998pt;width:49.1pt;height:579.3pt;mso-position-horizontal-relative:page;mso-position-vertical-relative:page;z-index:-1213384" coordorigin="7803,1450" coordsize="982,11586">
            <v:shape style="position:absolute;left:7803;top:1450;width:982;height:11586" coordorigin="7803,1450" coordsize="982,11586" path="m7803,13035l8785,13035,8785,1450,7803,1450,7803,13035xe" filled="true" fillcolor="#ffffff" stroked="false">
              <v:path arrowok="t"/>
              <v:fill type="solid"/>
            </v:shape>
            <w10:wrap type="none"/>
          </v:group>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1418"/>
        <w:gridCol w:w="2411"/>
        <w:gridCol w:w="992"/>
        <w:gridCol w:w="992"/>
        <w:gridCol w:w="923"/>
      </w:tblGrid>
      <w:tr>
        <w:trPr>
          <w:trHeight w:val="11595"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6"/>
              <w:jc w:val="left"/>
              <w:rPr>
                <w:rFonts w:ascii="宋体" w:hAnsi="宋体" w:cs="宋体" w:eastAsia="宋体" w:hint="default"/>
                <w:sz w:val="18"/>
                <w:szCs w:val="18"/>
              </w:rPr>
            </w:pPr>
            <w:r>
              <w:rPr>
                <w:rFonts w:ascii="宋体" w:hAnsi="宋体" w:cs="宋体" w:eastAsia="宋体" w:hint="default"/>
                <w:sz w:val="18"/>
                <w:szCs w:val="18"/>
              </w:rPr>
              <w:t>或以任何第三者的名义设立、 投资或控股与甲方及其控股子 公司、滨河创新及其下属公司 有任何竞争关系或利益冲突的 同类企业或经营单位，或从事 与滨河创新有竞争关系的业 务；如乙方或其所控制的除滨 河创新外的其他企业从任何第 三方获得的商业机会与甲方、 滨河创新及其下属公司的业务 有竞争或可能存在竞争，则将 该商业机会让予甲方或其控股 子公司、滨河创新或其下属公 司；但滨河创新在乙方未违反 其劳动合同或者未完成工作目 标等义务的情况下辞退乙方的 除外。自本协议生效之日至其 从滨河创新离职后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乙方不得以任何理由或方式</w:t>
            </w:r>
          </w:p>
          <w:p>
            <w:pPr>
              <w:pStyle w:val="TableParagraph"/>
              <w:spacing w:line="316" w:lineRule="auto" w:before="19"/>
              <w:ind w:left="22" w:right="36"/>
              <w:jc w:val="left"/>
              <w:rPr>
                <w:rFonts w:ascii="宋体" w:hAnsi="宋体" w:cs="宋体" w:eastAsia="宋体" w:hint="default"/>
                <w:sz w:val="18"/>
                <w:szCs w:val="18"/>
              </w:rPr>
            </w:pPr>
            <w:r>
              <w:rPr>
                <w:rFonts w:ascii="宋体" w:hAnsi="宋体" w:cs="宋体" w:eastAsia="宋体" w:hint="default"/>
                <w:sz w:val="18"/>
                <w:szCs w:val="18"/>
              </w:rPr>
              <w:t>（包括但不限于劝喻、拉拢、 雇用）导致滨河创新其他经营 管理人员离开滨河创新。 乙方不得以任何名义或形式与 离开滨河创新的经营管理人员 合作或投资与滨河创新有相同 或有竞争关系的业务，也不得 雇佣滨河创新经营管理人员</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pacing w:val="-12"/>
                <w:sz w:val="18"/>
                <w:szCs w:val="18"/>
              </w:rPr>
              <w:t>（包括离职人员）。乙方承诺严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守甲方及其控股子公司、滨河 创新及其下属公司秘密，不泄 露其所知悉或掌握的甲方及其 控股子公司、滨河创新及其下 属公司的商业秘密。乙方不得 以任何方式和手段（包括但不 </w:t>
            </w:r>
            <w:r>
              <w:rPr>
                <w:rFonts w:ascii="宋体" w:hAnsi="宋体" w:cs="宋体" w:eastAsia="宋体" w:hint="default"/>
                <w:spacing w:val="-5"/>
                <w:sz w:val="18"/>
                <w:szCs w:val="18"/>
              </w:rPr>
              <w:t>限于侵占、受贿、舞弊、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挪用等不当或不法手段和方 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39" w:right="0"/>
              <w:jc w:val="lef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07" w:lineRule="auto"/>
              <w:ind w:left="23" w:right="23"/>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 据信息技术有限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23"/>
              <w:jc w:val="both"/>
              <w:rPr>
                <w:rFonts w:ascii="宋体" w:hAnsi="宋体" w:cs="宋体" w:eastAsia="宋体" w:hint="default"/>
                <w:sz w:val="18"/>
                <w:szCs w:val="18"/>
              </w:rPr>
            </w:pPr>
            <w:r>
              <w:rPr>
                <w:rFonts w:ascii="宋体" w:hAnsi="宋体" w:cs="宋体" w:eastAsia="宋体" w:hint="default"/>
                <w:sz w:val="18"/>
                <w:szCs w:val="18"/>
              </w:rPr>
              <w:t>关于同业竞争和 规范减少关联交 易的承诺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pacing w:val="-6"/>
                <w:sz w:val="18"/>
                <w:szCs w:val="18"/>
              </w:rPr>
              <w:t>一、关于同业竞争：</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．截至本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承诺函签署日，本人／本公司 及包括本人／本公司控制的其 他公司、企业或者其他经济组 织等关联方未从事与中科金 财、滨河创新及其控制的其他 公司、企业或者其他经济组织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8"/>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9.980011pt;margin-top:72.47998pt;width:109.3pt;height:686.5pt;mso-position-horizontal-relative:page;mso-position-vertical-relative:page;z-index:-12133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根据有关法律、</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1418"/>
        <w:gridCol w:w="2411"/>
        <w:gridCol w:w="992"/>
        <w:gridCol w:w="992"/>
        <w:gridCol w:w="920"/>
      </w:tblGrid>
      <w:tr>
        <w:trPr>
          <w:trHeight w:val="317"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24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存在同业竞争关系的业务。</w:t>
            </w:r>
          </w:p>
        </w:tc>
        <w:tc>
          <w:tcPr>
            <w:tcW w:w="992" w:type="dxa"/>
            <w:vMerge w:val="restart"/>
            <w:tcBorders>
              <w:top w:val="single" w:sz="4" w:space="0" w:color="000000"/>
              <w:left w:val="single" w:sz="4" w:space="0" w:color="000000"/>
              <w:right w:val="single" w:sz="4" w:space="0" w:color="000000"/>
            </w:tcBorders>
          </w:tcPr>
          <w:p>
            <w:pPr>
              <w:pStyle w:val="TableParagraph"/>
              <w:spacing w:line="137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9.1pt;height:686.5pt;mso-position-horizontal-relative:char;mso-position-vertical-relative:line" coordorigin="0,0" coordsize="982,13730">
                  <v:group style="position:absolute;left:0;top:0;width:982;height:13730" coordorigin="0,0" coordsize="982,13730">
                    <v:shape style="position:absolute;left:0;top:0;width:982;height:13730" coordorigin="0,0" coordsize="982,13730" path="m0,13729l982,13729,982,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99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6"/>
                <w:sz w:val="18"/>
                <w:szCs w:val="18"/>
              </w:rPr>
              <w:t>．</w:t>
            </w:r>
            <w:r>
              <w:rPr>
                <w:rFonts w:ascii="宋体" w:hAnsi="宋体" w:cs="宋体" w:eastAsia="宋体" w:hint="default"/>
                <w:sz w:val="18"/>
                <w:szCs w:val="18"/>
              </w:rPr>
              <w:t>在作为中科金财的股东且持</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以上（含</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）期间，本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人／本公司及包括本人／本公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司控制的其他公司、企业或者</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其他经济组织等关联方将避免</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以任何形式从事任何与中科金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财、滨河创新及其控制的其他</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公司、企业或者其他经济组织</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相同或相似且构成或可能构成</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竞争关系的业务，亦不从事任</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何可能损害中科金财、滨河创</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新及其控制的其他公司、企业</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或者其他经济组织利益的活</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动。如本人／本公司及其控制</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的其他公司、企业或者其他经</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济组织遇到中科金财、滨河创</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新及其控制的其他公司、企业</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或者其他经济组织主营业务范</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围内的业务机会，本人／本公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司及其控制的其他公司、企业</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或者其他经济组织承诺将该等</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合作机会让予中科金财、滨河</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创新及其控制的其他公司、企</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业或者其他经济组织。本人／</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本公司若违反上述承诺，将承</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担因此而给中科金财、滨河创</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新及其控制的其他公司、企业</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或者其他经济组织造成的一切</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损失。二、关于规范及减少关</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联交易：本人／本公司在作为</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中科金财的股东期间，本人／</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本公司及所控制的其他公司、</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企业或者其他经济组织将尽量</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减少并规范与中科金财、滨河</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创新及其控制的其他公司、企</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业或者其他经济组织之间的关</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联交易。对于无法避免或有合</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理原因而发生的关联交易，本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人／本公司及所控制的其他公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司、企业或者其他经济组织将</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遵循市场原则以公允、合理的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市场价格进行，</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4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法规及规范性文件的规定履行</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90.160004pt;margin-top:531.459961pt;width:49.1pt;height:171.65pt;mso-position-horizontal-relative:page;mso-position-vertical-relative:page;z-index:-1213312" coordorigin="7803,10629" coordsize="982,3433">
            <v:shape style="position:absolute;left:7803;top:10629;width:982;height:3433" coordorigin="7803,10629" coordsize="982,3433" path="m7803,14062l8785,14062,8785,10629,7803,10629,7803,1406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1418"/>
        <w:gridCol w:w="2411"/>
        <w:gridCol w:w="992"/>
        <w:gridCol w:w="992"/>
        <w:gridCol w:w="923"/>
      </w:tblGrid>
      <w:tr>
        <w:trPr>
          <w:trHeight w:val="5043"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6"/>
              <w:jc w:val="left"/>
              <w:rPr>
                <w:rFonts w:ascii="宋体" w:hAnsi="宋体" w:cs="宋体" w:eastAsia="宋体" w:hint="default"/>
                <w:sz w:val="18"/>
                <w:szCs w:val="18"/>
              </w:rPr>
            </w:pPr>
            <w:r>
              <w:rPr>
                <w:rFonts w:ascii="宋体" w:hAnsi="宋体" w:cs="宋体" w:eastAsia="宋体" w:hint="default"/>
                <w:sz w:val="18"/>
                <w:szCs w:val="18"/>
              </w:rPr>
              <w:t>关联交易决策程序，依法履行 信息披露义务和办理有关报批 程序，不利用股东优势地位损 害中科金财及其他股东的合法 权益。本人／本公司若违反上 述承诺，将承担因此而给中科 金财、滨河创新及其控制的其 他公司、企业或者其他经济组 织造成的一切损失。三、关于 资金占用：除正常经营性往来 外，保证本次交易完成后中科 金财、滨河创新不存在资金、 资产被本人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公司控制的其他公司、企业或 者其他经济组织等关联方占用 的情形。</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7579" w:hRule="exact"/>
        </w:trPr>
        <w:tc>
          <w:tcPr>
            <w:tcW w:w="1418"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07" w:lineRule="auto"/>
              <w:ind w:left="23" w:right="23"/>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 据信息技术有限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关于盈利补偿的 承诺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交易对方刘开同、董书倩、刘 运龙和滨河数据向上市公司承 </w:t>
            </w:r>
            <w:r>
              <w:rPr>
                <w:rFonts w:ascii="宋体" w:hAnsi="宋体" w:cs="宋体" w:eastAsia="宋体" w:hint="default"/>
                <w:spacing w:val="-3"/>
                <w:sz w:val="18"/>
                <w:szCs w:val="18"/>
              </w:rPr>
              <w:t>诺：如标的资产交割日为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年，则标的公司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09" w:lineRule="auto" w:before="63"/>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 合并报表扣除非经常性损益后 归属于母公司股东的净利润分 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7,250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万元；如标的资产</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交割日为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6"/>
                <w:sz w:val="18"/>
                <w:szCs w:val="18"/>
              </w:rPr>
              <w:t>，</w:t>
            </w:r>
            <w:r>
              <w:rPr>
                <w:rFonts w:ascii="宋体" w:hAnsi="宋体" w:cs="宋体" w:eastAsia="宋体" w:hint="default"/>
                <w:sz w:val="18"/>
                <w:szCs w:val="18"/>
              </w:rPr>
              <w:t>则滨河创新</w:t>
            </w:r>
          </w:p>
          <w:p>
            <w:pPr>
              <w:pStyle w:val="TableParagraph"/>
              <w:spacing w:line="312" w:lineRule="auto" w:before="63"/>
              <w:ind w:left="22" w:right="-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年度实现的合并报表扣除非经 常性损益后归属于母公司股东 的净利润分别不低于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8,650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本次交易的利润补偿期为标的 资产交割日起连续三个会计年 </w:t>
            </w:r>
            <w:r>
              <w:rPr>
                <w:rFonts w:ascii="宋体" w:hAnsi="宋体" w:cs="宋体" w:eastAsia="宋体" w:hint="default"/>
                <w:spacing w:val="-7"/>
                <w:sz w:val="18"/>
                <w:szCs w:val="18"/>
              </w:rPr>
              <w:t>度（含标的资产交割日当年）</w:t>
            </w:r>
            <w:r>
              <w:rPr>
                <w:rFonts w:ascii="宋体" w:hAnsi="宋体" w:cs="宋体" w:eastAsia="宋体" w:hint="default"/>
                <w:spacing w:val="-90"/>
                <w:sz w:val="18"/>
                <w:szCs w:val="18"/>
              </w:rPr>
              <w:t> </w:t>
            </w:r>
            <w:r>
              <w:rPr>
                <w:rFonts w:ascii="宋体" w:hAnsi="宋体" w:cs="宋体" w:eastAsia="宋体" w:hint="default"/>
                <w:sz w:val="18"/>
                <w:szCs w:val="18"/>
              </w:rPr>
              <w:t>即如标的资产交割日为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00" w:lineRule="auto" w:before="3"/>
              <w:ind w:left="22" w:right="83"/>
              <w:jc w:val="both"/>
              <w:rPr>
                <w:rFonts w:ascii="宋体" w:hAnsi="宋体" w:cs="宋体" w:eastAsia="宋体" w:hint="default"/>
                <w:sz w:val="18"/>
                <w:szCs w:val="18"/>
              </w:rPr>
            </w:pPr>
            <w:r>
              <w:rPr>
                <w:rFonts w:ascii="宋体" w:hAnsi="宋体" w:cs="宋体" w:eastAsia="宋体" w:hint="default"/>
                <w:sz w:val="18"/>
                <w:szCs w:val="18"/>
              </w:rPr>
              <w:t>年，则利润补偿期为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如标的资产交割日为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则利润补偿期为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168"/>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1298"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3" w:right="122"/>
              <w:jc w:val="left"/>
              <w:rPr>
                <w:rFonts w:ascii="宋体" w:hAnsi="宋体" w:cs="宋体" w:eastAsia="宋体" w:hint="default"/>
                <w:sz w:val="18"/>
                <w:szCs w:val="18"/>
              </w:rPr>
            </w:pPr>
            <w:r>
              <w:rPr>
                <w:rFonts w:ascii="宋体" w:hAnsi="宋体" w:cs="宋体" w:eastAsia="宋体" w:hint="default"/>
                <w:sz w:val="18"/>
                <w:szCs w:val="18"/>
              </w:rPr>
              <w:t>天津滨河数据信 息技术有限公司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23"/>
              <w:jc w:val="left"/>
              <w:rPr>
                <w:rFonts w:ascii="宋体" w:hAnsi="宋体" w:cs="宋体" w:eastAsia="宋体" w:hint="default"/>
                <w:sz w:val="18"/>
                <w:szCs w:val="18"/>
              </w:rPr>
            </w:pPr>
            <w:r>
              <w:rPr>
                <w:rFonts w:ascii="宋体" w:hAnsi="宋体" w:cs="宋体" w:eastAsia="宋体" w:hint="default"/>
                <w:sz w:val="18"/>
                <w:szCs w:val="18"/>
              </w:rPr>
              <w:t>关于股份锁定的 承诺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一、中科金财本次向本公司发 行的股份自股份上市之日起三 十六个月内不得转让和质押。 对于无法避免或有合理原因而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68"/>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83.980011pt;margin-top:628.539978pt;width:55.3pt;height:139.4pt;mso-position-horizontal-relative:page;mso-position-vertical-relative:page;z-index:-12132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1418"/>
        <w:gridCol w:w="2411"/>
        <w:gridCol w:w="992"/>
        <w:gridCol w:w="992"/>
        <w:gridCol w:w="920"/>
      </w:tblGrid>
      <w:tr>
        <w:trPr>
          <w:trHeight w:val="3171"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6"/>
              <w:jc w:val="both"/>
              <w:rPr>
                <w:rFonts w:ascii="宋体" w:hAnsi="宋体" w:cs="宋体" w:eastAsia="宋体" w:hint="default"/>
                <w:sz w:val="18"/>
                <w:szCs w:val="18"/>
              </w:rPr>
            </w:pPr>
            <w:r>
              <w:rPr>
                <w:rFonts w:ascii="宋体" w:hAnsi="宋体" w:cs="宋体" w:eastAsia="宋体" w:hint="default"/>
                <w:sz w:val="18"/>
                <w:szCs w:val="18"/>
              </w:rPr>
              <w:t>发生的股份质押，需获得中科 金财实际控制人书面同意方可 执行。二、锁定期内，本公司 如因中科金财实施送红股、资 本公积金转增股本事项而增持 的中科金财股份，亦应遵守上 述锁定期限的约定，但相关法 律法规、中国证券监督管理委 员会及深圳证券交易所另有规 定的除外。</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1418"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刘运龙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关于股份锁定的 承诺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一、中科金财通过本次交易向 本人发行的中科金财股份自股 份上市之日起十二个月内不得 转让和质押。对于无法避免或 有合理原因而发生的股份质 押，需获得中科金财实际控制 人书面同意方可执行。二、锁 定期内，本人如因中科金财实 施送红股、资本公积金转增股 本事项而增持的中科金财股 份，亦应遵守上述锁定期限的 约定，但相关法律法规、中国 证券监督管理委员会及深圳证 券交易所另有规定的除外。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67"/>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6291"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123"/>
              <w:jc w:val="left"/>
              <w:rPr>
                <w:rFonts w:ascii="宋体" w:hAnsi="宋体" w:cs="宋体" w:eastAsia="宋体" w:hint="default"/>
                <w:sz w:val="18"/>
                <w:szCs w:val="18"/>
              </w:rPr>
            </w:pPr>
            <w:r>
              <w:rPr>
                <w:rFonts w:ascii="宋体" w:hAnsi="宋体" w:cs="宋体" w:eastAsia="宋体" w:hint="default"/>
                <w:sz w:val="18"/>
                <w:szCs w:val="18"/>
              </w:rPr>
              <w:t>关于股份锁定的 承诺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一、中科金财通过本次交易向 本人发行的中科金财股份自股 份上市之日起十二个月内不得 转让和质押。对于无法避免或 有合理原因而发生的股份质 押，需获得中科金财实际控制 人书面同意方可执行。在十二 个月届满后按如下比例逐步解 </w:t>
            </w:r>
            <w:r>
              <w:rPr>
                <w:rFonts w:ascii="宋体" w:hAnsi="宋体" w:cs="宋体" w:eastAsia="宋体" w:hint="default"/>
                <w:spacing w:val="-7"/>
                <w:sz w:val="18"/>
                <w:szCs w:val="18"/>
              </w:rPr>
              <w:t>除限售：（</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）自本次股份发行</w:t>
            </w:r>
            <w:r>
              <w:rPr>
                <w:rFonts w:ascii="宋体" w:hAnsi="宋体" w:cs="宋体" w:eastAsia="宋体" w:hint="default"/>
                <w:spacing w:val="-82"/>
                <w:sz w:val="18"/>
                <w:szCs w:val="18"/>
              </w:rPr>
              <w:t> </w:t>
            </w:r>
            <w:r>
              <w:rPr>
                <w:rFonts w:ascii="宋体" w:hAnsi="宋体" w:cs="宋体" w:eastAsia="宋体" w:hint="default"/>
                <w:sz w:val="18"/>
                <w:szCs w:val="18"/>
              </w:rPr>
              <w:t>交易完成之日起满十二个月， 且审计机构对滨河创新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年度实际盈利情况出具《专项 审核报告》后，解除锁定股份 的数量为因本次交易而获得的 中科金财股份数量的</w:t>
            </w:r>
            <w:r>
              <w:rPr>
                <w:rFonts w:ascii="宋体" w:hAnsi="宋体" w:cs="宋体" w:eastAsia="宋体" w:hint="default"/>
                <w:spacing w:val="-46"/>
                <w:sz w:val="18"/>
                <w:szCs w:val="18"/>
              </w:rPr>
              <w:t> </w:t>
            </w:r>
            <w:r>
              <w:rPr>
                <w:rFonts w:ascii="Times New Roman" w:hAnsi="Times New Roman" w:cs="Times New Roman" w:eastAsia="Times New Roman" w:hint="default"/>
                <w:spacing w:val="-30"/>
                <w:sz w:val="18"/>
                <w:szCs w:val="18"/>
              </w:rPr>
              <w:t>30%</w:t>
            </w:r>
            <w:r>
              <w:rPr>
                <w:rFonts w:ascii="宋体" w:hAnsi="宋体" w:cs="宋体" w:eastAsia="宋体" w:hint="default"/>
                <w:spacing w:val="-30"/>
                <w:sz w:val="18"/>
                <w:szCs w:val="18"/>
              </w:rPr>
              <w:t>；（</w:t>
            </w:r>
            <w:r>
              <w:rPr>
                <w:rFonts w:ascii="Times New Roman" w:hAnsi="Times New Roman" w:cs="Times New Roman" w:eastAsia="Times New Roman" w:hint="default"/>
                <w:spacing w:val="-30"/>
                <w:sz w:val="18"/>
                <w:szCs w:val="18"/>
              </w:rPr>
              <w:t>2</w:t>
            </w:r>
          </w:p>
          <w:p>
            <w:pPr>
              <w:pStyle w:val="TableParagraph"/>
              <w:spacing w:line="314"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审计机构对滨河创新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度实际盈利情况出具《专项审 核报告》后，解除锁定股份的 数量为因本次交易而获得的中 科金财股份数量的</w:t>
            </w:r>
            <w:r>
              <w:rPr>
                <w:rFonts w:ascii="宋体" w:hAnsi="宋体" w:cs="宋体" w:eastAsia="宋体" w:hint="default"/>
                <w:spacing w:val="-45"/>
                <w:sz w:val="18"/>
                <w:szCs w:val="18"/>
              </w:rPr>
              <w:t> </w:t>
            </w:r>
            <w:r>
              <w:rPr>
                <w:rFonts w:ascii="Times New Roman" w:hAnsi="Times New Roman" w:cs="Times New Roman" w:eastAsia="Times New Roman" w:hint="default"/>
                <w:spacing w:val="-13"/>
                <w:sz w:val="18"/>
                <w:szCs w:val="18"/>
              </w:rPr>
              <w:t>30%</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8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pict>
                <v:group style="width:49.1pt;height:139.4pt;mso-position-horizontal-relative:char;mso-position-vertical-relative:line" coordorigin="0,0" coordsize="982,2788">
                  <v:group style="position:absolute;left:0;top:0;width:982;height:2788" coordorigin="0,0" coordsize="982,2788">
                    <v:shape style="position:absolute;left:0;top:0;width:982;height:2788" coordorigin="0,0" coordsize="982,2788" path="m0,2788l982,2788,982,0,0,0,0,2788xe" filled="true" fillcolor="#ffffff" stroked="false">
                      <v:path arrowok="t"/>
                      <v:fill type="solid"/>
                    </v:shape>
                  </v:group>
                </v:group>
              </w:pict>
            </w:r>
            <w:r>
              <w:rPr>
                <w:rFonts w:ascii="Times New Roman" w:hAnsi="Times New Roman" w:cs="Times New Roman" w:eastAsia="Times New Roman" w:hint="default"/>
                <w:position w:val="-55"/>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7.925995pt;margin-top:72.47998pt;width:91.35pt;height:204.9pt;mso-position-horizontal-relative:page;mso-position-vertical-relative:page;z-index:-12132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2"/>
                    <w:ind w:left="0" w:right="0" w:firstLine="0"/>
                    <w:jc w:val="left"/>
                    <w:rPr>
                      <w:rFonts w:ascii="宋体" w:hAnsi="宋体" w:cs="宋体" w:eastAsia="宋体" w:hint="default"/>
                      <w:sz w:val="18"/>
                      <w:szCs w:val="18"/>
                    </w:rPr>
                  </w:pPr>
                  <w:r>
                    <w:rPr>
                      <w:rFonts w:ascii="宋体" w:hAnsi="宋体" w:cs="宋体" w:eastAsia="宋体" w:hint="default"/>
                      <w:sz w:val="18"/>
                      <w:szCs w:val="18"/>
                    </w:rPr>
                    <w:t>锁定期内，</w:t>
                  </w:r>
                </w:p>
              </w:txbxContent>
            </v:textbox>
            <w10:wrap type="none"/>
          </v:shape>
        </w:pict>
      </w:r>
      <w:r>
        <w:rPr/>
        <w:pict>
          <v:shape style="position:absolute;margin-left:302.980011pt;margin-top:453.939972pt;width:136.3pt;height:93.6pt;mso-position-horizontal-relative:page;mso-position-vertical-relative:page;z-index:-1213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除上述锁定和限售外，</w:t>
                  </w:r>
                </w:p>
              </w:txbxContent>
            </v:textbox>
            <w10:wrap type="none"/>
          </v:shape>
        </w:pict>
      </w:r>
      <w:r>
        <w:rPr/>
        <w:pict>
          <v:shape style="position:absolute;margin-left:302.980011pt;margin-top:734.459961pt;width:136.3pt;height:22.4pt;mso-position-horizontal-relative:page;mso-position-vertical-relative:page;z-index:-1213168" type="#_x0000_t202" filled="false" stroked="false">
            <v:textbox inset="0,0,0,0">
              <w:txbxContent>
                <w:p>
                  <w:pPr>
                    <w:spacing w:before="146"/>
                    <w:ind w:left="0" w:right="0" w:firstLine="0"/>
                    <w:jc w:val="left"/>
                    <w:rPr>
                      <w:rFonts w:ascii="宋体" w:hAnsi="宋体" w:cs="宋体" w:eastAsia="宋体" w:hint="default"/>
                      <w:sz w:val="18"/>
                      <w:szCs w:val="18"/>
                    </w:rPr>
                  </w:pPr>
                  <w:r>
                    <w:rPr>
                      <w:rFonts w:ascii="宋体" w:hAnsi="宋体" w:cs="宋体" w:eastAsia="宋体" w:hint="default"/>
                      <w:sz w:val="18"/>
                      <w:szCs w:val="18"/>
                    </w:rPr>
                    <w:t>除上述锁定和限售外，</w:t>
                  </w:r>
                </w:p>
              </w:txbxContent>
            </v:textbox>
            <w10:wrap type="none"/>
          </v:shape>
        </w:pict>
      </w:r>
      <w:r>
        <w:rPr/>
        <w:pict>
          <v:group style="position:absolute;margin-left:390.160004pt;margin-top:453.939972pt;width:49.1pt;height:93.6pt;mso-position-horizontal-relative:page;mso-position-vertical-relative:page;z-index:-1213144" coordorigin="7803,9079" coordsize="982,1872">
            <v:shape style="position:absolute;left:7803;top:9079;width:982;height:1872" coordorigin="7803,9079" coordsize="982,1872" path="m7803,10951l8785,10951,8785,9079,7803,9079,7803,10951xe" filled="true" fillcolor="#ffffff" stroked="false">
              <v:path arrowok="t"/>
              <v:fill type="solid"/>
            </v:shape>
            <w10:wrap type="none"/>
          </v:group>
        </w:pict>
      </w:r>
      <w:r>
        <w:rPr/>
        <w:pict>
          <v:group style="position:absolute;margin-left:390.160004pt;margin-top:734.459961pt;width:49.1pt;height:22.4pt;mso-position-horizontal-relative:page;mso-position-vertical-relative:page;z-index:-1213120" coordorigin="7803,14689" coordsize="982,448">
            <v:shape style="position:absolute;left:7803;top:14689;width:982;height:448" coordorigin="7803,14689" coordsize="982,448" path="m7803,15137l8785,15137,8785,14689,7803,14689,7803,151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1418"/>
        <w:gridCol w:w="2411"/>
        <w:gridCol w:w="992"/>
        <w:gridCol w:w="992"/>
        <w:gridCol w:w="920"/>
      </w:tblGrid>
      <w:tr>
        <w:trPr>
          <w:trHeight w:val="322"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24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审计机构对滨河创新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2" w:type="dxa"/>
            <w:vMerge w:val="restart"/>
            <w:tcBorders>
              <w:top w:val="single" w:sz="4" w:space="0" w:color="000000"/>
              <w:left w:val="single" w:sz="4" w:space="0" w:color="000000"/>
              <w:right w:val="single" w:sz="4" w:space="0" w:color="000000"/>
            </w:tcBorders>
          </w:tcPr>
          <w:p>
            <w:pPr>
              <w:pStyle w:val="TableParagraph"/>
              <w:spacing w:line="409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1"/>
                <w:sz w:val="20"/>
                <w:szCs w:val="20"/>
              </w:rPr>
              <w:pict>
                <v:group style="width:49.1pt;height:204.9pt;mso-position-horizontal-relative:char;mso-position-vertical-relative:line" coordorigin="0,0" coordsize="982,4098">
                  <v:group style="position:absolute;left:0;top:0;width:982;height:4098" coordorigin="0,0" coordsize="982,4098">
                    <v:shape style="position:absolute;left:0;top:0;width:982;height:4098" coordorigin="0,0" coordsize="982,4098" path="m0,4097l982,4097,982,0,0,0,0,4097xe" filled="true" fillcolor="#ffffff" stroked="false">
                      <v:path arrowok="t"/>
                      <v:fill type="solid"/>
                    </v:shape>
                  </v:group>
                </v:group>
              </w:pict>
            </w:r>
            <w:r>
              <w:rPr>
                <w:rFonts w:ascii="Times New Roman" w:hAnsi="Times New Roman" w:cs="Times New Roman" w:eastAsia="Times New Roman" w:hint="default"/>
                <w:position w:val="-81"/>
                <w:sz w:val="20"/>
                <w:szCs w:val="20"/>
              </w:rPr>
            </w:r>
          </w:p>
        </w:tc>
        <w:tc>
          <w:tcPr>
            <w:tcW w:w="99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度实际盈利情况出具《专项审</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核报告》及《减值测试报告》</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后，解除锁定股份的数量为因</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本次交易而获得的中科金财股</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份数量的</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40%</w:t>
            </w:r>
            <w:r>
              <w:rPr>
                <w:rFonts w:ascii="宋体" w:hAnsi="宋体" w:cs="宋体" w:eastAsia="宋体" w:hint="default"/>
                <w:spacing w:val="-8"/>
                <w:sz w:val="18"/>
                <w:szCs w:val="18"/>
              </w:rPr>
              <w:t>。二、</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本人如因中科金财实施送红</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股、资本公积金转增股本事项</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而增持的中科金财股份，亦应</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遵守上述锁定期限的约定，但</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相关法律法规、中国证券监督</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管理委员会及深圳证券交易所</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4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另有规定的除外。</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5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24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自公司首次公开发行股票并上</w:t>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或者委托他人管理其持有的公</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司股份，也不由公司回购该部</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94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关于股份锁定的 承诺</w:t>
            </w: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6"/>
              <w:jc w:val="both"/>
              <w:rPr>
                <w:rFonts w:ascii="宋体" w:hAnsi="宋体" w:cs="宋体" w:eastAsia="宋体" w:hint="default"/>
                <w:sz w:val="18"/>
                <w:szCs w:val="18"/>
              </w:rPr>
            </w:pPr>
            <w:r>
              <w:rPr>
                <w:rFonts w:ascii="宋体" w:hAnsi="宋体" w:cs="宋体" w:eastAsia="宋体" w:hint="default"/>
                <w:sz w:val="18"/>
                <w:szCs w:val="18"/>
              </w:rPr>
              <w:t>分股份。在前述限售期满后， 本人所持公司股份在本人和朱 烨东任公司董事、监事或高级</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67"/>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306"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管理人员期间每年转让的比例</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并且在离职后半年内不转让本</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24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人所持股份。</w:t>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24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自公司首次公开发行股票并上</w:t>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142"/>
              <w:ind w:left="22" w:right="123"/>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陈绪华</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关于股份锁定的 承诺</w:t>
            </w: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或者委托他人管理其持有的公 司股份，也不由公司回购该部 分股份。 公司股东承诺所持公司股份在 担任公司董事、监事或高级管 理人员期间每年转让的比例不 超过其所持股份总数的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307"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在离职后半年内不转让。在申</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报离任六个月后的十二个月内</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通过证券交易所挂牌交易出售</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公司股票数量占其所持有公司</w:t>
            </w:r>
          </w:p>
        </w:tc>
        <w:tc>
          <w:tcPr>
            <w:tcW w:w="992"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24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股票总数的比例不超过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48"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24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自公司首次公开发行股票并上</w:t>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945"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蔡迦</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19" w:lineRule="auto" w:before="156"/>
              <w:ind w:left="22" w:right="123"/>
              <w:jc w:val="left"/>
              <w:rPr>
                <w:rFonts w:ascii="宋体" w:hAnsi="宋体" w:cs="宋体" w:eastAsia="宋体" w:hint="default"/>
                <w:sz w:val="18"/>
                <w:szCs w:val="18"/>
              </w:rPr>
            </w:pPr>
            <w:r>
              <w:rPr>
                <w:rFonts w:ascii="宋体" w:hAnsi="宋体" w:cs="宋体" w:eastAsia="宋体" w:hint="default"/>
                <w:sz w:val="18"/>
                <w:szCs w:val="18"/>
              </w:rPr>
              <w:t>关于股份锁定的 承诺</w:t>
            </w: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309" w:lineRule="auto" w:before="19"/>
              <w:ind w:left="22" w:right="36"/>
              <w:jc w:val="both"/>
              <w:rPr>
                <w:rFonts w:ascii="宋体" w:hAnsi="宋体" w:cs="宋体" w:eastAsia="宋体" w:hint="default"/>
                <w:sz w:val="18"/>
                <w:szCs w:val="18"/>
              </w:rPr>
            </w:pPr>
            <w:r>
              <w:rPr>
                <w:rFonts w:ascii="宋体" w:hAnsi="宋体" w:cs="宋体" w:eastAsia="宋体" w:hint="default"/>
                <w:sz w:val="18"/>
                <w:szCs w:val="18"/>
              </w:rPr>
              <w:t>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 或者委托他人管理其持有的公 司股份，也不由公司回购该部</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318"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24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分股份。</w:t>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1418"/>
        <w:gridCol w:w="2411"/>
        <w:gridCol w:w="992"/>
        <w:gridCol w:w="992"/>
        <w:gridCol w:w="923"/>
      </w:tblGrid>
      <w:tr>
        <w:trPr>
          <w:trHeight w:val="2859"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公司股东承诺所持公司股份在 担任公司董事、监事或高级管 理人员期间每年转让的比例不 超过其所持股份总数的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在离职后半年内不转让。在申 报离任六个月后的十二个月内 通过证券交易所挂牌交易出售 公司股票数量占其所持有公司 股票总数的比例不超过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18"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关于社保问题的 承诺函</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将承担</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2008-2011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年公司因</w:t>
            </w:r>
            <w:r>
              <w:rPr>
                <w:rFonts w:ascii="Times New Roman" w:hAnsi="Times New Roman" w:cs="Times New Roman" w:eastAsia="Times New Roman" w:hint="default"/>
                <w:sz w:val="18"/>
                <w:szCs w:val="18"/>
              </w:rPr>
              <w:t>“</w:t>
            </w:r>
            <w:r>
              <w:rPr>
                <w:rFonts w:ascii="宋体" w:hAnsi="宋体" w:cs="宋体" w:eastAsia="宋体" w:hint="default"/>
                <w:sz w:val="18"/>
                <w:szCs w:val="18"/>
              </w:rPr>
              <w:t>原 单位缴纳</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新参保或所需资 料未准备齐全</w:t>
            </w:r>
            <w:r>
              <w:rPr>
                <w:rFonts w:ascii="Times New Roman" w:hAnsi="Times New Roman" w:cs="Times New Roman" w:eastAsia="Times New Roman" w:hint="default"/>
                <w:sz w:val="18"/>
                <w:szCs w:val="18"/>
              </w:rPr>
              <w:t>”</w:t>
            </w:r>
            <w:r>
              <w:rPr>
                <w:rFonts w:ascii="宋体" w:hAnsi="宋体" w:cs="宋体" w:eastAsia="宋体" w:hint="default"/>
                <w:sz w:val="18"/>
                <w:szCs w:val="18"/>
              </w:rPr>
              <w:t>而未能及时缴 纳社会保险、住房公积金等问 题可能产生的全部费用和经济 损失。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8"/>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2274" w:hRule="exact"/>
        </w:trPr>
        <w:tc>
          <w:tcPr>
            <w:tcW w:w="1418"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关于房屋租赁的 承诺函</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若公司租赁房产在租赁有效期 内因出租人未办理房产证或者 未办理租赁备案登记导致中科 金财受到任何罚款或者需要变 更办公场所，将承担公司及其 子公司中科商务由此产生的所 有经济损失。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8"/>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1962" w:hRule="exact"/>
        </w:trPr>
        <w:tc>
          <w:tcPr>
            <w:tcW w:w="1418"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关于关联交易的 承诺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尽量避免不必要的关联交易发 生，对持续经营所发生的必要 的关联交易，应以双方协议规 定的方式进行处理，遵循市场 化的定价原则，避免损害广大 中小股东权益的情况发生。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8"/>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2898" w:hRule="exact"/>
        </w:trPr>
        <w:tc>
          <w:tcPr>
            <w:tcW w:w="1418" w:type="dxa"/>
            <w:vMerge/>
            <w:tcBorders>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4" w:lineRule="auto"/>
              <w:ind w:left="23" w:right="24"/>
              <w:jc w:val="left"/>
              <w:rPr>
                <w:rFonts w:ascii="宋体" w:hAnsi="宋体" w:cs="宋体" w:eastAsia="宋体" w:hint="default"/>
                <w:sz w:val="18"/>
                <w:szCs w:val="18"/>
              </w:rPr>
            </w:pPr>
            <w:r>
              <w:rPr>
                <w:rFonts w:ascii="宋体" w:hAnsi="宋体" w:cs="宋体" w:eastAsia="宋体" w:hint="default"/>
                <w:sz w:val="18"/>
                <w:szCs w:val="18"/>
              </w:rPr>
              <w:t>朱烨东</w:t>
            </w:r>
            <w:r>
              <w:rPr>
                <w:rFonts w:ascii="Times New Roman" w:hAnsi="Times New Roman" w:cs="Times New Roman" w:eastAsia="Times New Roman" w:hint="default"/>
                <w:sz w:val="18"/>
                <w:szCs w:val="18"/>
              </w:rPr>
              <w:t>;</w:t>
            </w:r>
            <w:r>
              <w:rPr>
                <w:rFonts w:ascii="宋体" w:hAnsi="宋体" w:cs="宋体" w:eastAsia="宋体" w:hint="default"/>
                <w:sz w:val="18"/>
                <w:szCs w:val="18"/>
              </w:rPr>
              <w:t>沈飒</w:t>
            </w:r>
            <w:r>
              <w:rPr>
                <w:rFonts w:ascii="Times New Roman" w:hAnsi="Times New Roman" w:cs="Times New Roman" w:eastAsia="Times New Roman" w:hint="default"/>
                <w:sz w:val="18"/>
                <w:szCs w:val="18"/>
              </w:rPr>
              <w:t>;</w:t>
            </w:r>
            <w:r>
              <w:rPr>
                <w:rFonts w:ascii="宋体" w:hAnsi="宋体" w:cs="宋体" w:eastAsia="宋体" w:hint="default"/>
                <w:sz w:val="18"/>
                <w:szCs w:val="18"/>
              </w:rPr>
              <w:t>陈绪</w:t>
            </w:r>
            <w:r>
              <w:rPr>
                <w:rFonts w:ascii="宋体" w:hAnsi="宋体" w:cs="宋体" w:eastAsia="宋体" w:hint="default"/>
                <w:spacing w:val="-2"/>
                <w:sz w:val="18"/>
                <w:szCs w:val="18"/>
              </w:rPr>
              <w:t> </w:t>
            </w:r>
            <w:r>
              <w:rPr>
                <w:rFonts w:ascii="宋体" w:hAnsi="宋体" w:cs="宋体" w:eastAsia="宋体" w:hint="default"/>
                <w:sz w:val="18"/>
                <w:szCs w:val="18"/>
              </w:rPr>
              <w:t>华</w:t>
            </w:r>
            <w:r>
              <w:rPr>
                <w:rFonts w:ascii="Times New Roman" w:hAnsi="Times New Roman" w:cs="Times New Roman" w:eastAsia="Times New Roman" w:hint="default"/>
                <w:sz w:val="18"/>
                <w:szCs w:val="18"/>
              </w:rPr>
              <w:t>;</w:t>
            </w:r>
            <w:r>
              <w:rPr>
                <w:rFonts w:ascii="宋体" w:hAnsi="宋体" w:cs="宋体" w:eastAsia="宋体" w:hint="default"/>
                <w:sz w:val="18"/>
                <w:szCs w:val="18"/>
              </w:rPr>
              <w:t>蔡迦</w:t>
            </w:r>
            <w:r>
              <w:rPr>
                <w:rFonts w:ascii="Times New Roman" w:hAnsi="Times New Roman" w:cs="Times New Roman" w:eastAsia="Times New Roman" w:hint="default"/>
                <w:sz w:val="18"/>
                <w:szCs w:val="18"/>
              </w:rPr>
              <w:t>;</w:t>
            </w:r>
            <w:r>
              <w:rPr>
                <w:rFonts w:ascii="宋体" w:hAnsi="宋体" w:cs="宋体" w:eastAsia="宋体" w:hint="default"/>
                <w:sz w:val="18"/>
                <w:szCs w:val="18"/>
              </w:rPr>
              <w:t>李彤彤</w:t>
            </w:r>
            <w:r>
              <w:rPr>
                <w:rFonts w:ascii="Times New Roman" w:hAnsi="Times New Roman" w:cs="Times New Roman" w:eastAsia="Times New Roman" w:hint="default"/>
                <w:sz w:val="18"/>
                <w:szCs w:val="18"/>
              </w:rPr>
              <w:t>; </w:t>
            </w:r>
            <w:r>
              <w:rPr>
                <w:rFonts w:ascii="宋体" w:hAnsi="宋体" w:cs="宋体" w:eastAsia="宋体" w:hint="default"/>
                <w:sz w:val="18"/>
                <w:szCs w:val="18"/>
              </w:rPr>
              <w:t>天津达晨创富股 权投资基金中心</w:t>
            </w:r>
          </w:p>
          <w:p>
            <w:pPr>
              <w:pStyle w:val="TableParagraph"/>
              <w:spacing w:line="312" w:lineRule="auto" w:before="28"/>
              <w:ind w:left="23" w:right="23"/>
              <w:jc w:val="both"/>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天 津常春藤一期股 </w:t>
            </w:r>
            <w:r>
              <w:rPr>
                <w:rFonts w:ascii="宋体" w:hAnsi="宋体" w:cs="宋体" w:eastAsia="宋体" w:hint="default"/>
                <w:spacing w:val="-10"/>
                <w:sz w:val="18"/>
                <w:szCs w:val="18"/>
              </w:rPr>
              <w:t>权投资中心（有限</w:t>
            </w:r>
            <w:r>
              <w:rPr>
                <w:rFonts w:ascii="宋体" w:hAnsi="宋体" w:cs="宋体" w:eastAsia="宋体" w:hint="default"/>
                <w:sz w:val="18"/>
                <w:szCs w:val="18"/>
              </w:rPr>
              <w:t> 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23"/>
              <w:jc w:val="left"/>
              <w:rPr>
                <w:rFonts w:ascii="宋体" w:hAnsi="宋体" w:cs="宋体" w:eastAsia="宋体" w:hint="default"/>
                <w:sz w:val="18"/>
                <w:szCs w:val="18"/>
              </w:rPr>
            </w:pPr>
            <w:r>
              <w:rPr>
                <w:rFonts w:ascii="宋体" w:hAnsi="宋体" w:cs="宋体" w:eastAsia="宋体" w:hint="default"/>
                <w:sz w:val="18"/>
                <w:szCs w:val="18"/>
              </w:rPr>
              <w:t>关于同业竞争的 承诺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不存在直接或间接地从事任何 与中科金财所从事的业务构成 同业竞争的任何业务活动，今 后的任何时间亦不会直接或间 接地以任何方式（包括但不限 于独资、合营、合作和联营） 参与或进行任何与中科金财所 从事的业务有实质性竞争或可 能有实质性竞争的业务活动。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8"/>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1923"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00" w:lineRule="auto"/>
              <w:ind w:left="23" w:right="24"/>
              <w:jc w:val="left"/>
              <w:rPr>
                <w:rFonts w:ascii="宋体" w:hAnsi="宋体" w:cs="宋体" w:eastAsia="宋体" w:hint="default"/>
                <w:sz w:val="18"/>
                <w:szCs w:val="18"/>
              </w:rPr>
            </w:pPr>
            <w:r>
              <w:rPr>
                <w:rFonts w:ascii="宋体" w:hAnsi="宋体" w:cs="宋体" w:eastAsia="宋体" w:hint="default"/>
                <w:sz w:val="18"/>
                <w:szCs w:val="18"/>
              </w:rPr>
              <w:t>赫喆</w:t>
            </w:r>
            <w:r>
              <w:rPr>
                <w:rFonts w:ascii="Times New Roman" w:hAnsi="Times New Roman" w:cs="Times New Roman" w:eastAsia="Times New Roman" w:hint="default"/>
                <w:sz w:val="18"/>
                <w:szCs w:val="18"/>
              </w:rPr>
              <w:t>;</w:t>
            </w:r>
            <w:r>
              <w:rPr>
                <w:rFonts w:ascii="宋体" w:hAnsi="宋体" w:cs="宋体" w:eastAsia="宋体" w:hint="default"/>
                <w:sz w:val="18"/>
                <w:szCs w:val="18"/>
              </w:rPr>
              <w:t>杨承宏</w:t>
            </w:r>
            <w:r>
              <w:rPr>
                <w:rFonts w:ascii="Times New Roman" w:hAnsi="Times New Roman" w:cs="Times New Roman" w:eastAsia="Times New Roman" w:hint="default"/>
                <w:sz w:val="18"/>
                <w:szCs w:val="18"/>
              </w:rPr>
              <w:t>;</w:t>
            </w:r>
            <w:r>
              <w:rPr>
                <w:rFonts w:ascii="宋体" w:hAnsi="宋体" w:cs="宋体" w:eastAsia="宋体" w:hint="default"/>
                <w:sz w:val="18"/>
                <w:szCs w:val="18"/>
              </w:rPr>
              <w:t>谢晓</w:t>
            </w:r>
            <w:r>
              <w:rPr>
                <w:rFonts w:ascii="宋体" w:hAnsi="宋体" w:cs="宋体" w:eastAsia="宋体" w:hint="default"/>
                <w:spacing w:val="-2"/>
                <w:sz w:val="18"/>
                <w:szCs w:val="18"/>
              </w:rPr>
              <w:t> </w:t>
            </w:r>
            <w:r>
              <w:rPr>
                <w:rFonts w:ascii="宋体" w:hAnsi="宋体" w:cs="宋体" w:eastAsia="宋体" w:hint="default"/>
                <w:sz w:val="18"/>
                <w:szCs w:val="18"/>
              </w:rPr>
              <w:t>梅</w:t>
            </w:r>
            <w:r>
              <w:rPr>
                <w:rFonts w:ascii="Times New Roman" w:hAnsi="Times New Roman" w:cs="Times New Roman" w:eastAsia="Times New Roman" w:hint="default"/>
                <w:sz w:val="18"/>
                <w:szCs w:val="18"/>
              </w:rPr>
              <w:t>;</w:t>
            </w:r>
            <w:r>
              <w:rPr>
                <w:rFonts w:ascii="宋体" w:hAnsi="宋体" w:cs="宋体" w:eastAsia="宋体" w:hint="default"/>
                <w:sz w:val="18"/>
                <w:szCs w:val="18"/>
              </w:rPr>
              <w:t>周惠明</w:t>
            </w:r>
            <w:r>
              <w:rPr>
                <w:rFonts w:ascii="Times New Roman" w:hAnsi="Times New Roman" w:cs="Times New Roman" w:eastAsia="Times New Roman" w:hint="default"/>
                <w:sz w:val="18"/>
                <w:szCs w:val="18"/>
              </w:rPr>
              <w:t>;</w:t>
            </w:r>
            <w:r>
              <w:rPr>
                <w:rFonts w:ascii="宋体" w:hAnsi="宋体" w:cs="宋体" w:eastAsia="宋体" w:hint="default"/>
                <w:sz w:val="18"/>
                <w:szCs w:val="18"/>
              </w:rPr>
              <w:t>张伟</w:t>
            </w:r>
            <w:r>
              <w:rPr>
                <w:rFonts w:ascii="Times New Roman" w:hAnsi="Times New Roman" w:cs="Times New Roman" w:eastAsia="Times New Roman" w:hint="default"/>
                <w:sz w:val="18"/>
                <w:szCs w:val="18"/>
              </w:rPr>
              <w:t>; </w:t>
            </w:r>
            <w:r>
              <w:rPr>
                <w:rFonts w:ascii="宋体" w:hAnsi="宋体" w:cs="宋体" w:eastAsia="宋体" w:hint="default"/>
                <w:sz w:val="18"/>
                <w:szCs w:val="18"/>
              </w:rPr>
              <w:t>吴红心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关于保持上市公 司独立性的承诺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交易对方关于保持中科金财和 滨河创新独立性，出具如下承 诺：一、保证中科金财、滨河 创新的人员独立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．保证本次 交易完成后中科金财、滨河创 新的劳动、人事及薪酬管理与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68"/>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1418"/>
        <w:gridCol w:w="2411"/>
        <w:gridCol w:w="992"/>
        <w:gridCol w:w="992"/>
        <w:gridCol w:w="920"/>
      </w:tblGrid>
      <w:tr>
        <w:trPr>
          <w:trHeight w:val="322"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24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w:t>
            </w:r>
          </w:p>
        </w:tc>
        <w:tc>
          <w:tcPr>
            <w:tcW w:w="99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制的其他公司或者其他经济组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织等关联方之间完全独立。</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6"/>
                <w:sz w:val="18"/>
                <w:szCs w:val="18"/>
              </w:rPr>
              <w:t>．</w:t>
            </w:r>
            <w:r>
              <w:rPr>
                <w:rFonts w:ascii="宋体" w:hAnsi="宋体" w:cs="宋体" w:eastAsia="宋体" w:hint="default"/>
                <w:sz w:val="18"/>
                <w:szCs w:val="18"/>
              </w:rPr>
              <w:t>保证本次交易完成后中科金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财、滨河创新的高级管理人员</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均专职在中科金财、滨河创新</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任职并领取薪酬，不在本人</w:t>
            </w:r>
            <w:r>
              <w:rPr>
                <w:rFonts w:ascii="Times New Roman" w:hAnsi="Times New Roman" w:cs="Times New Roman" w:eastAsia="Times New Roman" w:hint="default"/>
                <w:sz w:val="18"/>
                <w:szCs w:val="18"/>
              </w:rPr>
              <w:t>/</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其他公司、企业或者其他经济</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组织等关联方担任董事以外的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职务。二、保证中科金财、滨</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河创新的机构独立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次交易完成后中科金财、滨河</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创新构建健全的公司法人治理</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结构，拥有独立、完整的组织</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机构。</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．保证本次交易完成后</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中科金财、滨河创新的股东</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（大）会、董事会、监事会等</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依照法律、法规及中科金财、</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滨河创新公司章程独立行使职</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权。三、保证中科金财、滨河</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创新的资产独立、完整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证本次交易完成后中科金财、</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滨河创新拥有与生产经营有关</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的独立、完整的资产。</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．保证</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本次交易完成后中科金财、滨</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河创新的经营场所独立于本人</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其他公司、企业或者其他经济</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组织等关联方。</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．除正常经营</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性往来外，保证本次交易完成</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后中科金财、滨河创新不存在</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资金、资产被本人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本公司及本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本公司控制的其他公司、企</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业或者其他经济组织等关联方</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占用的情形。四、保证中科金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财、滨河创新的业务独立</w:t>
            </w:r>
            <w:r>
              <w:rPr>
                <w:rFonts w:ascii="宋体" w:hAnsi="宋体" w:cs="宋体" w:eastAsia="宋体" w:hint="default"/>
                <w:spacing w:val="-40"/>
                <w:sz w:val="18"/>
                <w:szCs w:val="18"/>
              </w:rPr>
              <w:t> </w:t>
            </w:r>
            <w:r>
              <w:rPr>
                <w:rFonts w:ascii="Times New Roman" w:hAnsi="Times New Roman" w:cs="Times New Roman" w:eastAsia="Times New Roman" w:hint="default"/>
                <w:spacing w:val="-40"/>
                <w:sz w:val="18"/>
                <w:szCs w:val="18"/>
              </w:rPr>
              <w:t>1</w:t>
            </w:r>
            <w:r>
              <w:rPr>
                <w:rFonts w:ascii="宋体" w:hAnsi="宋体" w:cs="宋体" w:eastAsia="宋体" w:hint="default"/>
                <w:spacing w:val="-40"/>
                <w:sz w:val="18"/>
                <w:szCs w:val="18"/>
              </w:rPr>
              <w:t>．保</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证本次交易完成后中科金财、</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滨河创新拥有独立开展经营活</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动的相关资质，具有面向市场</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的独立、自主、持续的经营能</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力。</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．保证本次交易完成后本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4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的其他公司、企业或者其他经</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2.980011pt;margin-top:72.47998pt;width:136.3pt;height:594.9pt;mso-position-horizontal-relative:page;mso-position-vertical-relative:page;z-index:-1213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滨河创新的资金使用。</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1418"/>
        <w:gridCol w:w="2411"/>
        <w:gridCol w:w="992"/>
        <w:gridCol w:w="992"/>
        <w:gridCol w:w="923"/>
      </w:tblGrid>
      <w:tr>
        <w:trPr>
          <w:trHeight w:val="11907"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济组织等关联方避免从事与中 科金财、滨河创新及其控制的 其他公司、企业或者其他经济 组织具有竞争关系的业务。 </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．保证本次交易完成后本人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 其他公司、企业或者其他经济 组织等关联方减少与中科金 财、滨河创新及其控制的其他 公司、企业或者其他经济组织 的关联交易；对于确有必要且 无法避免的关联交易，保证按 市场原则和公允价格进行公平 操作，并按相关法律、法规及 规范性文件的规定履行相关审 批程序及信息披露义务。五、 保证中科金财、滨河创新的财 务独立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．保证中科金财、滨 河创新本次交易完成后分别具 备独立的财务部门以及独立的 财务核算体系，具有规范、独 </w:t>
            </w:r>
            <w:r>
              <w:rPr>
                <w:rFonts w:ascii="宋体" w:hAnsi="宋体" w:cs="宋体" w:eastAsia="宋体" w:hint="default"/>
                <w:spacing w:val="-6"/>
                <w:sz w:val="18"/>
                <w:szCs w:val="18"/>
              </w:rPr>
              <w:t>立的财务会计制度。</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．保证中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科金财、滨河创新本次交易完 成后独立在银行开户，不与本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 的其他公司、企业或者其他经 济组织等关联方共用银行账 </w:t>
            </w:r>
            <w:r>
              <w:rPr>
                <w:rFonts w:ascii="宋体" w:hAnsi="宋体" w:cs="宋体" w:eastAsia="宋体" w:hint="default"/>
                <w:spacing w:val="-6"/>
                <w:sz w:val="18"/>
                <w:szCs w:val="18"/>
              </w:rPr>
              <w:t>户。</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．保证本次交易完成后中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科金财、滨河创新的财务人员 不在本人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司控制的其他公司、企业或者 其他经济组织等关联方兼职。 </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．保证本次交易完成后中科金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财、滨河创新能够独立做出财 </w:t>
            </w:r>
            <w:r>
              <w:rPr>
                <w:rFonts w:ascii="宋体" w:hAnsi="宋体" w:cs="宋体" w:eastAsia="宋体" w:hint="default"/>
                <w:spacing w:val="-3"/>
                <w:sz w:val="18"/>
                <w:szCs w:val="18"/>
              </w:rPr>
              <w:t>务决策，本人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本公司不干预中</w:t>
            </w:r>
            <w:r>
              <w:rPr>
                <w:rFonts w:ascii="宋体" w:hAnsi="宋体" w:cs="宋体" w:eastAsia="宋体" w:hint="default"/>
                <w:spacing w:val="-84"/>
                <w:sz w:val="18"/>
                <w:szCs w:val="18"/>
              </w:rPr>
              <w:t> </w:t>
            </w:r>
            <w:r>
              <w:rPr>
                <w:rFonts w:ascii="宋体" w:hAnsi="宋体" w:cs="宋体" w:eastAsia="宋体" w:hint="default"/>
                <w:sz w:val="18"/>
                <w:szCs w:val="18"/>
              </w:rPr>
              <w:t>科金财、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．保证本次交易完成后中科金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财、滨河创新依法独立纳税。</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1897"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7"/>
                <w:sz w:val="20"/>
                <w:szCs w:val="20"/>
              </w:rPr>
              <w:pict>
                <v:group style="width:49.1pt;height:594.9pt;mso-position-horizontal-relative:char;mso-position-vertical-relative:line" coordorigin="0,0" coordsize="982,11898">
                  <v:group style="position:absolute;left:0;top:0;width:982;height:11898" coordorigin="0,0" coordsize="982,11898">
                    <v:shape style="position:absolute;left:0;top:0;width:982;height:11898" coordorigin="0,0" coordsize="982,11898" path="m0,11898l982,11898,982,0,0,0,0,11898xe" filled="true" fillcolor="#ffffff" stroked="false">
                      <v:path arrowok="t"/>
                      <v:fill type="solid"/>
                    </v:shape>
                  </v:group>
                </v:group>
              </w:pict>
            </w:r>
            <w:r>
              <w:rPr>
                <w:rFonts w:ascii="Times New Roman" w:hAnsi="Times New Roman" w:cs="Times New Roman" w:eastAsia="Times New Roman" w:hint="default"/>
                <w:position w:val="-237"/>
                <w:sz w:val="20"/>
                <w:szCs w:val="20"/>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1923"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00" w:lineRule="auto"/>
              <w:ind w:left="23" w:right="24"/>
              <w:jc w:val="left"/>
              <w:rPr>
                <w:rFonts w:ascii="宋体" w:hAnsi="宋体" w:cs="宋体" w:eastAsia="宋体" w:hint="default"/>
                <w:sz w:val="18"/>
                <w:szCs w:val="18"/>
              </w:rPr>
            </w:pPr>
            <w:r>
              <w:rPr>
                <w:rFonts w:ascii="宋体" w:hAnsi="宋体" w:cs="宋体" w:eastAsia="宋体" w:hint="default"/>
                <w:sz w:val="18"/>
                <w:szCs w:val="18"/>
              </w:rPr>
              <w:t>赫喆</w:t>
            </w:r>
            <w:r>
              <w:rPr>
                <w:rFonts w:ascii="Times New Roman" w:hAnsi="Times New Roman" w:cs="Times New Roman" w:eastAsia="Times New Roman" w:hint="default"/>
                <w:sz w:val="18"/>
                <w:szCs w:val="18"/>
              </w:rPr>
              <w:t>;</w:t>
            </w:r>
            <w:r>
              <w:rPr>
                <w:rFonts w:ascii="宋体" w:hAnsi="宋体" w:cs="宋体" w:eastAsia="宋体" w:hint="default"/>
                <w:sz w:val="18"/>
                <w:szCs w:val="18"/>
              </w:rPr>
              <w:t>杨承宏</w:t>
            </w:r>
            <w:r>
              <w:rPr>
                <w:rFonts w:ascii="Times New Roman" w:hAnsi="Times New Roman" w:cs="Times New Roman" w:eastAsia="Times New Roman" w:hint="default"/>
                <w:sz w:val="18"/>
                <w:szCs w:val="18"/>
              </w:rPr>
              <w:t>;</w:t>
            </w:r>
            <w:r>
              <w:rPr>
                <w:rFonts w:ascii="宋体" w:hAnsi="宋体" w:cs="宋体" w:eastAsia="宋体" w:hint="default"/>
                <w:sz w:val="18"/>
                <w:szCs w:val="18"/>
              </w:rPr>
              <w:t>谢晓</w:t>
            </w:r>
            <w:r>
              <w:rPr>
                <w:rFonts w:ascii="宋体" w:hAnsi="宋体" w:cs="宋体" w:eastAsia="宋体" w:hint="default"/>
                <w:spacing w:val="-2"/>
                <w:sz w:val="18"/>
                <w:szCs w:val="18"/>
              </w:rPr>
              <w:t> </w:t>
            </w:r>
            <w:r>
              <w:rPr>
                <w:rFonts w:ascii="宋体" w:hAnsi="宋体" w:cs="宋体" w:eastAsia="宋体" w:hint="default"/>
                <w:sz w:val="18"/>
                <w:szCs w:val="18"/>
              </w:rPr>
              <w:t>梅</w:t>
            </w:r>
            <w:r>
              <w:rPr>
                <w:rFonts w:ascii="Times New Roman" w:hAnsi="Times New Roman" w:cs="Times New Roman" w:eastAsia="Times New Roman" w:hint="default"/>
                <w:sz w:val="18"/>
                <w:szCs w:val="18"/>
              </w:rPr>
              <w:t>;</w:t>
            </w:r>
            <w:r>
              <w:rPr>
                <w:rFonts w:ascii="宋体" w:hAnsi="宋体" w:cs="宋体" w:eastAsia="宋体" w:hint="default"/>
                <w:sz w:val="18"/>
                <w:szCs w:val="18"/>
              </w:rPr>
              <w:t>吴红心</w:t>
            </w:r>
            <w:r>
              <w:rPr>
                <w:rFonts w:ascii="Times New Roman" w:hAnsi="Times New Roman" w:cs="Times New Roman" w:eastAsia="Times New Roman" w:hint="default"/>
                <w:sz w:val="18"/>
                <w:szCs w:val="18"/>
              </w:rPr>
              <w:t>;</w:t>
            </w:r>
            <w:r>
              <w:rPr>
                <w:rFonts w:ascii="宋体" w:hAnsi="宋体" w:cs="宋体" w:eastAsia="宋体" w:hint="default"/>
                <w:sz w:val="18"/>
                <w:szCs w:val="18"/>
              </w:rPr>
              <w:t>张伟</w:t>
            </w:r>
            <w:r>
              <w:rPr>
                <w:rFonts w:ascii="Times New Roman" w:hAnsi="Times New Roman" w:cs="Times New Roman" w:eastAsia="Times New Roman" w:hint="default"/>
                <w:sz w:val="18"/>
                <w:szCs w:val="18"/>
              </w:rPr>
              <w:t>; </w:t>
            </w:r>
            <w:r>
              <w:rPr>
                <w:rFonts w:ascii="宋体" w:hAnsi="宋体" w:cs="宋体" w:eastAsia="宋体" w:hint="default"/>
                <w:sz w:val="18"/>
                <w:szCs w:val="18"/>
              </w:rPr>
              <w:t>周惠明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关于同业竞争和 关联交易的承诺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pacing w:val="-6"/>
                <w:sz w:val="18"/>
                <w:szCs w:val="18"/>
              </w:rPr>
              <w:t>一、关于同业竞争：</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．截至本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承诺函签署日，本人及包括本 人控制的其他公司、企业或者 其他经济组织等关联方未从事 与中科金财、滨河创新及其控 制的其他公司、企业或者其他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68"/>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4.980011pt;margin-top:72.47998pt;width:154.3pt;height:686.5pt;mso-position-horizontal-relative:page;mso-position-vertical-relative:page;z-index:-1213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3"/>
                    <w:ind w:left="0" w:right="0" w:firstLine="0"/>
                    <w:jc w:val="left"/>
                    <w:rPr>
                      <w:rFonts w:ascii="宋体" w:hAnsi="宋体" w:cs="宋体" w:eastAsia="宋体" w:hint="default"/>
                      <w:sz w:val="18"/>
                      <w:szCs w:val="18"/>
                    </w:rPr>
                  </w:pPr>
                  <w:r>
                    <w:rPr>
                      <w:rFonts w:ascii="宋体" w:hAnsi="宋体" w:cs="宋体" w:eastAsia="宋体" w:hint="default"/>
                      <w:sz w:val="18"/>
                      <w:szCs w:val="18"/>
                    </w:rPr>
                    <w:t>本人及所控制的其他公司、</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1418"/>
        <w:gridCol w:w="2411"/>
        <w:gridCol w:w="992"/>
        <w:gridCol w:w="992"/>
        <w:gridCol w:w="920"/>
      </w:tblGrid>
      <w:tr>
        <w:trPr>
          <w:trHeight w:val="317"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24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经济组织存在同业竞争关系的</w:t>
            </w:r>
          </w:p>
        </w:tc>
        <w:tc>
          <w:tcPr>
            <w:tcW w:w="992" w:type="dxa"/>
            <w:vMerge w:val="restart"/>
            <w:tcBorders>
              <w:top w:val="single" w:sz="4" w:space="0" w:color="000000"/>
              <w:left w:val="single" w:sz="4" w:space="0" w:color="000000"/>
              <w:right w:val="single" w:sz="4" w:space="0" w:color="000000"/>
            </w:tcBorders>
          </w:tcPr>
          <w:p>
            <w:pPr>
              <w:pStyle w:val="TableParagraph"/>
              <w:spacing w:line="137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9.1pt;height:686.5pt;mso-position-horizontal-relative:char;mso-position-vertical-relative:line" coordorigin="0,0" coordsize="982,13730">
                  <v:group style="position:absolute;left:0;top:0;width:982;height:13730" coordorigin="0,0" coordsize="982,13730">
                    <v:shape style="position:absolute;left:0;top:0;width:982;height:13730" coordorigin="0,0" coordsize="982,13730" path="m0,13729l982,13729,982,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99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业务。</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．在作为中科金财的股</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东期间，本人及包括本人控制</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的其他公司、企业或者其他经</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济组织等关联方将避免以任何</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形式从事任何与中科金财、滨</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河创新及其控制的其他公司、</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企业或者其他经济组织相同或</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相似且构成或可能构成竞争关</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系的业务，亦不从事任何可能</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损害中科金财、滨河创新及其</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控制的其他公司、企业或者其</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他经济组织利益的活动。如本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人及其控制的其他公司、企业</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或者其他经济组织遇到中科金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财、滨河创新及其控制的其他</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公司、企业或者其他经济组织</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主营业务范围内的业务机会，</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本人及其控制的其他公司、企</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业或者其他经济组织承诺将该</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等合作机会让予中科金财、滨</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河创新及其控制的其他公司、</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企业或者其他经济组织。二、</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关于规范及减少关联交易：本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人在作为中科金财的股东期</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企业或者其他经济组织将尽量</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减少并规范与中科金财、滨河</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创新及其控制的其他公司、企</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业或者其他经济组织之间的关</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联交易。对于无法避免或有合</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理原因而发生的关联交易，本</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人及所控制的其他公司、企业</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或者其他经济组织将遵循市场</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原则以公允、合理的市场价格</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进行，根据有关法律、法规及</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规范性文件的规定履行关联交</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易决策程序，依法履行信息披</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露义务和办理有关报批程序，</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不利用股东优势地位损害中科</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金财及其他股东的合法权益。</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本人若违反上述承诺，将承担</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24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因此而给中科金财、滨河创新</w:t>
            </w: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24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及其控制的其他公司、企业或</w:t>
            </w: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1418"/>
        <w:gridCol w:w="2411"/>
        <w:gridCol w:w="992"/>
        <w:gridCol w:w="992"/>
        <w:gridCol w:w="920"/>
      </w:tblGrid>
      <w:tr>
        <w:trPr>
          <w:trHeight w:val="2547"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者其他经济组织造成的一切损 失。三、关于资金占用：除正 常经营性往来外，保证本次交 易完成后中科金财、滨河创新 </w:t>
            </w:r>
            <w:r>
              <w:rPr>
                <w:rFonts w:ascii="宋体" w:hAnsi="宋体" w:cs="宋体" w:eastAsia="宋体" w:hint="default"/>
                <w:spacing w:val="-3"/>
                <w:sz w:val="18"/>
                <w:szCs w:val="18"/>
              </w:rPr>
              <w:t>不存在资金、资产被本人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w:t>
            </w:r>
            <w:r>
              <w:rPr>
                <w:rFonts w:ascii="宋体" w:hAnsi="宋体" w:cs="宋体" w:eastAsia="宋体" w:hint="default"/>
                <w:spacing w:val="-84"/>
                <w:sz w:val="18"/>
                <w:szCs w:val="18"/>
              </w:rPr>
              <w:t> </w:t>
            </w:r>
            <w:r>
              <w:rPr>
                <w:rFonts w:ascii="宋体" w:hAnsi="宋体" w:cs="宋体" w:eastAsia="宋体" w:hint="default"/>
                <w:sz w:val="18"/>
                <w:szCs w:val="18"/>
              </w:rPr>
              <w:t>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 公司、企业或者其他经济组织 等关联方占用的情形。</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3" w:right="24"/>
              <w:jc w:val="left"/>
              <w:rPr>
                <w:rFonts w:ascii="宋体" w:hAnsi="宋体" w:cs="宋体" w:eastAsia="宋体" w:hint="default"/>
                <w:sz w:val="18"/>
                <w:szCs w:val="18"/>
              </w:rPr>
            </w:pPr>
            <w:r>
              <w:rPr>
                <w:rFonts w:ascii="宋体" w:hAnsi="宋体" w:cs="宋体" w:eastAsia="宋体" w:hint="default"/>
                <w:sz w:val="18"/>
                <w:szCs w:val="18"/>
              </w:rPr>
              <w:t>赫喆</w:t>
            </w:r>
            <w:r>
              <w:rPr>
                <w:rFonts w:ascii="Times New Roman" w:hAnsi="Times New Roman" w:cs="Times New Roman" w:eastAsia="Times New Roman" w:hint="default"/>
                <w:sz w:val="18"/>
                <w:szCs w:val="18"/>
              </w:rPr>
              <w:t>;</w:t>
            </w:r>
            <w:r>
              <w:rPr>
                <w:rFonts w:ascii="宋体" w:hAnsi="宋体" w:cs="宋体" w:eastAsia="宋体" w:hint="default"/>
                <w:sz w:val="18"/>
                <w:szCs w:val="18"/>
              </w:rPr>
              <w:t>杨承宏</w:t>
            </w:r>
            <w:r>
              <w:rPr>
                <w:rFonts w:ascii="Times New Roman" w:hAnsi="Times New Roman" w:cs="Times New Roman" w:eastAsia="Times New Roman" w:hint="default"/>
                <w:sz w:val="18"/>
                <w:szCs w:val="18"/>
              </w:rPr>
              <w:t>;</w:t>
            </w:r>
            <w:r>
              <w:rPr>
                <w:rFonts w:ascii="宋体" w:hAnsi="宋体" w:cs="宋体" w:eastAsia="宋体" w:hint="default"/>
                <w:sz w:val="18"/>
                <w:szCs w:val="18"/>
              </w:rPr>
              <w:t>谢晓</w:t>
            </w:r>
            <w:r>
              <w:rPr>
                <w:rFonts w:ascii="宋体" w:hAnsi="宋体" w:cs="宋体" w:eastAsia="宋体" w:hint="default"/>
                <w:spacing w:val="-2"/>
                <w:sz w:val="18"/>
                <w:szCs w:val="18"/>
              </w:rPr>
              <w:t> </w:t>
            </w:r>
            <w:r>
              <w:rPr>
                <w:rFonts w:ascii="宋体" w:hAnsi="宋体" w:cs="宋体" w:eastAsia="宋体" w:hint="default"/>
                <w:sz w:val="18"/>
                <w:szCs w:val="18"/>
              </w:rPr>
              <w:t>梅</w:t>
            </w:r>
            <w:r>
              <w:rPr>
                <w:rFonts w:ascii="Times New Roman" w:hAnsi="Times New Roman" w:cs="Times New Roman" w:eastAsia="Times New Roman" w:hint="default"/>
                <w:sz w:val="18"/>
                <w:szCs w:val="18"/>
              </w:rPr>
              <w:t>;</w:t>
            </w:r>
            <w:r>
              <w:rPr>
                <w:rFonts w:ascii="宋体" w:hAnsi="宋体" w:cs="宋体" w:eastAsia="宋体" w:hint="default"/>
                <w:sz w:val="18"/>
                <w:szCs w:val="18"/>
              </w:rPr>
              <w:t>周惠明</w:t>
            </w:r>
            <w:r>
              <w:rPr>
                <w:rFonts w:ascii="Times New Roman" w:hAnsi="Times New Roman" w:cs="Times New Roman" w:eastAsia="Times New Roman" w:hint="default"/>
                <w:sz w:val="18"/>
                <w:szCs w:val="18"/>
              </w:rPr>
              <w:t>;</w:t>
            </w:r>
            <w:r>
              <w:rPr>
                <w:rFonts w:ascii="宋体" w:hAnsi="宋体" w:cs="宋体" w:eastAsia="宋体" w:hint="default"/>
                <w:sz w:val="18"/>
                <w:szCs w:val="18"/>
              </w:rPr>
              <w:t>张伟</w:t>
            </w:r>
            <w:r>
              <w:rPr>
                <w:rFonts w:ascii="Times New Roman" w:hAnsi="Times New Roman" w:cs="Times New Roman" w:eastAsia="Times New Roman" w:hint="default"/>
                <w:sz w:val="18"/>
                <w:szCs w:val="18"/>
              </w:rPr>
              <w:t>; </w:t>
            </w:r>
            <w:r>
              <w:rPr>
                <w:rFonts w:ascii="宋体" w:hAnsi="宋体" w:cs="宋体" w:eastAsia="宋体" w:hint="default"/>
                <w:sz w:val="18"/>
                <w:szCs w:val="18"/>
              </w:rPr>
              <w:t>吴红心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关于股份锁定的 承诺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、本人在本次发行中认购的中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科金财股份，自股份上市之日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w:t>
            </w:r>
            <w:r>
              <w:rPr>
                <w:rFonts w:ascii="Times New Roman" w:hAnsi="Times New Roman" w:cs="Times New Roman" w:eastAsia="Times New Roman" w:hint="default"/>
                <w:sz w:val="18"/>
                <w:szCs w:val="18"/>
              </w:rPr>
              <w:t>2</w:t>
            </w:r>
            <w:r>
              <w:rPr>
                <w:rFonts w:ascii="宋体" w:hAnsi="宋体" w:cs="宋体" w:eastAsia="宋体" w:hint="default"/>
                <w:sz w:val="18"/>
                <w:szCs w:val="18"/>
              </w:rPr>
              <w:t>、本 次发行的股份在上市后遵守证 券监管部门关于股份锁定的要 求，如因中科金财送股、转增 股本而取得的新增股份，亦遵 </w:t>
            </w:r>
            <w:r>
              <w:rPr>
                <w:rFonts w:ascii="宋体" w:hAnsi="宋体" w:cs="宋体" w:eastAsia="宋体" w:hint="default"/>
                <w:spacing w:val="-6"/>
                <w:sz w:val="18"/>
                <w:szCs w:val="18"/>
              </w:rPr>
              <w:t>守上述锁定安排。</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、如监管规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则或监管机构对锁定期有更长 期限要求的，按照监管规则或 监管机构的要求执行。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23"/>
              <w:jc w:val="left"/>
              <w:rPr>
                <w:rFonts w:ascii="宋体" w:hAnsi="宋体" w:cs="宋体" w:eastAsia="宋体" w:hint="default"/>
                <w:sz w:val="18"/>
                <w:szCs w:val="18"/>
              </w:rPr>
            </w:pPr>
            <w:r>
              <w:rPr>
                <w:rFonts w:ascii="宋体" w:hAnsi="宋体" w:cs="宋体" w:eastAsia="宋体" w:hint="default"/>
                <w:sz w:val="18"/>
                <w:szCs w:val="18"/>
              </w:rPr>
              <w:t>关于募集资金使 用的承诺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对部分募集资金投资项 目结项并用节余募集资金永久 补充流动资金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事项公司承诺 最近十二个月内，公司未进行 证券投资等高风险投资，并承 诺本次利用节余募集资金及利 息永久性补充流动资金后十二 个月内不进行证券投资等高风 险投资及为他人提供财务资助 并对外披露。本次对部分募集 资金投资项目结项并用节余募 集资金永久补充流动资金与公 司募集资金投资项目实施不相 抵触，不影响公司募集资金投 资项目的正常进行，不存在变 相改变募集资金投向和损害股 东利益的情况。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1923"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关于募集资金使 用的承诺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部分超募资金永久性补 充流动资金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事项公司承诺最 近十二个月内，未进行证券投 资等高风险投资，并承诺本次 利用部分超募资金永久补充流 动资金后十二个月内不进行证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8"/>
        <w:gridCol w:w="1418"/>
        <w:gridCol w:w="2411"/>
        <w:gridCol w:w="992"/>
        <w:gridCol w:w="992"/>
        <w:gridCol w:w="920"/>
      </w:tblGrid>
      <w:tr>
        <w:trPr>
          <w:trHeight w:val="3795"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券投资等高风险投资及为他人 提供财务资助并对外披露，每 十二个月用于偿还银行借款或 补充流动资金的累计金额不超 过超募资金总额的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。本次 公司使用部分超募资金永久性 补充流动资金与公司募集资金 投资项目实施不相抵触，不影 响公司募集资金投资项目的正 常进行，不存在变相改变募集 资金投向和损害股东利益的情 况。</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23"/>
              <w:jc w:val="left"/>
              <w:rPr>
                <w:rFonts w:ascii="宋体" w:hAnsi="宋体" w:cs="宋体" w:eastAsia="宋体" w:hint="default"/>
                <w:sz w:val="18"/>
                <w:szCs w:val="18"/>
              </w:rPr>
            </w:pPr>
            <w:r>
              <w:rPr>
                <w:rFonts w:ascii="宋体" w:hAnsi="宋体" w:cs="宋体" w:eastAsia="宋体" w:hint="default"/>
                <w:sz w:val="18"/>
                <w:szCs w:val="18"/>
              </w:rPr>
              <w:t>关于募集资金使 用的承诺</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使用闲置募集资金购买 保本型理财产品</w:t>
            </w:r>
            <w:r>
              <w:rPr>
                <w:rFonts w:ascii="Times New Roman" w:hAnsi="Times New Roman" w:cs="Times New Roman" w:eastAsia="Times New Roman" w:hint="default"/>
                <w:sz w:val="18"/>
                <w:szCs w:val="18"/>
              </w:rPr>
              <w:t>”</w:t>
            </w:r>
            <w:r>
              <w:rPr>
                <w:rFonts w:ascii="宋体" w:hAnsi="宋体" w:cs="宋体" w:eastAsia="宋体" w:hint="default"/>
                <w:sz w:val="18"/>
                <w:szCs w:val="18"/>
              </w:rPr>
              <w:t>事项公司承 诺最近十二个月内，公司未进 行证券投资等高风险投资，并 承诺本次利用闲置募集资金购 买保本型理财产品后十二个月 内不进行证券投资等高风险投 资及为他人提供财务资助并对 外披露。本次公司使用闲置募 集资金购买保本型理财产品与 公司募集资金投资项目实施不 相抵触，不影响公司募集资金 投资项目的正常进行，不存在 变相改变募集资金投向和损害 股东利益的情况。</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承诺人严 格履行了 承诺。</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81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1024"/>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2"/>
        </w:rPr>
        <w:t> </w:t>
      </w:r>
      <w:r>
        <w:rPr>
          <w:spacing w:val="-72"/>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滨河创新</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7" w:right="0"/>
              <w:jc w:val="left"/>
              <w:rPr>
                <w:rFonts w:ascii="Times New Roman" w:hAnsi="Times New Roman" w:cs="Times New Roman" w:eastAsia="Times New Roman" w:hint="default"/>
                <w:sz w:val="18"/>
                <w:szCs w:val="18"/>
              </w:rPr>
            </w:pPr>
            <w:r>
              <w:rPr>
                <w:rFonts w:ascii="Times New Roman"/>
                <w:sz w:val="18"/>
              </w:rPr>
              <w:t>7,234.45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7,279.1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5"/>
              <w:ind w:left="22" w:right="1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tc>
      </w:tr>
    </w:tbl>
    <w:p>
      <w:pPr>
        <w:spacing w:before="35"/>
        <w:ind w:left="154" w:right="1024" w:firstLine="0"/>
        <w:jc w:val="left"/>
        <w:rPr>
          <w:rFonts w:ascii="宋体" w:hAnsi="宋体" w:cs="宋体" w:eastAsia="宋体" w:hint="default"/>
          <w:sz w:val="20"/>
          <w:szCs w:val="20"/>
        </w:rPr>
      </w:pPr>
      <w:r>
        <w:rPr>
          <w:rFonts w:ascii="宋体" w:hAnsi="宋体" w:cs="宋体" w:eastAsia="宋体" w:hint="default"/>
          <w:sz w:val="20"/>
          <w:szCs w:val="20"/>
        </w:rPr>
        <w:t>公司股东、交易对手方在报告年度经营业绩做出的承诺情况</w:t>
      </w:r>
    </w:p>
    <w:p>
      <w:pPr>
        <w:spacing w:before="10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left="650" w:right="0"/>
        <w:jc w:val="left"/>
      </w:pPr>
      <w:r>
        <w:rPr>
          <w:rFonts w:ascii="宋体" w:hAnsi="宋体" w:cs="宋体" w:eastAsia="宋体" w:hint="default"/>
        </w:rPr>
        <w:t>2014</w:t>
      </w:r>
      <w:r>
        <w:rPr/>
        <w:t>年</w:t>
      </w:r>
      <w:r>
        <w:rPr>
          <w:rFonts w:ascii="宋体" w:hAnsi="宋体" w:cs="宋体" w:eastAsia="宋体" w:hint="default"/>
        </w:rPr>
        <w:t>11</w:t>
      </w:r>
      <w:r>
        <w:rPr/>
        <w:t>月，经中国证券监督管理委员会证监许可</w:t>
      </w:r>
      <w:r>
        <w:rPr>
          <w:rFonts w:ascii="宋体" w:hAnsi="宋体" w:cs="宋体" w:eastAsia="宋体" w:hint="default"/>
        </w:rPr>
        <w:t>[2014]</w:t>
      </w:r>
      <w:r>
        <w:rPr/>
        <w:t>号</w:t>
      </w:r>
      <w:r>
        <w:rPr>
          <w:rFonts w:ascii="宋体" w:hAnsi="宋体" w:cs="宋体" w:eastAsia="宋体" w:hint="default"/>
        </w:rPr>
        <w:t>1218</w:t>
      </w:r>
      <w:r>
        <w:rPr/>
        <w:t>号文《关于核准北京中科金财科技股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spacing w:val="-3"/>
        </w:rPr>
        <w:t>份有限公司向刘开同等发行股份购买资产并募集配套资金的批复》核准，公司向刘开同、董书倩、刘运龙、</w:t>
      </w:r>
      <w:r>
        <w:rPr>
          <w:spacing w:val="-96"/>
        </w:rPr>
        <w:t> </w:t>
      </w:r>
      <w:r>
        <w:rPr>
          <w:spacing w:val="-96"/>
        </w:rPr>
      </w:r>
      <w:r>
        <w:rPr/>
        <w:t>天津滨河数据信息技术有限公司（以下简称“交易对方”）发行</w:t>
      </w:r>
      <w:r>
        <w:rPr>
          <w:rFonts w:ascii="宋体" w:hAnsi="宋体" w:cs="宋体" w:eastAsia="宋体" w:hint="default"/>
        </w:rPr>
        <w:t>21,120,422</w:t>
      </w:r>
      <w:r>
        <w:rPr/>
        <w:t>股人民币普通股购买其持有滨 河创新</w:t>
      </w:r>
      <w:r>
        <w:rPr>
          <w:rFonts w:ascii="宋体" w:hAnsi="宋体" w:cs="宋体" w:eastAsia="宋体" w:hint="default"/>
        </w:rPr>
        <w:t>100%</w:t>
      </w:r>
      <w:r>
        <w:rPr/>
        <w:t>股权。</w:t>
      </w:r>
    </w:p>
    <w:p>
      <w:pPr>
        <w:pStyle w:val="BodyText"/>
        <w:spacing w:line="408" w:lineRule="auto"/>
        <w:ind w:left="154" w:right="1120" w:firstLine="496"/>
        <w:jc w:val="left"/>
      </w:pPr>
      <w:r>
        <w:rPr>
          <w:spacing w:val="-2"/>
        </w:rPr>
        <w:t>交易对方向上市公司承诺：如标的资产交割日为</w:t>
      </w:r>
      <w:r>
        <w:rPr>
          <w:rFonts w:ascii="宋体" w:hAnsi="宋体" w:cs="宋体" w:eastAsia="宋体" w:hint="default"/>
          <w:spacing w:val="-2"/>
        </w:rPr>
        <w:t>2014</w:t>
      </w:r>
      <w:r>
        <w:rPr>
          <w:spacing w:val="-2"/>
        </w:rPr>
        <w:t>年，则标的公司</w:t>
      </w:r>
      <w:r>
        <w:rPr>
          <w:rFonts w:ascii="宋体" w:hAnsi="宋体" w:cs="宋体" w:eastAsia="宋体" w:hint="default"/>
          <w:spacing w:val="-2"/>
        </w:rPr>
        <w:t>2014</w:t>
      </w:r>
      <w:r>
        <w:rPr>
          <w:spacing w:val="-2"/>
        </w:rPr>
        <w:t>年度、</w:t>
      </w:r>
      <w:r>
        <w:rPr>
          <w:rFonts w:ascii="宋体" w:hAnsi="宋体" w:cs="宋体" w:eastAsia="宋体" w:hint="default"/>
          <w:spacing w:val="-2"/>
        </w:rPr>
        <w:t>2015</w:t>
      </w:r>
      <w:r>
        <w:rPr>
          <w:spacing w:val="-2"/>
        </w:rPr>
        <w:t>年度和</w:t>
      </w:r>
      <w:r>
        <w:rPr>
          <w:rFonts w:ascii="宋体" w:hAnsi="宋体" w:cs="宋体" w:eastAsia="宋体" w:hint="default"/>
          <w:spacing w:val="-2"/>
        </w:rPr>
        <w:t>2016</w:t>
      </w:r>
      <w:r>
        <w:rPr>
          <w:spacing w:val="-2"/>
        </w:rPr>
        <w:t>年度 </w:t>
      </w:r>
      <w:r>
        <w:rPr/>
        <w:t>实现的合并报表扣除非经常性损益后归属于母公司股东的净利润分别不低于</w:t>
      </w:r>
      <w:r>
        <w:rPr>
          <w:rFonts w:ascii="宋体" w:hAnsi="宋体" w:cs="宋体" w:eastAsia="宋体" w:hint="default"/>
        </w:rPr>
        <w:t>6,100</w:t>
      </w:r>
      <w:r>
        <w:rPr/>
        <w:t>万元、</w:t>
      </w:r>
      <w:r>
        <w:rPr>
          <w:rFonts w:ascii="宋体" w:hAnsi="宋体" w:cs="宋体" w:eastAsia="宋体" w:hint="default"/>
        </w:rPr>
        <w:t>7,250</w:t>
      </w:r>
      <w:r>
        <w:rPr/>
        <w:t>万元和 </w:t>
      </w:r>
      <w:r>
        <w:rPr>
          <w:rFonts w:ascii="宋体" w:hAnsi="宋体" w:cs="宋体" w:eastAsia="宋体" w:hint="default"/>
        </w:rPr>
        <w:t>8,650</w:t>
      </w:r>
      <w:r>
        <w:rPr/>
        <w:t>万元。本次发行股份及支付现金购买资产完成后，在利润补偿期内任一会计年度，如滨河创新截至 </w:t>
      </w:r>
      <w:r>
        <w:rPr>
          <w:spacing w:val="-1"/>
        </w:rPr>
        <w:t>当期期末累积实现净利润数小于截至当期期末累积承诺净利润数，则交易对方应向上市公司进行补偿。如</w:t>
      </w:r>
      <w:r>
        <w:rPr>
          <w:spacing w:val="-81"/>
        </w:rPr>
        <w:t> </w:t>
      </w:r>
      <w:r>
        <w:rPr>
          <w:spacing w:val="-81"/>
        </w:rPr>
      </w:r>
      <w:r>
        <w:rPr>
          <w:spacing w:val="-1"/>
        </w:rPr>
        <w:t>果标的资产在承诺年度实际净利润总额大于或等于承诺的预测净利润总额，则交易对方无需向上市公司进</w:t>
      </w:r>
      <w:r>
        <w:rPr>
          <w:spacing w:val="-81"/>
        </w:rPr>
        <w:t> </w:t>
      </w:r>
      <w:r>
        <w:rPr>
          <w:spacing w:val="-81"/>
        </w:rPr>
      </w:r>
      <w:r>
        <w:rPr/>
        <w:t>行补偿。</w:t>
      </w:r>
    </w:p>
    <w:p>
      <w:pPr>
        <w:spacing w:line="240" w:lineRule="auto" w:before="11"/>
        <w:rPr>
          <w:rFonts w:ascii="宋体" w:hAnsi="宋体" w:cs="宋体" w:eastAsia="宋体" w:hint="default"/>
          <w:sz w:val="18"/>
          <w:szCs w:val="18"/>
        </w:rPr>
      </w:pPr>
    </w:p>
    <w:p>
      <w:pPr>
        <w:pStyle w:val="Heading2"/>
        <w:spacing w:line="240" w:lineRule="auto"/>
        <w:ind w:left="154" w:right="1024"/>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86"/>
        <w:ind w:left="153" w:right="1024" w:firstLine="0"/>
        <w:jc w:val="left"/>
        <w:rPr>
          <w:rFonts w:ascii="宋体" w:hAnsi="宋体" w:cs="宋体" w:eastAsia="宋体" w:hint="default"/>
          <w:sz w:val="20"/>
          <w:szCs w:val="20"/>
        </w:rPr>
      </w:pPr>
      <w:r>
        <w:rPr>
          <w:rFonts w:ascii="宋体" w:hAnsi="宋体" w:cs="宋体" w:eastAsia="宋体" w:hint="default"/>
          <w:sz w:val="20"/>
          <w:szCs w:val="20"/>
        </w:rPr>
        <w:t>公司报告期不存在控股股东及其关联方对上市公司的非经营性占用资金。</w:t>
      </w:r>
    </w:p>
    <w:p>
      <w:pPr>
        <w:spacing w:line="240" w:lineRule="auto" w:before="4"/>
        <w:rPr>
          <w:rFonts w:ascii="宋体" w:hAnsi="宋体" w:cs="宋体" w:eastAsia="宋体" w:hint="default"/>
          <w:sz w:val="24"/>
          <w:szCs w:val="24"/>
        </w:rPr>
      </w:pPr>
    </w:p>
    <w:p>
      <w:pPr>
        <w:pStyle w:val="Heading2"/>
        <w:spacing w:line="240" w:lineRule="auto"/>
        <w:ind w:right="1024"/>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1024"/>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86"/>
        <w:ind w:left="153" w:right="1024" w:firstLine="0"/>
        <w:jc w:val="left"/>
        <w:rPr>
          <w:rFonts w:ascii="宋体" w:hAnsi="宋体" w:cs="宋体" w:eastAsia="宋体" w:hint="default"/>
          <w:sz w:val="20"/>
          <w:szCs w:val="20"/>
        </w:rPr>
      </w:pPr>
      <w:r>
        <w:rPr>
          <w:rFonts w:ascii="宋体" w:hAnsi="宋体" w:cs="宋体" w:eastAsia="宋体" w:hint="default"/>
          <w:sz w:val="20"/>
          <w:szCs w:val="20"/>
        </w:rPr>
        <w:t>公司报告期无会计政策、会计估计和核算方法发生变化的情况。</w:t>
      </w:r>
    </w:p>
    <w:p>
      <w:pPr>
        <w:spacing w:line="240" w:lineRule="auto" w:before="3"/>
        <w:rPr>
          <w:rFonts w:ascii="宋体" w:hAnsi="宋体" w:cs="宋体" w:eastAsia="宋体" w:hint="default"/>
          <w:sz w:val="24"/>
          <w:szCs w:val="24"/>
        </w:rPr>
      </w:pPr>
    </w:p>
    <w:p>
      <w:pPr>
        <w:pStyle w:val="Heading2"/>
        <w:spacing w:line="240" w:lineRule="auto"/>
        <w:ind w:right="1024"/>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86"/>
        <w:ind w:left="153" w:right="1024" w:firstLine="0"/>
        <w:jc w:val="left"/>
        <w:rPr>
          <w:rFonts w:ascii="宋体" w:hAnsi="宋体" w:cs="宋体" w:eastAsia="宋体" w:hint="default"/>
          <w:sz w:val="20"/>
          <w:szCs w:val="20"/>
        </w:rPr>
      </w:pPr>
      <w:r>
        <w:rPr>
          <w:rFonts w:ascii="宋体" w:hAnsi="宋体" w:cs="宋体" w:eastAsia="宋体" w:hint="default"/>
          <w:sz w:val="20"/>
          <w:szCs w:val="20"/>
        </w:rPr>
        <w:t>公司报告期无重大会计差错更正需追溯重述的情况。</w:t>
      </w:r>
    </w:p>
    <w:p>
      <w:pPr>
        <w:spacing w:line="240" w:lineRule="auto" w:before="4"/>
        <w:rPr>
          <w:rFonts w:ascii="宋体" w:hAnsi="宋体" w:cs="宋体" w:eastAsia="宋体" w:hint="default"/>
          <w:sz w:val="24"/>
          <w:szCs w:val="24"/>
        </w:rPr>
      </w:pPr>
    </w:p>
    <w:p>
      <w:pPr>
        <w:pStyle w:val="Heading2"/>
        <w:spacing w:line="240" w:lineRule="auto"/>
        <w:ind w:left="154" w:right="1024"/>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3"/>
        <w:spacing w:line="379" w:lineRule="auto" w:before="147"/>
        <w:ind w:right="1131"/>
        <w:jc w:val="both"/>
      </w:pPr>
      <w:r>
        <w:rPr>
          <w:spacing w:val="-2"/>
        </w:rPr>
        <w:t>本年与上年比较新增加合并单位</w:t>
      </w:r>
      <w:r>
        <w:rPr>
          <w:rFonts w:ascii="Times New Roman" w:hAnsi="Times New Roman" w:cs="Times New Roman" w:eastAsia="Times New Roman" w:hint="default"/>
          <w:spacing w:val="-2"/>
        </w:rPr>
        <w:t>4</w:t>
      </w:r>
      <w:r>
        <w:rPr>
          <w:spacing w:val="-2"/>
        </w:rPr>
        <w:t>家，原因为公司出资设立全资子公司北京中科金财互联网服务有</w:t>
      </w:r>
      <w:r>
        <w:rPr>
          <w:w w:val="99"/>
        </w:rPr>
        <w:t> </w:t>
      </w:r>
      <w:r>
        <w:rPr>
          <w:spacing w:val="-1"/>
        </w:rPr>
        <w:t>限公司，出资组建中科金财（上海）互联网金融信息服务有限公司、北京国信金泽投资中心（有限合</w:t>
      </w:r>
      <w:r>
        <w:rPr>
          <w:w w:val="99"/>
        </w:rPr>
        <w:t> </w:t>
      </w:r>
      <w:r>
        <w:rPr>
          <w:spacing w:val="-1"/>
        </w:rPr>
        <w:t>伙）等二家控股子公司。子公司北京中科金财投资管理有限公司出资设立控股子公司上海中科金财资</w:t>
      </w:r>
      <w:r>
        <w:rPr>
          <w:w w:val="99"/>
        </w:rPr>
        <w:t> </w:t>
      </w:r>
      <w:r>
        <w:rPr>
          <w:spacing w:val="-3"/>
          <w:w w:val="99"/>
        </w:rPr>
        <w:t>产管理中心（有限合伙）。截至</w:t>
      </w:r>
      <w:r>
        <w:rPr>
          <w:rFonts w:ascii="Times New Roman" w:hAnsi="Times New Roman" w:cs="Times New Roman" w:eastAsia="Times New Roman" w:hint="default"/>
          <w:spacing w:val="-3"/>
          <w:w w:val="99"/>
        </w:rPr>
        <w:t>2015</w:t>
      </w:r>
      <w:r>
        <w:rPr>
          <w:spacing w:val="-3"/>
          <w:w w:val="99"/>
        </w:rPr>
        <w:t>年</w:t>
      </w:r>
      <w:r>
        <w:rPr>
          <w:rFonts w:ascii="Times New Roman" w:hAnsi="Times New Roman" w:cs="Times New Roman" w:eastAsia="Times New Roman" w:hint="default"/>
          <w:spacing w:val="-3"/>
          <w:w w:val="99"/>
        </w:rPr>
        <w:t>12</w:t>
      </w:r>
      <w:r>
        <w:rPr>
          <w:spacing w:val="-3"/>
          <w:w w:val="99"/>
        </w:rPr>
        <w:t>月</w:t>
      </w:r>
      <w:r>
        <w:rPr>
          <w:rFonts w:ascii="Times New Roman" w:hAnsi="Times New Roman" w:cs="Times New Roman" w:eastAsia="Times New Roman" w:hint="default"/>
          <w:spacing w:val="-3"/>
          <w:w w:val="99"/>
        </w:rPr>
        <w:t>31</w:t>
      </w:r>
      <w:r>
        <w:rPr>
          <w:spacing w:val="-3"/>
          <w:w w:val="99"/>
        </w:rPr>
        <w:t>日，上述新投资子公司的投资款尚未支付，公司未正式</w:t>
      </w:r>
      <w:r>
        <w:rPr>
          <w:spacing w:val="-74"/>
          <w:w w:val="99"/>
        </w:rPr>
        <w:t> </w:t>
      </w:r>
      <w:r>
        <w:rPr/>
        <w:t>经营。</w:t>
      </w:r>
    </w:p>
    <w:p>
      <w:pPr>
        <w:spacing w:after="0" w:line="379"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24"/>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79</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李璟、汪沛</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6"/>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87"/>
        <w:ind w:left="153" w:right="1024" w:firstLine="0"/>
        <w:jc w:val="left"/>
        <w:rPr>
          <w:rFonts w:ascii="宋体" w:hAnsi="宋体" w:cs="宋体" w:eastAsia="宋体" w:hint="default"/>
          <w:sz w:val="20"/>
          <w:szCs w:val="20"/>
        </w:rPr>
      </w:pPr>
      <w:r>
        <w:rPr>
          <w:rFonts w:ascii="宋体" w:hAnsi="宋体" w:cs="宋体" w:eastAsia="宋体" w:hint="default"/>
          <w:sz w:val="20"/>
          <w:szCs w:val="20"/>
        </w:rPr>
        <w:t>公司报告期未发生破产重整相关事项。</w:t>
      </w:r>
    </w:p>
    <w:p>
      <w:pPr>
        <w:spacing w:line="240" w:lineRule="auto" w:before="3"/>
        <w:rPr>
          <w:rFonts w:ascii="宋体" w:hAnsi="宋体" w:cs="宋体" w:eastAsia="宋体" w:hint="default"/>
          <w:sz w:val="24"/>
          <w:szCs w:val="24"/>
        </w:rPr>
      </w:pPr>
    </w:p>
    <w:p>
      <w:pPr>
        <w:pStyle w:val="Heading2"/>
        <w:spacing w:line="240" w:lineRule="auto"/>
        <w:ind w:right="1024"/>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86"/>
        <w:ind w:left="153" w:right="1024" w:firstLine="0"/>
        <w:jc w:val="left"/>
        <w:rPr>
          <w:rFonts w:ascii="宋体" w:hAnsi="宋体" w:cs="宋体" w:eastAsia="宋体" w:hint="default"/>
          <w:sz w:val="20"/>
          <w:szCs w:val="20"/>
        </w:rPr>
      </w:pPr>
      <w:r>
        <w:rPr>
          <w:rFonts w:ascii="宋体" w:hAnsi="宋体" w:cs="宋体" w:eastAsia="宋体" w:hint="default"/>
          <w:sz w:val="20"/>
          <w:szCs w:val="20"/>
        </w:rPr>
        <w:t>本报告期公司无重大诉讼、仲裁事项。</w:t>
      </w:r>
    </w:p>
    <w:p>
      <w:pPr>
        <w:spacing w:line="240" w:lineRule="auto" w:before="3"/>
        <w:rPr>
          <w:rFonts w:ascii="宋体" w:hAnsi="宋体" w:cs="宋体" w:eastAsia="宋体" w:hint="default"/>
          <w:sz w:val="24"/>
          <w:szCs w:val="24"/>
        </w:rPr>
      </w:pPr>
    </w:p>
    <w:p>
      <w:pPr>
        <w:pStyle w:val="Heading2"/>
        <w:spacing w:line="240" w:lineRule="auto"/>
        <w:ind w:right="1024"/>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86"/>
        <w:ind w:left="153" w:right="1024" w:firstLine="0"/>
        <w:jc w:val="left"/>
        <w:rPr>
          <w:rFonts w:ascii="宋体" w:hAnsi="宋体" w:cs="宋体" w:eastAsia="宋体" w:hint="default"/>
          <w:sz w:val="20"/>
          <w:szCs w:val="20"/>
        </w:rPr>
      </w:pPr>
      <w:r>
        <w:rPr>
          <w:rFonts w:ascii="宋体" w:hAnsi="宋体" w:cs="宋体" w:eastAsia="宋体" w:hint="default"/>
          <w:sz w:val="20"/>
          <w:szCs w:val="20"/>
        </w:rPr>
        <w:t>公司报告期不存在处罚及整改情况。</w:t>
      </w:r>
    </w:p>
    <w:p>
      <w:pPr>
        <w:spacing w:line="240" w:lineRule="auto" w:before="4"/>
        <w:rPr>
          <w:rFonts w:ascii="宋体" w:hAnsi="宋体" w:cs="宋体" w:eastAsia="宋体" w:hint="default"/>
          <w:sz w:val="24"/>
          <w:szCs w:val="24"/>
        </w:rPr>
      </w:pPr>
    </w:p>
    <w:p>
      <w:pPr>
        <w:pStyle w:val="Heading2"/>
        <w:spacing w:line="240" w:lineRule="auto"/>
        <w:ind w:right="1024"/>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1024" w:firstLine="423"/>
        <w:jc w:val="left"/>
      </w:pPr>
      <w:r>
        <w:rPr>
          <w:spacing w:val="-1"/>
        </w:rPr>
        <w:t>报告期内，公司及控股股东、实际控制人依法诚信经营，信用状况良好，不存在未履行的法院生效判</w:t>
      </w:r>
      <w:r>
        <w:rPr/>
        <w:t> 决、所负数额较大的债务到期未清偿等情况。</w:t>
      </w:r>
    </w:p>
    <w:p>
      <w:pPr>
        <w:spacing w:line="240" w:lineRule="auto" w:before="11"/>
        <w:rPr>
          <w:rFonts w:ascii="宋体" w:hAnsi="宋体" w:cs="宋体" w:eastAsia="宋体" w:hint="default"/>
          <w:sz w:val="18"/>
          <w:szCs w:val="18"/>
        </w:rPr>
      </w:pPr>
    </w:p>
    <w:p>
      <w:pPr>
        <w:pStyle w:val="Heading2"/>
        <w:spacing w:line="240" w:lineRule="auto"/>
        <w:ind w:left="154" w:right="1024"/>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1024"/>
        <w:jc w:val="left"/>
      </w:pPr>
      <w:r>
        <w:rPr/>
        <w:t>公司报告期无股权激励计划、员工持股计划或其他员工激励措施及其实施情况。</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六、重大关联交易" w:id="80"/>
      <w:bookmarkEnd w:id="80"/>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both"/>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both"/>
      </w:pPr>
      <w:r>
        <w:rPr/>
        <w:t>公司报告期未发生与日常经营相关的关联交易。</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both"/>
      </w:pPr>
      <w:r>
        <w:rPr/>
        <w:t>公司报告期未发生资产或股权收购、出售的关联交易。</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both"/>
      </w:pPr>
      <w:r>
        <w:rPr/>
        <w:t>公司报告期未发生共同对外投资的关联交易。</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0"/>
        <w:jc w:val="both"/>
      </w:pPr>
      <w:r>
        <w:rPr/>
        <w:t>公司报告期不存在关联债权债务往来。</w:t>
      </w:r>
    </w:p>
    <w:p>
      <w:pPr>
        <w:spacing w:line="240" w:lineRule="auto" w:before="9"/>
        <w:rPr>
          <w:rFonts w:ascii="宋体" w:hAnsi="宋体" w:cs="宋体" w:eastAsia="宋体" w:hint="default"/>
          <w:sz w:val="25"/>
          <w:szCs w:val="25"/>
        </w:rPr>
      </w:pPr>
    </w:p>
    <w:p>
      <w:pPr>
        <w:pStyle w:val="Heading4"/>
        <w:spacing w:line="240" w:lineRule="auto"/>
        <w:ind w:left="153" w:right="0"/>
        <w:jc w:val="both"/>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499" w:lineRule="auto" w:before="77"/>
        <w:ind w:left="153" w:right="7620" w:firstLine="0"/>
        <w:jc w:val="both"/>
        <w:rPr>
          <w:rFonts w:ascii="宋体" w:hAnsi="宋体" w:cs="宋体" w:eastAsia="宋体" w:hint="default"/>
          <w:sz w:val="21"/>
          <w:szCs w:val="21"/>
        </w:rPr>
      </w:pPr>
      <w:r>
        <w:rPr>
          <w:rFonts w:ascii="宋体" w:hAnsi="宋体" w:cs="宋体" w:eastAsia="宋体" w:hint="default"/>
          <w:sz w:val="21"/>
          <w:szCs w:val="21"/>
        </w:rPr>
        <w:t>公司报告期无其他重大关联交易。 </w:t>
      </w:r>
      <w:bookmarkStart w:name="十七、重大合同及其履行情况" w:id="86"/>
      <w:bookmarkEnd w:id="86"/>
      <w:r>
        <w:rPr>
          <w:rFonts w:ascii="宋体" w:hAnsi="宋体" w:cs="宋体" w:eastAsia="宋体" w:hint="default"/>
          <w:sz w:val="21"/>
          <w:szCs w:val="21"/>
        </w:rPr>
      </w:r>
      <w:r>
        <w:rPr>
          <w:rFonts w:ascii="宋体" w:hAnsi="宋体" w:cs="宋体" w:eastAsia="宋体" w:hint="default"/>
          <w:b/>
          <w:bCs/>
          <w:sz w:val="24"/>
          <w:szCs w:val="24"/>
        </w:rPr>
        <w:t>十七、重大合同及其履行情况</w:t>
      </w:r>
      <w:r>
        <w:rPr>
          <w:rFonts w:ascii="宋体" w:hAnsi="宋体" w:cs="宋体" w:eastAsia="宋体" w:hint="default"/>
          <w:b/>
          <w:bCs/>
          <w:w w:val="99"/>
          <w:sz w:val="24"/>
          <w:szCs w:val="24"/>
        </w:rPr>
        <w:t> </w:t>
      </w:r>
      <w:bookmarkStart w:name="1、托管、承包、租赁事项情况" w:id="87"/>
      <w:bookmarkEnd w:id="8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pStyle w:val="Heading4"/>
        <w:spacing w:line="240" w:lineRule="auto" w:before="71"/>
        <w:ind w:left="153" w:right="0"/>
        <w:jc w:val="both"/>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0"/>
        <w:jc w:val="both"/>
      </w:pPr>
      <w:r>
        <w:rPr/>
        <w:t>公司报告期不存在托管情况。</w:t>
      </w:r>
    </w:p>
    <w:p>
      <w:pPr>
        <w:spacing w:line="240" w:lineRule="auto" w:before="9"/>
        <w:rPr>
          <w:rFonts w:ascii="宋体" w:hAnsi="宋体" w:cs="宋体" w:eastAsia="宋体" w:hint="default"/>
          <w:sz w:val="25"/>
          <w:szCs w:val="25"/>
        </w:rPr>
      </w:pPr>
    </w:p>
    <w:p>
      <w:pPr>
        <w:pStyle w:val="Heading4"/>
        <w:spacing w:line="240" w:lineRule="auto"/>
        <w:ind w:left="153" w:right="0"/>
        <w:jc w:val="both"/>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both"/>
      </w:pPr>
      <w:r>
        <w:rPr/>
        <w:t>公司报告期不存在承包情况。</w:t>
      </w:r>
    </w:p>
    <w:p>
      <w:pPr>
        <w:spacing w:line="240" w:lineRule="auto" w:before="9"/>
        <w:rPr>
          <w:rFonts w:ascii="宋体" w:hAnsi="宋体" w:cs="宋体" w:eastAsia="宋体" w:hint="default"/>
          <w:sz w:val="25"/>
          <w:szCs w:val="25"/>
        </w:rPr>
      </w:pPr>
    </w:p>
    <w:p>
      <w:pPr>
        <w:pStyle w:val="Heading4"/>
        <w:spacing w:line="240" w:lineRule="auto"/>
        <w:ind w:left="153" w:right="0"/>
        <w:jc w:val="both"/>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5"/>
        <w:ind w:right="1024"/>
        <w:jc w:val="left"/>
      </w:pPr>
      <w:r>
        <w:rPr/>
        <w:t>公司报告期不存在租赁情况。</w:t>
      </w:r>
    </w:p>
    <w:p>
      <w:pPr>
        <w:spacing w:line="240" w:lineRule="auto" w:before="9"/>
        <w:rPr>
          <w:rFonts w:ascii="宋体" w:hAnsi="宋体" w:cs="宋体" w:eastAsia="宋体" w:hint="default"/>
          <w:sz w:val="25"/>
          <w:szCs w:val="25"/>
        </w:rPr>
      </w:pPr>
    </w:p>
    <w:p>
      <w:pPr>
        <w:pStyle w:val="Heading4"/>
        <w:spacing w:line="240" w:lineRule="auto"/>
        <w:ind w:left="153" w:right="1024"/>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1024"/>
        <w:jc w:val="left"/>
      </w:pPr>
      <w:r>
        <w:rPr/>
        <w:t>公司报告期不存在担保情况。</w:t>
      </w:r>
    </w:p>
    <w:p>
      <w:pPr>
        <w:spacing w:line="240" w:lineRule="auto" w:before="10"/>
        <w:rPr>
          <w:rFonts w:ascii="宋体" w:hAnsi="宋体" w:cs="宋体" w:eastAsia="宋体" w:hint="default"/>
          <w:sz w:val="25"/>
          <w:szCs w:val="25"/>
        </w:rPr>
      </w:pPr>
    </w:p>
    <w:p>
      <w:pPr>
        <w:pStyle w:val="Heading4"/>
        <w:spacing w:line="240" w:lineRule="auto"/>
        <w:ind w:left="153" w:right="1024"/>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before="44"/>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41.23</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未收回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收益型</w:t>
            </w: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42.67</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未收回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115.67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115.67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6"/>
              <w:jc w:val="left"/>
              <w:rPr>
                <w:rFonts w:ascii="宋体" w:hAnsi="宋体" w:cs="宋体" w:eastAsia="宋体" w:hint="default"/>
                <w:sz w:val="18"/>
                <w:szCs w:val="18"/>
              </w:rPr>
            </w:pPr>
            <w:r>
              <w:rPr>
                <w:rFonts w:ascii="宋体" w:hAnsi="宋体" w:cs="宋体" w:eastAsia="宋体" w:hint="default"/>
                <w:sz w:val="18"/>
                <w:szCs w:val="18"/>
              </w:rPr>
              <w:t>宁波银行 股份有限</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11.89</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未收回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未收回</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收益型</w:t>
            </w: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3.04</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未收回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3.42</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未收回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未收回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5.23</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未收回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未收回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18.02</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未收回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13.25</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未收回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6"/>
              <w:jc w:val="left"/>
              <w:rPr>
                <w:rFonts w:ascii="宋体" w:hAnsi="宋体" w:cs="宋体" w:eastAsia="宋体" w:hint="default"/>
                <w:sz w:val="18"/>
                <w:szCs w:val="18"/>
              </w:rPr>
            </w:pPr>
            <w:r>
              <w:rPr>
                <w:rFonts w:ascii="宋体" w:hAnsi="宋体" w:cs="宋体" w:eastAsia="宋体" w:hint="default"/>
                <w:sz w:val="18"/>
                <w:szCs w:val="18"/>
              </w:rPr>
              <w:t>宁波银行 股份有限</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8.98</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32.49</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未收回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14.27</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未收回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厦门国际 银行股份 有限公司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9.11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w w:val="95"/>
                <w:sz w:val="18"/>
              </w:rPr>
              <w:t>9.11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国泰君安 知春路营 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国泰君安 知春路营 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国泰君安 知春路营 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国泰君安 知春路营 业部</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保本固定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厦门国际 银行股份 有限公司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厦门国际 银行股份 有限公司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9.11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w w:val="95"/>
                <w:sz w:val="18"/>
              </w:rPr>
              <w:t>9.11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10.05</w:t>
            </w: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未收回</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收益型</w:t>
            </w: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0.46</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1,447</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6"/>
              <w:jc w:val="left"/>
              <w:rPr>
                <w:rFonts w:ascii="宋体" w:hAnsi="宋体" w:cs="宋体" w:eastAsia="宋体" w:hint="default"/>
                <w:sz w:val="18"/>
                <w:szCs w:val="18"/>
              </w:rPr>
            </w:pPr>
            <w:r>
              <w:rPr>
                <w:rFonts w:ascii="宋体" w:hAnsi="宋体" w:cs="宋体" w:eastAsia="宋体" w:hint="default"/>
                <w:sz w:val="18"/>
                <w:szCs w:val="18"/>
              </w:rPr>
              <w:t>招商银行 股份有限</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3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24</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25</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284</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8.59</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750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750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11.75</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880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center"/>
              <w:rPr>
                <w:rFonts w:ascii="宋体" w:hAnsi="宋体" w:cs="宋体" w:eastAsia="宋体" w:hint="default"/>
                <w:sz w:val="18"/>
                <w:szCs w:val="18"/>
              </w:rPr>
            </w:pPr>
            <w:r>
              <w:rPr>
                <w:rFonts w:ascii="宋体" w:hAnsi="宋体" w:cs="宋体" w:eastAsia="宋体" w:hint="default"/>
                <w:sz w:val="18"/>
                <w:szCs w:val="18"/>
              </w:rPr>
              <w:t>随时赎回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880</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206,809</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187,409</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1,149.73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937.92</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暂时闲置募集资金及自有资金</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gridSpan w:val="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0" w:type="dxa"/>
            <w:gridSpan w:val="9"/>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47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470" w:type="dxa"/>
            <w:gridSpan w:val="3"/>
            <w:vMerge/>
            <w:tcBorders>
              <w:left w:val="single" w:sz="4" w:space="0" w:color="000000"/>
              <w:bottom w:val="single" w:sz="4" w:space="0" w:color="FFFFFF"/>
              <w:right w:val="single" w:sz="4" w:space="0" w:color="000000"/>
            </w:tcBorders>
            <w:shd w:val="clear" w:color="auto" w:fill="D2D2D2"/>
          </w:tcPr>
          <w:p>
            <w:pPr/>
          </w:p>
        </w:tc>
        <w:tc>
          <w:tcPr>
            <w:tcW w:w="7100" w:type="dxa"/>
            <w:gridSpan w:val="9"/>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470"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470" w:type="dxa"/>
            <w:gridSpan w:val="3"/>
            <w:vMerge/>
            <w:tcBorders>
              <w:left w:val="single" w:sz="4" w:space="0" w:color="000000"/>
              <w:bottom w:val="single" w:sz="4" w:space="0" w:color="000000"/>
              <w:right w:val="single" w:sz="4" w:space="0" w:color="000000"/>
            </w:tcBorders>
            <w:shd w:val="clear" w:color="auto" w:fill="D2D2D2"/>
          </w:tcPr>
          <w:p>
            <w:pP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24"/>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1024"/>
        <w:jc w:val="left"/>
      </w:pPr>
      <w:r>
        <w:rPr/>
        <w:t>公司报告期不存在委托贷款。</w:t>
      </w:r>
    </w:p>
    <w:p>
      <w:pPr>
        <w:spacing w:line="240" w:lineRule="auto" w:before="9"/>
        <w:rPr>
          <w:rFonts w:ascii="宋体" w:hAnsi="宋体" w:cs="宋体" w:eastAsia="宋体" w:hint="default"/>
          <w:sz w:val="25"/>
          <w:szCs w:val="25"/>
        </w:rPr>
      </w:pPr>
    </w:p>
    <w:p>
      <w:pPr>
        <w:pStyle w:val="Heading4"/>
        <w:spacing w:line="240" w:lineRule="auto"/>
        <w:ind w:left="153" w:right="1024"/>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1024"/>
        <w:jc w:val="left"/>
      </w:pPr>
      <w:r>
        <w:rPr/>
        <w:t>公司报告期不存在其他重大合同。</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十八、其他重大事项的说明" w:id="96"/>
      <w:bookmarkEnd w:id="96"/>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1024"/>
        <w:jc w:val="left"/>
      </w:pPr>
      <w:r>
        <w:rPr/>
        <w:t>公司报告期不存在需要说明的其他重大事项。</w:t>
      </w:r>
    </w:p>
    <w:p>
      <w:pPr>
        <w:spacing w:line="240" w:lineRule="auto" w:before="12"/>
        <w:rPr>
          <w:rFonts w:ascii="宋体" w:hAnsi="宋体" w:cs="宋体" w:eastAsia="宋体" w:hint="default"/>
          <w:sz w:val="23"/>
          <w:szCs w:val="23"/>
        </w:rPr>
      </w:pPr>
    </w:p>
    <w:p>
      <w:pPr>
        <w:pStyle w:val="Heading2"/>
        <w:spacing w:line="240" w:lineRule="auto"/>
        <w:ind w:left="154" w:right="1024"/>
        <w:jc w:val="left"/>
        <w:rPr>
          <w:b w:val="0"/>
          <w:bCs w:val="0"/>
        </w:rPr>
      </w:pPr>
      <w:bookmarkStart w:name="十九、公司子公司重大事项" w:id="97"/>
      <w:bookmarkEnd w:id="97"/>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二十、社会责任情况" w:id="98"/>
      <w:bookmarkEnd w:id="98"/>
      <w:r>
        <w:rPr>
          <w:b w:val="0"/>
          <w:bCs w:val="0"/>
        </w:rPr>
      </w:r>
      <w:r>
        <w:rPr/>
        <w:t>二十、社会责任情况</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024" w:firstLine="496"/>
        <w:jc w:val="left"/>
      </w:pPr>
      <w:r>
        <w:rPr>
          <w:spacing w:val="-3"/>
        </w:rPr>
        <w:t>公司上市后，在努力做好各项业务的同时，对社会责任有了更进一步的要求。</w:t>
      </w:r>
      <w:r>
        <w:rPr>
          <w:rFonts w:ascii="宋体" w:hAnsi="宋体" w:cs="宋体" w:eastAsia="宋体" w:hint="default"/>
          <w:spacing w:val="-3"/>
        </w:rPr>
        <w:t>2015</w:t>
      </w:r>
      <w:r>
        <w:rPr>
          <w:spacing w:val="-3"/>
        </w:rPr>
        <w:t>年，公司在保障股</w:t>
      </w:r>
      <w:r>
        <w:rPr/>
        <w:t> 东权益、维护员工权益等方面取得了良好的进展，现总结如下：</w:t>
      </w:r>
    </w:p>
    <w:p>
      <w:pPr>
        <w:pStyle w:val="BodyText"/>
        <w:spacing w:line="240" w:lineRule="auto"/>
        <w:ind w:left="650" w:right="1024"/>
        <w:jc w:val="left"/>
      </w:pPr>
      <w:r>
        <w:rPr/>
        <w:t>（一）股东与投资人的权益保护</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firstLine="496"/>
        <w:jc w:val="left"/>
      </w:pPr>
      <w:r>
        <w:rPr>
          <w:spacing w:val="-5"/>
        </w:rPr>
        <w:t>公司严格按照《公司法》、《证券法》、《上市公司治理准则》等法律法规要求，不断完善公司治理，</w:t>
      </w:r>
      <w:r>
        <w:rPr/>
        <w:t> </w:t>
      </w:r>
      <w:r>
        <w:rPr>
          <w:spacing w:val="-6"/>
        </w:rPr>
        <w:t>制定了《股东大会议事规则》、《董事会议事规则》、《监事会议事规则》、《对外投资管理制度》、《关</w:t>
      </w:r>
      <w:r>
        <w:rPr>
          <w:spacing w:val="-60"/>
        </w:rPr>
        <w:t> </w:t>
      </w:r>
      <w:r>
        <w:rPr>
          <w:spacing w:val="-60"/>
        </w:rPr>
      </w:r>
      <w:r>
        <w:rPr/>
        <w:t>联交易决策制度》等制度，建立了以《公司章程》为基础的内控体系，以股东大会、董事会、监事会及管</w:t>
      </w:r>
      <w:r>
        <w:rPr/>
        <w:t> 理层为主的决策与经营体系，从制度上切实保障全体股东及债权人的权益。</w:t>
      </w:r>
    </w:p>
    <w:p>
      <w:pPr>
        <w:pStyle w:val="BodyText"/>
        <w:spacing w:line="408" w:lineRule="auto"/>
        <w:ind w:right="1024" w:firstLine="496"/>
        <w:jc w:val="left"/>
      </w:pPr>
      <w:r>
        <w:rPr>
          <w:spacing w:val="-5"/>
        </w:rPr>
        <w:t>公司自成立以来，一直努力确保公司发展的持续性、成长性和竞争力，依法经营，稳步推进公司业务，</w:t>
      </w:r>
      <w:r>
        <w:rPr/>
        <w:t> 逐步巩固和深化在银行、企业、政府等行业客户中的市场领先地位，本着诚信勤勉、尽职守则的原则，努 力经营，规范运作，实现了资产、所有者权益和营业总收入的稳定增长，为投资者创造稳定的回报。</w:t>
      </w:r>
    </w:p>
    <w:p>
      <w:pPr>
        <w:pStyle w:val="BodyText"/>
        <w:spacing w:line="408" w:lineRule="auto"/>
        <w:ind w:right="1017" w:firstLine="496"/>
        <w:jc w:val="left"/>
      </w:pPr>
      <w:r>
        <w:rPr/>
        <w:t>在保护股东权益方面，</w:t>
      </w:r>
      <w:r>
        <w:rPr>
          <w:rFonts w:ascii="宋体" w:hAnsi="宋体" w:cs="宋体" w:eastAsia="宋体" w:hint="default"/>
        </w:rPr>
        <w:t>2015</w:t>
      </w:r>
      <w:r>
        <w:rPr/>
        <w:t>年公司召开了两次股东大会，大会的召集、召开、表决程序均合法有效， 符合《公司章程》及《股东大会议事规则》的规定，确保了股东对公司重大事项的知情权、参与权和表决 权。信息披露方面，公司严格按照深交所上市规则及规范运作指引的要求开展工作，所有达到信息披露标 准的事项公司都进行了公告，不存在应披露而未披露的信息。与此同时，公司积极开展与投资者的沟通交 流工作，</w:t>
      </w:r>
      <w:r>
        <w:rPr>
          <w:rFonts w:ascii="宋体" w:hAnsi="宋体" w:cs="宋体" w:eastAsia="宋体" w:hint="default"/>
        </w:rPr>
        <w:t>2015</w:t>
      </w:r>
      <w:r>
        <w:rPr/>
        <w:t>年通过接待机构投资者调研、电话交流、投资者互动平台等方式，搭建了与投资者沟通的桥 梁，增进了投资者对公司价值的了解。</w:t>
      </w:r>
    </w:p>
    <w:p>
      <w:pPr>
        <w:pStyle w:val="BodyText"/>
        <w:spacing w:line="408" w:lineRule="auto"/>
        <w:ind w:left="650" w:right="1024"/>
        <w:jc w:val="left"/>
      </w:pPr>
      <w:r>
        <w:rPr/>
        <w:t>（二）与供应商和客户精诚合作 </w:t>
      </w:r>
      <w:r>
        <w:rPr>
          <w:spacing w:val="-3"/>
        </w:rPr>
        <w:t>公司相关物资的采购，均严格选择在工商部门登记注册、合法纳税并具备与所采购规模相匹配的生产</w:t>
      </w:r>
    </w:p>
    <w:p>
      <w:pPr>
        <w:pStyle w:val="BodyText"/>
        <w:spacing w:line="408" w:lineRule="auto"/>
        <w:ind w:left="650" w:right="1024" w:hanging="496"/>
        <w:jc w:val="left"/>
      </w:pPr>
      <w:r>
        <w:rPr/>
        <w:t>制造设备的供应商，合法签订合同，实行互惠共赢，确保企业产品的质量信誉与消费者安全。 </w:t>
      </w:r>
      <w:r>
        <w:rPr>
          <w:spacing w:val="-3"/>
        </w:rPr>
        <w:t>为了提高客户满意度，公司不断提高公司产品质量及研发水平，获得了实用新型专利证书以及包括计</w:t>
      </w:r>
    </w:p>
    <w:p>
      <w:pPr>
        <w:pStyle w:val="BodyText"/>
        <w:spacing w:line="408" w:lineRule="auto"/>
        <w:ind w:left="154" w:right="1024"/>
        <w:jc w:val="left"/>
      </w:pPr>
      <w:r>
        <w:rPr>
          <w:spacing w:val="-1"/>
        </w:rPr>
        <w:t>算机信息系统集成一级资质、</w:t>
      </w:r>
      <w:r>
        <w:rPr>
          <w:rFonts w:ascii="宋体" w:hAnsi="宋体" w:cs="宋体" w:eastAsia="宋体" w:hint="default"/>
          <w:spacing w:val="-1"/>
        </w:rPr>
        <w:t>ISO27001</w:t>
      </w:r>
      <w:r>
        <w:rPr>
          <w:spacing w:val="-1"/>
        </w:rPr>
        <w:t>信息安全管理体系认证、</w:t>
      </w:r>
      <w:r>
        <w:rPr>
          <w:rFonts w:ascii="宋体" w:hAnsi="宋体" w:cs="宋体" w:eastAsia="宋体" w:hint="default"/>
          <w:spacing w:val="-1"/>
        </w:rPr>
        <w:t>IS9001:2008</w:t>
      </w:r>
      <w:r>
        <w:rPr>
          <w:spacing w:val="-1"/>
        </w:rPr>
        <w:t>质量管理体系认证、银行</w:t>
      </w:r>
      <w:r>
        <w:rPr>
          <w:rFonts w:ascii="宋体" w:hAnsi="宋体" w:cs="宋体" w:eastAsia="宋体" w:hint="default"/>
          <w:spacing w:val="-1"/>
        </w:rPr>
        <w:t>AAA</w:t>
      </w:r>
      <w:r>
        <w:rPr>
          <w:rFonts w:ascii="宋体" w:hAnsi="宋体" w:cs="宋体" w:eastAsia="宋体" w:hint="default"/>
          <w:spacing w:val="-73"/>
        </w:rPr>
        <w:t> </w:t>
      </w:r>
      <w:r>
        <w:rPr/>
        <w:t>级信用证书等各种资质，为客户提供优质的产品及服务，并不断提高公司行业声誉。</w:t>
      </w:r>
    </w:p>
    <w:p>
      <w:pPr>
        <w:pStyle w:val="BodyText"/>
        <w:spacing w:line="408" w:lineRule="auto"/>
        <w:ind w:left="650" w:right="1024"/>
        <w:jc w:val="left"/>
      </w:pPr>
      <w:r>
        <w:rPr/>
        <w:t>（三）重视员工权益和个人发展 </w:t>
      </w:r>
      <w:r>
        <w:rPr>
          <w:spacing w:val="-3"/>
        </w:rPr>
        <w:t>公司始终视人才为公司最重要的战略资源，是公司核心的生产要素。公司近年来开始建立并实施“中</w:t>
      </w:r>
    </w:p>
    <w:p>
      <w:pPr>
        <w:pStyle w:val="BodyText"/>
        <w:spacing w:line="408" w:lineRule="auto"/>
        <w:ind w:right="1024"/>
        <w:jc w:val="left"/>
      </w:pPr>
      <w:r>
        <w:rPr/>
        <w:t>科金财多层级合伙人经营责任制”，将公司划分为独立经营单元，通过建立与市场直接联系的独立核算制 进行运营，调动员工参与经营管理，从而实现全员参与的经营模式。中科金财多层级合伙人经营责任制注 重发现及培养经营人才，强调以客户为中心、全局观及组织协同性，打破了传统企业部门间的隔阂，有效 调动员工参与经营管理的自主性和积极性，极大的提升了员工的经营热情及主人翁意识。在实际经营过程 </w:t>
      </w:r>
      <w:r>
        <w:rPr>
          <w:spacing w:val="-3"/>
        </w:rPr>
        <w:t>中各经营单元体现出极强的经营智慧与合作意识，大大降低了沟通成本、交易成本、营销成本及运营成本，</w:t>
      </w:r>
      <w:r>
        <w:rPr>
          <w:spacing w:val="-90"/>
        </w:rPr>
        <w:t> </w:t>
      </w:r>
      <w:r>
        <w:rPr>
          <w:spacing w:val="-90"/>
        </w:rPr>
      </w:r>
      <w:r>
        <w:rPr/>
        <w:t>劳动生产率大幅提高，同时吸引了大量的银行、证券、保险、信托、供应链金融、咨询等各领域精英加盟</w:t>
      </w:r>
      <w:r>
        <w:rPr/>
        <w:t> 中科金财。</w:t>
      </w:r>
    </w:p>
    <w:p>
      <w:pPr>
        <w:pStyle w:val="BodyText"/>
        <w:spacing w:line="408" w:lineRule="auto"/>
        <w:ind w:right="1024" w:firstLine="496"/>
        <w:jc w:val="left"/>
      </w:pPr>
      <w:r>
        <w:rPr/>
        <w:t>公司一直非常注重提高员工的个人能力，通过各种培训及讲座提高员工业务能力和管理水平。</w:t>
      </w:r>
      <w:r>
        <w:rPr>
          <w:spacing w:val="1"/>
        </w:rPr>
        <w:t> </w:t>
      </w:r>
      <w:r>
        <w:rPr>
          <w:rFonts w:ascii="宋体" w:hAnsi="宋体" w:cs="宋体" w:eastAsia="宋体" w:hint="default"/>
        </w:rPr>
        <w:t>2015 </w:t>
      </w:r>
      <w:r>
        <w:rPr>
          <w:spacing w:val="-3"/>
        </w:rPr>
        <w:t>年公司组织了包括新员工入职培训、在职员工业务培训、管理能力提升培训及其他单场讲座等多层次培训，</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事前通过调查员工需求，寻求各种培训资源和渠道，来提高培训的有效性和效率，这些培训充分调动了员</w:t>
      </w:r>
      <w:r>
        <w:rPr>
          <w:spacing w:val="-83"/>
        </w:rPr>
        <w:t> </w:t>
      </w:r>
      <w:r>
        <w:rPr>
          <w:spacing w:val="-83"/>
        </w:rPr>
      </w:r>
      <w:r>
        <w:rPr>
          <w:spacing w:val="-1"/>
        </w:rPr>
        <w:t>工学习积极性，既能促进公司整体战略目标的实施，又能满足员工个人能力和职业发展的需求，实现企业</w:t>
      </w:r>
      <w:r>
        <w:rPr>
          <w:spacing w:val="-83"/>
        </w:rPr>
        <w:t> </w:t>
      </w:r>
      <w:r>
        <w:rPr>
          <w:spacing w:val="-83"/>
        </w:rPr>
      </w:r>
      <w:r>
        <w:rPr/>
        <w:t>和员工的共同进步，共同发展。</w:t>
      </w:r>
    </w:p>
    <w:p>
      <w:pPr>
        <w:spacing w:line="403" w:lineRule="auto" w:before="46"/>
        <w:ind w:left="153" w:right="1024" w:firstLine="496"/>
        <w:jc w:val="left"/>
        <w:rPr>
          <w:rFonts w:ascii="宋体" w:hAnsi="宋体" w:cs="宋体" w:eastAsia="宋体" w:hint="default"/>
          <w:sz w:val="18"/>
          <w:szCs w:val="18"/>
        </w:rPr>
      </w:pPr>
      <w:r>
        <w:rPr>
          <w:rFonts w:ascii="宋体" w:hAnsi="宋体" w:cs="宋体" w:eastAsia="宋体" w:hint="default"/>
          <w:spacing w:val="-3"/>
          <w:sz w:val="21"/>
          <w:szCs w:val="21"/>
        </w:rPr>
        <w:t>2016</w:t>
      </w:r>
      <w:r>
        <w:rPr>
          <w:rFonts w:ascii="宋体" w:hAnsi="宋体" w:cs="宋体" w:eastAsia="宋体" w:hint="default"/>
          <w:spacing w:val="-3"/>
          <w:sz w:val="21"/>
          <w:szCs w:val="21"/>
        </w:rPr>
        <w:t>年，公司将继续努力提升公司自身业务水平，确保股东利益，促进员工发展与成长，进一步增强</w:t>
      </w:r>
      <w:r>
        <w:rPr>
          <w:rFonts w:ascii="宋体" w:hAnsi="宋体" w:cs="宋体" w:eastAsia="宋体" w:hint="default"/>
          <w:sz w:val="21"/>
          <w:szCs w:val="21"/>
        </w:rPr>
        <w:t> 企业的社会责任感，实现商业利益与社会责任的和谐共赢。 </w:t>
      </w:r>
      <w:r>
        <w:rPr>
          <w:rFonts w:ascii="宋体" w:hAnsi="宋体" w:cs="宋体" w:eastAsia="宋体" w:hint="default"/>
          <w:sz w:val="18"/>
          <w:szCs w:val="18"/>
        </w:rPr>
        <w:t>上市公司及其子公司是否属于国家环境保护部门规定的重污染行业</w:t>
      </w:r>
    </w:p>
    <w:p>
      <w:pPr>
        <w:spacing w:line="244" w:lineRule="exact"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both"/>
        <w:rPr>
          <w:b w:val="0"/>
          <w:bCs w:val="0"/>
        </w:rPr>
      </w:pPr>
      <w:bookmarkStart w:name="二十一、公司债券相关情况" w:id="99"/>
      <w:bookmarkEnd w:id="99"/>
      <w:r>
        <w:rPr>
          <w:b w:val="0"/>
          <w:bCs w:val="0"/>
        </w:rPr>
      </w:r>
      <w:r>
        <w:rPr/>
        <w:t>二十一、公司债券相关情况</w:t>
      </w:r>
      <w:r>
        <w:rPr>
          <w:b w:val="0"/>
          <w:bCs w:val="0"/>
        </w:rPr>
      </w:r>
    </w:p>
    <w:p>
      <w:pPr>
        <w:spacing w:line="240" w:lineRule="auto" w:before="6"/>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0"/>
          <w:szCs w:val="20"/>
        </w:rPr>
      </w:pPr>
      <w:r>
        <w:rPr>
          <w:rFonts w:ascii="宋体" w:hAnsi="宋体" w:cs="宋体" w:eastAsia="宋体" w:hint="default"/>
          <w:b/>
          <w:bCs/>
          <w:sz w:val="20"/>
          <w:szCs w:val="20"/>
        </w:rPr>
        <w:t>公司是否存在公开发行并在证券交易所上市，且在年度报告批准报出日未到期或到期未能全额兑付的公司债券</w:t>
      </w:r>
      <w:r>
        <w:rPr>
          <w:rFonts w:ascii="宋体" w:hAnsi="宋体" w:cs="宋体" w:eastAsia="宋体" w:hint="default"/>
          <w:sz w:val="20"/>
          <w:szCs w:val="20"/>
        </w:rPr>
      </w:r>
    </w:p>
    <w:p>
      <w:pPr>
        <w:spacing w:before="106"/>
        <w:ind w:left="455"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left="153" w:right="0"/>
        <w:jc w:val="both"/>
        <w:rPr>
          <w:b w:val="0"/>
          <w:bCs w:val="0"/>
        </w:rPr>
      </w:pPr>
      <w:bookmarkStart w:name="1、公司债券基本信息" w:id="100"/>
      <w:bookmarkEnd w:id="100"/>
      <w:r>
        <w:rPr>
          <w:b w:val="0"/>
          <w:bCs w:val="0"/>
        </w:rPr>
      </w:r>
      <w:r>
        <w:rPr>
          <w:rFonts w:ascii="Times New Roman" w:hAnsi="Times New Roman" w:cs="Times New Roman" w:eastAsia="Times New Roman" w:hint="default"/>
        </w:rPr>
        <w:t>1</w:t>
      </w:r>
      <w:r>
        <w:rPr/>
        <w:t>、公司债券基本信息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before="44"/>
        <w:ind w:left="0" w:right="1140" w:firstLine="0"/>
        <w:jc w:val="right"/>
        <w:rPr>
          <w:rFonts w:ascii="宋体" w:hAnsi="宋体" w:cs="宋体" w:eastAsia="宋体" w:hint="default"/>
          <w:sz w:val="18"/>
          <w:szCs w:val="18"/>
        </w:rPr>
      </w:pPr>
      <w:r>
        <w:rPr/>
        <w:pict>
          <v:shape style="position:absolute;margin-left:56.459999pt;margin-top:-229.468277pt;width:479.2pt;height:323.9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58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2" w:lineRule="auto"/>
                          <w:ind w:left="22" w:right="23"/>
                          <w:jc w:val="both"/>
                          <w:rPr>
                            <w:rFonts w:ascii="宋体" w:hAnsi="宋体" w:cs="宋体" w:eastAsia="宋体" w:hint="default"/>
                            <w:sz w:val="18"/>
                            <w:szCs w:val="18"/>
                          </w:rPr>
                        </w:pPr>
                        <w:r>
                          <w:rPr>
                            <w:rFonts w:ascii="宋体" w:hAnsi="宋体" w:cs="宋体" w:eastAsia="宋体" w:hint="default"/>
                            <w:sz w:val="18"/>
                            <w:szCs w:val="18"/>
                          </w:rPr>
                          <w:t>北京中科金财 科技股份有限 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年公 司债券</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中财债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112169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24,000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6.70%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采用单利按年 计息，不计复 利。每年付息 一次，到期一 次还本，最后 一期利息随本 金的兑付一起 支付。</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附第三年末投资者回售选择权</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4"/>
                            <w:sz w:val="18"/>
                            <w:szCs w:val="18"/>
                          </w:rPr>
                          <w:t>日，公司完成了债券自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日期间的利息支付</w:t>
                        </w:r>
                      </w:p>
                    </w:tc>
                  </w:tr>
                  <w:tr>
                    <w:trPr>
                      <w:trHeight w:val="1338"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9" w:lineRule="auto"/>
                          <w:ind w:left="23" w:right="20"/>
                          <w:jc w:val="both"/>
                          <w:rPr>
                            <w:rFonts w:ascii="宋体" w:hAnsi="宋体" w:cs="宋体" w:eastAsia="宋体" w:hint="default"/>
                            <w:sz w:val="18"/>
                            <w:szCs w:val="18"/>
                          </w:rPr>
                        </w:pPr>
                        <w:r>
                          <w:rPr>
                            <w:rFonts w:ascii="宋体" w:hAnsi="宋体" w:cs="宋体" w:eastAsia="宋体" w:hint="default"/>
                            <w:sz w:val="18"/>
                            <w:szCs w:val="18"/>
                          </w:rPr>
                          <w:t>发行人有权决定是否在本次债券存续期的第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年末上调本次债券后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年的票面利率。发行人</w:t>
                        </w:r>
                        <w:r>
                          <w:rPr>
                            <w:rFonts w:ascii="宋体" w:hAnsi="宋体" w:cs="宋体" w:eastAsia="宋体" w:hint="default"/>
                            <w:sz w:val="18"/>
                            <w:szCs w:val="18"/>
                          </w:rPr>
                          <w:t> </w:t>
                        </w:r>
                        <w:r>
                          <w:rPr>
                            <w:rFonts w:ascii="宋体" w:hAnsi="宋体" w:cs="宋体" w:eastAsia="宋体" w:hint="default"/>
                            <w:spacing w:val="-3"/>
                            <w:sz w:val="18"/>
                            <w:szCs w:val="18"/>
                          </w:rPr>
                          <w:t>发出关于是否上调本次债券票面利率及上调幅度的公告后，债券持有人有权选择在本次债券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个计息年度付息日将其持有的本次债券全部或部分按面值回售给发行人。</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4"/>
        <w:spacing w:line="240" w:lineRule="auto" w:before="35"/>
        <w:ind w:right="1024"/>
        <w:jc w:val="left"/>
        <w:rPr>
          <w:b w:val="0"/>
          <w:bCs w:val="0"/>
        </w:rPr>
      </w:pPr>
      <w:bookmarkStart w:name="2、债券受托管理人和资信评级机构信息" w:id="101"/>
      <w:bookmarkEnd w:id="101"/>
      <w:r>
        <w:rPr>
          <w:b w:val="0"/>
          <w:bCs w:val="0"/>
        </w:rPr>
      </w:r>
      <w:r>
        <w:rPr>
          <w:rFonts w:ascii="Times New Roman" w:hAnsi="Times New Roman" w:cs="Times New Roman" w:eastAsia="Times New Roman" w:hint="default"/>
        </w:rPr>
        <w:t>2</w:t>
      </w:r>
      <w:r>
        <w:rPr/>
        <w:t>、债券受托管理人和资信评级机构信息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79"/>
        <w:gridCol w:w="1219"/>
        <w:gridCol w:w="1173"/>
        <w:gridCol w:w="1220"/>
        <w:gridCol w:w="1172"/>
        <w:gridCol w:w="1219"/>
        <w:gridCol w:w="1173"/>
        <w:gridCol w:w="1208"/>
      </w:tblGrid>
      <w:tr>
        <w:trPr>
          <w:trHeight w:val="401" w:hRule="exact"/>
        </w:trPr>
        <w:tc>
          <w:tcPr>
            <w:tcW w:w="956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03" w:hRule="exact"/>
        </w:trPr>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1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东北证券股份</w:t>
            </w: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2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北京市西城区</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21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高伟</w:t>
            </w: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2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010-63210619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1191"/>
        <w:gridCol w:w="1195"/>
        <w:gridCol w:w="785"/>
        <w:gridCol w:w="412"/>
        <w:gridCol w:w="1197"/>
        <w:gridCol w:w="1195"/>
        <w:gridCol w:w="1196"/>
        <w:gridCol w:w="1196"/>
        <w:gridCol w:w="1196"/>
      </w:tblGrid>
      <w:tr>
        <w:trPr>
          <w:trHeight w:val="991"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锦什坊街</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 恒奥中心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
        </w:tc>
      </w:tr>
      <w:tr>
        <w:trPr>
          <w:trHeight w:val="393"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166"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4"/>
            <w:vMerge w:val="restart"/>
            <w:tcBorders>
              <w:top w:val="single" w:sz="4" w:space="0" w:color="000000"/>
              <w:left w:val="single" w:sz="10" w:space="0" w:color="D2D2D2"/>
              <w:right w:val="single" w:sz="9" w:space="0" w:color="D2D2D2"/>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鹏元资信评估有限公司</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9" w:type="dxa"/>
            <w:gridSpan w:val="3"/>
            <w:vMerge w:val="restart"/>
            <w:tcBorders>
              <w:top w:val="single" w:sz="4" w:space="0" w:color="000000"/>
              <w:left w:val="single" w:sz="9" w:space="0" w:color="D2D2D2"/>
              <w:right w:val="single" w:sz="4" w:space="0" w:color="000000"/>
            </w:tcBorders>
          </w:tcPr>
          <w:p>
            <w:pPr>
              <w:pStyle w:val="TableParagraph"/>
              <w:spacing w:line="240" w:lineRule="auto" w:before="56"/>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号平安大厦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室</w:t>
            </w:r>
          </w:p>
        </w:tc>
      </w:tr>
      <w:tr>
        <w:trPr>
          <w:trHeight w:val="392"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gridSpan w:val="4"/>
            <w:vMerge/>
            <w:tcBorders>
              <w:left w:val="single" w:sz="10" w:space="0" w:color="D2D2D2"/>
              <w:right w:val="single" w:sz="9" w:space="0" w:color="D2D2D2"/>
            </w:tcBorders>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vMerge/>
            <w:tcBorders>
              <w:left w:val="single" w:sz="9" w:space="0" w:color="D2D2D2"/>
              <w:right w:val="single" w:sz="4" w:space="0" w:color="000000"/>
            </w:tcBorders>
          </w:tcPr>
          <w:p>
            <w:pPr/>
          </w:p>
        </w:tc>
      </w:tr>
      <w:tr>
        <w:trPr>
          <w:trHeight w:val="161"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588" w:type="dxa"/>
            <w:gridSpan w:val="4"/>
            <w:vMerge/>
            <w:tcBorders>
              <w:left w:val="single" w:sz="10" w:space="0" w:color="D2D2D2"/>
              <w:bottom w:val="single" w:sz="4" w:space="0" w:color="000000"/>
              <w:right w:val="single" w:sz="9" w:space="0" w:color="D2D2D2"/>
            </w:tcBorders>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589" w:type="dxa"/>
            <w:gridSpan w:val="3"/>
            <w:vMerge/>
            <w:tcBorders>
              <w:left w:val="single" w:sz="9" w:space="0" w:color="D2D2D2"/>
              <w:bottom w:val="single" w:sz="4" w:space="0" w:color="000000"/>
              <w:right w:val="single" w:sz="4" w:space="0" w:color="000000"/>
            </w:tcBorders>
          </w:tcPr>
          <w:p>
            <w:pPr/>
          </w:p>
        </w:tc>
      </w:tr>
      <w:tr>
        <w:trPr>
          <w:trHeight w:val="1338" w:hRule="exact"/>
        </w:trPr>
        <w:tc>
          <w:tcPr>
            <w:tcW w:w="31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c>
        <w:tc>
          <w:tcPr>
            <w:tcW w:w="412"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6"/>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97" w:type="dxa"/>
            <w:tcBorders>
              <w:top w:val="single" w:sz="4" w:space="0" w:color="000000"/>
              <w:left w:val="nil" w:sz="6" w:space="0" w:color="auto"/>
              <w:bottom w:val="single" w:sz="4" w:space="0" w:color="000000"/>
              <w:right w:val="nil" w:sz="6" w:space="0" w:color="auto"/>
            </w:tcBorders>
          </w:tcPr>
          <w:p>
            <w:pPr/>
          </w:p>
        </w:tc>
        <w:tc>
          <w:tcPr>
            <w:tcW w:w="1195"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1024"/>
        <w:jc w:val="left"/>
        <w:rPr>
          <w:b w:val="0"/>
          <w:bCs w:val="0"/>
        </w:rPr>
      </w:pPr>
      <w:r>
        <w:rPr/>
        <w:pict>
          <v:group style="position:absolute;margin-left:216.679993pt;margin-top:-79.466324pt;width:318.5pt;height:43.6pt;mso-position-horizontal-relative:page;mso-position-vertical-relative:paragraph;z-index:-1212976" coordorigin="4334,-1589" coordsize="6370,872">
            <v:group style="position:absolute;left:4334;top:-1589;width:6370;height:468" coordorigin="4334,-1589" coordsize="6370,468">
              <v:shape style="position:absolute;left:4334;top:-1589;width:6370;height:468" coordorigin="4334,-1589" coordsize="6370,468" path="m4334,-1121l10703,-1121,10703,-1589,4334,-1589,4334,-1121xe" filled="true" fillcolor="#ffffff" stroked="false">
                <v:path arrowok="t"/>
                <v:fill type="solid"/>
              </v:shape>
            </v:group>
            <v:group style="position:absolute;left:4345;top:-1121;width:2;height:393" coordorigin="4345,-1121" coordsize="2,393">
              <v:shape style="position:absolute;left:4345;top:-1121;width:2;height:393" coordorigin="4345,-1121" coordsize="0,393" path="m4345,-1121l4345,-729e" filled="false" stroked="true" strokeweight="1.140pt" strokecolor="#ffffff">
                <v:path arrowok="t"/>
              </v:shape>
            </v:group>
            <v:group style="position:absolute;left:4356;top:-1121;width:6324;height:393" coordorigin="4356,-1121" coordsize="6324,393">
              <v:shape style="position:absolute;left:4356;top:-1121;width:6324;height:393" coordorigin="4356,-1121" coordsize="6324,393" path="m4356,-729l10680,-729,10680,-1121,4356,-1121,4356,-729xe" filled="true" fillcolor="#ffffff" stroked="false">
                <v:path arrowok="t"/>
                <v:fill type="solid"/>
              </v:shape>
            </v:group>
            <w10:wrap type="none"/>
          </v:group>
        </w:pict>
      </w:r>
      <w:bookmarkStart w:name="3、公司债券募集资金使用情况" w:id="102"/>
      <w:bookmarkEnd w:id="102"/>
      <w:r>
        <w:rPr>
          <w:b w:val="0"/>
          <w:bCs w:val="0"/>
        </w:rPr>
      </w:r>
      <w:r>
        <w:rPr>
          <w:rFonts w:ascii="Times New Roman" w:hAnsi="Times New Roman" w:cs="Times New Roman" w:eastAsia="Times New Roman" w:hint="default"/>
        </w:rPr>
        <w:t>3</w:t>
      </w:r>
      <w:r>
        <w:rPr/>
        <w:t>、公司债券募集资金使用情况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44"/>
        <w:ind w:left="0" w:right="1147" w:firstLine="0"/>
        <w:jc w:val="right"/>
        <w:rPr>
          <w:rFonts w:ascii="宋体" w:hAnsi="宋体" w:cs="宋体" w:eastAsia="宋体" w:hint="default"/>
          <w:sz w:val="18"/>
          <w:szCs w:val="18"/>
        </w:rPr>
      </w:pPr>
      <w:r>
        <w:rPr/>
        <w:pict>
          <v:shape style="position:absolute;margin-left:56.459999pt;margin-top:-87.848289pt;width:479.2pt;height:158.9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3"/>
                          <w:jc w:val="left"/>
                          <w:rPr>
                            <w:rFonts w:ascii="宋体" w:hAnsi="宋体" w:cs="宋体" w:eastAsia="宋体" w:hint="default"/>
                            <w:sz w:val="18"/>
                            <w:szCs w:val="18"/>
                          </w:rPr>
                        </w:pPr>
                        <w:r>
                          <w:rPr>
                            <w:rFonts w:ascii="宋体" w:hAnsi="宋体" w:cs="宋体" w:eastAsia="宋体" w:hint="default"/>
                            <w:sz w:val="18"/>
                            <w:szCs w:val="18"/>
                          </w:rPr>
                          <w:t>根据《募集说明书》约定，公司债券募集资金用于补充流动资金。公司募集资金 的使用严格按照《募集说明书》约定的用途使用资金，并履行相应的审批程序。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43"/>
                          <w:jc w:val="left"/>
                          <w:rPr>
                            <w:rFonts w:ascii="宋体" w:hAnsi="宋体" w:cs="宋体" w:eastAsia="宋体" w:hint="default"/>
                            <w:sz w:val="18"/>
                            <w:szCs w:val="18"/>
                          </w:rPr>
                        </w:pPr>
                        <w:r>
                          <w:rPr>
                            <w:rFonts w:ascii="宋体" w:hAnsi="宋体" w:cs="宋体" w:eastAsia="宋体" w:hint="default"/>
                            <w:sz w:val="18"/>
                            <w:szCs w:val="18"/>
                          </w:rPr>
                          <w:t>经中国证券监督管理委员会《关于核准北京中科金财科技股份有限公司公开发行 </w:t>
                        </w:r>
                        <w:r>
                          <w:rPr>
                            <w:rFonts w:ascii="宋体" w:hAnsi="宋体" w:cs="宋体" w:eastAsia="宋体" w:hint="default"/>
                            <w:spacing w:val="-5"/>
                            <w:sz w:val="18"/>
                            <w:szCs w:val="18"/>
                          </w:rPr>
                          <w:t>公司债券的批复》（证监许可</w:t>
                        </w:r>
                        <w:r>
                          <w:rPr>
                            <w:rFonts w:ascii="Times New Roman" w:hAnsi="Times New Roman" w:cs="Times New Roman" w:eastAsia="Times New Roman" w:hint="default"/>
                            <w:spacing w:val="-5"/>
                            <w:sz w:val="18"/>
                            <w:szCs w:val="18"/>
                          </w:rPr>
                          <w:t>[2013]39</w:t>
                        </w:r>
                        <w:r>
                          <w:rPr>
                            <w:rFonts w:ascii="Times New Roman" w:hAnsi="Times New Roman" w:cs="Times New Roman" w:eastAsia="Times New Roman" w:hint="default"/>
                            <w:sz w:val="18"/>
                            <w:szCs w:val="18"/>
                          </w:rPr>
                          <w:t> </w:t>
                        </w:r>
                        <w:r>
                          <w:rPr>
                            <w:rFonts w:ascii="宋体" w:hAnsi="宋体" w:cs="宋体" w:eastAsia="宋体" w:hint="default"/>
                            <w:spacing w:val="-15"/>
                            <w:sz w:val="18"/>
                            <w:szCs w:val="18"/>
                          </w:rPr>
                          <w:t>号），公司于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亿元公司债券，发行利率为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w:t>
                        </w:r>
                        <w:r>
                          <w:rPr>
                            <w:rFonts w:ascii="宋体" w:hAnsi="宋体" w:cs="宋体" w:eastAsia="宋体" w:hint="default"/>
                            <w:sz w:val="18"/>
                            <w:szCs w:val="18"/>
                          </w:rPr>
                          <w:t>，扣除发行费用后，募集资金净额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23,760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公司债券募集净额汇入公司指定银行账户。</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4"/>
        <w:spacing w:line="240" w:lineRule="auto" w:before="35"/>
        <w:ind w:right="1024"/>
        <w:jc w:val="left"/>
        <w:rPr>
          <w:b w:val="0"/>
          <w:bCs w:val="0"/>
        </w:rPr>
      </w:pPr>
      <w:bookmarkStart w:name="4、公司债券信息评级情况" w:id="103"/>
      <w:bookmarkEnd w:id="103"/>
      <w:r>
        <w:rPr>
          <w:b w:val="0"/>
          <w:bCs w:val="0"/>
        </w:rPr>
      </w:r>
      <w:r>
        <w:rPr>
          <w:rFonts w:ascii="Times New Roman" w:hAnsi="Times New Roman" w:cs="Times New Roman" w:eastAsia="Times New Roman" w:hint="default"/>
        </w:rPr>
        <w:t>4</w:t>
      </w:r>
      <w:r>
        <w:rPr/>
        <w:t>、公司债券信息评级情况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211" w:firstLine="423"/>
        <w:jc w:val="both"/>
      </w:pPr>
      <w:r>
        <w:rPr/>
        <w:t>公司债券信用评级机构鹏元资信评估有限公司于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17</w:t>
      </w:r>
      <w:r>
        <w:rPr/>
        <w:t>日出具了《北京中科金财科技股份有限 公司</w:t>
      </w:r>
      <w:r>
        <w:rPr>
          <w:rFonts w:ascii="宋体" w:hAnsi="宋体" w:cs="宋体" w:eastAsia="宋体" w:hint="default"/>
        </w:rPr>
        <w:t>2012</w:t>
      </w:r>
      <w:r>
        <w:rPr/>
        <w:t>年公司债券</w:t>
      </w:r>
      <w:r>
        <w:rPr>
          <w:rFonts w:ascii="宋体" w:hAnsi="宋体" w:cs="宋体" w:eastAsia="宋体" w:hint="default"/>
        </w:rPr>
        <w:t>2015</w:t>
      </w:r>
      <w:r>
        <w:rPr/>
        <w:t>年跟踪信用评级报告》，债券信用等级为</w:t>
      </w:r>
      <w:r>
        <w:rPr>
          <w:rFonts w:ascii="宋体" w:hAnsi="宋体" w:cs="宋体" w:eastAsia="宋体" w:hint="default"/>
        </w:rPr>
        <w:t>AA</w:t>
      </w:r>
      <w:r>
        <w:rPr/>
        <w:t>，发行主体长期信用等级为</w:t>
      </w:r>
      <w:r>
        <w:rPr>
          <w:rFonts w:ascii="宋体" w:hAnsi="宋体" w:cs="宋体" w:eastAsia="宋体" w:hint="default"/>
        </w:rPr>
        <w:t>AA-</w:t>
      </w:r>
      <w:r>
        <w:rPr/>
        <w:t>，评 级展望为稳定，与</w:t>
      </w:r>
      <w:r>
        <w:rPr>
          <w:rFonts w:ascii="宋体" w:hAnsi="宋体" w:cs="宋体" w:eastAsia="宋体" w:hint="default"/>
        </w:rPr>
        <w:t>2014</w:t>
      </w:r>
      <w:r>
        <w:rPr/>
        <w:t>年信用评级结果保持一致。具体情况请参见公司</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19</w:t>
      </w:r>
      <w:r>
        <w:rPr/>
        <w:t>日刊登于巨潮资讯网</w:t>
      </w:r>
    </w:p>
    <w:p>
      <w:pPr>
        <w:pStyle w:val="BodyText"/>
        <w:spacing w:line="408" w:lineRule="auto"/>
        <w:ind w:left="577" w:right="1404" w:hanging="424"/>
        <w:jc w:val="left"/>
      </w:pPr>
      <w:r>
        <w:rPr/>
        <w:t>（</w:t>
      </w:r>
      <w:hyperlink r:id="rId11">
        <w:r>
          <w:rPr>
            <w:rFonts w:ascii="宋体" w:hAnsi="宋体" w:cs="宋体" w:eastAsia="宋体" w:hint="default"/>
          </w:rPr>
          <w:t>http://www.cninfo.com.cn</w:t>
        </w:r>
      </w:hyperlink>
      <w:r>
        <w:rPr/>
        <w:t>）上的《</w:t>
      </w:r>
      <w:r>
        <w:rPr>
          <w:rFonts w:ascii="宋体" w:hAnsi="宋体" w:cs="宋体" w:eastAsia="宋体" w:hint="default"/>
        </w:rPr>
        <w:t>2012</w:t>
      </w:r>
      <w:r>
        <w:rPr/>
        <w:t>年公司债券</w:t>
      </w:r>
      <w:r>
        <w:rPr>
          <w:rFonts w:ascii="宋体" w:hAnsi="宋体" w:cs="宋体" w:eastAsia="宋体" w:hint="default"/>
        </w:rPr>
        <w:t>2015</w:t>
      </w:r>
      <w:r>
        <w:rPr/>
        <w:t>年跟踪信用评级报告》。 鹏元资信评估有限公司拟于</w:t>
      </w:r>
      <w:r>
        <w:rPr>
          <w:rFonts w:ascii="宋体" w:hAnsi="宋体" w:cs="宋体" w:eastAsia="宋体" w:hint="default"/>
        </w:rPr>
        <w:t>2016</w:t>
      </w:r>
      <w:r>
        <w:rPr/>
        <w:t>年</w:t>
      </w:r>
      <w:r>
        <w:rPr>
          <w:rFonts w:ascii="宋体" w:hAnsi="宋体" w:cs="宋体" w:eastAsia="宋体" w:hint="default"/>
        </w:rPr>
        <w:t>5</w:t>
      </w:r>
      <w:r>
        <w:rPr/>
        <w:t>月底前出具《北京中科金财科技股份有限公司</w:t>
      </w:r>
      <w:r>
        <w:rPr>
          <w:rFonts w:ascii="宋体" w:hAnsi="宋体" w:cs="宋体" w:eastAsia="宋体" w:hint="default"/>
        </w:rPr>
        <w:t>2012</w:t>
      </w:r>
      <w:r>
        <w:rPr/>
        <w:t>年公司债券</w:t>
      </w:r>
    </w:p>
    <w:p>
      <w:pPr>
        <w:pStyle w:val="BodyText"/>
        <w:spacing w:line="408" w:lineRule="auto"/>
        <w:ind w:left="154" w:right="1024"/>
        <w:jc w:val="left"/>
      </w:pPr>
      <w:r>
        <w:rPr>
          <w:rFonts w:ascii="宋体" w:hAnsi="宋体" w:cs="宋体" w:eastAsia="宋体" w:hint="default"/>
          <w:spacing w:val="-1"/>
        </w:rPr>
        <w:t>2016</w:t>
      </w:r>
      <w:r>
        <w:rPr>
          <w:spacing w:val="-1"/>
        </w:rPr>
        <w:t>年跟踪信用评级报告》，评级结果将刊登于巨潮资讯网（</w:t>
      </w:r>
      <w:hyperlink r:id="rId11">
        <w:r>
          <w:rPr>
            <w:rFonts w:ascii="宋体" w:hAnsi="宋体" w:cs="宋体" w:eastAsia="宋体" w:hint="default"/>
            <w:spacing w:val="-1"/>
          </w:rPr>
          <w:t>http://www.cninfo.com.cn</w:t>
        </w:r>
      </w:hyperlink>
      <w:r>
        <w:rPr>
          <w:spacing w:val="-1"/>
        </w:rPr>
        <w:t>），敬请广大投</w:t>
      </w:r>
      <w:r>
        <w:rPr>
          <w:spacing w:val="-69"/>
        </w:rPr>
        <w:t> </w:t>
      </w:r>
      <w:r>
        <w:rPr>
          <w:spacing w:val="-69"/>
        </w:rPr>
      </w:r>
      <w:r>
        <w:rPr/>
        <w:t>资者关注。</w:t>
      </w:r>
    </w:p>
    <w:p>
      <w:pPr>
        <w:spacing w:line="240" w:lineRule="auto" w:before="8"/>
        <w:rPr>
          <w:rFonts w:ascii="宋体" w:hAnsi="宋体" w:cs="宋体" w:eastAsia="宋体" w:hint="default"/>
          <w:sz w:val="20"/>
          <w:szCs w:val="20"/>
        </w:rPr>
      </w:pPr>
    </w:p>
    <w:p>
      <w:pPr>
        <w:pStyle w:val="Heading4"/>
        <w:spacing w:line="240" w:lineRule="auto"/>
        <w:ind w:right="1024"/>
        <w:jc w:val="left"/>
        <w:rPr>
          <w:b w:val="0"/>
          <w:bCs w:val="0"/>
        </w:rPr>
      </w:pPr>
      <w:bookmarkStart w:name="5、公司债券增信机制、偿债计划及其他偿债保障措施" w:id="104"/>
      <w:bookmarkEnd w:id="104"/>
      <w:r>
        <w:rPr>
          <w:b w:val="0"/>
          <w:bCs w:val="0"/>
        </w:rPr>
      </w:r>
      <w:r>
        <w:rPr>
          <w:rFonts w:ascii="Times New Roman" w:hAnsi="Times New Roman" w:cs="Times New Roman" w:eastAsia="Times New Roman" w:hint="default"/>
        </w:rPr>
        <w:t>5</w:t>
      </w:r>
      <w:r>
        <w:rPr/>
        <w:t>、公司债券增信机制、偿债计划及其他偿债保障措施</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1132" w:firstLine="423"/>
        <w:jc w:val="both"/>
      </w:pPr>
      <w:r>
        <w:rPr>
          <w:spacing w:val="-1"/>
        </w:rPr>
        <w:t>报告期内，公司严格执行《公开发行公司债券募集说明书》、《</w:t>
      </w:r>
      <w:r>
        <w:rPr>
          <w:rFonts w:ascii="宋体" w:hAnsi="宋体" w:cs="宋体" w:eastAsia="宋体" w:hint="default"/>
          <w:spacing w:val="-1"/>
        </w:rPr>
        <w:t>2012</w:t>
      </w:r>
      <w:r>
        <w:rPr>
          <w:spacing w:val="-1"/>
        </w:rPr>
        <w:t>年债券上市公告书》等的约定和</w:t>
      </w:r>
      <w:r>
        <w:rPr/>
        <w:t> 承诺，公司债券增信机制、债券偿债计划及其他偿债保障措施未发生变更。</w:t>
      </w:r>
    </w:p>
    <w:p>
      <w:pPr>
        <w:pStyle w:val="BodyText"/>
        <w:spacing w:line="240" w:lineRule="auto"/>
        <w:ind w:left="577" w:right="1024"/>
        <w:jc w:val="left"/>
      </w:pP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19</w:t>
      </w:r>
      <w:r>
        <w:rPr/>
        <w:t>日，公司披露了《关于公司债券“</w:t>
      </w:r>
      <w:r>
        <w:rPr>
          <w:rFonts w:ascii="宋体" w:hAnsi="宋体" w:cs="宋体" w:eastAsia="宋体" w:hint="default"/>
        </w:rPr>
        <w:t>12</w:t>
      </w:r>
      <w:r>
        <w:rPr/>
        <w:t>中财债”票面利率不调整暨债券持有人回售实施办</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213"/>
        <w:jc w:val="both"/>
      </w:pPr>
      <w:r>
        <w:rPr/>
        <w:t>法的第一次提示性公告》；</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22</w:t>
      </w:r>
      <w:r>
        <w:rPr/>
        <w:t>日，公司披露了《关于公司债券“</w:t>
      </w:r>
      <w:r>
        <w:rPr>
          <w:rFonts w:ascii="宋体" w:hAnsi="宋体" w:cs="宋体" w:eastAsia="宋体" w:hint="default"/>
        </w:rPr>
        <w:t>12</w:t>
      </w:r>
      <w:r>
        <w:rPr/>
        <w:t>中财债”票面利率不调整暨 债券持有人回售实施办法的第二次提示性公告》；</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23</w:t>
      </w:r>
      <w:r>
        <w:rPr/>
        <w:t>日，公司披露了《关于公司债券“</w:t>
      </w:r>
      <w:r>
        <w:rPr>
          <w:rFonts w:ascii="宋体" w:hAnsi="宋体" w:cs="宋体" w:eastAsia="宋体" w:hint="default"/>
        </w:rPr>
        <w:t>12</w:t>
      </w:r>
      <w:r>
        <w:rPr/>
        <w:t>中财 债”票面利率不调整暨债券持有人回售实施办法的第三次提示性公告》，明确本期债券在存续期前 </w:t>
      </w:r>
      <w:r>
        <w:rPr>
          <w:rFonts w:ascii="宋体" w:hAnsi="宋体" w:cs="宋体" w:eastAsia="宋体" w:hint="default"/>
        </w:rPr>
        <w:t>3</w:t>
      </w:r>
      <w:r>
        <w:rPr>
          <w:rFonts w:ascii="宋体" w:hAnsi="宋体" w:cs="宋体" w:eastAsia="宋体" w:hint="default"/>
          <w:spacing w:val="1"/>
        </w:rPr>
        <w:t> </w:t>
      </w:r>
      <w:r>
        <w:rPr/>
        <w:t>年</w:t>
      </w:r>
    </w:p>
    <w:p>
      <w:pPr>
        <w:pStyle w:val="BodyText"/>
        <w:spacing w:line="408" w:lineRule="auto"/>
        <w:ind w:right="1110"/>
        <w:jc w:val="both"/>
      </w:pPr>
      <w:r>
        <w:rPr/>
        <w:t>的票面利率为 </w:t>
      </w:r>
      <w:r>
        <w:rPr>
          <w:rFonts w:ascii="宋体" w:hAnsi="宋体" w:cs="宋体" w:eastAsia="宋体" w:hint="default"/>
        </w:rPr>
        <w:t>6.70%</w:t>
      </w:r>
      <w:r>
        <w:rPr/>
        <w:t>固定不变。在本期债券的第 </w:t>
      </w:r>
      <w:r>
        <w:rPr>
          <w:rFonts w:ascii="宋体" w:hAnsi="宋体" w:cs="宋体" w:eastAsia="宋体" w:hint="default"/>
        </w:rPr>
        <w:t>3 </w:t>
      </w:r>
      <w:r>
        <w:rPr/>
        <w:t>年末，发行人有权决定是否上调后 </w:t>
      </w:r>
      <w:r>
        <w:rPr>
          <w:rFonts w:ascii="宋体" w:hAnsi="宋体" w:cs="宋体" w:eastAsia="宋体" w:hint="default"/>
        </w:rPr>
        <w:t>2</w:t>
      </w:r>
      <w:r>
        <w:rPr>
          <w:rFonts w:ascii="宋体" w:hAnsi="宋体" w:cs="宋体" w:eastAsia="宋体" w:hint="default"/>
          <w:spacing w:val="-3"/>
        </w:rPr>
        <w:t> </w:t>
      </w:r>
      <w:r>
        <w:rPr/>
        <w:t>年的票面利率， 公司选择不上调票面利率，即本期债券存续期后 </w:t>
      </w:r>
      <w:r>
        <w:rPr>
          <w:rFonts w:ascii="宋体" w:hAnsi="宋体" w:cs="宋体" w:eastAsia="宋体" w:hint="default"/>
        </w:rPr>
        <w:t>2 </w:t>
      </w:r>
      <w:r>
        <w:rPr/>
        <w:t>年的票面年利率仍为 </w:t>
      </w:r>
      <w:r>
        <w:rPr>
          <w:rFonts w:ascii="宋体" w:hAnsi="宋体" w:cs="宋体" w:eastAsia="宋体" w:hint="default"/>
        </w:rPr>
        <w:t>6.70%</w:t>
      </w:r>
      <w:r>
        <w:rPr/>
        <w:t>。</w:t>
      </w:r>
      <w:r>
        <w:rPr>
          <w:spacing w:val="-24"/>
        </w:rPr>
        <w:t> </w:t>
      </w:r>
      <w:r>
        <w:rPr/>
        <w:t>同时披露了投资者回售</w:t>
      </w:r>
      <w:r>
        <w:rPr/>
        <w:t> 本期债券的具体实施方法。</w:t>
      </w:r>
    </w:p>
    <w:p>
      <w:pPr>
        <w:pStyle w:val="BodyText"/>
        <w:spacing w:line="408" w:lineRule="auto"/>
        <w:ind w:right="1117" w:firstLine="423"/>
        <w:jc w:val="left"/>
      </w:pP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26</w:t>
      </w:r>
      <w:r>
        <w:rPr/>
        <w:t>日，公司披露了《关于“</w:t>
      </w:r>
      <w:r>
        <w:rPr>
          <w:rFonts w:ascii="宋体" w:hAnsi="宋体" w:cs="宋体" w:eastAsia="宋体" w:hint="default"/>
        </w:rPr>
        <w:t>12</w:t>
      </w:r>
      <w:r>
        <w:rPr/>
        <w:t>中财债”回售申报情况的公告》，根据中国证券登记结算有 限责任公司深圳分公司对“</w:t>
      </w:r>
      <w:r>
        <w:rPr>
          <w:rFonts w:ascii="宋体" w:hAnsi="宋体" w:cs="宋体" w:eastAsia="宋体" w:hint="default"/>
        </w:rPr>
        <w:t>12</w:t>
      </w:r>
      <w:r>
        <w:rPr/>
        <w:t>中财债””债券回售申报的统计，本次回售申报数量为：</w:t>
      </w:r>
      <w:r>
        <w:rPr>
          <w:rFonts w:ascii="宋体" w:hAnsi="宋体" w:cs="宋体" w:eastAsia="宋体" w:hint="default"/>
        </w:rPr>
        <w:t>186,180</w:t>
      </w:r>
      <w:r>
        <w:rPr>
          <w:rFonts w:ascii="宋体" w:hAnsi="宋体" w:cs="宋体" w:eastAsia="宋体" w:hint="default"/>
          <w:spacing w:val="-24"/>
        </w:rPr>
        <w:t> </w:t>
      </w:r>
      <w:r>
        <w:rPr/>
        <w:t>张，回售 申报金额为 </w:t>
      </w:r>
      <w:r>
        <w:rPr>
          <w:rFonts w:ascii="宋体" w:hAnsi="宋体" w:cs="宋体" w:eastAsia="宋体" w:hint="default"/>
        </w:rPr>
        <w:t>18,618,000</w:t>
      </w:r>
      <w:r>
        <w:rPr/>
        <w:t>元（不含利息），剩余托管数量为 </w:t>
      </w:r>
      <w:r>
        <w:rPr>
          <w:rFonts w:ascii="宋体" w:hAnsi="宋体" w:cs="宋体" w:eastAsia="宋体" w:hint="default"/>
        </w:rPr>
        <w:t>2,213,820</w:t>
      </w:r>
      <w:r>
        <w:rPr>
          <w:rFonts w:ascii="宋体" w:hAnsi="宋体" w:cs="宋体" w:eastAsia="宋体" w:hint="default"/>
          <w:spacing w:val="-2"/>
        </w:rPr>
        <w:t> </w:t>
      </w:r>
      <w:r>
        <w:rPr/>
        <w:t>张。</w:t>
      </w:r>
    </w:p>
    <w:p>
      <w:pPr>
        <w:pStyle w:val="BodyText"/>
        <w:spacing w:line="408" w:lineRule="auto"/>
        <w:ind w:right="1130" w:firstLine="423"/>
        <w:jc w:val="both"/>
      </w:pPr>
      <w:r>
        <w:rPr>
          <w:spacing w:val="-1"/>
        </w:rPr>
        <w:t>公司依约定按时足额偿付债券利息，截至报告期末，已累计支付第一、二期利息；为了充分、有效维</w:t>
      </w:r>
      <w:r>
        <w:rPr/>
        <w:t> </w:t>
      </w:r>
      <w:r>
        <w:rPr>
          <w:spacing w:val="-1"/>
        </w:rPr>
        <w:t>护债券持有人的利益，公司采取一系列具体、有效的措施来保障债券投资者到期兑付本金及利息的合法权</w:t>
      </w:r>
      <w:r>
        <w:rPr>
          <w:spacing w:val="-81"/>
        </w:rPr>
        <w:t> </w:t>
      </w:r>
      <w:r>
        <w:rPr>
          <w:spacing w:val="-81"/>
        </w:rPr>
      </w:r>
      <w:r>
        <w:rPr>
          <w:spacing w:val="-1"/>
        </w:rPr>
        <w:t>益，包括募集资金的专款专用，严格履行信息披露义务等，同时资信评级机构与受托管理人对公司的资信</w:t>
      </w:r>
      <w:r>
        <w:rPr>
          <w:spacing w:val="-83"/>
        </w:rPr>
        <w:t> </w:t>
      </w:r>
      <w:r>
        <w:rPr>
          <w:spacing w:val="-83"/>
        </w:rPr>
      </w:r>
      <w:r>
        <w:rPr/>
        <w:t>水平进行持续地跟踪和关注，确保债券安全付息、兑付的保障措施更顺利、有效地实施。</w:t>
      </w:r>
    </w:p>
    <w:p>
      <w:pPr>
        <w:pStyle w:val="BodyText"/>
        <w:spacing w:line="408" w:lineRule="auto"/>
        <w:ind w:right="1024" w:firstLine="423"/>
        <w:jc w:val="left"/>
      </w:pPr>
      <w:r>
        <w:rPr>
          <w:spacing w:val="-1"/>
        </w:rPr>
        <w:t>公司本期债券保证人为北京中关村科技融资担保有限公司（以下简称“中关村担保”），根据中关村</w:t>
      </w:r>
      <w:r>
        <w:rPr/>
        <w:t> </w:t>
      </w:r>
      <w:r>
        <w:rPr>
          <w:spacing w:val="-1"/>
        </w:rPr>
        <w:t>担保提供的</w:t>
      </w:r>
      <w:r>
        <w:rPr>
          <w:rFonts w:ascii="宋体" w:hAnsi="宋体" w:cs="宋体" w:eastAsia="宋体" w:hint="default"/>
          <w:spacing w:val="-1"/>
        </w:rPr>
        <w:t>2015</w:t>
      </w:r>
      <w:r>
        <w:rPr>
          <w:spacing w:val="-1"/>
        </w:rPr>
        <w:t>年财务报表，其</w:t>
      </w:r>
      <w:r>
        <w:rPr>
          <w:rFonts w:ascii="宋体" w:hAnsi="宋体" w:cs="宋体" w:eastAsia="宋体" w:hint="default"/>
          <w:spacing w:val="-1"/>
        </w:rPr>
        <w:t>2015</w:t>
      </w:r>
      <w:r>
        <w:rPr>
          <w:spacing w:val="-1"/>
        </w:rPr>
        <w:t>年末净资产为</w:t>
      </w:r>
      <w:r>
        <w:rPr>
          <w:rFonts w:ascii="宋体" w:hAnsi="宋体" w:cs="宋体" w:eastAsia="宋体" w:hint="default"/>
          <w:spacing w:val="-1"/>
        </w:rPr>
        <w:t>239,544.54</w:t>
      </w:r>
      <w:r>
        <w:rPr>
          <w:spacing w:val="-1"/>
        </w:rPr>
        <w:t>万元，资产负债率为</w:t>
      </w:r>
      <w:r>
        <w:rPr>
          <w:rFonts w:ascii="宋体" w:hAnsi="宋体" w:cs="宋体" w:eastAsia="宋体" w:hint="default"/>
          <w:spacing w:val="-1"/>
        </w:rPr>
        <w:t>43.51%</w:t>
      </w:r>
      <w:r>
        <w:rPr>
          <w:spacing w:val="-1"/>
        </w:rPr>
        <w:t>，净资产收益率</w:t>
      </w:r>
      <w:r>
        <w:rPr>
          <w:spacing w:val="-75"/>
        </w:rPr>
        <w:t> </w:t>
      </w:r>
      <w:r>
        <w:rPr>
          <w:spacing w:val="-75"/>
        </w:rPr>
      </w:r>
      <w:r>
        <w:rPr>
          <w:rFonts w:ascii="宋体" w:hAnsi="宋体" w:cs="宋体" w:eastAsia="宋体" w:hint="default"/>
        </w:rPr>
        <w:t>9.71%</w:t>
      </w:r>
      <w:r>
        <w:rPr/>
        <w:t>，流动比率</w:t>
      </w:r>
      <w:r>
        <w:rPr>
          <w:rFonts w:ascii="宋体" w:hAnsi="宋体" w:cs="宋体" w:eastAsia="宋体" w:hint="default"/>
        </w:rPr>
        <w:t>0.73</w:t>
      </w:r>
      <w:r>
        <w:rPr/>
        <w:t>，速动比率</w:t>
      </w:r>
      <w:r>
        <w:rPr>
          <w:rFonts w:ascii="宋体" w:hAnsi="宋体" w:cs="宋体" w:eastAsia="宋体" w:hint="default"/>
        </w:rPr>
        <w:t>0.42</w:t>
      </w:r>
      <w:r>
        <w:rPr/>
        <w:t>（以上数据已经瑞华会计师事务所（特殊普通合伙）审计），累计 对外担保余额</w:t>
      </w:r>
      <w:r>
        <w:rPr>
          <w:rFonts w:ascii="宋体" w:hAnsi="宋体" w:cs="宋体" w:eastAsia="宋体" w:hint="default"/>
        </w:rPr>
        <w:t>1,732,008.35</w:t>
      </w:r>
      <w:r>
        <w:rPr/>
        <w:t>万元，累计对外担保余额是其净资产的</w:t>
      </w:r>
      <w:r>
        <w:rPr>
          <w:rFonts w:ascii="宋体" w:hAnsi="宋体" w:cs="宋体" w:eastAsia="宋体" w:hint="default"/>
        </w:rPr>
        <w:t>7.23</w:t>
      </w:r>
      <w:r>
        <w:rPr/>
        <w:t>倍。</w:t>
      </w:r>
    </w:p>
    <w:p>
      <w:pPr>
        <w:spacing w:line="240" w:lineRule="auto" w:before="8"/>
        <w:rPr>
          <w:rFonts w:ascii="宋体" w:hAnsi="宋体" w:cs="宋体" w:eastAsia="宋体" w:hint="default"/>
          <w:sz w:val="20"/>
          <w:szCs w:val="20"/>
        </w:rPr>
      </w:pPr>
    </w:p>
    <w:p>
      <w:pPr>
        <w:spacing w:line="506" w:lineRule="auto" w:before="0"/>
        <w:ind w:left="577" w:right="7064" w:hanging="424"/>
        <w:jc w:val="left"/>
        <w:rPr>
          <w:rFonts w:ascii="宋体" w:hAnsi="宋体" w:cs="宋体" w:eastAsia="宋体" w:hint="default"/>
          <w:sz w:val="21"/>
          <w:szCs w:val="21"/>
        </w:rPr>
      </w:pPr>
      <w:bookmarkStart w:name="6、报告期内债券持有人会议的召开情况" w:id="105"/>
      <w:bookmarkEnd w:id="10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、报告期内债券持有人会议的召开情况</w:t>
      </w:r>
      <w:r>
        <w:rPr>
          <w:rFonts w:ascii="宋体" w:hAnsi="宋体" w:cs="宋体" w:eastAsia="宋体" w:hint="default"/>
          <w:b/>
          <w:bCs/>
          <w:w w:val="99"/>
          <w:sz w:val="21"/>
          <w:szCs w:val="21"/>
        </w:rPr>
        <w:t> </w:t>
      </w:r>
      <w:r>
        <w:rPr>
          <w:rFonts w:ascii="宋体" w:hAnsi="宋体" w:cs="宋体" w:eastAsia="宋体" w:hint="default"/>
          <w:sz w:val="21"/>
          <w:szCs w:val="21"/>
        </w:rPr>
        <w:t>报告期内未召开债券持有人会议。</w:t>
      </w:r>
    </w:p>
    <w:p>
      <w:pPr>
        <w:pStyle w:val="Heading4"/>
        <w:spacing w:line="240" w:lineRule="auto" w:before="105"/>
        <w:ind w:right="0"/>
        <w:jc w:val="both"/>
        <w:rPr>
          <w:b w:val="0"/>
          <w:bCs w:val="0"/>
        </w:rPr>
      </w:pPr>
      <w:bookmarkStart w:name="7、报告期内债券受托管理人履行职责的情况" w:id="106"/>
      <w:bookmarkEnd w:id="106"/>
      <w:r>
        <w:rPr>
          <w:b w:val="0"/>
          <w:bCs w:val="0"/>
        </w:rPr>
      </w:r>
      <w:r>
        <w:rPr>
          <w:rFonts w:ascii="Times New Roman" w:hAnsi="Times New Roman" w:cs="Times New Roman" w:eastAsia="Times New Roman" w:hint="default"/>
        </w:rPr>
        <w:t>7</w:t>
      </w:r>
      <w:r>
        <w:rPr/>
        <w:t>、报告期内债券受托管理人履行职责的情况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024" w:firstLine="423"/>
        <w:jc w:val="left"/>
      </w:pPr>
      <w:r>
        <w:rPr>
          <w:spacing w:val="-1"/>
        </w:rPr>
        <w:t>报告期内，东北证券作为公司债券受托管理人，持续跟踪和关注公司的资信状况，</w:t>
      </w:r>
      <w:r>
        <w:rPr>
          <w:rFonts w:ascii="宋体" w:hAnsi="宋体" w:cs="宋体" w:eastAsia="宋体" w:hint="default"/>
          <w:spacing w:val="-1"/>
        </w:rPr>
        <w:t>2015</w:t>
      </w:r>
      <w:r>
        <w:rPr>
          <w:spacing w:val="-1"/>
        </w:rPr>
        <w:t>年度公司经营</w:t>
      </w:r>
      <w:r>
        <w:rPr/>
        <w:t> 状况良好未出现可能影响债券持有人权益的事项。</w:t>
      </w:r>
    </w:p>
    <w:p>
      <w:pPr>
        <w:pStyle w:val="BodyText"/>
        <w:spacing w:line="240" w:lineRule="auto"/>
        <w:ind w:left="577" w:right="1024"/>
        <w:jc w:val="left"/>
      </w:pP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3</w:t>
      </w:r>
      <w:r>
        <w:rPr/>
        <w:t>日，东北证券出具了《北京中科金财科技股份有限公司</w:t>
      </w:r>
      <w:r>
        <w:rPr>
          <w:rFonts w:ascii="宋体" w:hAnsi="宋体" w:cs="宋体" w:eastAsia="宋体" w:hint="default"/>
        </w:rPr>
        <w:t>2012</w:t>
      </w:r>
      <w:r>
        <w:rPr>
          <w:rFonts w:ascii="宋体" w:hAnsi="宋体" w:cs="宋体" w:eastAsia="宋体" w:hint="default"/>
          <w:spacing w:val="72"/>
        </w:rPr>
        <w:t> </w:t>
      </w:r>
      <w:r>
        <w:rPr/>
        <w:t>年公司债受托管理事务报告</w:t>
      </w:r>
    </w:p>
    <w:p>
      <w:pPr>
        <w:spacing w:line="240" w:lineRule="auto" w:before="10"/>
        <w:rPr>
          <w:rFonts w:ascii="宋体" w:hAnsi="宋体" w:cs="宋体" w:eastAsia="宋体" w:hint="default"/>
          <w:sz w:val="14"/>
          <w:szCs w:val="14"/>
        </w:rPr>
      </w:pPr>
    </w:p>
    <w:p>
      <w:pPr>
        <w:pStyle w:val="BodyText"/>
        <w:spacing w:line="408" w:lineRule="auto" w:before="0"/>
        <w:ind w:right="1026"/>
        <w:jc w:val="both"/>
      </w:pPr>
      <w:r>
        <w:rPr/>
        <w:t>（</w:t>
      </w:r>
      <w:r>
        <w:rPr>
          <w:rFonts w:ascii="宋体" w:hAnsi="宋体" w:cs="宋体" w:eastAsia="宋体" w:hint="default"/>
        </w:rPr>
        <w:t>2014</w:t>
      </w:r>
      <w:r>
        <w:rPr>
          <w:rFonts w:ascii="宋体" w:hAnsi="宋体" w:cs="宋体" w:eastAsia="宋体" w:hint="default"/>
          <w:spacing w:val="29"/>
        </w:rPr>
        <w:t> </w:t>
      </w:r>
      <w:r>
        <w:rPr>
          <w:spacing w:val="-3"/>
        </w:rPr>
        <w:t>年度）》，内容详见公司</w:t>
      </w:r>
      <w:r>
        <w:rPr>
          <w:rFonts w:ascii="宋体" w:hAnsi="宋体" w:cs="宋体" w:eastAsia="宋体" w:hint="default"/>
          <w:spacing w:val="-3"/>
        </w:rPr>
        <w:t>2015</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3</w:t>
      </w:r>
      <w:r>
        <w:rPr>
          <w:spacing w:val="-3"/>
        </w:rPr>
        <w:t>日在巨潮资讯网（</w:t>
      </w:r>
      <w:hyperlink r:id="rId11">
        <w:r>
          <w:rPr>
            <w:rFonts w:ascii="宋体" w:hAnsi="宋体" w:cs="宋体" w:eastAsia="宋体" w:hint="default"/>
            <w:spacing w:val="-3"/>
          </w:rPr>
          <w:t>www.cninfo.com.cn</w:t>
        </w:r>
      </w:hyperlink>
      <w:r>
        <w:rPr>
          <w:spacing w:val="-3"/>
        </w:rPr>
        <w:t>）上刊登的《中科金财：</w:t>
      </w:r>
      <w:r>
        <w:rPr>
          <w:spacing w:val="-102"/>
        </w:rPr>
        <w:t> </w:t>
      </w:r>
      <w:r>
        <w:rPr>
          <w:spacing w:val="-102"/>
        </w:rPr>
      </w:r>
      <w:r>
        <w:rPr>
          <w:rFonts w:ascii="宋体" w:hAnsi="宋体" w:cs="宋体" w:eastAsia="宋体" w:hint="default"/>
        </w:rPr>
        <w:t>2012</w:t>
      </w:r>
      <w:r>
        <w:rPr/>
        <w:t>年公司债受托管理事务报告（</w:t>
      </w:r>
      <w:r>
        <w:rPr>
          <w:rFonts w:ascii="宋体" w:hAnsi="宋体" w:cs="宋体" w:eastAsia="宋体" w:hint="default"/>
        </w:rPr>
        <w:t>2014</w:t>
      </w:r>
      <w:r>
        <w:rPr/>
        <w:t>年度）》。</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bookmarkStart w:name="8、截至报告期末公司近2年的主要会计数据和财务指标" w:id="107"/>
      <w:bookmarkEnd w:id="107"/>
      <w:r>
        <w:rPr>
          <w:b w:val="0"/>
          <w:bCs w:val="0"/>
        </w:rPr>
      </w:r>
      <w:r>
        <w:rPr>
          <w:rFonts w:ascii="Times New Roman" w:hAnsi="Times New Roman" w:cs="Times New Roman" w:eastAsia="Times New Roman" w:hint="default"/>
        </w:rPr>
        <w:t>8</w:t>
      </w:r>
      <w:r>
        <w:rPr/>
        <w:t>、截至报告期末公司近</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16,417.14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-47,148.3</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-29,880.45</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-57.79%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-2,840.18</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20,762.19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-113.68%</w:t>
            </w:r>
            <w:r>
              <w:rPr>
                <w:rFonts w:ascii="Times New Roman"/>
                <w:spacing w:val="-1"/>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67,757.98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3"/>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4"/>
        <w:ind w:right="1195" w:firstLine="423"/>
        <w:jc w:val="left"/>
      </w:pPr>
      <w:r>
        <w:rPr>
          <w:rFonts w:ascii="宋体" w:hAnsi="宋体" w:cs="宋体" w:eastAsia="宋体" w:hint="default"/>
        </w:rPr>
        <w:t>1</w:t>
      </w:r>
      <w:r>
        <w:rPr/>
        <w:t>、息税折旧摊销前利润较上年同期增长</w:t>
      </w:r>
      <w:r>
        <w:rPr>
          <w:rFonts w:ascii="宋体" w:hAnsi="宋体" w:cs="宋体" w:eastAsia="宋体" w:hint="default"/>
        </w:rPr>
        <w:t>70.61%</w:t>
      </w:r>
      <w:r>
        <w:rPr/>
        <w:t>，主要系本期合并利润表合并滨河创新全年数据，上 期合并利润表只合并滨河创新</w:t>
      </w:r>
      <w:r>
        <w:rPr>
          <w:rFonts w:ascii="宋体" w:hAnsi="宋体" w:cs="宋体" w:eastAsia="宋体" w:hint="default"/>
        </w:rPr>
        <w:t>12</w:t>
      </w:r>
      <w:r>
        <w:rPr/>
        <w:t>月一个月的数据所致。</w:t>
      </w:r>
    </w:p>
    <w:p>
      <w:pPr>
        <w:pStyle w:val="BodyText"/>
        <w:spacing w:line="408" w:lineRule="auto"/>
        <w:ind w:right="1195" w:firstLine="423"/>
        <w:jc w:val="left"/>
      </w:pPr>
      <w:r>
        <w:rPr>
          <w:rFonts w:ascii="宋体" w:hAnsi="宋体" w:cs="宋体" w:eastAsia="宋体" w:hint="default"/>
        </w:rPr>
        <w:t>2</w:t>
      </w:r>
      <w:r>
        <w:rPr/>
        <w:t>、投资活动产生的现金流量净额较上年同期下降</w:t>
      </w:r>
      <w:r>
        <w:rPr>
          <w:rFonts w:ascii="宋体" w:hAnsi="宋体" w:cs="宋体" w:eastAsia="宋体" w:hint="default"/>
        </w:rPr>
        <w:t>57.79%</w:t>
      </w:r>
      <w:r>
        <w:rPr/>
        <w:t>，主要系公司本期投资安粮期货及大金所等 参股公司所致。</w:t>
      </w:r>
    </w:p>
    <w:p>
      <w:pPr>
        <w:pStyle w:val="BodyText"/>
        <w:spacing w:line="408" w:lineRule="auto"/>
        <w:ind w:right="1024" w:firstLine="423"/>
        <w:jc w:val="left"/>
      </w:pPr>
      <w:r>
        <w:rPr>
          <w:rFonts w:ascii="宋体" w:hAnsi="宋体" w:cs="宋体" w:eastAsia="宋体" w:hint="default"/>
          <w:spacing w:val="-1"/>
        </w:rPr>
        <w:t>3</w:t>
      </w:r>
      <w:r>
        <w:rPr>
          <w:spacing w:val="-1"/>
        </w:rPr>
        <w:t>、筹资活动产生的现金流量净额较上年同期下降</w:t>
      </w:r>
      <w:r>
        <w:rPr>
          <w:rFonts w:ascii="宋体" w:hAnsi="宋体" w:cs="宋体" w:eastAsia="宋体" w:hint="default"/>
          <w:spacing w:val="-1"/>
        </w:rPr>
        <w:t>113.68%</w:t>
      </w:r>
      <w:r>
        <w:rPr>
          <w:spacing w:val="-1"/>
        </w:rPr>
        <w:t>，主要系公司上期收到收购滨河创新股权定</w:t>
      </w:r>
      <w:r>
        <w:rPr/>
        <w:t> 向募集配套资金及本期归还银行短期借款较上期减少所致。</w:t>
      </w:r>
    </w:p>
    <w:p>
      <w:pPr>
        <w:pStyle w:val="BodyText"/>
        <w:spacing w:line="408" w:lineRule="auto"/>
        <w:ind w:left="154" w:right="1194" w:firstLine="423"/>
        <w:jc w:val="left"/>
      </w:pPr>
      <w:r>
        <w:rPr>
          <w:rFonts w:ascii="宋体" w:hAnsi="宋体" w:cs="宋体" w:eastAsia="宋体" w:hint="default"/>
        </w:rPr>
        <w:t>4</w:t>
      </w:r>
      <w:r>
        <w:rPr/>
        <w:t>、流动比率较上年同期下降</w:t>
      </w:r>
      <w:r>
        <w:rPr>
          <w:rFonts w:ascii="宋体" w:hAnsi="宋体" w:cs="宋体" w:eastAsia="宋体" w:hint="default"/>
        </w:rPr>
        <w:t>43.81%</w:t>
      </w:r>
      <w:r>
        <w:rPr/>
        <w:t>，主要系公司本期投资安粮期货及大金所等参股公司导致流动资 产减少及公司当年新增部分应付账款未到约定付款期导致流动负债增加所致。</w:t>
      </w:r>
    </w:p>
    <w:p>
      <w:pPr>
        <w:pStyle w:val="BodyText"/>
        <w:spacing w:line="408" w:lineRule="auto"/>
        <w:ind w:right="1195" w:firstLine="423"/>
        <w:jc w:val="left"/>
      </w:pPr>
      <w:r>
        <w:rPr>
          <w:rFonts w:ascii="宋体" w:hAnsi="宋体" w:cs="宋体" w:eastAsia="宋体" w:hint="default"/>
        </w:rPr>
        <w:t>5</w:t>
      </w:r>
      <w:r>
        <w:rPr/>
        <w:t>、</w:t>
      </w:r>
      <w:r>
        <w:rPr>
          <w:rFonts w:ascii="宋体" w:hAnsi="宋体" w:cs="宋体" w:eastAsia="宋体" w:hint="default"/>
        </w:rPr>
        <w:t>EBITDA</w:t>
      </w:r>
      <w:r>
        <w:rPr/>
        <w:t>全部债务比较上年同期增加</w:t>
      </w:r>
      <w:r>
        <w:rPr>
          <w:rFonts w:ascii="宋体" w:hAnsi="宋体" w:cs="宋体" w:eastAsia="宋体" w:hint="default"/>
        </w:rPr>
        <w:t>41.41%</w:t>
      </w:r>
      <w:r>
        <w:rPr/>
        <w:t>，主要系本期合并利润表合并滨河创新全年数据，上期 合并利润表只合并滨河创新</w:t>
      </w:r>
      <w:r>
        <w:rPr>
          <w:rFonts w:ascii="宋体" w:hAnsi="宋体" w:cs="宋体" w:eastAsia="宋体" w:hint="default"/>
        </w:rPr>
        <w:t>12</w:t>
      </w:r>
      <w:r>
        <w:rPr/>
        <w:t>月一个月的数据所致。</w:t>
      </w:r>
    </w:p>
    <w:p>
      <w:pPr>
        <w:pStyle w:val="BodyText"/>
        <w:spacing w:line="408" w:lineRule="auto"/>
        <w:ind w:right="1195" w:firstLine="423"/>
        <w:jc w:val="left"/>
      </w:pPr>
      <w:r>
        <w:rPr>
          <w:rFonts w:ascii="宋体" w:hAnsi="宋体" w:cs="宋体" w:eastAsia="宋体" w:hint="default"/>
        </w:rPr>
        <w:t>6</w:t>
      </w:r>
      <w:r>
        <w:rPr/>
        <w:t>、利息保障倍数较上年同期增加</w:t>
      </w:r>
      <w:r>
        <w:rPr>
          <w:rFonts w:ascii="宋体" w:hAnsi="宋体" w:cs="宋体" w:eastAsia="宋体" w:hint="default"/>
        </w:rPr>
        <w:t>98.92%</w:t>
      </w:r>
      <w:r>
        <w:rPr/>
        <w:t>，主要系本期合并利润表合并滨河创新全年数据，上期合并 利润表只合并滨河创新</w:t>
      </w:r>
      <w:r>
        <w:rPr>
          <w:rFonts w:ascii="宋体" w:hAnsi="宋体" w:cs="宋体" w:eastAsia="宋体" w:hint="default"/>
        </w:rPr>
        <w:t>12</w:t>
      </w:r>
      <w:r>
        <w:rPr/>
        <w:t>月一个月的数据所致。</w:t>
      </w:r>
    </w:p>
    <w:p>
      <w:pPr>
        <w:pStyle w:val="BodyText"/>
        <w:spacing w:line="408" w:lineRule="auto"/>
        <w:ind w:right="1195" w:firstLine="423"/>
        <w:jc w:val="left"/>
      </w:pPr>
      <w:r>
        <w:rPr>
          <w:rFonts w:ascii="宋体" w:hAnsi="宋体" w:cs="宋体" w:eastAsia="宋体" w:hint="default"/>
        </w:rPr>
        <w:t>7</w:t>
      </w:r>
      <w:r>
        <w:rPr/>
        <w:t>、现金利息保障倍数较上年同期增长</w:t>
      </w:r>
      <w:r>
        <w:rPr>
          <w:rFonts w:ascii="宋体" w:hAnsi="宋体" w:cs="宋体" w:eastAsia="宋体" w:hint="default"/>
        </w:rPr>
        <w:t>82.53%</w:t>
      </w:r>
      <w:r>
        <w:rPr/>
        <w:t>，主要系本期合并现金流量表合并滨河创新全年数据， 上期合并现金流量表只合并滨河创新</w:t>
      </w:r>
      <w:r>
        <w:rPr>
          <w:rFonts w:ascii="宋体" w:hAnsi="宋体" w:cs="宋体" w:eastAsia="宋体" w:hint="default"/>
        </w:rPr>
        <w:t>12</w:t>
      </w:r>
      <w:r>
        <w:rPr/>
        <w:t>月一个月的数据所致。</w:t>
      </w:r>
    </w:p>
    <w:p>
      <w:pPr>
        <w:pStyle w:val="BodyText"/>
        <w:spacing w:line="240" w:lineRule="auto"/>
        <w:ind w:left="577" w:right="1024"/>
        <w:jc w:val="left"/>
      </w:pPr>
      <w:r>
        <w:rPr>
          <w:rFonts w:ascii="宋体" w:hAnsi="宋体" w:cs="宋体" w:eastAsia="宋体" w:hint="default"/>
        </w:rPr>
        <w:t>8</w:t>
      </w:r>
      <w:r>
        <w:rPr/>
        <w:t>、</w:t>
      </w:r>
      <w:r>
        <w:rPr>
          <w:rFonts w:ascii="宋体" w:hAnsi="宋体" w:cs="宋体" w:eastAsia="宋体" w:hint="default"/>
        </w:rPr>
        <w:t>EBITDA</w:t>
      </w:r>
      <w:r>
        <w:rPr/>
        <w:t>利息保障倍数较上年同期增长</w:t>
      </w:r>
      <w:r>
        <w:rPr>
          <w:rFonts w:ascii="宋体" w:hAnsi="宋体" w:cs="宋体" w:eastAsia="宋体" w:hint="default"/>
        </w:rPr>
        <w:t>78.24%</w:t>
      </w:r>
      <w:r>
        <w:rPr/>
        <w:t>，主要系本期合并利润表合并滨河创新全年数据，上</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24"/>
        <w:jc w:val="left"/>
      </w:pPr>
      <w:r>
        <w:rPr/>
        <w:t>期合并利润表只合并滨河创新</w:t>
      </w:r>
      <w:r>
        <w:rPr>
          <w:rFonts w:ascii="宋体" w:hAnsi="宋体" w:cs="宋体" w:eastAsia="宋体" w:hint="default"/>
        </w:rPr>
        <w:t>12</w:t>
      </w:r>
      <w:r>
        <w:rPr/>
        <w:t>月一个月的数据所致。</w:t>
      </w:r>
    </w:p>
    <w:p>
      <w:pPr>
        <w:spacing w:line="240" w:lineRule="auto" w:before="0"/>
        <w:rPr>
          <w:rFonts w:ascii="宋体" w:hAnsi="宋体" w:cs="宋体" w:eastAsia="宋体" w:hint="default"/>
          <w:sz w:val="20"/>
          <w:szCs w:val="20"/>
        </w:rPr>
      </w:pPr>
    </w:p>
    <w:p>
      <w:pPr>
        <w:pStyle w:val="Heading4"/>
        <w:spacing w:line="240" w:lineRule="auto" w:before="154"/>
        <w:ind w:right="1024"/>
        <w:jc w:val="left"/>
        <w:rPr>
          <w:b w:val="0"/>
          <w:bCs w:val="0"/>
        </w:rPr>
      </w:pPr>
      <w:bookmarkStart w:name="9、截至报告期末的资产权利受限情况" w:id="108"/>
      <w:bookmarkEnd w:id="108"/>
      <w:r>
        <w:rPr>
          <w:b w:val="0"/>
          <w:bCs w:val="0"/>
        </w:rPr>
      </w:r>
      <w:r>
        <w:rPr>
          <w:rFonts w:ascii="Times New Roman" w:hAnsi="Times New Roman" w:cs="Times New Roman" w:eastAsia="Times New Roman" w:hint="default"/>
        </w:rPr>
        <w:t>9</w:t>
      </w:r>
      <w:r>
        <w:rPr/>
        <w:t>、截至报告期末的资产权利受限情况</w:t>
      </w:r>
      <w:r>
        <w:rPr>
          <w:b w:val="0"/>
          <w:bCs w:val="0"/>
        </w:rPr>
      </w:r>
    </w:p>
    <w:p>
      <w:pPr>
        <w:spacing w:line="240" w:lineRule="auto" w:before="3"/>
        <w:rPr>
          <w:rFonts w:ascii="宋体" w:hAnsi="宋体" w:cs="宋体" w:eastAsia="宋体" w:hint="default"/>
          <w:b/>
          <w:bCs/>
          <w:sz w:val="23"/>
          <w:szCs w:val="23"/>
        </w:rPr>
      </w:pPr>
    </w:p>
    <w:p>
      <w:pPr>
        <w:spacing w:before="44"/>
        <w:ind w:left="0" w:right="280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719" w:type="dxa"/>
        <w:tblLayout w:type="fixed"/>
        <w:tblCellMar>
          <w:top w:w="0" w:type="dxa"/>
          <w:left w:w="0" w:type="dxa"/>
          <w:bottom w:w="0" w:type="dxa"/>
          <w:right w:w="0" w:type="dxa"/>
        </w:tblCellMar>
        <w:tblLook w:val="01E0"/>
      </w:tblPr>
      <w:tblGrid>
        <w:gridCol w:w="3826"/>
        <w:gridCol w:w="1984"/>
        <w:gridCol w:w="2001"/>
      </w:tblGrid>
      <w:tr>
        <w:trPr>
          <w:trHeight w:val="342"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2"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20,574,628.12</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保函保证金未到期</w:t>
            </w:r>
          </w:p>
        </w:tc>
      </w:tr>
      <w:tr>
        <w:trPr>
          <w:trHeight w:val="342"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应收账款余额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78,790,644.45</w:t>
            </w:r>
          </w:p>
        </w:tc>
        <w:tc>
          <w:tcPr>
            <w:tcW w:w="2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质押</w:t>
            </w:r>
          </w:p>
        </w:tc>
      </w:tr>
      <w:tr>
        <w:trPr>
          <w:trHeight w:val="343" w:hRule="exact"/>
        </w:trPr>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99,365,272.57</w:t>
            </w:r>
          </w:p>
        </w:tc>
        <w:tc>
          <w:tcPr>
            <w:tcW w:w="20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line="506" w:lineRule="auto" w:before="35"/>
        <w:ind w:left="575" w:right="5061" w:hanging="422"/>
        <w:jc w:val="left"/>
        <w:rPr>
          <w:rFonts w:ascii="宋体" w:hAnsi="宋体" w:cs="宋体" w:eastAsia="宋体" w:hint="default"/>
          <w:sz w:val="21"/>
          <w:szCs w:val="21"/>
        </w:rPr>
      </w:pPr>
      <w:bookmarkStart w:name="10、报告期内对其他债券和债务融资工具的付息兑付情况" w:id="109"/>
      <w:bookmarkEnd w:id="109"/>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、报告期内对其他债券和债务融资工具的付息兑付情况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报告期内，公司未发行其他债券和债务融资工具。</w:t>
      </w:r>
    </w:p>
    <w:p>
      <w:pPr>
        <w:pStyle w:val="Heading4"/>
        <w:spacing w:line="240" w:lineRule="auto" w:before="105"/>
        <w:ind w:right="1024"/>
        <w:jc w:val="left"/>
        <w:rPr>
          <w:b w:val="0"/>
          <w:bCs w:val="0"/>
        </w:rPr>
      </w:pPr>
      <w:bookmarkStart w:name="11、报告期内获得的银行授信情况、使用情况以及偿还银行贷款的情况" w:id="110"/>
      <w:bookmarkEnd w:id="110"/>
      <w:r>
        <w:rPr>
          <w:b w:val="0"/>
          <w:bCs w:val="0"/>
        </w:rPr>
      </w:r>
      <w:r>
        <w:rPr>
          <w:rFonts w:ascii="Times New Roman" w:hAnsi="Times New Roman" w:cs="Times New Roman" w:eastAsia="Times New Roman" w:hint="default"/>
        </w:rPr>
        <w:t>11</w:t>
      </w:r>
      <w:r>
        <w:rPr/>
        <w:t>、报告期内获得的银行授信情况、使用情况以及偿还银行贷款的情况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649" w:right="1437"/>
        <w:jc w:val="left"/>
      </w:pPr>
      <w:r>
        <w:rPr/>
        <w:t>报告期内，公司获得商业银行授信额度共计人民币</w:t>
      </w:r>
      <w:r>
        <w:rPr>
          <w:rFonts w:ascii="宋体" w:hAnsi="宋体" w:cs="宋体" w:eastAsia="宋体" w:hint="default"/>
        </w:rPr>
        <w:t>4</w:t>
      </w:r>
      <w:r>
        <w:rPr/>
        <w:t>亿元、美元</w:t>
      </w:r>
      <w:r>
        <w:rPr>
          <w:rFonts w:ascii="宋体" w:hAnsi="宋体" w:cs="宋体" w:eastAsia="宋体" w:hint="default"/>
        </w:rPr>
        <w:t>300</w:t>
      </w:r>
      <w:r>
        <w:rPr/>
        <w:t>万元。 报告期末公司占用银行授信额度为人民币</w:t>
      </w:r>
      <w:r>
        <w:rPr>
          <w:rFonts w:ascii="宋体" w:hAnsi="宋体" w:cs="宋体" w:eastAsia="宋体" w:hint="default"/>
        </w:rPr>
        <w:t>5489.46</w:t>
      </w:r>
      <w:r>
        <w:rPr/>
        <w:t>万元、美元</w:t>
      </w:r>
      <w:r>
        <w:rPr>
          <w:rFonts w:ascii="宋体" w:hAnsi="宋体" w:cs="宋体" w:eastAsia="宋体" w:hint="default"/>
        </w:rPr>
        <w:t>15.28</w:t>
      </w:r>
      <w:r>
        <w:rPr/>
        <w:t>万元。 报告期内公司累计偿还银行贷款人民币</w:t>
      </w:r>
      <w:r>
        <w:rPr>
          <w:rFonts w:ascii="宋体" w:hAnsi="宋体" w:cs="宋体" w:eastAsia="宋体" w:hint="default"/>
        </w:rPr>
        <w:t>4496.17</w:t>
      </w:r>
      <w:r>
        <w:rPr/>
        <w:t>万元、美元</w:t>
      </w:r>
      <w:r>
        <w:rPr>
          <w:rFonts w:ascii="宋体" w:hAnsi="宋体" w:cs="宋体" w:eastAsia="宋体" w:hint="default"/>
        </w:rPr>
        <w:t>59.93</w:t>
      </w:r>
      <w:r>
        <w:rPr/>
        <w:t>万元，展期</w:t>
      </w:r>
      <w:r>
        <w:rPr>
          <w:rFonts w:ascii="宋体" w:hAnsi="宋体" w:cs="宋体" w:eastAsia="宋体" w:hint="default"/>
        </w:rPr>
        <w:t>0</w:t>
      </w:r>
      <w:r>
        <w:rPr/>
        <w:t>万元，减免</w:t>
      </w:r>
      <w:r>
        <w:rPr>
          <w:rFonts w:ascii="宋体" w:hAnsi="宋体" w:cs="宋体" w:eastAsia="宋体" w:hint="default"/>
        </w:rPr>
        <w:t>0</w:t>
      </w:r>
      <w:r>
        <w:rPr/>
        <w:t>万元。</w:t>
      </w:r>
    </w:p>
    <w:p>
      <w:pPr>
        <w:spacing w:line="240" w:lineRule="auto" w:before="8"/>
        <w:rPr>
          <w:rFonts w:ascii="宋体" w:hAnsi="宋体" w:cs="宋体" w:eastAsia="宋体" w:hint="default"/>
          <w:sz w:val="20"/>
          <w:szCs w:val="20"/>
        </w:rPr>
      </w:pPr>
    </w:p>
    <w:p>
      <w:pPr>
        <w:pStyle w:val="Heading4"/>
        <w:spacing w:line="240" w:lineRule="auto"/>
        <w:ind w:left="153" w:right="1024"/>
        <w:jc w:val="left"/>
        <w:rPr>
          <w:b w:val="0"/>
          <w:bCs w:val="0"/>
        </w:rPr>
      </w:pPr>
      <w:bookmarkStart w:name="12、报告期内执行公司债券募集说明书相关约定或承诺的情况" w:id="111"/>
      <w:bookmarkEnd w:id="111"/>
      <w:r>
        <w:rPr>
          <w:b w:val="0"/>
          <w:bCs w:val="0"/>
        </w:rPr>
      </w:r>
      <w:r>
        <w:rPr>
          <w:rFonts w:ascii="Times New Roman" w:hAnsi="Times New Roman" w:cs="Times New Roman" w:eastAsia="Times New Roman" w:hint="default"/>
        </w:rPr>
        <w:t>12</w:t>
      </w:r>
      <w:r>
        <w:rPr/>
        <w:t>、报告期内执行公司债券募集说明书相关约定或承诺的情况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1024" w:firstLine="496"/>
        <w:jc w:val="left"/>
      </w:pPr>
      <w:r>
        <w:rPr>
          <w:spacing w:val="-5"/>
        </w:rPr>
        <w:t>报告期内，公司及公司债券受托管理人、资信评级机构均严格执行相关法律法规及《债券募集说明书》</w:t>
      </w:r>
      <w:r>
        <w:rPr/>
        <w:t> 的相关约定，勤勉尽责地履行相关权利、义务。公司积极筹备资金按时足额兑付利息，并定期、不定期披 露公司债相关信息，保证债券持有人的权益不受侵害。</w:t>
      </w:r>
    </w:p>
    <w:p>
      <w:pPr>
        <w:spacing w:line="240" w:lineRule="auto" w:before="8"/>
        <w:rPr>
          <w:rFonts w:ascii="宋体" w:hAnsi="宋体" w:cs="宋体" w:eastAsia="宋体" w:hint="default"/>
          <w:sz w:val="20"/>
          <w:szCs w:val="20"/>
        </w:rPr>
      </w:pPr>
    </w:p>
    <w:p>
      <w:pPr>
        <w:spacing w:line="568" w:lineRule="auto" w:before="0"/>
        <w:ind w:left="649" w:right="6687" w:hanging="496"/>
        <w:jc w:val="left"/>
        <w:rPr>
          <w:rFonts w:ascii="宋体" w:hAnsi="宋体" w:cs="宋体" w:eastAsia="宋体" w:hint="default"/>
          <w:sz w:val="21"/>
          <w:szCs w:val="21"/>
        </w:rPr>
      </w:pPr>
      <w:bookmarkStart w:name="13、报告期内发生的重大事项" w:id="112"/>
      <w:bookmarkEnd w:id="112"/>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、报告期内发生的重大事项</w:t>
      </w:r>
      <w:r>
        <w:rPr>
          <w:rFonts w:ascii="宋体" w:hAnsi="宋体" w:cs="宋体" w:eastAsia="宋体" w:hint="default"/>
          <w:b/>
          <w:bCs/>
          <w:w w:val="99"/>
          <w:sz w:val="21"/>
          <w:szCs w:val="21"/>
        </w:rPr>
        <w:t> </w:t>
      </w:r>
      <w:r>
        <w:rPr>
          <w:rFonts w:ascii="宋体" w:hAnsi="宋体" w:cs="宋体" w:eastAsia="宋体" w:hint="default"/>
          <w:sz w:val="21"/>
          <w:szCs w:val="21"/>
        </w:rPr>
        <w:t>报告期内，公司债券未发生重大事项。</w:t>
      </w:r>
    </w:p>
    <w:p>
      <w:pPr>
        <w:pStyle w:val="Heading4"/>
        <w:spacing w:line="240" w:lineRule="auto" w:before="128"/>
        <w:ind w:left="153" w:right="1024"/>
        <w:jc w:val="left"/>
        <w:rPr>
          <w:b w:val="0"/>
          <w:bCs w:val="0"/>
        </w:rPr>
      </w:pPr>
      <w:bookmarkStart w:name="14、公司债券是否存在保证人" w:id="113"/>
      <w:bookmarkEnd w:id="113"/>
      <w:r>
        <w:rPr>
          <w:b w:val="0"/>
          <w:bCs w:val="0"/>
        </w:rPr>
      </w:r>
      <w:r>
        <w:rPr>
          <w:rFonts w:ascii="Times New Roman" w:hAnsi="Times New Roman" w:cs="Times New Roman" w:eastAsia="Times New Roman" w:hint="default"/>
        </w:rPr>
        <w:t>14</w:t>
      </w:r>
      <w:r>
        <w:rPr/>
        <w:t>、公司债券是否存在保证人</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公司债券的保证人是否为法人或其他组织</w:t>
      </w:r>
    </w:p>
    <w:p>
      <w:pPr>
        <w:spacing w:line="338" w:lineRule="auto" w:before="43"/>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r>
        <w:rPr>
          <w:rFonts w:ascii="宋体" w:hAnsi="宋体" w:cs="宋体" w:eastAsia="宋体" w:hint="default"/>
          <w:spacing w:val="-2"/>
          <w:sz w:val="18"/>
          <w:szCs w:val="18"/>
        </w:rPr>
        <w:t>是否披露保证人报告期财务报表，包括资产负债表、利润表、现金流量表、所有者权益（股东权益）变动表和财务报表附注</w:t>
      </w:r>
    </w:p>
    <w:p>
      <w:pPr>
        <w:spacing w:before="42"/>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1024"/>
        <w:jc w:val="left"/>
        <w:rPr>
          <w:b w:val="0"/>
          <w:bCs w:val="0"/>
        </w:rPr>
      </w:pPr>
      <w:bookmarkStart w:name="_TOC_250005" w:id="114"/>
      <w:bookmarkStart w:name="第六节 股份变动及股东情况" w:id="115"/>
      <w:r>
        <w:rPr>
          <w:b w:val="0"/>
          <w:bCs w:val="0"/>
        </w:rPr>
      </w:r>
      <w:r>
        <w:rPr/>
        <w:t>第六节</w:t>
      </w:r>
      <w:r>
        <w:rPr>
          <w:spacing w:val="-10"/>
        </w:rPr>
        <w:t> </w:t>
      </w:r>
      <w:r>
        <w:rPr/>
        <w:t>股份变动及股东情况</w:t>
      </w:r>
      <w:bookmarkEnd w:id="11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4"/>
        <w:jc w:val="left"/>
        <w:rPr>
          <w:b w:val="0"/>
          <w:bCs w:val="0"/>
        </w:rPr>
      </w:pPr>
      <w:bookmarkStart w:name="一、股份变动情况" w:id="116"/>
      <w:bookmarkEnd w:id="11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股份变动情况" w:id="117"/>
      <w:bookmarkEnd w:id="11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3"/>
        <w:gridCol w:w="1004"/>
        <w:gridCol w:w="851"/>
        <w:gridCol w:w="851"/>
        <w:gridCol w:w="708"/>
        <w:gridCol w:w="992"/>
        <w:gridCol w:w="994"/>
        <w:gridCol w:w="992"/>
        <w:gridCol w:w="1123"/>
        <w:gridCol w:w="794"/>
      </w:tblGrid>
      <w:tr>
        <w:trPr>
          <w:trHeight w:val="205"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3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7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4537" w:type="dxa"/>
            <w:gridSpan w:val="5"/>
            <w:vMerge/>
            <w:tcBorders>
              <w:left w:val="single" w:sz="4" w:space="0" w:color="000000"/>
              <w:bottom w:val="single" w:sz="4" w:space="0" w:color="000000"/>
              <w:right w:val="single" w:sz="4" w:space="0" w:color="000000"/>
            </w:tcBorders>
            <w:shd w:val="clear" w:color="auto" w:fill="D2D2D2"/>
          </w:tcPr>
          <w:p>
            <w:pPr/>
          </w:p>
        </w:tc>
        <w:tc>
          <w:tcPr>
            <w:tcW w:w="191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253"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6"/>
                <w:sz w:val="18"/>
                <w:szCs w:val="18"/>
              </w:rPr>
              <w:t>一、有限售条件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94,645,223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59.72%</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94,645,223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-64,944,671</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29,700,552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124,345,775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39.23%</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 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94,645,223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59.72%</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94,645,223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-64,944,671</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29,700,552</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124,345,775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39.23%</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6"/>
                <w:sz w:val="18"/>
                <w:szCs w:val="18"/>
              </w:rPr>
              <w:t>其中：境内法人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center"/>
              <w:rPr>
                <w:rFonts w:ascii="Times New Roman" w:hAnsi="Times New Roman" w:cs="Times New Roman" w:eastAsia="Times New Roman" w:hint="default"/>
                <w:sz w:val="18"/>
                <w:szCs w:val="18"/>
              </w:rPr>
            </w:pPr>
            <w:r>
              <w:rPr>
                <w:rFonts w:ascii="Times New Roman"/>
                <w:sz w:val="18"/>
              </w:rPr>
              <w:t>3,921,833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3,921,833</w:t>
            </w: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3,921,833</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7,843,666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9" w:firstLine="540"/>
              <w:jc w:val="left"/>
              <w:rPr>
                <w:rFonts w:ascii="宋体" w:hAnsi="宋体" w:cs="宋体" w:eastAsia="宋体" w:hint="default"/>
                <w:sz w:val="18"/>
                <w:szCs w:val="18"/>
              </w:rPr>
            </w:pPr>
            <w:r>
              <w:rPr>
                <w:rFonts w:ascii="宋体" w:hAnsi="宋体" w:cs="宋体" w:eastAsia="宋体" w:hint="default"/>
                <w:sz w:val="18"/>
                <w:szCs w:val="18"/>
              </w:rPr>
              <w:t>境内自 然人持股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90,723,390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57.24%</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90,723,390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-64,944,671</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25,778,719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116,502,109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36.75%</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6"/>
                <w:sz w:val="18"/>
                <w:szCs w:val="18"/>
              </w:rPr>
              <w:t>二、无限售条件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63,844,328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40.28%</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63,844,328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64,944,671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128,788,999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192,633,327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60.77%</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 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63,844,328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40.28%</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63,844,328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64,944,671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128,788,999</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192,633,327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60.77%</w:t>
            </w:r>
          </w:p>
        </w:tc>
      </w:tr>
      <w:tr>
        <w:trPr>
          <w:trHeight w:val="45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7"/>
              <w:ind w:left="37" w:right="0"/>
              <w:jc w:val="center"/>
              <w:rPr>
                <w:rFonts w:ascii="Times New Roman" w:hAnsi="Times New Roman" w:cs="Times New Roman" w:eastAsia="Times New Roman" w:hint="default"/>
                <w:sz w:val="18"/>
                <w:szCs w:val="18"/>
              </w:rPr>
            </w:pPr>
            <w:r>
              <w:rPr>
                <w:rFonts w:ascii="Times New Roman"/>
                <w:sz w:val="18"/>
              </w:rPr>
              <w:t>158,489,551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z w:val="18"/>
              </w:rPr>
              <w:t>158,489,551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z w:val="18"/>
              </w:rPr>
              <w:t>158,489,551</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z w:val="18"/>
              </w:rPr>
              <w:t>316,979,102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z w:val="18"/>
              </w:rPr>
              <w:t>100.00%</w:t>
            </w:r>
          </w:p>
        </w:tc>
      </w:tr>
    </w:tbl>
    <w:p>
      <w:pPr>
        <w:spacing w:before="35"/>
        <w:ind w:left="154" w:right="1024" w:firstLine="0"/>
        <w:jc w:val="left"/>
        <w:rPr>
          <w:rFonts w:ascii="宋体" w:hAnsi="宋体" w:cs="宋体" w:eastAsia="宋体" w:hint="default"/>
          <w:sz w:val="20"/>
          <w:szCs w:val="20"/>
        </w:rPr>
      </w:pPr>
      <w:r>
        <w:rPr>
          <w:rFonts w:ascii="宋体" w:hAnsi="宋体" w:cs="宋体" w:eastAsia="宋体" w:hint="default"/>
          <w:b/>
          <w:bCs/>
          <w:sz w:val="20"/>
          <w:szCs w:val="20"/>
        </w:rPr>
        <w:t>股份变动的原因</w:t>
      </w:r>
      <w:r>
        <w:rPr>
          <w:rFonts w:ascii="宋体" w:hAnsi="宋体" w:cs="宋体" w:eastAsia="宋体" w:hint="default"/>
          <w:sz w:val="20"/>
          <w:szCs w:val="20"/>
        </w:rPr>
      </w:r>
    </w:p>
    <w:p>
      <w:pPr>
        <w:spacing w:before="107"/>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22" w:firstLine="496"/>
        <w:jc w:val="left"/>
      </w:pPr>
      <w:r>
        <w:rPr>
          <w:rFonts w:ascii="宋体" w:hAnsi="宋体" w:cs="宋体" w:eastAsia="宋体" w:hint="default"/>
        </w:rPr>
        <w:t>1.</w:t>
      </w:r>
      <w:r>
        <w:rPr/>
        <w:t>公司于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15</w:t>
      </w:r>
      <w:r>
        <w:rPr/>
        <w:t>日第三届董事会第十三次会议审议通过了</w:t>
      </w:r>
      <w:r>
        <w:rPr>
          <w:rFonts w:ascii="宋体" w:hAnsi="宋体" w:cs="宋体" w:eastAsia="宋体" w:hint="default"/>
        </w:rPr>
        <w:t>2014</w:t>
      </w:r>
      <w:r>
        <w:rPr/>
        <w:t>年度利润分配方案，公司</w:t>
      </w:r>
      <w:r>
        <w:rPr>
          <w:rFonts w:ascii="宋体" w:hAnsi="宋体" w:cs="宋体" w:eastAsia="宋体" w:hint="default"/>
        </w:rPr>
        <w:t>2014</w:t>
      </w:r>
      <w:r>
        <w:rPr/>
        <w:t>年 年度利润分配方案如下：以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158,489,551</w:t>
      </w:r>
      <w:r>
        <w:rPr/>
        <w:t>股为基数，向全体股东按每</w:t>
      </w:r>
      <w:r>
        <w:rPr>
          <w:rFonts w:ascii="宋体" w:hAnsi="宋体" w:cs="宋体" w:eastAsia="宋体" w:hint="default"/>
        </w:rPr>
        <w:t>10</w:t>
      </w:r>
      <w:r>
        <w:rPr/>
        <w:t>股派发 现金红利</w:t>
      </w:r>
      <w:r>
        <w:rPr>
          <w:rFonts w:ascii="宋体" w:hAnsi="宋体" w:cs="宋体" w:eastAsia="宋体" w:hint="default"/>
        </w:rPr>
        <w:t>0.60</w:t>
      </w:r>
      <w:r>
        <w:rPr/>
        <w:t>元（含税）；同时进行资本公积金转增股本，向全体股东每</w:t>
      </w:r>
      <w:r>
        <w:rPr>
          <w:rFonts w:ascii="宋体" w:hAnsi="宋体" w:cs="宋体" w:eastAsia="宋体" w:hint="default"/>
        </w:rPr>
        <w:t>10</w:t>
      </w:r>
      <w:r>
        <w:rPr/>
        <w:t>股转增</w:t>
      </w:r>
      <w:r>
        <w:rPr>
          <w:rFonts w:ascii="宋体" w:hAnsi="宋体" w:cs="宋体" w:eastAsia="宋体" w:hint="default"/>
        </w:rPr>
        <w:t>10</w:t>
      </w:r>
      <w:r>
        <w:rPr/>
        <w:t>股，共计转增 </w:t>
      </w:r>
      <w:r>
        <w:rPr>
          <w:rFonts w:ascii="宋体" w:hAnsi="宋体" w:cs="宋体" w:eastAsia="宋体" w:hint="default"/>
        </w:rPr>
        <w:t>158,489,551</w:t>
      </w:r>
      <w:r>
        <w:rPr/>
        <w:t>股，转增后公司总股本增加至</w:t>
      </w:r>
      <w:r>
        <w:rPr>
          <w:rFonts w:ascii="宋体" w:hAnsi="宋体" w:cs="宋体" w:eastAsia="宋体" w:hint="default"/>
        </w:rPr>
        <w:t>316,979,102</w:t>
      </w:r>
      <w:r>
        <w:rPr/>
        <w:t>股。上述现金股利及转增股份已于</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20</w:t>
      </w:r>
      <w:r>
        <w:rPr/>
        <w:t>日 记入股东账户。</w:t>
      </w:r>
    </w:p>
    <w:p>
      <w:pPr>
        <w:pStyle w:val="BodyText"/>
        <w:spacing w:line="408" w:lineRule="auto"/>
        <w:ind w:right="1024" w:firstLine="496"/>
        <w:jc w:val="left"/>
      </w:pPr>
      <w:r>
        <w:rPr>
          <w:rFonts w:ascii="宋体" w:hAnsi="宋体" w:cs="宋体" w:eastAsia="宋体" w:hint="default"/>
          <w:spacing w:val="-3"/>
        </w:rPr>
        <w:t>2.</w:t>
      </w:r>
      <w:r>
        <w:rPr>
          <w:spacing w:val="-3"/>
        </w:rPr>
        <w:t>公司股东沈飒、陈绪华、蔡迦所持股份于</w:t>
      </w:r>
      <w:r>
        <w:rPr>
          <w:rFonts w:ascii="宋体" w:hAnsi="宋体" w:cs="宋体" w:eastAsia="宋体" w:hint="default"/>
          <w:spacing w:val="-3"/>
        </w:rPr>
        <w:t>2015</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28</w:t>
      </w:r>
      <w:r>
        <w:rPr>
          <w:spacing w:val="-3"/>
        </w:rPr>
        <w:t>日解除限售。陈绪华于</w:t>
      </w:r>
      <w:r>
        <w:rPr>
          <w:rFonts w:ascii="宋体" w:hAnsi="宋体" w:cs="宋体" w:eastAsia="宋体" w:hint="default"/>
          <w:spacing w:val="-3"/>
        </w:rPr>
        <w:t>2013</w:t>
      </w:r>
      <w:r>
        <w:rPr>
          <w:spacing w:val="-3"/>
        </w:rPr>
        <w:t>年</w:t>
      </w:r>
      <w:r>
        <w:rPr>
          <w:rFonts w:ascii="宋体" w:hAnsi="宋体" w:cs="宋体" w:eastAsia="宋体" w:hint="default"/>
          <w:spacing w:val="-3"/>
        </w:rPr>
        <w:t>7</w:t>
      </w:r>
      <w:r>
        <w:rPr>
          <w:spacing w:val="-3"/>
        </w:rPr>
        <w:t>月由于任期届</w:t>
      </w:r>
      <w:r>
        <w:rPr/>
        <w:t> 满不再担任公司董事，蔡迦于</w:t>
      </w:r>
      <w:r>
        <w:rPr>
          <w:rFonts w:ascii="宋体" w:hAnsi="宋体" w:cs="宋体" w:eastAsia="宋体" w:hint="default"/>
        </w:rPr>
        <w:t>2015</w:t>
      </w:r>
      <w:r>
        <w:rPr/>
        <w:t>年</w:t>
      </w:r>
      <w:r>
        <w:rPr>
          <w:rFonts w:ascii="宋体" w:hAnsi="宋体" w:cs="宋体" w:eastAsia="宋体" w:hint="default"/>
        </w:rPr>
        <w:t>1</w:t>
      </w:r>
      <w:r>
        <w:rPr/>
        <w:t>月辞去公司董事一职，三位股东所持股份的限售情况发生变化。</w:t>
      </w:r>
    </w:p>
    <w:p>
      <w:pPr>
        <w:pStyle w:val="BodyText"/>
        <w:spacing w:line="240" w:lineRule="auto"/>
        <w:ind w:left="650" w:right="1024"/>
        <w:jc w:val="left"/>
      </w:pPr>
      <w:r>
        <w:rPr>
          <w:rFonts w:ascii="宋体" w:hAnsi="宋体" w:cs="宋体" w:eastAsia="宋体" w:hint="default"/>
        </w:rPr>
        <w:t>3.</w:t>
      </w:r>
      <w:r>
        <w:rPr/>
        <w:t>公司董事长朱烨东于</w:t>
      </w:r>
      <w:r>
        <w:rPr>
          <w:rFonts w:ascii="宋体" w:hAnsi="宋体" w:cs="宋体" w:eastAsia="宋体" w:hint="default"/>
        </w:rPr>
        <w:t>2015</w:t>
      </w:r>
      <w:r>
        <w:rPr/>
        <w:t>年</w:t>
      </w:r>
      <w:r>
        <w:rPr>
          <w:rFonts w:ascii="宋体" w:hAnsi="宋体" w:cs="宋体" w:eastAsia="宋体" w:hint="default"/>
        </w:rPr>
        <w:t>12</w:t>
      </w:r>
      <w:r>
        <w:rPr/>
        <w:t>月增持公司股份</w:t>
      </w:r>
      <w:r>
        <w:rPr>
          <w:rFonts w:ascii="宋体" w:hAnsi="宋体" w:cs="宋体" w:eastAsia="宋体" w:hint="default"/>
        </w:rPr>
        <w:t>453,740</w:t>
      </w:r>
      <w:r>
        <w:rPr/>
        <w:t>股，全部为高管锁定股。</w:t>
      </w:r>
    </w:p>
    <w:p>
      <w:pPr>
        <w:spacing w:line="240" w:lineRule="auto" w:before="10"/>
        <w:rPr>
          <w:rFonts w:ascii="宋体" w:hAnsi="宋体" w:cs="宋体" w:eastAsia="宋体" w:hint="default"/>
          <w:sz w:val="14"/>
          <w:szCs w:val="14"/>
        </w:rPr>
      </w:pPr>
    </w:p>
    <w:p>
      <w:pPr>
        <w:pStyle w:val="BodyText"/>
        <w:spacing w:line="408" w:lineRule="auto" w:before="0"/>
        <w:ind w:right="1123" w:firstLine="496"/>
        <w:jc w:val="left"/>
      </w:pPr>
      <w:r>
        <w:rPr>
          <w:rFonts w:ascii="宋体" w:hAnsi="宋体" w:cs="宋体" w:eastAsia="宋体" w:hint="default"/>
          <w:spacing w:val="-2"/>
        </w:rPr>
        <w:t>4.</w:t>
      </w:r>
      <w:r>
        <w:rPr>
          <w:spacing w:val="-2"/>
        </w:rPr>
        <w:t>章超英所持股份于</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月卖出</w:t>
      </w:r>
      <w:r>
        <w:rPr>
          <w:rFonts w:ascii="宋体" w:hAnsi="宋体" w:cs="宋体" w:eastAsia="宋体" w:hint="default"/>
          <w:spacing w:val="-2"/>
        </w:rPr>
        <w:t>16,032</w:t>
      </w:r>
      <w:r>
        <w:rPr>
          <w:spacing w:val="-2"/>
        </w:rPr>
        <w:t>股，</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月章超英辞去公司副总经理一职，其所持股份</w:t>
      </w:r>
      <w:r>
        <w:rPr/>
        <w:t> 目前全部为高管锁定股。</w:t>
      </w:r>
    </w:p>
    <w:p>
      <w:pPr>
        <w:spacing w:after="0" w:line="40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1024" w:firstLine="0"/>
        <w:jc w:val="left"/>
        <w:rPr>
          <w:rFonts w:ascii="宋体" w:hAnsi="宋体" w:cs="宋体" w:eastAsia="宋体" w:hint="default"/>
          <w:sz w:val="18"/>
          <w:szCs w:val="18"/>
        </w:rPr>
      </w:pPr>
      <w:r>
        <w:rPr>
          <w:rFonts w:ascii="宋体" w:hAnsi="宋体" w:cs="宋体" w:eastAsia="宋体" w:hint="default"/>
          <w:b/>
          <w:bCs/>
          <w:sz w:val="18"/>
          <w:szCs w:val="18"/>
        </w:rPr>
        <w:t>股份变动的批准情况</w:t>
      </w:r>
      <w:r>
        <w:rPr>
          <w:rFonts w:ascii="宋体" w:hAnsi="宋体" w:cs="宋体" w:eastAsia="宋体" w:hint="default"/>
          <w:sz w:val="18"/>
          <w:szCs w:val="18"/>
        </w:rPr>
      </w:r>
    </w:p>
    <w:p>
      <w:pPr>
        <w:spacing w:before="11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left="577" w:right="1024"/>
        <w:jc w:val="left"/>
      </w:pPr>
      <w:r>
        <w:rPr/>
        <w:t>公司</w:t>
      </w:r>
      <w:r>
        <w:rPr>
          <w:rFonts w:ascii="宋体" w:hAnsi="宋体" w:cs="宋体" w:eastAsia="宋体" w:hint="default"/>
        </w:rPr>
        <w:t>2014</w:t>
      </w:r>
      <w:r>
        <w:rPr/>
        <w:t>年年度股东大会审议通过了</w:t>
      </w:r>
      <w:r>
        <w:rPr>
          <w:rFonts w:ascii="宋体" w:hAnsi="宋体" w:cs="宋体" w:eastAsia="宋体" w:hint="default"/>
        </w:rPr>
        <w:t>2014</w:t>
      </w:r>
      <w:r>
        <w:rPr/>
        <w:t>年年度利润分配方案。</w:t>
      </w:r>
    </w:p>
    <w:p>
      <w:pPr>
        <w:spacing w:before="103"/>
        <w:ind w:left="153" w:right="1024" w:firstLine="0"/>
        <w:jc w:val="left"/>
        <w:rPr>
          <w:rFonts w:ascii="宋体" w:hAnsi="宋体" w:cs="宋体" w:eastAsia="宋体" w:hint="default"/>
          <w:sz w:val="18"/>
          <w:szCs w:val="18"/>
        </w:rPr>
      </w:pPr>
      <w:r>
        <w:rPr>
          <w:rFonts w:ascii="宋体" w:hAnsi="宋体" w:cs="宋体" w:eastAsia="宋体" w:hint="default"/>
          <w:b/>
          <w:bCs/>
          <w:sz w:val="18"/>
          <w:szCs w:val="18"/>
        </w:rPr>
        <w:t>股份变动的过户情况</w:t>
      </w:r>
      <w:r>
        <w:rPr>
          <w:rFonts w:ascii="宋体" w:hAnsi="宋体" w:cs="宋体" w:eastAsia="宋体" w:hint="default"/>
          <w:sz w:val="18"/>
          <w:szCs w:val="18"/>
        </w:rPr>
      </w:r>
    </w:p>
    <w:p>
      <w:pPr>
        <w:spacing w:before="11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403" w:lineRule="auto" w:before="155"/>
        <w:ind w:left="153" w:right="1024" w:firstLine="423"/>
        <w:jc w:val="left"/>
        <w:rPr>
          <w:rFonts w:ascii="宋体" w:hAnsi="宋体" w:cs="宋体" w:eastAsia="宋体" w:hint="default"/>
          <w:sz w:val="18"/>
          <w:szCs w:val="18"/>
        </w:rPr>
      </w:pPr>
      <w:r>
        <w:rPr>
          <w:rFonts w:ascii="宋体" w:hAnsi="宋体" w:cs="宋体" w:eastAsia="宋体" w:hint="default"/>
          <w:spacing w:val="-1"/>
          <w:sz w:val="21"/>
          <w:szCs w:val="21"/>
        </w:rPr>
        <w:t>2015</w:t>
      </w:r>
      <w:r>
        <w:rPr>
          <w:rFonts w:ascii="宋体" w:hAnsi="宋体" w:cs="宋体" w:eastAsia="宋体" w:hint="default"/>
          <w:spacing w:val="-1"/>
          <w:sz w:val="21"/>
          <w:szCs w:val="21"/>
        </w:rPr>
        <w:t>年</w:t>
      </w:r>
      <w:r>
        <w:rPr>
          <w:rFonts w:ascii="宋体" w:hAnsi="宋体" w:cs="宋体" w:eastAsia="宋体" w:hint="default"/>
          <w:spacing w:val="-1"/>
          <w:sz w:val="21"/>
          <w:szCs w:val="21"/>
        </w:rPr>
        <w:t>3</w:t>
      </w:r>
      <w:r>
        <w:rPr>
          <w:rFonts w:ascii="宋体" w:hAnsi="宋体" w:cs="宋体" w:eastAsia="宋体" w:hint="default"/>
          <w:spacing w:val="-1"/>
          <w:sz w:val="21"/>
          <w:szCs w:val="21"/>
        </w:rPr>
        <w:t>月</w:t>
      </w:r>
      <w:r>
        <w:rPr>
          <w:rFonts w:ascii="宋体" w:hAnsi="宋体" w:cs="宋体" w:eastAsia="宋体" w:hint="default"/>
          <w:spacing w:val="-1"/>
          <w:sz w:val="21"/>
          <w:szCs w:val="21"/>
        </w:rPr>
        <w:t>20</w:t>
      </w:r>
      <w:r>
        <w:rPr>
          <w:rFonts w:ascii="宋体" w:hAnsi="宋体" w:cs="宋体" w:eastAsia="宋体" w:hint="default"/>
          <w:spacing w:val="-1"/>
          <w:sz w:val="21"/>
          <w:szCs w:val="21"/>
        </w:rPr>
        <w:t>日，中国证券登记结算有限公司深圳分公司将资本公积金转增股本</w:t>
      </w:r>
      <w:r>
        <w:rPr>
          <w:rFonts w:ascii="宋体" w:hAnsi="宋体" w:cs="宋体" w:eastAsia="宋体" w:hint="default"/>
          <w:spacing w:val="-1"/>
          <w:sz w:val="21"/>
          <w:szCs w:val="21"/>
        </w:rPr>
        <w:t>158,489,551</w:t>
      </w:r>
      <w:r>
        <w:rPr>
          <w:rFonts w:ascii="宋体" w:hAnsi="宋体" w:cs="宋体" w:eastAsia="宋体" w:hint="default"/>
          <w:spacing w:val="-1"/>
          <w:sz w:val="21"/>
          <w:szCs w:val="21"/>
        </w:rPr>
        <w:t>股记入各</w:t>
      </w:r>
      <w:r>
        <w:rPr>
          <w:rFonts w:ascii="宋体" w:hAnsi="宋体" w:cs="宋体" w:eastAsia="宋体" w:hint="default"/>
          <w:sz w:val="21"/>
          <w:szCs w:val="21"/>
        </w:rPr>
        <w:t> 股东账户。 </w:t>
      </w:r>
      <w:r>
        <w:rPr>
          <w:rFonts w:ascii="宋体" w:hAnsi="宋体" w:cs="宋体" w:eastAsia="宋体" w:hint="default"/>
          <w:b/>
          <w:bCs/>
          <w:sz w:val="18"/>
          <w:szCs w:val="18"/>
        </w:rPr>
        <w:t>股份变动对最近一年和最近一期基本每股收益和稀释每股收益、归属于公司普通股股东的每股净资产等财务指标的影响</w:t>
      </w:r>
      <w:r>
        <w:rPr>
          <w:rFonts w:ascii="宋体" w:hAnsi="宋体" w:cs="宋体" w:eastAsia="宋体" w:hint="default"/>
          <w:sz w:val="18"/>
          <w:szCs w:val="18"/>
        </w:rPr>
      </w:r>
    </w:p>
    <w:p>
      <w:pPr>
        <w:spacing w:line="243" w:lineRule="exact"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1024" w:firstLine="423"/>
        <w:jc w:val="left"/>
      </w:pPr>
      <w:r>
        <w:rPr>
          <w:rFonts w:ascii="宋体" w:hAnsi="宋体" w:cs="宋体" w:eastAsia="宋体" w:hint="default"/>
          <w:spacing w:val="-1"/>
        </w:rPr>
        <w:t>2015</w:t>
      </w:r>
      <w:r>
        <w:rPr>
          <w:spacing w:val="-1"/>
        </w:rPr>
        <w:t>年度公司每股收益</w:t>
      </w:r>
      <w:r>
        <w:rPr>
          <w:rFonts w:ascii="宋体" w:hAnsi="宋体" w:cs="宋体" w:eastAsia="宋体" w:hint="default"/>
          <w:spacing w:val="-1"/>
        </w:rPr>
        <w:t>0.51</w:t>
      </w:r>
      <w:r>
        <w:rPr>
          <w:spacing w:val="-1"/>
        </w:rPr>
        <w:t>元，每股净资产</w:t>
      </w:r>
      <w:r>
        <w:rPr>
          <w:rFonts w:ascii="宋体" w:hAnsi="宋体" w:cs="宋体" w:eastAsia="宋体" w:hint="default"/>
          <w:spacing w:val="-1"/>
        </w:rPr>
        <w:t>5.21</w:t>
      </w:r>
      <w:r>
        <w:rPr>
          <w:spacing w:val="-1"/>
        </w:rPr>
        <w:t>元。如公司报告期内不进行资本公积转增股本，则报</w:t>
      </w:r>
      <w:r>
        <w:rPr/>
        <w:t> 告期每股收益</w:t>
      </w:r>
      <w:r>
        <w:rPr>
          <w:rFonts w:ascii="宋体" w:hAnsi="宋体" w:cs="宋体" w:eastAsia="宋体" w:hint="default"/>
        </w:rPr>
        <w:t>1.01</w:t>
      </w:r>
      <w:r>
        <w:rPr/>
        <w:t>元，每股净资产</w:t>
      </w:r>
      <w:r>
        <w:rPr>
          <w:rFonts w:ascii="宋体" w:hAnsi="宋体" w:cs="宋体" w:eastAsia="宋体" w:hint="default"/>
        </w:rPr>
        <w:t>10.42</w:t>
      </w:r>
      <w:r>
        <w:rPr/>
        <w:t>元。</w:t>
      </w:r>
    </w:p>
    <w:p>
      <w:pPr>
        <w:spacing w:before="34"/>
        <w:ind w:left="153" w:right="1024" w:firstLine="0"/>
        <w:jc w:val="left"/>
        <w:rPr>
          <w:rFonts w:ascii="宋体" w:hAnsi="宋体" w:cs="宋体" w:eastAsia="宋体" w:hint="default"/>
          <w:sz w:val="18"/>
          <w:szCs w:val="18"/>
        </w:rPr>
      </w:pPr>
      <w:r>
        <w:rPr>
          <w:rFonts w:ascii="宋体" w:hAnsi="宋体" w:cs="宋体" w:eastAsia="宋体" w:hint="default"/>
          <w:b/>
          <w:bCs/>
          <w:sz w:val="18"/>
          <w:szCs w:val="18"/>
        </w:rPr>
        <w:t>公司认为必要或证券监管机构要求披露的其他内容</w:t>
      </w:r>
      <w:r>
        <w:rPr>
          <w:rFonts w:ascii="宋体" w:hAnsi="宋体" w:cs="宋体" w:eastAsia="宋体" w:hint="default"/>
          <w:sz w:val="18"/>
          <w:szCs w:val="18"/>
        </w:rPr>
      </w:r>
    </w:p>
    <w:p>
      <w:pPr>
        <w:spacing w:before="11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left="153" w:right="1024"/>
        <w:jc w:val="left"/>
        <w:rPr>
          <w:b w:val="0"/>
          <w:bCs w:val="0"/>
        </w:rPr>
      </w:pPr>
      <w:bookmarkStart w:name="2、限售股份变动情况" w:id="118"/>
      <w:bookmarkEnd w:id="11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28,546,459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14,273,230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28,546,459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42,819,688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每年度第一个交 易日解锁持股总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每年度第一个交 易日解锁持股总 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陈绪华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17,896,438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35,792,876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17,896,438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15,316,273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15,316,273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15,316,273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15,316,273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13,150,245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13,150,245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26,300,490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重组定增限售股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最后一次盈利预 测补偿和减值补 偿完成</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董书倩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2,707,330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2,707,330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5,414,660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重组定增限售股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最后一次盈利预 测补偿和减值补 偿完成</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刘运龙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1,341,014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1,341,014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2,682,028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重组定增限售股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最后一次盈利预 测补偿和减值补 偿完成</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天津滨河数据信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3,921,833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3,921,833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7,843,666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sz w:val="18"/>
                <w:szCs w:val="18"/>
              </w:rPr>
              <w:t>重组定增限售股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杨承宏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3,154,830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3,154,830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6,309,660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重组定增限售股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赫喆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2,111,689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2,111,689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4,223,378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重组定增限售股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谢晓梅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1,199,823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1,199,823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2,399,646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重组定增限售股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1,979,709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1,979,709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3,959,418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重组定增限售股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吴红心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1,307,808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1,307,808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2,615,616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重组定增限售股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周惠明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1,979,709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1,979,709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3,959,418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重组定增限售股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章超英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离职高管锁定股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94,645,223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65,398,411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95,098,963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124,345,775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1024"/>
        <w:jc w:val="left"/>
        <w:rPr>
          <w:b w:val="0"/>
          <w:bCs w:val="0"/>
        </w:rPr>
      </w:pPr>
      <w:bookmarkStart w:name="二、证券发行与上市情况" w:id="119"/>
      <w:bookmarkEnd w:id="119"/>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24"/>
        <w:jc w:val="left"/>
        <w:rPr>
          <w:b w:val="0"/>
          <w:bCs w:val="0"/>
        </w:rPr>
      </w:pPr>
      <w:bookmarkStart w:name="1、报告期内证券发行（不含优先股）情况" w:id="120"/>
      <w:bookmarkEnd w:id="12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left="153" w:right="1024"/>
        <w:jc w:val="left"/>
        <w:rPr>
          <w:b w:val="0"/>
          <w:bCs w:val="0"/>
        </w:rPr>
      </w:pPr>
      <w:bookmarkStart w:name="2、公司股份总数及股东结构的变动、公司资产和负债结构的变动情况说明" w:id="121"/>
      <w:bookmarkEnd w:id="12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98" w:firstLine="421"/>
        <w:jc w:val="left"/>
      </w:pPr>
      <w:r>
        <w:rPr/>
        <w:t>公司</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16</w:t>
      </w:r>
      <w:r>
        <w:rPr/>
        <w:t>日披露了《</w:t>
      </w:r>
      <w:r>
        <w:rPr>
          <w:rFonts w:ascii="宋体" w:hAnsi="宋体" w:cs="宋体" w:eastAsia="宋体" w:hint="default"/>
        </w:rPr>
        <w:t>2014</w:t>
      </w:r>
      <w:r>
        <w:rPr/>
        <w:t>年年度权益分派实施公告》：以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日公司总股本 </w:t>
      </w:r>
      <w:r>
        <w:rPr>
          <w:rFonts w:ascii="宋体" w:hAnsi="宋体" w:cs="宋体" w:eastAsia="宋体" w:hint="default"/>
        </w:rPr>
        <w:t>158,489,551</w:t>
      </w:r>
      <w:r>
        <w:rPr/>
        <w:t>股为基数，向全体股东按每</w:t>
      </w:r>
      <w:r>
        <w:rPr>
          <w:rFonts w:ascii="宋体" w:hAnsi="宋体" w:cs="宋体" w:eastAsia="宋体" w:hint="default"/>
        </w:rPr>
        <w:t>10</w:t>
      </w:r>
      <w:r>
        <w:rPr/>
        <w:t>股派发现金红利</w:t>
      </w:r>
      <w:r>
        <w:rPr>
          <w:rFonts w:ascii="宋体" w:hAnsi="宋体" w:cs="宋体" w:eastAsia="宋体" w:hint="default"/>
        </w:rPr>
        <w:t>0.60</w:t>
      </w:r>
      <w:r>
        <w:rPr/>
        <w:t>元（含税）；同时进行资本公积金转增股 本，向全体股东每</w:t>
      </w:r>
      <w:r>
        <w:rPr>
          <w:rFonts w:ascii="宋体" w:hAnsi="宋体" w:cs="宋体" w:eastAsia="宋体" w:hint="default"/>
        </w:rPr>
        <w:t>10</w:t>
      </w:r>
      <w:r>
        <w:rPr/>
        <w:t>股转增</w:t>
      </w:r>
      <w:r>
        <w:rPr>
          <w:rFonts w:ascii="宋体" w:hAnsi="宋体" w:cs="宋体" w:eastAsia="宋体" w:hint="default"/>
        </w:rPr>
        <w:t>10</w:t>
      </w:r>
      <w:r>
        <w:rPr/>
        <w:t>股，共计转增</w:t>
      </w:r>
      <w:r>
        <w:rPr>
          <w:rFonts w:ascii="宋体" w:hAnsi="宋体" w:cs="宋体" w:eastAsia="宋体" w:hint="default"/>
        </w:rPr>
        <w:t>158,489,551</w:t>
      </w:r>
      <w:r>
        <w:rPr/>
        <w:t>股，转增后公司总股本增加至</w:t>
      </w:r>
      <w:r>
        <w:rPr>
          <w:rFonts w:ascii="宋体" w:hAnsi="宋体" w:cs="宋体" w:eastAsia="宋体" w:hint="default"/>
        </w:rPr>
        <w:t>316,979,102</w:t>
      </w:r>
      <w:r>
        <w:rPr/>
        <w:t>股。</w:t>
      </w:r>
    </w:p>
    <w:p>
      <w:pPr>
        <w:pStyle w:val="BodyText"/>
        <w:spacing w:line="408" w:lineRule="auto"/>
        <w:ind w:right="1024" w:firstLine="421"/>
        <w:jc w:val="left"/>
      </w:pPr>
      <w:r>
        <w:rPr>
          <w:spacing w:val="-1"/>
        </w:rPr>
        <w:t>经过转增，公司股本增加</w:t>
      </w:r>
      <w:r>
        <w:rPr>
          <w:rFonts w:ascii="宋体" w:hAnsi="宋体" w:cs="宋体" w:eastAsia="宋体" w:hint="default"/>
          <w:spacing w:val="-1"/>
        </w:rPr>
        <w:t>158,489,551</w:t>
      </w:r>
      <w:r>
        <w:rPr>
          <w:spacing w:val="-1"/>
        </w:rPr>
        <w:t>元，资本公积减少</w:t>
      </w:r>
      <w:r>
        <w:rPr>
          <w:rFonts w:ascii="宋体" w:hAnsi="宋体" w:cs="宋体" w:eastAsia="宋体" w:hint="default"/>
          <w:spacing w:val="-1"/>
        </w:rPr>
        <w:t>158,489,551</w:t>
      </w:r>
      <w:r>
        <w:rPr>
          <w:spacing w:val="-1"/>
        </w:rPr>
        <w:t>元，截止</w:t>
      </w:r>
      <w:r>
        <w:rPr>
          <w:rFonts w:ascii="宋体" w:hAnsi="宋体" w:cs="宋体" w:eastAsia="宋体" w:hint="default"/>
          <w:spacing w:val="-1"/>
        </w:rPr>
        <w:t>2015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w:t>
      </w:r>
      <w:r>
        <w:rPr/>
        <w:t> 资产负债率为</w:t>
      </w:r>
      <w:r>
        <w:rPr>
          <w:rFonts w:ascii="宋体" w:hAnsi="宋体" w:cs="宋体" w:eastAsia="宋体" w:hint="default"/>
        </w:rPr>
        <w:t>36.00%</w:t>
      </w:r>
      <w:r>
        <w:rPr/>
        <w:t>，较年初</w:t>
      </w:r>
      <w:r>
        <w:rPr>
          <w:rFonts w:ascii="宋体" w:hAnsi="宋体" w:cs="宋体" w:eastAsia="宋体" w:hint="default"/>
        </w:rPr>
        <w:t>35.61%</w:t>
      </w:r>
      <w:r>
        <w:rPr/>
        <w:t>增长</w:t>
      </w:r>
      <w:r>
        <w:rPr>
          <w:rFonts w:ascii="宋体" w:hAnsi="宋体" w:cs="宋体" w:eastAsia="宋体" w:hint="default"/>
        </w:rPr>
        <w:t>0.39%</w:t>
      </w:r>
      <w:r>
        <w:rPr/>
        <w:t>。</w:t>
      </w:r>
    </w:p>
    <w:p>
      <w:pPr>
        <w:spacing w:line="240" w:lineRule="auto" w:before="8"/>
        <w:rPr>
          <w:rFonts w:ascii="宋体" w:hAnsi="宋体" w:cs="宋体" w:eastAsia="宋体" w:hint="default"/>
          <w:sz w:val="20"/>
          <w:szCs w:val="20"/>
        </w:rPr>
      </w:pPr>
    </w:p>
    <w:p>
      <w:pPr>
        <w:pStyle w:val="Heading4"/>
        <w:spacing w:line="240" w:lineRule="auto"/>
        <w:ind w:left="153" w:right="1024"/>
        <w:jc w:val="left"/>
        <w:rPr>
          <w:b w:val="0"/>
          <w:bCs w:val="0"/>
        </w:rPr>
      </w:pPr>
      <w:bookmarkStart w:name="3、现存的内部职工股情况" w:id="122"/>
      <w:bookmarkEnd w:id="12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24"/>
        <w:jc w:val="left"/>
        <w:rPr>
          <w:b w:val="0"/>
          <w:bCs w:val="0"/>
        </w:rPr>
      </w:pPr>
      <w:bookmarkStart w:name="三、股东和实际控制人情况" w:id="123"/>
      <w:bookmarkEnd w:id="123"/>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24"/>
        <w:jc w:val="left"/>
        <w:rPr>
          <w:b w:val="0"/>
          <w:bCs w:val="0"/>
        </w:rPr>
      </w:pPr>
      <w:bookmarkStart w:name="1、公司股东数量及持股情况" w:id="124"/>
      <w:bookmarkEnd w:id="12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149"/>
        <w:gridCol w:w="329"/>
        <w:gridCol w:w="521"/>
        <w:gridCol w:w="175"/>
        <w:gridCol w:w="819"/>
        <w:gridCol w:w="399"/>
        <w:gridCol w:w="449"/>
        <w:gridCol w:w="724"/>
        <w:gridCol w:w="270"/>
        <w:gridCol w:w="633"/>
        <w:gridCol w:w="317"/>
        <w:gridCol w:w="326"/>
        <w:gridCol w:w="707"/>
        <w:gridCol w:w="140"/>
        <w:gridCol w:w="145"/>
        <w:gridCol w:w="1062"/>
      </w:tblGrid>
      <w:tr>
        <w:trPr>
          <w:trHeight w:val="16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64,565</w:t>
            </w:r>
          </w:p>
        </w:tc>
        <w:tc>
          <w:tcPr>
            <w:tcW w:w="1174" w:type="dxa"/>
            <w:gridSpan w:val="4"/>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69,328</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4"/>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10"/>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3"/>
            <w:vMerge/>
            <w:tcBorders>
              <w:left w:val="single" w:sz="9" w:space="0" w:color="D2D2D2"/>
              <w:right w:val="single" w:sz="13"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3"/>
            <w:vMerge/>
            <w:tcBorders>
              <w:left w:val="single" w:sz="9" w:space="0" w:color="D2D2D2"/>
              <w:right w:val="single" w:sz="13"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4"/>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3"/>
            <w:vMerge/>
            <w:tcBorders>
              <w:left w:val="single" w:sz="9" w:space="0" w:color="D2D2D2"/>
              <w:right w:val="single" w:sz="13"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4"/>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3"/>
            <w:vMerge/>
            <w:tcBorders>
              <w:left w:val="single" w:sz="9" w:space="0" w:color="D2D2D2"/>
              <w:right w:val="single" w:sz="13"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4"/>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3"/>
            <w:vMerge/>
            <w:tcBorders>
              <w:left w:val="single" w:sz="9" w:space="0" w:color="D2D2D2"/>
              <w:right w:val="single" w:sz="13" w:space="0" w:color="D2D2D2"/>
            </w:tcBorders>
          </w:tcPr>
          <w:p>
            <w:pPr/>
          </w:p>
        </w:tc>
        <w:tc>
          <w:tcPr>
            <w:tcW w:w="1173" w:type="dxa"/>
            <w:gridSpan w:val="3"/>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67"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4"/>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3"/>
            <w:vMerge/>
            <w:tcBorders>
              <w:left w:val="single" w:sz="9" w:space="0" w:color="D2D2D2"/>
              <w:bottom w:val="single" w:sz="4" w:space="0" w:color="000000"/>
              <w:right w:val="single" w:sz="13" w:space="0" w:color="D2D2D2"/>
            </w:tcBorders>
          </w:tcPr>
          <w:p>
            <w:pPr/>
          </w:p>
        </w:tc>
        <w:tc>
          <w:tcPr>
            <w:tcW w:w="1173" w:type="dxa"/>
            <w:gridSpan w:val="3"/>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13" w:space="0" w:color="D2D2D2"/>
              <w:bottom w:val="single" w:sz="4" w:space="0" w:color="000000"/>
              <w:right w:val="single" w:sz="4" w:space="0" w:color="000000"/>
            </w:tcBorders>
          </w:tcPr>
          <w:p>
            <w:pPr/>
          </w:p>
        </w:tc>
      </w:tr>
      <w:tr>
        <w:trPr>
          <w:trHeight w:val="391" w:hRule="exact"/>
        </w:trPr>
        <w:tc>
          <w:tcPr>
            <w:tcW w:w="9569" w:type="dxa"/>
            <w:gridSpan w:val="1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084" w:type="dxa"/>
            <w:gridSpan w:val="2"/>
            <w:vMerge w:val="restart"/>
            <w:tcBorders>
              <w:top w:val="single" w:sz="4" w:space="0" w:color="000000"/>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58" w:right="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276"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205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9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4" w:type="dxa"/>
            <w:gridSpan w:val="2"/>
            <w:vMerge/>
            <w:tcBorders>
              <w:left w:val="single" w:sz="4" w:space="0" w:color="000000"/>
              <w:bottom w:val="nil" w:sz="6" w:space="0" w:color="auto"/>
              <w:right w:val="single" w:sz="4" w:space="0" w:color="000000"/>
            </w:tcBorders>
            <w:shd w:val="clear" w:color="auto" w:fill="D2D2D2"/>
          </w:tcPr>
          <w:p>
            <w:pPr/>
          </w:p>
        </w:tc>
        <w:tc>
          <w:tcPr>
            <w:tcW w:w="850"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48"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27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92" w:right="93"/>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2054"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4" w:type="dxa"/>
            <w:gridSpan w:val="2"/>
            <w:vMerge/>
            <w:tcBorders>
              <w:left w:val="single" w:sz="4" w:space="0" w:color="000000"/>
              <w:right w:val="single" w:sz="4" w:space="0" w:color="000000"/>
            </w:tcBorders>
            <w:shd w:val="clear" w:color="auto" w:fill="D2D2D2"/>
          </w:tcPr>
          <w:p>
            <w:pPr/>
          </w:p>
        </w:tc>
        <w:tc>
          <w:tcPr>
            <w:tcW w:w="848"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276" w:type="dxa"/>
            <w:gridSpan w:val="3"/>
            <w:vMerge/>
            <w:tcBorders>
              <w:left w:val="single" w:sz="4" w:space="0" w:color="000000"/>
              <w:right w:val="single" w:sz="4" w:space="0" w:color="000000"/>
            </w:tcBorders>
            <w:shd w:val="clear" w:color="auto" w:fill="D2D2D2"/>
          </w:tcPr>
          <w:p>
            <w:pPr/>
          </w:p>
        </w:tc>
        <w:tc>
          <w:tcPr>
            <w:tcW w:w="2054"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4" w:type="dxa"/>
            <w:gridSpan w:val="2"/>
            <w:vMerge/>
            <w:tcBorders>
              <w:left w:val="single" w:sz="4" w:space="0" w:color="000000"/>
              <w:bottom w:val="nil" w:sz="6" w:space="0" w:color="auto"/>
              <w:right w:val="single" w:sz="4" w:space="0" w:color="000000"/>
            </w:tcBorders>
            <w:shd w:val="clear" w:color="auto" w:fill="D2D2D2"/>
          </w:tcPr>
          <w:p>
            <w:pPr/>
          </w:p>
        </w:tc>
        <w:tc>
          <w:tcPr>
            <w:tcW w:w="850"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848"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276" w:type="dxa"/>
            <w:gridSpan w:val="3"/>
            <w:vMerge/>
            <w:tcBorders>
              <w:left w:val="single" w:sz="4" w:space="0" w:color="000000"/>
              <w:right w:val="single" w:sz="4" w:space="0" w:color="000000"/>
            </w:tcBorders>
            <w:shd w:val="clear" w:color="auto" w:fill="D2D2D2"/>
          </w:tcPr>
          <w:p>
            <w:pPr/>
          </w:p>
        </w:tc>
        <w:tc>
          <w:tcPr>
            <w:tcW w:w="9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13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084" w:type="dxa"/>
            <w:gridSpan w:val="2"/>
            <w:vMerge w:val="restart"/>
            <w:tcBorders>
              <w:top w:val="nil" w:sz="6" w:space="0" w:color="auto"/>
              <w:left w:val="single" w:sz="4" w:space="0" w:color="000000"/>
              <w:right w:val="single" w:sz="4" w:space="0" w:color="000000"/>
            </w:tcBorders>
            <w:shd w:val="clear" w:color="auto" w:fill="D2D2D2"/>
          </w:tcPr>
          <w:p>
            <w:pPr/>
          </w:p>
        </w:tc>
        <w:tc>
          <w:tcPr>
            <w:tcW w:w="850" w:type="dxa"/>
            <w:gridSpan w:val="2"/>
            <w:vMerge w:val="restart"/>
            <w:tcBorders>
              <w:top w:val="nil" w:sz="6" w:space="0" w:color="auto"/>
              <w:left w:val="single" w:sz="4" w:space="0" w:color="000000"/>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848"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276" w:type="dxa"/>
            <w:gridSpan w:val="3"/>
            <w:vMerge/>
            <w:tcBorders>
              <w:left w:val="single" w:sz="4" w:space="0" w:color="000000"/>
              <w:bottom w:val="nil" w:sz="6" w:space="0" w:color="auto"/>
              <w:right w:val="single" w:sz="4" w:space="0" w:color="000000"/>
            </w:tcBorders>
            <w:shd w:val="clear" w:color="auto" w:fill="D2D2D2"/>
          </w:tcPr>
          <w:p>
            <w:pPr/>
          </w:p>
        </w:tc>
        <w:tc>
          <w:tcPr>
            <w:tcW w:w="992" w:type="dxa"/>
            <w:gridSpan w:val="3"/>
            <w:vMerge/>
            <w:tcBorders>
              <w:left w:val="single" w:sz="4" w:space="0" w:color="000000"/>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084"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48"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1276"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3"/>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2" w:right="0"/>
              <w:jc w:val="left"/>
              <w:rPr>
                <w:rFonts w:ascii="Times New Roman" w:hAnsi="Times New Roman" w:cs="Times New Roman" w:eastAsia="Times New Roman" w:hint="default"/>
                <w:sz w:val="18"/>
                <w:szCs w:val="18"/>
              </w:rPr>
            </w:pPr>
            <w:r>
              <w:rPr>
                <w:rFonts w:ascii="Times New Roman"/>
                <w:sz w:val="18"/>
              </w:rPr>
              <w:t>18.01%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57,092,918</w:t>
            </w:r>
          </w:p>
        </w:tc>
        <w:tc>
          <w:tcPr>
            <w:tcW w:w="84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42,819,688</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3" w:right="0"/>
              <w:jc w:val="left"/>
              <w:rPr>
                <w:rFonts w:ascii="Times New Roman" w:hAnsi="Times New Roman" w:cs="Times New Roman" w:eastAsia="Times New Roman" w:hint="default"/>
                <w:sz w:val="18"/>
                <w:szCs w:val="18"/>
              </w:rPr>
            </w:pPr>
            <w:r>
              <w:rPr>
                <w:rFonts w:ascii="Times New Roman"/>
                <w:sz w:val="18"/>
              </w:rPr>
              <w:t>14,273,230</w:t>
            </w:r>
          </w:p>
        </w:tc>
        <w:tc>
          <w:tcPr>
            <w:tcW w:w="992" w:type="dxa"/>
            <w:gridSpan w:val="3"/>
            <w:tcBorders>
              <w:top w:val="single" w:sz="48" w:space="0" w:color="D2D2D2"/>
              <w:left w:val="single" w:sz="4" w:space="0" w:color="000000"/>
              <w:bottom w:val="single" w:sz="4" w:space="0" w:color="000000"/>
              <w:right w:val="single" w:sz="4" w:space="0" w:color="000000"/>
            </w:tcBorders>
          </w:tcPr>
          <w:p>
            <w:pPr>
              <w:pStyle w:val="TableParagraph"/>
              <w:spacing w:line="233" w:lineRule="exact"/>
              <w:ind w:left="31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18"/>
                <w:szCs w:val="18"/>
              </w:rPr>
            </w:pPr>
            <w:r>
              <w:rPr>
                <w:rFonts w:ascii="Times New Roman"/>
                <w:sz w:val="18"/>
              </w:rPr>
              <w:t>30,700,000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蔡迦</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2" w:right="0"/>
              <w:jc w:val="left"/>
              <w:rPr>
                <w:rFonts w:ascii="Times New Roman" w:hAnsi="Times New Roman" w:cs="Times New Roman" w:eastAsia="Times New Roman" w:hint="default"/>
                <w:sz w:val="18"/>
                <w:szCs w:val="18"/>
              </w:rPr>
            </w:pPr>
            <w:r>
              <w:rPr>
                <w:rFonts w:ascii="Times New Roman"/>
                <w:sz w:val="18"/>
              </w:rPr>
              <w:t>9.66%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30,632,546</w:t>
            </w:r>
          </w:p>
        </w:tc>
        <w:tc>
          <w:tcPr>
            <w:tcW w:w="84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15,316,273</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3" w:right="0"/>
              <w:jc w:val="left"/>
              <w:rPr>
                <w:rFonts w:ascii="Times New Roman" w:hAnsi="Times New Roman" w:cs="Times New Roman" w:eastAsia="Times New Roman" w:hint="default"/>
                <w:sz w:val="18"/>
                <w:szCs w:val="18"/>
              </w:rPr>
            </w:pPr>
            <w:r>
              <w:rPr>
                <w:rFonts w:ascii="Times New Roman"/>
                <w:sz w:val="18"/>
              </w:rPr>
              <w:t>15,316,273</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12,750,000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2" w:right="0"/>
              <w:jc w:val="left"/>
              <w:rPr>
                <w:rFonts w:ascii="Times New Roman" w:hAnsi="Times New Roman" w:cs="Times New Roman" w:eastAsia="Times New Roman" w:hint="default"/>
                <w:sz w:val="18"/>
                <w:szCs w:val="18"/>
              </w:rPr>
            </w:pPr>
            <w:r>
              <w:rPr>
                <w:rFonts w:ascii="Times New Roman"/>
                <w:sz w:val="18"/>
              </w:rPr>
              <w:t>8.30%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26,300,490</w:t>
            </w:r>
          </w:p>
        </w:tc>
        <w:tc>
          <w:tcPr>
            <w:tcW w:w="84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26,300,490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3"/>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陈绪华</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2" w:right="0"/>
              <w:jc w:val="left"/>
              <w:rPr>
                <w:rFonts w:ascii="Times New Roman" w:hAnsi="Times New Roman" w:cs="Times New Roman" w:eastAsia="Times New Roman" w:hint="default"/>
                <w:sz w:val="18"/>
                <w:szCs w:val="18"/>
              </w:rPr>
            </w:pPr>
            <w:r>
              <w:rPr>
                <w:rFonts w:ascii="Times New Roman"/>
                <w:sz w:val="18"/>
              </w:rPr>
              <w:t>6.34%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20,092,876</w:t>
            </w:r>
          </w:p>
        </w:tc>
        <w:tc>
          <w:tcPr>
            <w:tcW w:w="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-15700000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3" w:right="0"/>
              <w:jc w:val="left"/>
              <w:rPr>
                <w:rFonts w:ascii="Times New Roman" w:hAnsi="Times New Roman" w:cs="Times New Roman" w:eastAsia="Times New Roman" w:hint="default"/>
                <w:sz w:val="18"/>
                <w:szCs w:val="18"/>
              </w:rPr>
            </w:pPr>
            <w:r>
              <w:rPr>
                <w:rFonts w:ascii="Times New Roman"/>
                <w:sz w:val="18"/>
              </w:rPr>
              <w:t>20,092,876</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6,660,000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华夏幸福基业控 股股份公司</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4.95%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15,700,000</w:t>
            </w:r>
          </w:p>
        </w:tc>
        <w:tc>
          <w:tcPr>
            <w:tcW w:w="84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15,700,000</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天津滨河数据信 息技术有限公司</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2.47%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7,843,666</w:t>
            </w:r>
          </w:p>
        </w:tc>
        <w:tc>
          <w:tcPr>
            <w:tcW w:w="84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7,843,666</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3"/>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杨承宏</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2" w:right="0"/>
              <w:jc w:val="left"/>
              <w:rPr>
                <w:rFonts w:ascii="Times New Roman" w:hAnsi="Times New Roman" w:cs="Times New Roman" w:eastAsia="Times New Roman" w:hint="default"/>
                <w:sz w:val="18"/>
                <w:szCs w:val="18"/>
              </w:rPr>
            </w:pPr>
            <w:r>
              <w:rPr>
                <w:rFonts w:ascii="Times New Roman"/>
                <w:sz w:val="18"/>
              </w:rPr>
              <w:t>1.99%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6,309,660</w:t>
            </w:r>
          </w:p>
        </w:tc>
        <w:tc>
          <w:tcPr>
            <w:tcW w:w="84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6,309,660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3"/>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董书倩</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2" w:right="0"/>
              <w:jc w:val="left"/>
              <w:rPr>
                <w:rFonts w:ascii="Times New Roman" w:hAnsi="Times New Roman" w:cs="Times New Roman" w:eastAsia="Times New Roman" w:hint="default"/>
                <w:sz w:val="18"/>
                <w:szCs w:val="18"/>
              </w:rPr>
            </w:pPr>
            <w:r>
              <w:rPr>
                <w:rFonts w:ascii="Times New Roman"/>
                <w:sz w:val="18"/>
              </w:rPr>
              <w:t>1.71%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5,414,660</w:t>
            </w:r>
          </w:p>
        </w:tc>
        <w:tc>
          <w:tcPr>
            <w:tcW w:w="84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5,414,660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3"/>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份有限公司－汇 添富移动互联股 票型证券投资基 金</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1.48%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4,676,013</w:t>
            </w:r>
          </w:p>
        </w:tc>
        <w:tc>
          <w:tcPr>
            <w:tcW w:w="84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4,676,013</w:t>
            </w:r>
          </w:p>
        </w:tc>
        <w:tc>
          <w:tcPr>
            <w:tcW w:w="992" w:type="dxa"/>
            <w:gridSpan w:val="3"/>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赫喆</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2" w:right="0"/>
              <w:jc w:val="left"/>
              <w:rPr>
                <w:rFonts w:ascii="Times New Roman" w:hAnsi="Times New Roman" w:cs="Times New Roman" w:eastAsia="Times New Roman" w:hint="default"/>
                <w:sz w:val="18"/>
                <w:szCs w:val="18"/>
              </w:rPr>
            </w:pPr>
            <w:r>
              <w:rPr>
                <w:rFonts w:ascii="Times New Roman"/>
                <w:sz w:val="18"/>
              </w:rPr>
              <w:t>1.33%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4,223,378</w:t>
            </w:r>
          </w:p>
        </w:tc>
        <w:tc>
          <w:tcPr>
            <w:tcW w:w="848" w:type="dxa"/>
            <w:gridSpan w:val="2"/>
            <w:tcBorders>
              <w:top w:val="single" w:sz="4" w:space="0" w:color="000000"/>
              <w:left w:val="single" w:sz="4" w:space="0" w:color="000000"/>
              <w:bottom w:val="single" w:sz="4" w:space="0" w:color="000000"/>
              <w:right w:val="single" w:sz="4" w:space="0" w:color="000000"/>
            </w:tcBorders>
          </w:tcPr>
          <w:p>
            <w:pP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4,223,378</w:t>
            </w:r>
          </w:p>
        </w:tc>
        <w:tc>
          <w:tcPr>
            <w:tcW w:w="12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3"/>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2553"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7016" w:type="dxa"/>
            <w:gridSpan w:val="15"/>
            <w:vMerge w:val="restart"/>
            <w:tcBorders>
              <w:top w:val="single" w:sz="4" w:space="0" w:color="000000"/>
              <w:left w:val="single" w:sz="10" w:space="0" w:color="D2D2D2"/>
              <w:right w:val="single" w:sz="4" w:space="0" w:color="000000"/>
            </w:tcBorders>
          </w:tcPr>
          <w:p>
            <w:pPr>
              <w:pStyle w:val="TableParagraph"/>
              <w:spacing w:line="316" w:lineRule="auto" w:before="52"/>
              <w:ind w:left="15" w:right="21"/>
              <w:jc w:val="both"/>
              <w:rPr>
                <w:rFonts w:ascii="宋体" w:hAnsi="宋体" w:cs="宋体" w:eastAsia="宋体" w:hint="default"/>
                <w:sz w:val="18"/>
                <w:szCs w:val="18"/>
              </w:rPr>
            </w:pPr>
            <w:r>
              <w:rPr>
                <w:rFonts w:ascii="宋体" w:hAnsi="宋体" w:cs="宋体" w:eastAsia="宋体" w:hint="default"/>
                <w:spacing w:val="-2"/>
                <w:sz w:val="18"/>
                <w:szCs w:val="18"/>
              </w:rPr>
              <w:t>上述股东中沈飒、陈绪华、蔡迦为公司一致行动人，天津滨河数据信息技术有限公司是股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东刘开同控制的企业，杨承宏为公司股东陈绪华之子，赫喆为公司股东蔡迦之子，刘开同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与董书倩为夫妻关系。除上述关系外，公司未知上述其他股东是否存在其他关联关系或属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于《上市公司股东持股变动信息披露管理办法》中规定的一致行动人。</w:t>
            </w:r>
          </w:p>
        </w:tc>
      </w:tr>
      <w:tr>
        <w:trPr>
          <w:trHeight w:val="703" w:hRule="exact"/>
        </w:trPr>
        <w:tc>
          <w:tcPr>
            <w:tcW w:w="2553"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6" w:type="dxa"/>
            <w:gridSpan w:val="15"/>
            <w:vMerge/>
            <w:tcBorders>
              <w:left w:val="single" w:sz="10" w:space="0" w:color="D2D2D2"/>
              <w:right w:val="single" w:sz="4" w:space="0" w:color="000000"/>
            </w:tcBorders>
          </w:tcPr>
          <w:p>
            <w:pPr/>
          </w:p>
        </w:tc>
      </w:tr>
      <w:tr>
        <w:trPr>
          <w:trHeight w:val="317" w:hRule="exact"/>
        </w:trPr>
        <w:tc>
          <w:tcPr>
            <w:tcW w:w="255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7016" w:type="dxa"/>
            <w:gridSpan w:val="15"/>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1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8"/>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8"/>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6"/>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2" w:type="dxa"/>
            <w:gridSpan w:val="5"/>
            <w:vMerge/>
            <w:tcBorders>
              <w:left w:val="single" w:sz="4" w:space="0" w:color="000000"/>
              <w:bottom w:val="nil" w:sz="6" w:space="0" w:color="auto"/>
              <w:right w:val="single" w:sz="4" w:space="0" w:color="000000"/>
            </w:tcBorders>
            <w:shd w:val="clear" w:color="auto" w:fill="D2D2D2"/>
          </w:tcPr>
          <w:p>
            <w:pPr/>
          </w:p>
        </w:tc>
        <w:tc>
          <w:tcPr>
            <w:tcW w:w="3990" w:type="dxa"/>
            <w:gridSpan w:val="8"/>
            <w:vMerge/>
            <w:tcBorders>
              <w:left w:val="single" w:sz="4" w:space="0" w:color="000000"/>
              <w:bottom w:val="nil" w:sz="6" w:space="0" w:color="auto"/>
              <w:right w:val="single" w:sz="4" w:space="0" w:color="000000"/>
            </w:tcBorders>
            <w:shd w:val="clear" w:color="auto" w:fill="D2D2D2"/>
          </w:tcPr>
          <w:p>
            <w:pP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5" w:hRule="exact"/>
        </w:trPr>
        <w:tc>
          <w:tcPr>
            <w:tcW w:w="288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c>
          <w:tcPr>
            <w:tcW w:w="1348" w:type="dxa"/>
            <w:gridSpan w:val="3"/>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陈绪华</w:t>
            </w:r>
          </w:p>
        </w:tc>
        <w:tc>
          <w:tcPr>
            <w:tcW w:w="39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20,092,876</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5" w:right="0"/>
              <w:jc w:val="left"/>
              <w:rPr>
                <w:rFonts w:ascii="Times New Roman" w:hAnsi="Times New Roman" w:cs="Times New Roman" w:eastAsia="Times New Roman" w:hint="default"/>
                <w:sz w:val="18"/>
                <w:szCs w:val="18"/>
              </w:rPr>
            </w:pPr>
            <w:r>
              <w:rPr>
                <w:rFonts w:ascii="Times New Roman"/>
                <w:sz w:val="18"/>
              </w:rPr>
              <w:t>20,092,876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华夏幸福基业控股股份公司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15,700,000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蔡迦</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15,316,273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15,316,273</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14,273,230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14,273,230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中国工商银行股份有限公司－汇添 富移动互联股票型证券投资基金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4,676,013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4,676,013</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全国社保基金一一六组合</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2,299,879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2,299,879</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中国银行－海富通股票证券投资基 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1,434,240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1,434,240</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中国建设银行股份有限公司－易方 达新丝路灵活配置混合型证券投资 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中国工商银行股份有限公司－中欧 明睿新起点混合型证券投资基金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906,982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906,982</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泰康人寿保险股份有限公司－分红</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－个人分红</w:t>
            </w:r>
            <w:r>
              <w:rPr>
                <w:rFonts w:ascii="Times New Roman" w:hAnsi="Times New Roman" w:cs="Times New Roman" w:eastAsia="Times New Roman" w:hint="default"/>
                <w:sz w:val="18"/>
                <w:szCs w:val="18"/>
              </w:rPr>
              <w:t>-019L-FH002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826,220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826,220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 w:right="21"/>
              <w:jc w:val="both"/>
              <w:rPr>
                <w:rFonts w:ascii="宋体" w:hAnsi="宋体" w:cs="宋体" w:eastAsia="宋体" w:hint="default"/>
                <w:sz w:val="18"/>
                <w:szCs w:val="18"/>
              </w:rPr>
            </w:pPr>
            <w:r>
              <w:rPr>
                <w:rFonts w:ascii="宋体" w:hAnsi="宋体" w:cs="宋体" w:eastAsia="宋体" w:hint="default"/>
                <w:spacing w:val="-1"/>
                <w:sz w:val="18"/>
                <w:szCs w:val="18"/>
              </w:rPr>
              <w:t>上述股东中沈飒、陈绪华、蔡迦为公司一致行动人，除上述关系外，公司未知上述其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他股东是否存在其他关联关系或属于《上市公司股东持股变动信息披露管理办法》中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规定的一致行动人。</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1024"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left="153" w:right="1024"/>
        <w:jc w:val="left"/>
        <w:rPr>
          <w:b w:val="0"/>
          <w:bCs w:val="0"/>
        </w:rPr>
      </w:pPr>
      <w:bookmarkStart w:name="2、公司控股股东情况" w:id="125"/>
      <w:bookmarkEnd w:id="12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任北京中科金财科技股份有限公司副董事长兼总经理</w:t>
            </w:r>
          </w:p>
        </w:tc>
      </w:tr>
    </w:tbl>
    <w:p>
      <w:pPr>
        <w:spacing w:before="65"/>
        <w:ind w:left="154" w:right="1024"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left="153" w:right="1024"/>
        <w:jc w:val="left"/>
        <w:rPr>
          <w:b w:val="0"/>
          <w:bCs w:val="0"/>
        </w:rPr>
      </w:pPr>
      <w:bookmarkStart w:name="3、公司实际控制人情况" w:id="126"/>
      <w:bookmarkEnd w:id="12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
              <w:jc w:val="left"/>
              <w:rPr>
                <w:rFonts w:ascii="宋体" w:hAnsi="宋体" w:cs="宋体" w:eastAsia="宋体" w:hint="default"/>
                <w:sz w:val="18"/>
                <w:szCs w:val="18"/>
              </w:rPr>
            </w:pPr>
            <w:r>
              <w:rPr>
                <w:rFonts w:ascii="宋体" w:hAnsi="宋体" w:cs="宋体" w:eastAsia="宋体" w:hint="default"/>
                <w:spacing w:val="-1"/>
                <w:sz w:val="18"/>
                <w:szCs w:val="18"/>
              </w:rPr>
              <w:t>沈飒近五年任职于北京中科金财科技股份有限公司，担任副董事长兼总经理一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职。朱烨东近五年任职于北京中科金财科技股份有限公司，担任董事长一职。</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4"/>
        <w:rPr>
          <w:rFonts w:ascii="宋体" w:hAnsi="宋体" w:cs="宋体" w:eastAsia="宋体" w:hint="default"/>
          <w:sz w:val="16"/>
          <w:szCs w:val="16"/>
        </w:rPr>
      </w:pPr>
    </w:p>
    <w:p>
      <w:pPr>
        <w:spacing w:line="2745" w:lineRule="exact"/>
        <w:ind w:left="2658"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2938986" cy="174345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2938986" cy="1743455"/>
                    </a:xfrm>
                    <a:prstGeom prst="rect">
                      <a:avLst/>
                    </a:prstGeom>
                  </pic:spPr>
                </pic:pic>
              </a:graphicData>
            </a:graphic>
          </wp:inline>
        </w:drawing>
      </w:r>
      <w:r>
        <w:rPr>
          <w:rFonts w:ascii="宋体" w:hAnsi="宋体" w:cs="宋体" w:eastAsia="宋体" w:hint="default"/>
          <w:position w:val="-54"/>
          <w:sz w:val="20"/>
          <w:szCs w:val="20"/>
        </w:rPr>
      </w:r>
    </w:p>
    <w:p>
      <w:pPr>
        <w:spacing w:line="240" w:lineRule="auto" w:before="11"/>
        <w:rPr>
          <w:rFonts w:ascii="宋体" w:hAnsi="宋体" w:cs="宋体" w:eastAsia="宋体" w:hint="default"/>
          <w:sz w:val="14"/>
          <w:szCs w:val="14"/>
        </w:rPr>
      </w:pPr>
    </w:p>
    <w:p>
      <w:pPr>
        <w:spacing w:before="0"/>
        <w:ind w:left="153" w:right="1024"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1024"/>
        <w:jc w:val="left"/>
        <w:rPr>
          <w:b w:val="0"/>
          <w:bCs w:val="0"/>
        </w:rPr>
      </w:pPr>
      <w:bookmarkStart w:name="4、其他持股在10%以上的法人股东" w:id="127"/>
      <w:bookmarkEnd w:id="12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1024"/>
        <w:jc w:val="left"/>
        <w:rPr>
          <w:b w:val="0"/>
          <w:bCs w:val="0"/>
        </w:rPr>
      </w:pPr>
      <w:bookmarkStart w:name="5、控股股东、实际控制人、重组方及其他承诺主体股份限制减持情况" w:id="128"/>
      <w:bookmarkEnd w:id="12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024"/>
        <w:jc w:val="left"/>
        <w:rPr>
          <w:b w:val="0"/>
          <w:bCs w:val="0"/>
        </w:rPr>
      </w:pPr>
      <w:bookmarkStart w:name="_TOC_250004" w:id="129"/>
      <w:bookmarkStart w:name="第七节 优先股相关情况" w:id="130"/>
      <w:r>
        <w:rPr>
          <w:b w:val="0"/>
          <w:bCs w:val="0"/>
        </w:rPr>
      </w:r>
      <w:r>
        <w:rPr/>
        <w:t>第七节</w:t>
      </w:r>
      <w:r>
        <w:rPr>
          <w:spacing w:val="-8"/>
        </w:rPr>
        <w:t> </w:t>
      </w:r>
      <w:r>
        <w:rPr/>
        <w:t>优先股相关情况</w:t>
      </w:r>
      <w:bookmarkEnd w:id="129"/>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024"/>
        <w:jc w:val="left"/>
        <w:rPr>
          <w:b w:val="0"/>
          <w:bCs w:val="0"/>
        </w:rPr>
      </w:pPr>
      <w:bookmarkStart w:name="_TOC_250003" w:id="131"/>
      <w:bookmarkStart w:name="第八节 董事、监事、高级管理人员和员工情况" w:id="132"/>
      <w:r>
        <w:rPr>
          <w:b w:val="0"/>
          <w:bCs w:val="0"/>
        </w:rPr>
      </w:r>
      <w:r>
        <w:rPr/>
        <w:t>第八节</w:t>
      </w:r>
      <w:r>
        <w:rPr>
          <w:spacing w:val="-16"/>
        </w:rPr>
        <w:t> </w:t>
      </w:r>
      <w:r>
        <w:rPr/>
        <w:t>董事、监事、高级管理人员和员工情况</w:t>
      </w:r>
      <w:bookmarkEnd w:id="13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24"/>
        <w:jc w:val="left"/>
        <w:rPr>
          <w:b w:val="0"/>
          <w:bCs w:val="0"/>
        </w:rPr>
      </w:pPr>
      <w:bookmarkStart w:name="一、董事、监事和高级管理人员持股变动" w:id="133"/>
      <w:bookmarkEnd w:id="13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86"/>
        <w:gridCol w:w="709"/>
        <w:gridCol w:w="850"/>
        <w:gridCol w:w="851"/>
        <w:gridCol w:w="994"/>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604,986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604,986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副董事长 兼总经理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28,546,459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28,546,45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57,092,91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15,316,273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15,316,27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30,632,54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赫喆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2,111,689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2,111,689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4,223,378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赵学荣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总经理兼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贺岩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总经理兼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李明珠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孟庆涛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任宏军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586"/>
        <w:gridCol w:w="709"/>
        <w:gridCol w:w="850"/>
        <w:gridCol w:w="851"/>
        <w:gridCol w:w="994"/>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黄智舜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夏海涛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李昕照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章超英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48,094</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张京辉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46,006,484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604,986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46,006,48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92,601,92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24"/>
        <w:jc w:val="left"/>
        <w:rPr>
          <w:b w:val="0"/>
          <w:bCs w:val="0"/>
        </w:rPr>
      </w:pPr>
      <w:bookmarkStart w:name="二、公司董事、监事、高级管理人员变动情况" w:id="134"/>
      <w:bookmarkEnd w:id="134"/>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蔡迦</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章超英</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黄智舜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夏海涛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副董事长、总经 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由于公司总经理杨阳先生辞职，公司三届十三次董事 会聘任沈飒女士担任公司总经理</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赵学荣</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5"/>
              <w:jc w:val="left"/>
              <w:rPr>
                <w:rFonts w:ascii="宋体" w:hAnsi="宋体" w:cs="宋体" w:eastAsia="宋体" w:hint="default"/>
                <w:sz w:val="18"/>
                <w:szCs w:val="18"/>
              </w:rPr>
            </w:pPr>
            <w:r>
              <w:rPr>
                <w:rFonts w:ascii="宋体" w:hAnsi="宋体" w:cs="宋体" w:eastAsia="宋体" w:hint="default"/>
                <w:sz w:val="18"/>
                <w:szCs w:val="18"/>
              </w:rPr>
              <w:t>董事、副总经理 兼财务总监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2"/>
              <w:jc w:val="left"/>
              <w:rPr>
                <w:rFonts w:ascii="宋体" w:hAnsi="宋体" w:cs="宋体" w:eastAsia="宋体" w:hint="default"/>
                <w:sz w:val="18"/>
                <w:szCs w:val="18"/>
              </w:rPr>
            </w:pPr>
            <w:r>
              <w:rPr>
                <w:rFonts w:ascii="宋体" w:hAnsi="宋体" w:cs="宋体" w:eastAsia="宋体" w:hint="default"/>
                <w:spacing w:val="-3"/>
                <w:sz w:val="18"/>
                <w:szCs w:val="18"/>
              </w:rPr>
              <w:t>由于公司董事杨阳先生辞职，公司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会选举赵学荣女士担任公司董事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赫喆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2"/>
              <w:jc w:val="left"/>
              <w:rPr>
                <w:rFonts w:ascii="宋体" w:hAnsi="宋体" w:cs="宋体" w:eastAsia="宋体" w:hint="default"/>
                <w:sz w:val="18"/>
                <w:szCs w:val="18"/>
              </w:rPr>
            </w:pPr>
            <w:r>
              <w:rPr>
                <w:rFonts w:ascii="宋体" w:hAnsi="宋体" w:cs="宋体" w:eastAsia="宋体" w:hint="default"/>
                <w:spacing w:val="-4"/>
                <w:sz w:val="18"/>
                <w:szCs w:val="18"/>
              </w:rPr>
              <w:t>由于公司董事蔡迦辞职，公司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年年度股东大会选 举赫喆先生担任公司董事</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李烁</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由于公司业务发展需要，公司三届十六次董事会聘任 李烁先生担任公司副总经理</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24"/>
        <w:jc w:val="left"/>
        <w:rPr>
          <w:b w:val="0"/>
          <w:bCs w:val="0"/>
        </w:rPr>
      </w:pPr>
      <w:bookmarkStart w:name="三、任职情况" w:id="135"/>
      <w:bookmarkEnd w:id="135"/>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2"/>
        <w:rPr>
          <w:rFonts w:ascii="宋体" w:hAnsi="宋体" w:cs="宋体" w:eastAsia="宋体" w:hint="default"/>
          <w:sz w:val="12"/>
          <w:szCs w:val="12"/>
        </w:rPr>
      </w:pPr>
    </w:p>
    <w:p>
      <w:pPr>
        <w:pStyle w:val="Heading4"/>
        <w:spacing w:line="240" w:lineRule="auto"/>
        <w:ind w:left="153" w:right="1024"/>
        <w:jc w:val="left"/>
        <w:rPr>
          <w:b w:val="0"/>
          <w:bCs w:val="0"/>
        </w:rPr>
      </w:pPr>
      <w:r>
        <w:rPr/>
        <w:t>董事：</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214" w:firstLine="421"/>
        <w:jc w:val="both"/>
      </w:pPr>
      <w:r>
        <w:rPr/>
        <w:t>朱烨东，男，中国国籍，无境外永久居留权，</w:t>
      </w:r>
      <w:r>
        <w:rPr>
          <w:rFonts w:ascii="宋体" w:hAnsi="宋体" w:cs="宋体" w:eastAsia="宋体" w:hint="default"/>
        </w:rPr>
        <w:t>1968 </w:t>
      </w:r>
      <w:r>
        <w:rPr/>
        <w:t>年</w:t>
      </w:r>
      <w:r>
        <w:rPr>
          <w:rFonts w:ascii="宋体" w:hAnsi="宋体" w:cs="宋体" w:eastAsia="宋体" w:hint="default"/>
        </w:rPr>
        <w:t>6</w:t>
      </w:r>
      <w:r>
        <w:rPr>
          <w:rFonts w:ascii="宋体" w:hAnsi="宋体" w:cs="宋体" w:eastAsia="宋体" w:hint="default"/>
          <w:spacing w:val="-5"/>
        </w:rPr>
        <w:t> </w:t>
      </w:r>
      <w:r>
        <w:rPr/>
        <w:t>月出生。南京理工大学计算机系软件专业学 士、北京大学经济学院金融学硕士、北京大学经济学院政治经济学博士、高级工程师。近</w:t>
      </w:r>
      <w:r>
        <w:rPr>
          <w:rFonts w:ascii="宋体" w:hAnsi="宋体" w:cs="宋体" w:eastAsia="宋体" w:hint="default"/>
        </w:rPr>
        <w:t>5</w:t>
      </w:r>
      <w:r>
        <w:rPr/>
        <w:t>年任职于北京 中科金财科技股份有限公司，现任公司董事长。</w:t>
      </w:r>
    </w:p>
    <w:p>
      <w:pPr>
        <w:pStyle w:val="BodyText"/>
        <w:spacing w:line="408" w:lineRule="auto"/>
        <w:ind w:right="1215" w:firstLine="421"/>
        <w:jc w:val="both"/>
      </w:pPr>
      <w:r>
        <w:rPr/>
        <w:t>沈飒，女，中国国籍，无境外永久居留权，</w:t>
      </w:r>
      <w:r>
        <w:rPr>
          <w:rFonts w:ascii="宋体" w:hAnsi="宋体" w:cs="宋体" w:eastAsia="宋体" w:hint="default"/>
        </w:rPr>
        <w:t>1973 </w:t>
      </w:r>
      <w:r>
        <w:rPr/>
        <w:t>年</w:t>
      </w:r>
      <w:r>
        <w:rPr>
          <w:rFonts w:ascii="宋体" w:hAnsi="宋体" w:cs="宋体" w:eastAsia="宋体" w:hint="default"/>
        </w:rPr>
        <w:t>2</w:t>
      </w:r>
      <w:r>
        <w:rPr>
          <w:rFonts w:ascii="宋体" w:hAnsi="宋体" w:cs="宋体" w:eastAsia="宋体" w:hint="default"/>
          <w:spacing w:val="-4"/>
        </w:rPr>
        <w:t> </w:t>
      </w:r>
      <w:r>
        <w:rPr/>
        <w:t>月出生，北京大学经济学院金融专业硕士，中 共党员。近</w:t>
      </w:r>
      <w:r>
        <w:rPr>
          <w:rFonts w:ascii="宋体" w:hAnsi="宋体" w:cs="宋体" w:eastAsia="宋体" w:hint="default"/>
        </w:rPr>
        <w:t>5</w:t>
      </w:r>
      <w:r>
        <w:rPr/>
        <w:t>年任职于北京中科金财科技股份有限公司，现任公司副董事长兼总经理。</w:t>
      </w:r>
    </w:p>
    <w:p>
      <w:pPr>
        <w:pStyle w:val="BodyText"/>
        <w:spacing w:line="408" w:lineRule="auto"/>
        <w:ind w:left="154" w:right="1130" w:firstLine="421"/>
        <w:jc w:val="both"/>
      </w:pPr>
      <w:r>
        <w:rPr>
          <w:spacing w:val="-3"/>
        </w:rPr>
        <w:t>赫喆，男，中国国籍，无境外永久居留权，</w:t>
      </w:r>
      <w:r>
        <w:rPr>
          <w:rFonts w:ascii="宋体" w:hAnsi="宋体" w:cs="宋体" w:eastAsia="宋体" w:hint="default"/>
          <w:spacing w:val="-3"/>
        </w:rPr>
        <w:t>1974</w:t>
      </w:r>
      <w:r>
        <w:rPr>
          <w:spacing w:val="-3"/>
        </w:rPr>
        <w:t>年出生，毕业于辽宁科技大学，本科学历。</w:t>
      </w:r>
      <w:r>
        <w:rPr>
          <w:rFonts w:ascii="宋体" w:hAnsi="宋体" w:cs="宋体" w:eastAsia="宋体" w:hint="default"/>
          <w:spacing w:val="-3"/>
        </w:rPr>
        <w:t>2002-2009</w:t>
      </w:r>
      <w:r>
        <w:rPr>
          <w:rFonts w:ascii="宋体" w:hAnsi="宋体" w:cs="宋体" w:eastAsia="宋体" w:hint="default"/>
        </w:rPr>
        <w:t> </w:t>
      </w:r>
      <w:r>
        <w:rPr/>
        <w:t>年，担任中科软科技股份有限公司部门经理。现任公司董事、销售总监。</w:t>
      </w:r>
    </w:p>
    <w:p>
      <w:pPr>
        <w:pStyle w:val="BodyText"/>
        <w:spacing w:line="408" w:lineRule="auto"/>
        <w:ind w:right="1024" w:firstLine="421"/>
        <w:jc w:val="left"/>
      </w:pPr>
      <w:r>
        <w:rPr/>
        <w:t>赵学荣，女，中国国籍，无境外永久居留权，</w:t>
      </w:r>
      <w:r>
        <w:rPr>
          <w:rFonts w:ascii="宋体" w:hAnsi="宋体" w:cs="宋体" w:eastAsia="宋体" w:hint="default"/>
        </w:rPr>
        <w:t>1973</w:t>
      </w:r>
      <w:r>
        <w:rPr>
          <w:rFonts w:ascii="宋体" w:hAnsi="宋体" w:cs="宋体" w:eastAsia="宋体" w:hint="default"/>
          <w:spacing w:val="-2"/>
        </w:rPr>
        <w:t> </w:t>
      </w:r>
      <w:r>
        <w:rPr/>
        <w:t>年出生，中国人民大学财务会计专业本科毕业， </w:t>
      </w:r>
      <w:r>
        <w:rPr>
          <w:spacing w:val="-3"/>
        </w:rPr>
        <w:t>高级会计师。曾任香港伟仕集团北京伟仕科技发展公司会计、北京奥德映真计算机技术有限公司财务主管、</w:t>
      </w:r>
      <w:r>
        <w:rPr>
          <w:spacing w:val="-92"/>
        </w:rPr>
        <w:t> </w:t>
      </w:r>
      <w:r>
        <w:rPr>
          <w:spacing w:val="-92"/>
        </w:rPr>
      </w:r>
      <w:r>
        <w:rPr/>
        <w:t>财务部经理、北京北大青鸟计算机智能技术有限公司财务经理。现任公司董事、副总经理兼财务总监。</w:t>
      </w:r>
    </w:p>
    <w:p>
      <w:pPr>
        <w:pStyle w:val="BodyText"/>
        <w:spacing w:line="408" w:lineRule="auto"/>
        <w:ind w:right="1215" w:firstLine="421"/>
        <w:jc w:val="both"/>
      </w:pPr>
      <w:r>
        <w:rPr/>
        <w:t>李明珠，男，中国国籍，无境外永久居留权，</w:t>
      </w:r>
      <w:r>
        <w:rPr>
          <w:rFonts w:ascii="宋体" w:hAnsi="宋体" w:cs="宋体" w:eastAsia="宋体" w:hint="default"/>
        </w:rPr>
        <w:t>1969</w:t>
      </w:r>
      <w:r>
        <w:rPr>
          <w:rFonts w:ascii="宋体" w:hAnsi="宋体" w:cs="宋体" w:eastAsia="宋体" w:hint="default"/>
          <w:spacing w:val="-4"/>
        </w:rPr>
        <w:t> </w:t>
      </w:r>
      <w:r>
        <w:rPr/>
        <w:t>年出生，毕业于南开大学金融系农村金融专业， 高级经济师。近</w:t>
      </w:r>
      <w:r>
        <w:rPr>
          <w:rFonts w:ascii="宋体" w:hAnsi="宋体" w:cs="宋体" w:eastAsia="宋体" w:hint="default"/>
        </w:rPr>
        <w:t>5</w:t>
      </w:r>
      <w:r>
        <w:rPr/>
        <w:t>年任职于北京中科金财科技股份有限公司，现任公司董事、副总经理。</w:t>
      </w:r>
    </w:p>
    <w:p>
      <w:pPr>
        <w:pStyle w:val="BodyText"/>
        <w:spacing w:line="408" w:lineRule="auto"/>
        <w:ind w:left="154" w:right="1214" w:firstLine="421"/>
        <w:jc w:val="both"/>
      </w:pPr>
      <w:r>
        <w:rPr/>
        <w:t>贺岩，男，中国国籍，无境外永久居留权，</w:t>
      </w:r>
      <w:r>
        <w:rPr>
          <w:rFonts w:ascii="宋体" w:hAnsi="宋体" w:cs="宋体" w:eastAsia="宋体" w:hint="default"/>
        </w:rPr>
        <w:t>1978</w:t>
      </w:r>
      <w:r>
        <w:rPr/>
        <w:t>年出生，南开大学</w:t>
      </w:r>
      <w:r>
        <w:rPr>
          <w:rFonts w:ascii="宋体" w:hAnsi="宋体" w:cs="宋体" w:eastAsia="宋体" w:hint="default"/>
        </w:rPr>
        <w:t>EMBA</w:t>
      </w:r>
      <w:r>
        <w:rPr/>
        <w:t>，硕士学历。近</w:t>
      </w:r>
      <w:r>
        <w:rPr>
          <w:rFonts w:ascii="宋体" w:hAnsi="宋体" w:cs="宋体" w:eastAsia="宋体" w:hint="default"/>
        </w:rPr>
        <w:t>5</w:t>
      </w:r>
      <w:r>
        <w:rPr/>
        <w:t>年任职于北 京中科金财科技股份有限公司，担任公司董事、副总经理兼董事会秘书。</w:t>
      </w:r>
    </w:p>
    <w:p>
      <w:pPr>
        <w:pStyle w:val="BodyText"/>
        <w:spacing w:line="408" w:lineRule="auto"/>
        <w:ind w:left="154" w:right="1116" w:firstLine="526"/>
        <w:jc w:val="left"/>
      </w:pPr>
      <w:r>
        <w:rPr/>
        <w:t>白涛，女，中国国籍，无境外永久居留权，</w:t>
      </w:r>
      <w:r>
        <w:rPr>
          <w:rFonts w:ascii="宋体" w:hAnsi="宋体" w:cs="宋体" w:eastAsia="宋体" w:hint="default"/>
        </w:rPr>
        <w:t>1965</w:t>
      </w:r>
      <w:r>
        <w:rPr>
          <w:rFonts w:ascii="宋体" w:hAnsi="宋体" w:cs="宋体" w:eastAsia="宋体" w:hint="default"/>
          <w:spacing w:val="-25"/>
        </w:rPr>
        <w:t> </w:t>
      </w:r>
      <w:r>
        <w:rPr/>
        <w:t>年出生，北京大学法学学士、美国康乃尔大学法学 博士。近</w:t>
      </w:r>
      <w:r>
        <w:rPr>
          <w:rFonts w:ascii="宋体" w:hAnsi="宋体" w:cs="宋体" w:eastAsia="宋体" w:hint="default"/>
        </w:rPr>
        <w:t>5</w:t>
      </w:r>
      <w:r>
        <w:rPr/>
        <w:t>年任职于北京市君合律师事务所，兼任公司独立董事，东易日盛家居装饰集团股份有限公司独 立董事。</w:t>
      </w:r>
    </w:p>
    <w:p>
      <w:pPr>
        <w:pStyle w:val="BodyText"/>
        <w:spacing w:line="408" w:lineRule="auto"/>
        <w:ind w:left="154" w:right="1110" w:firstLine="526"/>
        <w:jc w:val="both"/>
      </w:pPr>
      <w:r>
        <w:rPr/>
        <w:t>赵燕，女，中国国籍，无境外永久居留权，</w:t>
      </w:r>
      <w:r>
        <w:rPr>
          <w:rFonts w:ascii="宋体" w:hAnsi="宋体" w:cs="宋体" w:eastAsia="宋体" w:hint="default"/>
        </w:rPr>
        <w:t>1972</w:t>
      </w:r>
      <w:r>
        <w:rPr>
          <w:rFonts w:ascii="宋体" w:hAnsi="宋体" w:cs="宋体" w:eastAsia="宋体" w:hint="default"/>
          <w:spacing w:val="-22"/>
        </w:rPr>
        <w:t> </w:t>
      </w:r>
      <w:r>
        <w:rPr/>
        <w:t>年出生，北方工业大学会计专业，本科学历，中国 注册会计师、注册评估师、高级会计师。曾任职于国富浩华会计师事务所有限公司、中国证监会发审委， 现任职于瑞华会计师事务所（特殊普通合伙），兼任公司独立董事。</w:t>
      </w:r>
    </w:p>
    <w:p>
      <w:pPr>
        <w:pStyle w:val="BodyText"/>
        <w:spacing w:line="408" w:lineRule="auto"/>
        <w:ind w:left="154" w:right="1215" w:firstLine="421"/>
        <w:jc w:val="both"/>
      </w:pPr>
      <w:r>
        <w:rPr/>
        <w:t>宁家骏，男，中国国籍，无境外永久居留权，</w:t>
      </w:r>
      <w:r>
        <w:rPr>
          <w:rFonts w:ascii="宋体" w:hAnsi="宋体" w:cs="宋体" w:eastAsia="宋体" w:hint="default"/>
        </w:rPr>
        <w:t>1945</w:t>
      </w:r>
      <w:r>
        <w:rPr>
          <w:rFonts w:ascii="宋体" w:hAnsi="宋体" w:cs="宋体" w:eastAsia="宋体" w:hint="default"/>
          <w:spacing w:val="-4"/>
        </w:rPr>
        <w:t> </w:t>
      </w:r>
      <w:r>
        <w:rPr/>
        <w:t>年出生，南开大学数学系学士学位、北京航空航 天大学计算机应用与科学专业硕士学位，高级工程师，研究员。近</w:t>
      </w:r>
      <w:r>
        <w:rPr>
          <w:rFonts w:ascii="宋体" w:hAnsi="宋体" w:cs="宋体" w:eastAsia="宋体" w:hint="default"/>
        </w:rPr>
        <w:t>5</w:t>
      </w:r>
      <w:r>
        <w:rPr/>
        <w:t>年任职于国家信息中心专家委员会， 兼任公司独立董事。</w:t>
      </w:r>
    </w:p>
    <w:p>
      <w:pPr>
        <w:pStyle w:val="Heading4"/>
        <w:spacing w:line="240" w:lineRule="auto" w:before="46"/>
        <w:ind w:right="1024"/>
        <w:jc w:val="left"/>
        <w:rPr>
          <w:b w:val="0"/>
          <w:bCs w:val="0"/>
        </w:rPr>
      </w:pPr>
      <w:r>
        <w:rPr/>
        <w:t>监事：</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4"/>
        <w:ind w:right="1197" w:firstLine="526"/>
        <w:jc w:val="left"/>
      </w:pPr>
      <w:r>
        <w:rPr/>
        <w:t>孟庆涛，男，中国国籍，无境外永久居留权，</w:t>
      </w:r>
      <w:r>
        <w:rPr>
          <w:rFonts w:ascii="宋体" w:hAnsi="宋体" w:cs="宋体" w:eastAsia="宋体" w:hint="default"/>
        </w:rPr>
        <w:t>1970</w:t>
      </w:r>
      <w:r>
        <w:rPr/>
        <w:t>年出生，毕业于北京科技大学分院金属压力加工 专业，大学本科学历。近</w:t>
      </w:r>
      <w:r>
        <w:rPr>
          <w:rFonts w:ascii="宋体" w:hAnsi="宋体" w:cs="宋体" w:eastAsia="宋体" w:hint="default"/>
        </w:rPr>
        <w:t>5</w:t>
      </w:r>
      <w:r>
        <w:rPr/>
        <w:t>年任职于北京中科金财科技股份有限公司，现任公司监事会主席。</w:t>
      </w:r>
    </w:p>
    <w:p>
      <w:pPr>
        <w:pStyle w:val="BodyText"/>
        <w:spacing w:line="408" w:lineRule="auto"/>
        <w:ind w:right="1024" w:firstLine="421"/>
        <w:jc w:val="left"/>
      </w:pPr>
      <w:r>
        <w:rPr>
          <w:spacing w:val="-1"/>
        </w:rPr>
        <w:t>任宏军，男，中国国籍，无境外永久居留权，</w:t>
      </w:r>
      <w:r>
        <w:rPr>
          <w:rFonts w:ascii="宋体" w:hAnsi="宋体" w:cs="宋体" w:eastAsia="宋体" w:hint="default"/>
          <w:spacing w:val="-1"/>
        </w:rPr>
        <w:t>1971</w:t>
      </w:r>
      <w:r>
        <w:rPr>
          <w:spacing w:val="-1"/>
        </w:rPr>
        <w:t>年出生，北京理工大学计算机应用专业毕业，大学</w:t>
      </w:r>
      <w:r>
        <w:rPr/>
        <w:t> 专科学历。近</w:t>
      </w:r>
      <w:r>
        <w:rPr>
          <w:rFonts w:ascii="宋体" w:hAnsi="宋体" w:cs="宋体" w:eastAsia="宋体" w:hint="default"/>
        </w:rPr>
        <w:t>5</w:t>
      </w:r>
      <w:r>
        <w:rPr/>
        <w:t>年任职于北京中科金财科技股份有限公司，现任公司监事。</w:t>
      </w:r>
    </w:p>
    <w:p>
      <w:pPr>
        <w:pStyle w:val="BodyText"/>
        <w:spacing w:line="408" w:lineRule="auto"/>
        <w:ind w:right="1092" w:firstLine="421"/>
        <w:jc w:val="left"/>
      </w:pPr>
      <w:r>
        <w:rPr/>
        <w:t>汪亮，男，中国国籍，无境外永久居留权，</w:t>
      </w:r>
      <w:r>
        <w:rPr>
          <w:rFonts w:ascii="宋体" w:hAnsi="宋体" w:cs="宋体" w:eastAsia="宋体" w:hint="default"/>
        </w:rPr>
        <w:t>1982</w:t>
      </w:r>
      <w:r>
        <w:rPr/>
        <w:t>年出生，北京城市学院生物计算机专业，大专学历。 近</w:t>
      </w:r>
      <w:r>
        <w:rPr>
          <w:rFonts w:ascii="宋体" w:hAnsi="宋体" w:cs="宋体" w:eastAsia="宋体" w:hint="default"/>
        </w:rPr>
        <w:t>5</w:t>
      </w:r>
      <w:r>
        <w:rPr/>
        <w:t>年任职于北京中科金财科技股份有限公司，现任公司监事。</w:t>
      </w:r>
    </w:p>
    <w:p>
      <w:pPr>
        <w:pStyle w:val="BodyText"/>
        <w:spacing w:line="408" w:lineRule="auto"/>
        <w:ind w:left="575" w:right="6551" w:hanging="422"/>
        <w:jc w:val="left"/>
      </w:pPr>
      <w:r>
        <w:rPr>
          <w:rFonts w:ascii="宋体" w:hAnsi="宋体" w:cs="宋体" w:eastAsia="宋体" w:hint="default"/>
          <w:b/>
          <w:bCs/>
        </w:rPr>
        <w:t>高级管理人员：</w:t>
      </w:r>
      <w:r>
        <w:rPr>
          <w:rFonts w:ascii="宋体" w:hAnsi="宋体" w:cs="宋体" w:eastAsia="宋体" w:hint="default"/>
          <w:b/>
          <w:bCs/>
          <w:w w:val="99"/>
        </w:rPr>
        <w:t> </w:t>
      </w:r>
      <w:r>
        <w:rPr/>
        <w:t>沈飒，现任公司总经理，简历同上。 李明珠，现任公司副总经理，简历同上。</w:t>
      </w:r>
    </w:p>
    <w:p>
      <w:pPr>
        <w:pStyle w:val="BodyText"/>
        <w:spacing w:line="408" w:lineRule="auto"/>
        <w:ind w:left="575" w:right="1120"/>
        <w:jc w:val="left"/>
      </w:pPr>
      <w:r>
        <w:rPr/>
        <w:t>贺岩，现任公司董事、副总经理兼董事会秘书，简历同上。 赵学荣，现任公司董事、副总经理兼财务总监，简历同上。 李昕照，女，中国国籍，无境外永久居留权，</w:t>
      </w:r>
      <w:r>
        <w:rPr>
          <w:rFonts w:ascii="宋体" w:hAnsi="宋体" w:cs="宋体" w:eastAsia="宋体" w:hint="default"/>
        </w:rPr>
        <w:t>1970</w:t>
      </w:r>
      <w:r>
        <w:rPr>
          <w:rFonts w:ascii="宋体" w:hAnsi="宋体" w:cs="宋体" w:eastAsia="宋体" w:hint="default"/>
          <w:spacing w:val="-29"/>
        </w:rPr>
        <w:t> </w:t>
      </w:r>
      <w:r>
        <w:rPr/>
        <w:t>年出生，大学本科学历，高级工程师。近</w:t>
      </w:r>
      <w:r>
        <w:rPr>
          <w:rFonts w:ascii="宋体" w:hAnsi="宋体" w:cs="宋体" w:eastAsia="宋体" w:hint="default"/>
        </w:rPr>
        <w:t>5</w:t>
      </w:r>
      <w:r>
        <w:rPr/>
        <w:t>年任职</w:t>
      </w:r>
    </w:p>
    <w:p>
      <w:pPr>
        <w:pStyle w:val="BodyText"/>
        <w:spacing w:line="408" w:lineRule="auto"/>
        <w:ind w:left="575" w:right="1024" w:hanging="422"/>
        <w:jc w:val="left"/>
      </w:pPr>
      <w:r>
        <w:rPr/>
        <w:t>于北京中科金财科技股份有限公司，现任公司副总经理。 </w:t>
      </w:r>
      <w:r>
        <w:rPr>
          <w:spacing w:val="-1"/>
        </w:rPr>
        <w:t>张京辉，男，中国国籍，无境外永久居留权，</w:t>
      </w:r>
      <w:r>
        <w:rPr>
          <w:rFonts w:ascii="宋体" w:hAnsi="宋体" w:cs="宋体" w:eastAsia="宋体" w:hint="default"/>
          <w:spacing w:val="-1"/>
        </w:rPr>
        <w:t>1971</w:t>
      </w:r>
      <w:r>
        <w:rPr>
          <w:spacing w:val="-1"/>
        </w:rPr>
        <w:t>年出生，北京信息工程学院计算机软件专业本科毕</w:t>
      </w:r>
    </w:p>
    <w:p>
      <w:pPr>
        <w:pStyle w:val="BodyText"/>
        <w:spacing w:line="408" w:lineRule="auto"/>
        <w:ind w:left="679" w:right="1024" w:hanging="526"/>
        <w:jc w:val="left"/>
      </w:pPr>
      <w:r>
        <w:rPr/>
        <w:t>业，学士学位。曾任职于亚美亚通讯设备（中国）有限公司，</w:t>
      </w:r>
      <w:r>
        <w:rPr>
          <w:rFonts w:ascii="宋体" w:hAnsi="宋体" w:cs="宋体" w:eastAsia="宋体" w:hint="default"/>
        </w:rPr>
        <w:t>2012</w:t>
      </w:r>
      <w:r>
        <w:rPr/>
        <w:t>年</w:t>
      </w:r>
      <w:r>
        <w:rPr>
          <w:rFonts w:ascii="宋体" w:hAnsi="宋体" w:cs="宋体" w:eastAsia="宋体" w:hint="default"/>
        </w:rPr>
        <w:t>3</w:t>
      </w:r>
      <w:r>
        <w:rPr/>
        <w:t>月至今任公司副总经理。 </w:t>
      </w:r>
      <w:r>
        <w:rPr>
          <w:spacing w:val="-1"/>
        </w:rPr>
        <w:t>李烁，男，中国国籍，无境外永久居留权，</w:t>
      </w:r>
      <w:r>
        <w:rPr>
          <w:rFonts w:ascii="宋体" w:hAnsi="宋体" w:cs="宋体" w:eastAsia="宋体" w:hint="default"/>
          <w:spacing w:val="-1"/>
        </w:rPr>
        <w:t>1973</w:t>
      </w:r>
      <w:r>
        <w:rPr>
          <w:spacing w:val="-1"/>
        </w:rPr>
        <w:t>年出生，中共党员，东北财经大学</w:t>
      </w:r>
      <w:r>
        <w:rPr>
          <w:rFonts w:ascii="宋体" w:hAnsi="宋体" w:cs="宋体" w:eastAsia="宋体" w:hint="default"/>
          <w:spacing w:val="-1"/>
        </w:rPr>
        <w:t>MBA</w:t>
      </w:r>
      <w:r>
        <w:rPr>
          <w:spacing w:val="-1"/>
        </w:rPr>
        <w:t>。曾任大连银</w:t>
      </w:r>
    </w:p>
    <w:p>
      <w:pPr>
        <w:pStyle w:val="BodyText"/>
        <w:spacing w:line="408" w:lineRule="auto"/>
        <w:ind w:right="1024"/>
        <w:jc w:val="left"/>
      </w:pPr>
      <w:r>
        <w:rPr>
          <w:spacing w:val="-1"/>
        </w:rPr>
        <w:t>行总行办公室秘书、浦发银行大连高新园区支行副行长、浦发银行大连分行贵宾理财中心总经理、浦发银</w:t>
      </w:r>
      <w:r>
        <w:rPr>
          <w:spacing w:val="-83"/>
        </w:rPr>
        <w:t> </w:t>
      </w:r>
      <w:r>
        <w:rPr>
          <w:spacing w:val="-83"/>
        </w:rPr>
      </w:r>
      <w:r>
        <w:rPr/>
        <w:t>行大连长春路支行行长、广发银行大连分行副行长，现任公司副总经理。</w:t>
      </w:r>
    </w:p>
    <w:p>
      <w:pPr>
        <w:spacing w:before="34"/>
        <w:ind w:left="153" w:right="1024"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北京市君合律师事务所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国家信息中心专家委员会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1024"/>
        <w:jc w:val="left"/>
        <w:rPr>
          <w:b w:val="0"/>
          <w:bCs w:val="0"/>
        </w:rPr>
      </w:pPr>
      <w:bookmarkStart w:name="四、董事、监事、高级管理人员报酬情况" w:id="136"/>
      <w:bookmarkEnd w:id="136"/>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5"/>
          <w:szCs w:val="25"/>
        </w:rPr>
      </w:pPr>
    </w:p>
    <w:p>
      <w:pPr>
        <w:spacing w:before="0"/>
        <w:ind w:left="153" w:right="1024" w:firstLine="0"/>
        <w:jc w:val="left"/>
        <w:rPr>
          <w:rFonts w:ascii="宋体" w:hAnsi="宋体" w:cs="宋体" w:eastAsia="宋体" w:hint="default"/>
          <w:sz w:val="20"/>
          <w:szCs w:val="20"/>
        </w:rPr>
      </w:pPr>
      <w:r>
        <w:rPr>
          <w:rFonts w:ascii="宋体" w:hAnsi="宋体" w:cs="宋体" w:eastAsia="宋体" w:hint="default"/>
          <w:b/>
          <w:bCs/>
          <w:sz w:val="20"/>
          <w:szCs w:val="20"/>
        </w:rPr>
        <w:t>董事、监事、高级管理人员报酬的决策程序、确定依据、实际支付情况</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4"/>
        <w:ind w:right="1024" w:firstLine="313"/>
        <w:jc w:val="left"/>
      </w:pPr>
      <w:r>
        <w:rPr/>
        <w:t>高级管理人员报酬由董事会薪酬与考核委员会提出方案，经董事会审议通过后方可实施；董事的报酬 </w:t>
      </w:r>
      <w:r>
        <w:rPr>
          <w:spacing w:val="-1"/>
        </w:rPr>
        <w:t>由董事会薪酬与考核委员会提出方案，经董事会审议通过后，报送股东大会审议通过方可实施；监事的报</w:t>
      </w:r>
      <w:r>
        <w:rPr>
          <w:spacing w:val="-83"/>
        </w:rPr>
        <w:t> </w:t>
      </w:r>
      <w:r>
        <w:rPr>
          <w:spacing w:val="-83"/>
        </w:rPr>
      </w:r>
      <w:r>
        <w:rPr/>
        <w:t>酬由监事会提出方案，经股东大会通过后方可实施。</w:t>
      </w:r>
    </w:p>
    <w:p>
      <w:pPr>
        <w:pStyle w:val="BodyText"/>
        <w:spacing w:line="240" w:lineRule="auto"/>
        <w:ind w:right="1024"/>
        <w:jc w:val="left"/>
      </w:pPr>
      <w:r>
        <w:rPr/>
        <w:t>确定依据：</w:t>
      </w:r>
    </w:p>
    <w:p>
      <w:pPr>
        <w:spacing w:line="240" w:lineRule="auto" w:before="10"/>
        <w:rPr>
          <w:rFonts w:ascii="宋体" w:hAnsi="宋体" w:cs="宋体" w:eastAsia="宋体" w:hint="default"/>
          <w:sz w:val="14"/>
          <w:szCs w:val="14"/>
        </w:rPr>
      </w:pPr>
    </w:p>
    <w:p>
      <w:pPr>
        <w:pStyle w:val="BodyText"/>
        <w:spacing w:line="408" w:lineRule="auto" w:before="0"/>
        <w:ind w:right="1024" w:firstLine="420"/>
        <w:jc w:val="left"/>
      </w:pPr>
      <w:r>
        <w:rPr>
          <w:spacing w:val="-1"/>
        </w:rPr>
        <w:t>董事、监事及高级管理人员的报酬根据管理岗位的主要范围、职责、重要性以及其它相关企业相关岗</w:t>
      </w:r>
      <w:r>
        <w:rPr/>
        <w:t> 位的薪酬水平确定。</w:t>
      </w:r>
    </w:p>
    <w:p>
      <w:pPr>
        <w:pStyle w:val="BodyText"/>
        <w:spacing w:line="408" w:lineRule="auto"/>
        <w:ind w:left="573" w:right="2143" w:hanging="420"/>
        <w:jc w:val="left"/>
      </w:pPr>
      <w:r>
        <w:rPr>
          <w:rFonts w:ascii="宋体" w:hAnsi="宋体" w:cs="宋体" w:eastAsia="宋体" w:hint="default"/>
          <w:b/>
          <w:bCs/>
        </w:rPr>
        <w:t>实际支付情况：</w:t>
      </w:r>
      <w:r>
        <w:rPr>
          <w:rFonts w:ascii="宋体" w:hAnsi="宋体" w:cs="宋体" w:eastAsia="宋体" w:hint="default"/>
          <w:b/>
          <w:bCs/>
          <w:w w:val="99"/>
        </w:rPr>
        <w:t> </w:t>
      </w:r>
      <w:r>
        <w:rPr/>
        <w:t>独立董事津贴每季度按标准支付，其他董事、监事、高级管理人员报酬每月按标准支付。</w:t>
      </w:r>
    </w:p>
    <w:p>
      <w:pPr>
        <w:pStyle w:val="BodyText"/>
        <w:spacing w:line="240" w:lineRule="auto" w:before="87"/>
        <w:ind w:right="1024"/>
        <w:jc w:val="left"/>
      </w:pPr>
      <w:r>
        <w:rPr/>
        <w:t>公司报告期内董事、监事和高级管理人员报酬情况</w:t>
      </w:r>
    </w:p>
    <w:p>
      <w:pPr>
        <w:spacing w:line="240" w:lineRule="auto" w:before="11"/>
        <w:rPr>
          <w:rFonts w:ascii="宋体" w:hAnsi="宋体" w:cs="宋体" w:eastAsia="宋体" w:hint="default"/>
          <w:sz w:val="13"/>
          <w:szCs w:val="13"/>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副董事长、总经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赫喆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赵学荣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董事、副总经理 兼财务总监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贺岩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董事、副总经理 兼董事会秘书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李明珠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孟庆涛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任宏军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李昕照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张京辉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黄智舜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章超英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夏海涛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414.35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五、公司员工情况" w:id="137"/>
      <w:bookmarkEnd w:id="137"/>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24"/>
        <w:jc w:val="left"/>
        <w:rPr>
          <w:b w:val="0"/>
          <w:bCs w:val="0"/>
        </w:rPr>
      </w:pPr>
      <w:bookmarkStart w:name="1、员工数量、专业构成及教育程度" w:id="138"/>
      <w:bookmarkEnd w:id="13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w:t>
            </w:r>
          </w:p>
        </w:tc>
      </w:tr>
    </w:tbl>
    <w:p>
      <w:pPr>
        <w:spacing w:line="240" w:lineRule="auto" w:before="2"/>
        <w:rPr>
          <w:rFonts w:ascii="宋体" w:hAnsi="宋体" w:cs="宋体" w:eastAsia="宋体" w:hint="default"/>
          <w:b/>
          <w:bCs/>
          <w:sz w:val="19"/>
          <w:szCs w:val="19"/>
        </w:rPr>
      </w:pPr>
    </w:p>
    <w:p>
      <w:pPr>
        <w:pStyle w:val="Heading4"/>
        <w:spacing w:line="240" w:lineRule="auto" w:before="35"/>
        <w:ind w:right="1024"/>
        <w:jc w:val="left"/>
        <w:rPr>
          <w:b w:val="0"/>
          <w:bCs w:val="0"/>
        </w:rPr>
      </w:pPr>
      <w:bookmarkStart w:name="2、薪酬政策" w:id="139"/>
      <w:bookmarkEnd w:id="13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93" w:firstLine="423"/>
        <w:jc w:val="left"/>
      </w:pPr>
      <w:r>
        <w:rPr>
          <w:spacing w:val="-1"/>
        </w:rPr>
        <w:t>公司实行中科金财多层级合伙人经营责任制模式，让全体员工参与经营管理，实现“全员参与”的经</w:t>
      </w:r>
      <w:r>
        <w:rPr/>
        <w:t> 营理念。公司向员工提供稳定且有竞争力的薪酬，经营者可以确定各自的薪酬总量，通过经营会计核算，</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spacing w:val="-1"/>
        </w:rPr>
        <w:t>实现收入最大化，成本最小化。将薪酬及绩效挂钩，通过利润分享及股权分享，以充分调动员工的积极性</w:t>
      </w:r>
      <w:r>
        <w:rPr>
          <w:spacing w:val="-86"/>
        </w:rPr>
        <w:t> </w:t>
      </w:r>
      <w:r>
        <w:rPr>
          <w:spacing w:val="-86"/>
        </w:rPr>
      </w:r>
      <w:r>
        <w:rPr/>
        <w:t>和主动性，充分发挥薪酬吸引、保留、激励人才的战略作用。</w:t>
      </w:r>
    </w:p>
    <w:p>
      <w:pPr>
        <w:spacing w:line="240" w:lineRule="auto" w:before="8"/>
        <w:rPr>
          <w:rFonts w:ascii="宋体" w:hAnsi="宋体" w:cs="宋体" w:eastAsia="宋体" w:hint="default"/>
          <w:sz w:val="20"/>
          <w:szCs w:val="20"/>
        </w:rPr>
      </w:pPr>
    </w:p>
    <w:p>
      <w:pPr>
        <w:pStyle w:val="Heading4"/>
        <w:spacing w:line="240" w:lineRule="auto"/>
        <w:ind w:left="153" w:right="1024"/>
        <w:jc w:val="left"/>
        <w:rPr>
          <w:b w:val="0"/>
          <w:bCs w:val="0"/>
        </w:rPr>
      </w:pPr>
      <w:bookmarkStart w:name="3、培训计划" w:id="140"/>
      <w:bookmarkEnd w:id="14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10" w:firstLine="423"/>
        <w:jc w:val="both"/>
      </w:pPr>
      <w:r>
        <w:rPr>
          <w:spacing w:val="-1"/>
        </w:rPr>
        <w:t>公司建立核心人才数据库，开展培训建设，通过线上、线下、内训、外训多种培训方式，进行人才的</w:t>
      </w:r>
      <w:r>
        <w:rPr/>
        <w:t> 开发和培养，有效扩大了人才建设的广度和深度。</w:t>
      </w:r>
      <w:r>
        <w:rPr>
          <w:rFonts w:ascii="宋体" w:hAnsi="宋体" w:cs="宋体" w:eastAsia="宋体" w:hint="default"/>
        </w:rPr>
        <w:t>2015</w:t>
      </w:r>
      <w:r>
        <w:rPr/>
        <w:t>年公司通过</w:t>
      </w:r>
      <w:r>
        <w:rPr>
          <w:rFonts w:ascii="宋体" w:hAnsi="宋体" w:cs="宋体" w:eastAsia="宋体" w:hint="default"/>
        </w:rPr>
        <w:t>e-learning</w:t>
      </w:r>
      <w:r>
        <w:rPr/>
        <w:t>系统，将公司的战略模式、 </w:t>
      </w:r>
      <w:r>
        <w:rPr>
          <w:spacing w:val="-1"/>
        </w:rPr>
        <w:t>经营指导、业务培训全部上线，并将培训与绩效、员工转正挂钩，提高员工培训覆盖率，符合公司“全员</w:t>
      </w:r>
      <w:r>
        <w:rPr>
          <w:spacing w:val="-81"/>
        </w:rPr>
        <w:t> </w:t>
      </w:r>
      <w:r>
        <w:rPr>
          <w:spacing w:val="-81"/>
        </w:rPr>
      </w:r>
      <w:r>
        <w:rPr/>
        <w:t>参与”的经营理念。</w:t>
      </w:r>
    </w:p>
    <w:p>
      <w:pPr>
        <w:spacing w:line="240" w:lineRule="auto" w:before="8"/>
        <w:rPr>
          <w:rFonts w:ascii="宋体" w:hAnsi="宋体" w:cs="宋体" w:eastAsia="宋体" w:hint="default"/>
          <w:sz w:val="20"/>
          <w:szCs w:val="20"/>
        </w:rPr>
      </w:pPr>
    </w:p>
    <w:p>
      <w:pPr>
        <w:pStyle w:val="Heading4"/>
        <w:spacing w:line="240" w:lineRule="auto"/>
        <w:ind w:right="1024"/>
        <w:jc w:val="left"/>
        <w:rPr>
          <w:b w:val="0"/>
          <w:bCs w:val="0"/>
        </w:rPr>
      </w:pPr>
      <w:bookmarkStart w:name="4、劳务外包情况" w:id="141"/>
      <w:bookmarkEnd w:id="14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2" w:id="142"/>
      <w:bookmarkStart w:name="第九节 公司治理" w:id="143"/>
      <w:r>
        <w:rPr>
          <w:b w:val="0"/>
          <w:bCs w:val="0"/>
        </w:rPr>
      </w:r>
      <w:r>
        <w:rPr/>
        <w:t>第九节</w:t>
      </w:r>
      <w:r>
        <w:rPr>
          <w:spacing w:val="-5"/>
        </w:rPr>
        <w:t> </w:t>
      </w:r>
      <w:r>
        <w:rPr/>
        <w:t>公司治理</w:t>
      </w:r>
      <w:bookmarkEnd w:id="14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44"/>
      <w:bookmarkEnd w:id="144"/>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027" w:firstLine="423"/>
        <w:jc w:val="both"/>
      </w:pPr>
      <w:r>
        <w:rPr/>
        <w:t>公司严格按照《公司法》、《证券法》、《上市公司治理准则》、《深圳证券交易所股票上市规则》 等法律、法规的要求，不断完善公司治理结构，建立健全内部管理和控制制度，规范公司运作，提高公司 治理水平。截止报告期末，公司已经形成了较为完善的法人治理结构，形成了完善的决策机制、监督机制 </w:t>
      </w:r>
      <w:r>
        <w:rPr>
          <w:spacing w:val="-3"/>
        </w:rPr>
        <w:t>和执行机制，公司治理的实际情况与《公司法》和中国证监会相关规定的要求不存在差异。具体情况如下：</w:t>
      </w:r>
    </w:p>
    <w:p>
      <w:pPr>
        <w:pStyle w:val="BodyText"/>
        <w:spacing w:line="408" w:lineRule="auto"/>
        <w:ind w:left="577" w:right="1024"/>
        <w:jc w:val="left"/>
      </w:pPr>
      <w:r>
        <w:rPr/>
        <w:t>（一）关于股东与股东大会 </w:t>
      </w:r>
      <w:r>
        <w:rPr>
          <w:spacing w:val="-1"/>
        </w:rPr>
        <w:t>股东大会是公司的最高权力机构，公司依据《公司法》、《公司章程》、《上市公司治理准则》等文</w:t>
      </w:r>
    </w:p>
    <w:p>
      <w:pPr>
        <w:pStyle w:val="BodyText"/>
        <w:spacing w:line="408" w:lineRule="auto"/>
        <w:ind w:right="1131"/>
        <w:jc w:val="both"/>
      </w:pPr>
      <w:r>
        <w:rPr>
          <w:spacing w:val="-1"/>
        </w:rPr>
        <w:t>件制定了《股东大会议事规则》，规范了股东大会召集、召开、表决程序，平等对待所有股东，积极采用</w:t>
      </w:r>
      <w:r>
        <w:rPr>
          <w:spacing w:val="-85"/>
        </w:rPr>
        <w:t> </w:t>
      </w:r>
      <w:r>
        <w:rPr>
          <w:spacing w:val="-85"/>
        </w:rPr>
      </w:r>
      <w:r>
        <w:rPr>
          <w:spacing w:val="-1"/>
        </w:rPr>
        <w:t>网络投票等形式，扩大中小股东参与度，保证股东对公司重大事项的知情权和参与权，确保全体股东尤其</w:t>
      </w:r>
      <w:r>
        <w:rPr>
          <w:spacing w:val="-83"/>
        </w:rPr>
        <w:t> </w:t>
      </w:r>
      <w:r>
        <w:rPr>
          <w:spacing w:val="-83"/>
        </w:rPr>
      </w:r>
      <w:r>
        <w:rPr/>
        <w:t>是中小股东享有平等地位，充分行使自己的权利。</w:t>
      </w:r>
    </w:p>
    <w:p>
      <w:pPr>
        <w:pStyle w:val="BodyText"/>
        <w:spacing w:line="408" w:lineRule="auto"/>
        <w:ind w:left="577" w:right="1024"/>
        <w:jc w:val="left"/>
      </w:pPr>
      <w:r>
        <w:rPr/>
        <w:t>（二）关于公司与控股股东 </w:t>
      </w:r>
      <w:r>
        <w:rPr>
          <w:spacing w:val="-1"/>
        </w:rPr>
        <w:t>公司拥有独立的业务和自主经营能力，在业务、人员、资产、机构、财务上独立于控股股东，公司董</w:t>
      </w:r>
    </w:p>
    <w:p>
      <w:pPr>
        <w:pStyle w:val="BodyText"/>
        <w:spacing w:line="408" w:lineRule="auto"/>
        <w:ind w:right="1130"/>
        <w:jc w:val="both"/>
      </w:pPr>
      <w:r>
        <w:rPr>
          <w:spacing w:val="-1"/>
        </w:rPr>
        <w:t>事会、监事会和内部机构独立运作。公司控股股东严格根据《上市公司治理准则》、《深圳证券交易所股</w:t>
      </w:r>
      <w:r>
        <w:rPr>
          <w:spacing w:val="-83"/>
        </w:rPr>
        <w:t> </w:t>
      </w:r>
      <w:r>
        <w:rPr>
          <w:spacing w:val="-83"/>
        </w:rPr>
      </w:r>
      <w:r>
        <w:rPr>
          <w:spacing w:val="-1"/>
        </w:rPr>
        <w:t>票上市规则》、《公司章程》规范股东行为，通过股东大会行使股东权利，未发生超越股东大会及董事会</w:t>
      </w:r>
      <w:r>
        <w:rPr>
          <w:spacing w:val="-83"/>
        </w:rPr>
        <w:t> </w:t>
      </w:r>
      <w:r>
        <w:rPr>
          <w:spacing w:val="-83"/>
        </w:rPr>
      </w:r>
      <w:r>
        <w:rPr/>
        <w:t>而直接或间接干预公司经营与决策的行为。</w:t>
      </w:r>
    </w:p>
    <w:p>
      <w:pPr>
        <w:pStyle w:val="BodyText"/>
        <w:spacing w:line="408" w:lineRule="auto"/>
        <w:ind w:left="577" w:right="1024"/>
        <w:jc w:val="left"/>
      </w:pPr>
      <w:r>
        <w:rPr/>
        <w:t>（三）关于董事与董事会 </w:t>
      </w:r>
      <w:r>
        <w:rPr>
          <w:spacing w:val="-1"/>
        </w:rPr>
        <w:t>公司严格按照《公司法》、《公司章程》等相关法律法规选举产生董事人选，公司目前有独立董事三</w:t>
      </w:r>
    </w:p>
    <w:p>
      <w:pPr>
        <w:pStyle w:val="BodyText"/>
        <w:spacing w:line="408" w:lineRule="auto"/>
        <w:ind w:right="1131"/>
        <w:jc w:val="both"/>
      </w:pPr>
      <w:r>
        <w:rPr>
          <w:spacing w:val="-1"/>
        </w:rPr>
        <w:t>名，占全体董事的三分之一，董事会人数及人员构成符合法律法规和《公司章程》的要求。公司董事会严</w:t>
      </w:r>
      <w:r>
        <w:rPr>
          <w:spacing w:val="-83"/>
        </w:rPr>
        <w:t> </w:t>
      </w:r>
      <w:r>
        <w:rPr>
          <w:spacing w:val="-83"/>
        </w:rPr>
      </w:r>
      <w:r>
        <w:rPr>
          <w:spacing w:val="-1"/>
        </w:rPr>
        <w:t>格按照《公司章程》、《独立董事工作制度》及《董事会议事规则》、《深圳证券交易所中小企业板上市</w:t>
      </w:r>
      <w:r>
        <w:rPr>
          <w:spacing w:val="-84"/>
        </w:rPr>
        <w:t> </w:t>
      </w:r>
      <w:r>
        <w:rPr>
          <w:spacing w:val="-84"/>
        </w:rPr>
      </w:r>
      <w:r>
        <w:rPr>
          <w:spacing w:val="-1"/>
        </w:rPr>
        <w:t>公司规范运作指引》等相关规定召集召开董事会，各董事按要求出席董事会，认真审议各项议案，勤勉尽</w:t>
      </w:r>
      <w:r>
        <w:rPr>
          <w:spacing w:val="-86"/>
        </w:rPr>
        <w:t> </w:t>
      </w:r>
      <w:r>
        <w:rPr>
          <w:spacing w:val="-86"/>
        </w:rPr>
      </w:r>
      <w:r>
        <w:rPr>
          <w:spacing w:val="-1"/>
        </w:rPr>
        <w:t>责。独立董事独立履行职责，维护公司整体利益，尤其关注中小股东的合法权益不受损害，对重要及重大</w:t>
      </w:r>
      <w:r>
        <w:rPr>
          <w:spacing w:val="-86"/>
        </w:rPr>
        <w:t> </w:t>
      </w:r>
      <w:r>
        <w:rPr>
          <w:spacing w:val="-86"/>
        </w:rPr>
      </w:r>
      <w:r>
        <w:rPr/>
        <w:t>事项发表独立意见。</w:t>
      </w:r>
    </w:p>
    <w:p>
      <w:pPr>
        <w:pStyle w:val="BodyText"/>
        <w:spacing w:line="408" w:lineRule="auto"/>
        <w:ind w:left="577" w:right="1194"/>
        <w:jc w:val="left"/>
      </w:pPr>
      <w:r>
        <w:rPr/>
        <w:t>（四）关于监事与监事会 公司严格按照《公司法》、《公司章程》等相关法律法规选举产生监事人选，公司监事会由</w:t>
      </w:r>
      <w:r>
        <w:rPr>
          <w:rFonts w:ascii="宋体" w:hAnsi="宋体" w:cs="宋体" w:eastAsia="宋体" w:hint="default"/>
        </w:rPr>
        <w:t>3</w:t>
      </w:r>
      <w:r>
        <w:rPr/>
        <w:t>名监事</w:t>
      </w:r>
    </w:p>
    <w:p>
      <w:pPr>
        <w:pStyle w:val="BodyText"/>
        <w:spacing w:line="408" w:lineRule="auto"/>
        <w:ind w:right="1024"/>
        <w:jc w:val="left"/>
      </w:pPr>
      <w:r>
        <w:rPr/>
        <w:t>组成，监事会人数及人员构成符合法律法规的要求。公司监事会严格按照《公司章程》及《监事会议事规 </w:t>
      </w:r>
      <w:r>
        <w:rPr>
          <w:spacing w:val="-3"/>
        </w:rPr>
        <w:t>则》等相关规定召集召开监事会，各监事按要求出席监事会，认真履行职责，对公司重大事项、关联交易、</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财务状况等进行监督并发表意见，维护了公司及股东的合法权益。</w:t>
      </w:r>
    </w:p>
    <w:p>
      <w:pPr>
        <w:spacing w:line="240" w:lineRule="auto" w:before="10"/>
        <w:rPr>
          <w:rFonts w:ascii="宋体" w:hAnsi="宋体" w:cs="宋体" w:eastAsia="宋体" w:hint="default"/>
          <w:sz w:val="14"/>
          <w:szCs w:val="14"/>
        </w:rPr>
      </w:pPr>
    </w:p>
    <w:p>
      <w:pPr>
        <w:pStyle w:val="BodyText"/>
        <w:spacing w:line="408" w:lineRule="auto" w:before="0"/>
        <w:ind w:left="577" w:right="1089"/>
        <w:jc w:val="left"/>
      </w:pPr>
      <w:r>
        <w:rPr/>
        <w:t>（五）关于信息披露与透明度 公司严格执行《信息披露管理制度》、《董事会秘书工作制度》、《内幕信息知情人管理制度》等，</w:t>
      </w:r>
    </w:p>
    <w:p>
      <w:pPr>
        <w:pStyle w:val="BodyText"/>
        <w:spacing w:line="408" w:lineRule="auto"/>
        <w:ind w:right="1133"/>
        <w:jc w:val="both"/>
      </w:pPr>
      <w:r>
        <w:rPr>
          <w:spacing w:val="-5"/>
        </w:rPr>
        <w:t>由董事会秘书负责信息披露工作，建立投资者专线电话、电子邮箱，提高公司运作的透明度。公司指定《证</w:t>
      </w:r>
      <w:r>
        <w:rPr/>
        <w:t> </w:t>
      </w:r>
      <w:r>
        <w:rPr>
          <w:spacing w:val="-1"/>
        </w:rPr>
        <w:t>券时报》、《证券日报》、《中国证券报》、《上海证券报》及巨潮资讯网作为本公司信息披露的法定媒</w:t>
      </w:r>
      <w:r>
        <w:rPr>
          <w:spacing w:val="-85"/>
        </w:rPr>
        <w:t> </w:t>
      </w:r>
      <w:r>
        <w:rPr>
          <w:spacing w:val="-85"/>
        </w:rPr>
      </w:r>
      <w:r>
        <w:rPr>
          <w:spacing w:val="-1"/>
        </w:rPr>
        <w:t>体，严格按照有关规定真实、准确、完整、及时地披露有关信息，确保公司所有股东能够以平等的机会获</w:t>
      </w:r>
      <w:r>
        <w:rPr>
          <w:spacing w:val="-83"/>
        </w:rPr>
        <w:t> </w:t>
      </w:r>
      <w:r>
        <w:rPr>
          <w:spacing w:val="-83"/>
        </w:rPr>
      </w:r>
      <w:r>
        <w:rPr/>
        <w:t>取信息。</w:t>
      </w:r>
    </w:p>
    <w:p>
      <w:pPr>
        <w:pStyle w:val="BodyText"/>
        <w:spacing w:line="408" w:lineRule="auto"/>
        <w:ind w:left="577" w:right="1089"/>
        <w:jc w:val="left"/>
      </w:pPr>
      <w:r>
        <w:rPr/>
        <w:t>（六）关于相关利益者 公司充分尊重和维护相关利益者的合法权益，积极加强与相关利益者的沟通和交流，推动公司持续、</w:t>
      </w:r>
    </w:p>
    <w:p>
      <w:pPr>
        <w:pStyle w:val="BodyText"/>
        <w:spacing w:line="240" w:lineRule="auto"/>
        <w:ind w:right="0"/>
        <w:jc w:val="both"/>
      </w:pPr>
      <w:r>
        <w:rPr/>
        <w:t>稳定、健康地发展。公司的治理情况符合中国证监会有关上市公司治理的规范性文件要求。</w:t>
      </w:r>
    </w:p>
    <w:p>
      <w:pPr>
        <w:spacing w:line="240" w:lineRule="auto" w:before="10"/>
        <w:rPr>
          <w:rFonts w:ascii="宋体" w:hAnsi="宋体" w:cs="宋体" w:eastAsia="宋体" w:hint="default"/>
          <w:sz w:val="14"/>
          <w:szCs w:val="14"/>
        </w:rPr>
      </w:pPr>
    </w:p>
    <w:p>
      <w:pPr>
        <w:pStyle w:val="BodyText"/>
        <w:spacing w:line="408" w:lineRule="auto" w:before="0"/>
        <w:ind w:left="577" w:right="1024"/>
        <w:jc w:val="left"/>
      </w:pPr>
      <w:r>
        <w:rPr/>
        <w:t>（七）关于公司与投资者 </w:t>
      </w:r>
      <w:r>
        <w:rPr>
          <w:spacing w:val="-1"/>
        </w:rPr>
        <w:t>公司严格执行《投资者关系管理制度》、《机构投资者接待管理办法》，公司董事会秘书为投资者关</w:t>
      </w:r>
    </w:p>
    <w:p>
      <w:pPr>
        <w:pStyle w:val="BodyText"/>
        <w:spacing w:line="408" w:lineRule="auto"/>
        <w:ind w:right="1110"/>
        <w:jc w:val="both"/>
      </w:pPr>
      <w:r>
        <w:rPr/>
        <w:t>系管理负责人，组织实施投资者关系的日常管理工作。报告期内，公司通过电话、接待投资者现场调研、 深交所投资者关系互动平台等方式，加强与投资者的沟通。</w:t>
      </w:r>
    </w:p>
    <w:p>
      <w:pPr>
        <w:pStyle w:val="BodyText"/>
        <w:spacing w:line="408" w:lineRule="auto"/>
        <w:ind w:left="577" w:right="1024"/>
        <w:jc w:val="left"/>
      </w:pPr>
      <w:r>
        <w:rPr/>
        <w:t>（八）关于绩效评价与激励约束机制 </w:t>
      </w:r>
      <w:r>
        <w:rPr>
          <w:spacing w:val="-1"/>
        </w:rPr>
        <w:t>公司逐步完善和建立公正、透明的董事、监事及高级管理人员绩效评价体系和激励约束机制，高级管</w:t>
      </w:r>
    </w:p>
    <w:p>
      <w:pPr>
        <w:pStyle w:val="BodyText"/>
        <w:spacing w:line="408" w:lineRule="auto"/>
        <w:ind w:right="1131"/>
        <w:jc w:val="both"/>
      </w:pPr>
      <w:r>
        <w:rPr>
          <w:spacing w:val="-1"/>
        </w:rPr>
        <w:t>理人员的聘任公开、透明，符合有关法律法规和公司内部规章制度的要求。本公司高级管理人员实行年薪</w:t>
      </w:r>
      <w:r>
        <w:rPr>
          <w:spacing w:val="-83"/>
        </w:rPr>
        <w:t> </w:t>
      </w:r>
      <w:r>
        <w:rPr>
          <w:spacing w:val="-83"/>
        </w:rPr>
      </w:r>
      <w:r>
        <w:rPr>
          <w:spacing w:val="-1"/>
        </w:rPr>
        <w:t>制，年薪与年度经营指标完成情况挂钩，同时根据《公司章程》中对高级管理人员履职行为、权限和职责</w:t>
      </w:r>
      <w:r>
        <w:rPr>
          <w:spacing w:val="-83"/>
        </w:rPr>
        <w:t> </w:t>
      </w:r>
      <w:r>
        <w:rPr>
          <w:spacing w:val="-83"/>
        </w:rPr>
      </w:r>
      <w:r>
        <w:rPr/>
        <w:t>的规定进行综合考评。</w:t>
      </w:r>
    </w:p>
    <w:p>
      <w:pPr>
        <w:spacing w:before="34"/>
        <w:ind w:left="154"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45"/>
      <w:bookmarkEnd w:id="145"/>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4" w:firstLine="423"/>
        <w:jc w:val="left"/>
      </w:pPr>
      <w:r>
        <w:rPr>
          <w:spacing w:val="-1"/>
        </w:rPr>
        <w:t>公司与控股股东在业务、人员、资产、机构、财务等方面完全分开，具有独立完整的业务及自主经营</w:t>
      </w:r>
      <w:r>
        <w:rPr/>
        <w:t> 能力。</w:t>
      </w:r>
    </w:p>
    <w:p>
      <w:pPr>
        <w:pStyle w:val="BodyText"/>
        <w:spacing w:line="408" w:lineRule="auto"/>
        <w:ind w:right="1024" w:firstLine="423"/>
        <w:jc w:val="left"/>
      </w:pPr>
      <w:r>
        <w:rPr/>
        <w:t>（一）业务独立：公司拥有独立完整的业务体系及自主经营能力</w:t>
      </w:r>
      <w:r>
        <w:rPr>
          <w:rFonts w:ascii="宋体" w:hAnsi="宋体" w:cs="宋体" w:eastAsia="宋体" w:hint="default"/>
        </w:rPr>
        <w:t>,</w:t>
      </w:r>
      <w:r>
        <w:rPr/>
        <w:t>能够面向市场独立经营、核算和决 </w:t>
      </w:r>
      <w:r>
        <w:rPr>
          <w:spacing w:val="-1"/>
        </w:rPr>
        <w:t>策，独立承担责任与风险。公司的业务开展完全独立于控股股东，不存在受制于公司股东及其它关联方的</w:t>
      </w:r>
      <w:r>
        <w:rPr>
          <w:spacing w:val="-83"/>
        </w:rPr>
        <w:t> </w:t>
      </w:r>
      <w:r>
        <w:rPr>
          <w:spacing w:val="-83"/>
        </w:rPr>
      </w:r>
      <w:r>
        <w:rPr/>
        <w:t>情况。</w:t>
      </w:r>
    </w:p>
    <w:p>
      <w:pPr>
        <w:pStyle w:val="BodyText"/>
        <w:spacing w:line="240" w:lineRule="auto"/>
        <w:ind w:left="577" w:right="1024"/>
        <w:jc w:val="left"/>
      </w:pPr>
      <w:r>
        <w:rPr/>
        <w:t>（二）人员独立：公司董事</w:t>
      </w:r>
      <w:r>
        <w:rPr>
          <w:rFonts w:ascii="宋体" w:hAnsi="宋体" w:cs="宋体" w:eastAsia="宋体" w:hint="default"/>
        </w:rPr>
        <w:t>(</w:t>
      </w:r>
      <w:r>
        <w:rPr/>
        <w:t>含独立董事</w:t>
      </w:r>
      <w:r>
        <w:rPr>
          <w:rFonts w:ascii="宋体" w:hAnsi="宋体" w:cs="宋体" w:eastAsia="宋体" w:hint="default"/>
        </w:rPr>
        <w:t>)</w:t>
      </w:r>
      <w:r>
        <w:rPr/>
        <w:t>、监事及高级管理人员严格按照《公司法》、《公司章程》</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的有关规定产生，公司的总经理、副总经理、财务负责人、董事会秘书等高级管理人员均在公司专职工作</w:t>
      </w:r>
      <w:r>
        <w:rPr>
          <w:spacing w:val="-86"/>
        </w:rPr>
        <w:t> </w:t>
      </w:r>
      <w:r>
        <w:rPr>
          <w:spacing w:val="-86"/>
        </w:rPr>
      </w:r>
      <w:r>
        <w:rPr>
          <w:spacing w:val="-1"/>
        </w:rPr>
        <w:t>并领取薪酬，不存在在关联企业兼职领薪的情况；公司高级管理人员的任免均由公司董事会通过合法程序</w:t>
      </w:r>
      <w:r>
        <w:rPr>
          <w:spacing w:val="-81"/>
        </w:rPr>
        <w:t> </w:t>
      </w:r>
      <w:r>
        <w:rPr>
          <w:spacing w:val="-81"/>
        </w:rPr>
      </w:r>
      <w:r>
        <w:rPr>
          <w:spacing w:val="-1"/>
        </w:rPr>
        <w:t>决定，不存在控股股东干涉人事任免决定的现象；公司拥有独立的员工队伍，并已建立较为完善的劳动用</w:t>
      </w:r>
      <w:r>
        <w:rPr>
          <w:spacing w:val="-83"/>
        </w:rPr>
        <w:t> </w:t>
      </w:r>
      <w:r>
        <w:rPr>
          <w:spacing w:val="-83"/>
        </w:rPr>
      </w:r>
      <w:r>
        <w:rPr>
          <w:spacing w:val="-1"/>
        </w:rPr>
        <w:t>工和人事管理制度。公司已依据国家的法律法规与公司全体员工签定了劳动合同并缴纳社会保险费用，公</w:t>
      </w:r>
      <w:r>
        <w:rPr>
          <w:spacing w:val="-81"/>
        </w:rPr>
        <w:t> </w:t>
      </w:r>
      <w:r>
        <w:rPr>
          <w:spacing w:val="-81"/>
        </w:rPr>
      </w:r>
      <w:r>
        <w:rPr/>
        <w:t>司拥有独立的劳动用工权利，不存在受控股股东控制的情形。</w:t>
      </w:r>
    </w:p>
    <w:p>
      <w:pPr>
        <w:pStyle w:val="BodyText"/>
        <w:spacing w:line="408" w:lineRule="auto"/>
        <w:ind w:right="1110" w:firstLine="423"/>
        <w:jc w:val="both"/>
      </w:pPr>
      <w:r>
        <w:rPr>
          <w:spacing w:val="-1"/>
        </w:rPr>
        <w:t>（三）资产独立：公司的资产完整，拥有与生产经营范围相适应的各项资质、设备、专利等资产。公</w:t>
      </w:r>
      <w:r>
        <w:rPr/>
        <w:t> 司的各项资产均不存在被抵押、质押的情况，并对其拥有完整的所有权。公司资产独立于公司控股股东， </w:t>
      </w:r>
      <w:r>
        <w:rPr>
          <w:spacing w:val="-1"/>
        </w:rPr>
        <w:t>对所有资产有完全的控制支配权，不存在资产、资金被控股股东占用而损害公司利益的情况，亦不存在为</w:t>
      </w:r>
      <w:r>
        <w:rPr>
          <w:spacing w:val="-83"/>
        </w:rPr>
        <w:t> </w:t>
      </w:r>
      <w:r>
        <w:rPr>
          <w:spacing w:val="-83"/>
        </w:rPr>
      </w:r>
      <w:r>
        <w:rPr/>
        <w:t>股东和其他个人提供担保的情形。</w:t>
      </w:r>
    </w:p>
    <w:p>
      <w:pPr>
        <w:pStyle w:val="BodyText"/>
        <w:spacing w:line="408" w:lineRule="auto"/>
        <w:ind w:right="1026" w:firstLine="423"/>
        <w:jc w:val="both"/>
      </w:pPr>
      <w:r>
        <w:rPr>
          <w:spacing w:val="-3"/>
        </w:rPr>
        <w:t>（四）机构独立：本公司依照《公司法》和《公司章程》的规定，设置了股东大会、董事会、监事会，</w:t>
      </w:r>
      <w:r>
        <w:rPr/>
        <w:t> </w:t>
      </w:r>
      <w:r>
        <w:rPr>
          <w:spacing w:val="-3"/>
        </w:rPr>
        <w:t>制定了议事规则，公司独立行使经营管理职权，独立于公司的控股股东、实际控制人及其控制的其他企业，</w:t>
      </w:r>
      <w:r>
        <w:rPr>
          <w:spacing w:val="-90"/>
        </w:rPr>
        <w:t> </w:t>
      </w:r>
      <w:r>
        <w:rPr>
          <w:spacing w:val="-90"/>
        </w:rPr>
      </w:r>
      <w:r>
        <w:rPr/>
        <w:t>不存在机构混同的情形。公司的办公场所独立于股东单位，不存在混合经营、合署办公的情形。</w:t>
      </w:r>
    </w:p>
    <w:p>
      <w:pPr>
        <w:pStyle w:val="BodyText"/>
        <w:spacing w:line="408" w:lineRule="auto"/>
        <w:ind w:right="1131" w:firstLine="423"/>
        <w:jc w:val="both"/>
      </w:pPr>
      <w:r>
        <w:rPr>
          <w:spacing w:val="-1"/>
        </w:rPr>
        <w:t>（五）财务独立：公司设立了独立的财务部门，配备了专职财务人员，建立了独立的会计核算体系和</w:t>
      </w:r>
      <w:r>
        <w:rPr/>
        <w:t> 财务管理制度。公司在银行独立开户，依法独立纳税，具有独立作出财务决策的能力。</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三、同业竞争情况" w:id="146"/>
      <w:bookmarkEnd w:id="146"/>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47"/>
      <w:bookmarkEnd w:id="147"/>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both"/>
        <w:rPr>
          <w:b w:val="0"/>
          <w:bCs w:val="0"/>
        </w:rPr>
      </w:pPr>
      <w:bookmarkStart w:name="1、本报告期股东大会情况" w:id="148"/>
      <w:bookmarkEnd w:id="14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spacing w:before="44"/>
        <w:ind w:left="0" w:right="1148" w:firstLine="0"/>
        <w:jc w:val="right"/>
        <w:rPr>
          <w:rFonts w:ascii="宋体" w:hAnsi="宋体" w:cs="宋体" w:eastAsia="宋体" w:hint="default"/>
          <w:sz w:val="18"/>
          <w:szCs w:val="18"/>
        </w:rPr>
      </w:pPr>
      <w:r>
        <w:rPr/>
        <w:pict>
          <v:shape style="position:absolute;margin-left:56.459999pt;margin-top:-114.548279pt;width:479.1pt;height:230.4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《北京中科金财科 技股份有限公司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w:t>
                        </w:r>
                        <w:r>
                          <w:rPr>
                            <w:rFonts w:ascii="宋体" w:hAnsi="宋体" w:cs="宋体" w:eastAsia="宋体" w:hint="default"/>
                            <w:spacing w:val="-10"/>
                            <w:sz w:val="18"/>
                            <w:szCs w:val="18"/>
                          </w:rPr>
                          <w:t>会决议公告》刊登于</w:t>
                        </w:r>
                      </w:p>
                      <w:p>
                        <w:pPr>
                          <w:pStyle w:val="TableParagraph"/>
                          <w:spacing w:line="316" w:lineRule="auto" w:before="22"/>
                          <w:ind w:left="23" w:right="20"/>
                          <w:jc w:val="left"/>
                          <w:rPr>
                            <w:rFonts w:ascii="宋体" w:hAnsi="宋体" w:cs="宋体" w:eastAsia="宋体" w:hint="default"/>
                            <w:sz w:val="18"/>
                            <w:szCs w:val="18"/>
                          </w:rPr>
                        </w:pPr>
                        <w:r>
                          <w:rPr>
                            <w:rFonts w:ascii="宋体" w:hAnsi="宋体" w:cs="宋体" w:eastAsia="宋体" w:hint="default"/>
                            <w:spacing w:val="-27"/>
                            <w:sz w:val="18"/>
                            <w:szCs w:val="18"/>
                          </w:rPr>
                          <w:t>《证券时报》、《证券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0"/>
                            <w:sz w:val="18"/>
                            <w:szCs w:val="18"/>
                          </w:rPr>
                          <w:t>日报》、《中国证券</w:t>
                        </w:r>
                        <w:r>
                          <w:rPr>
                            <w:rFonts w:ascii="宋体" w:hAnsi="宋体" w:cs="宋体" w:eastAsia="宋体" w:hint="default"/>
                            <w:sz w:val="18"/>
                            <w:szCs w:val="18"/>
                          </w:rPr>
                          <w:t> </w:t>
                        </w:r>
                        <w:r>
                          <w:rPr>
                            <w:rFonts w:ascii="宋体" w:hAnsi="宋体" w:cs="宋体" w:eastAsia="宋体" w:hint="default"/>
                            <w:spacing w:val="-20"/>
                            <w:sz w:val="18"/>
                            <w:szCs w:val="18"/>
                          </w:rPr>
                          <w:t>报》、《上海证券报</w:t>
                        </w:r>
                        <w:r>
                          <w:rPr>
                            <w:rFonts w:ascii="宋体" w:hAnsi="宋体" w:cs="宋体" w:eastAsia="宋体" w:hint="default"/>
                            <w:sz w:val="18"/>
                            <w:szCs w:val="18"/>
                          </w:rPr>
                          <w:t> 及巨潮资讯网</w:t>
                        </w:r>
                      </w:p>
                      <w:p>
                        <w:pPr>
                          <w:pStyle w:val="TableParagraph"/>
                          <w:spacing w:line="364" w:lineRule="auto" w:before="58"/>
                          <w:ind w:left="23" w:right="31"/>
                          <w:jc w:val="left"/>
                          <w:rPr>
                            <w:rFonts w:ascii="Times New Roman" w:hAnsi="Times New Roman" w:cs="Times New Roman" w:eastAsia="Times New Roman" w:hint="default"/>
                            <w:sz w:val="18"/>
                            <w:szCs w:val="18"/>
                          </w:rPr>
                        </w:pPr>
                        <w:hyperlink r:id="rId13">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《北京中科金财科 技股份有限公司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2254" w:lineRule="exact"/>
        <w:ind w:left="149" w:right="0" w:firstLine="0"/>
        <w:rPr>
          <w:rFonts w:ascii="宋体" w:hAnsi="宋体" w:cs="宋体" w:eastAsia="宋体" w:hint="default"/>
          <w:sz w:val="20"/>
          <w:szCs w:val="20"/>
        </w:rPr>
      </w:pPr>
      <w:r>
        <w:rPr>
          <w:rFonts w:ascii="宋体" w:hAnsi="宋体" w:cs="宋体" w:eastAsia="宋体" w:hint="default"/>
          <w:position w:val="-44"/>
          <w:sz w:val="20"/>
          <w:szCs w:val="20"/>
        </w:rPr>
        <w:pict>
          <v:group style="width:481.75pt;height:112.7pt;mso-position-horizontal-relative:char;mso-position-vertical-relative:line" coordorigin="0,0" coordsize="9635,2254">
            <v:group style="position:absolute;left:10;top:10;width:1587;height:2" coordorigin="10,10" coordsize="1587,2">
              <v:shape style="position:absolute;left:10;top:10;width:1587;height:2" coordorigin="10,10" coordsize="1587,0" path="m10,10l1596,10e" filled="false" stroked="true" strokeweight=".48pt" strokecolor="#000000">
                <v:path arrowok="t"/>
              </v:shape>
            </v:group>
            <v:group style="position:absolute;left:1606;top:10;width:1584;height:2" coordorigin="1606,10" coordsize="1584,2">
              <v:shape style="position:absolute;left:1606;top:10;width:1584;height:2" coordorigin="1606,10" coordsize="1584,0" path="m1606,10l3190,10e" filled="false" stroked="true" strokeweight=".48pt" strokecolor="#000000">
                <v:path arrowok="t"/>
              </v:shape>
            </v:group>
            <v:group style="position:absolute;left:3200;top:10;width:1586;height:2" coordorigin="3200,10" coordsize="1586,2">
              <v:shape style="position:absolute;left:3200;top:10;width:1586;height:2" coordorigin="3200,10" coordsize="1586,0" path="m3200,10l4785,10e" filled="false" stroked="true" strokeweight=".48pt" strokecolor="#000000">
                <v:path arrowok="t"/>
              </v:shape>
            </v:group>
            <v:group style="position:absolute;left:4795;top:10;width:1584;height:2" coordorigin="4795,10" coordsize="1584,2">
              <v:shape style="position:absolute;left:4795;top:10;width:1584;height:2" coordorigin="4795,10" coordsize="1584,0" path="m4795,10l6379,10e" filled="false" stroked="true" strokeweight=".48pt" strokecolor="#000000">
                <v:path arrowok="t"/>
              </v:shape>
            </v:group>
            <v:group style="position:absolute;left:6388;top:10;width:1585;height:2" coordorigin="6388,10" coordsize="1585,2">
              <v:shape style="position:absolute;left:6388;top:10;width:1585;height:2" coordorigin="6388,10" coordsize="1585,0" path="m6388,10l7973,10e" filled="false" stroked="true" strokeweight=".48pt" strokecolor="#000000">
                <v:path arrowok="t"/>
              </v:shape>
            </v:group>
            <v:group style="position:absolute;left:7982;top:10;width:1586;height:2" coordorigin="7982,10" coordsize="1586,2">
              <v:shape style="position:absolute;left:7982;top:10;width:1586;height:2" coordorigin="7982,10" coordsize="1586,0" path="m7982,10l9568,10e" filled="false" stroked="true" strokeweight=".48pt" strokecolor="#000000">
                <v:path arrowok="t"/>
              </v:shape>
            </v:group>
            <v:group style="position:absolute;left:5;top:5;width:2;height:2245" coordorigin="5,5" coordsize="2,2245">
              <v:shape style="position:absolute;left:5;top:5;width:2;height:2245" coordorigin="5,5" coordsize="0,2245" path="m5,5l5,2249e" filled="false" stroked="true" strokeweight=".48pt" strokecolor="#000000">
                <v:path arrowok="t"/>
              </v:shape>
            </v:group>
            <v:group style="position:absolute;left:10;top:2244;width:1587;height:2" coordorigin="10,2244" coordsize="1587,2">
              <v:shape style="position:absolute;left:10;top:2244;width:1587;height:2" coordorigin="10,2244" coordsize="1587,0" path="m10,2244l1596,2244e" filled="false" stroked="true" strokeweight=".48pt" strokecolor="#000000">
                <v:path arrowok="t"/>
              </v:shape>
            </v:group>
            <v:group style="position:absolute;left:1601;top:5;width:2;height:2245" coordorigin="1601,5" coordsize="2,2245">
              <v:shape style="position:absolute;left:1601;top:5;width:2;height:2245" coordorigin="1601,5" coordsize="0,2245" path="m1601,5l1601,2249e" filled="false" stroked="true" strokeweight=".48pt" strokecolor="#000000">
                <v:path arrowok="t"/>
              </v:shape>
            </v:group>
            <v:group style="position:absolute;left:1606;top:2244;width:1584;height:2" coordorigin="1606,2244" coordsize="1584,2">
              <v:shape style="position:absolute;left:1606;top:2244;width:1584;height:2" coordorigin="1606,2244" coordsize="1584,0" path="m1606,2244l3190,2244e" filled="false" stroked="true" strokeweight=".48pt" strokecolor="#000000">
                <v:path arrowok="t"/>
              </v:shape>
            </v:group>
            <v:group style="position:absolute;left:3195;top:5;width:2;height:2245" coordorigin="3195,5" coordsize="2,2245">
              <v:shape style="position:absolute;left:3195;top:5;width:2;height:2245" coordorigin="3195,5" coordsize="0,2245" path="m3195,5l3195,2249e" filled="false" stroked="true" strokeweight=".48pt" strokecolor="#000000">
                <v:path arrowok="t"/>
              </v:shape>
            </v:group>
            <v:group style="position:absolute;left:3200;top:2244;width:1586;height:2" coordorigin="3200,2244" coordsize="1586,2">
              <v:shape style="position:absolute;left:3200;top:2244;width:1586;height:2" coordorigin="3200,2244" coordsize="1586,0" path="m3200,2244l4785,2244e" filled="false" stroked="true" strokeweight=".48pt" strokecolor="#000000">
                <v:path arrowok="t"/>
              </v:shape>
            </v:group>
            <v:group style="position:absolute;left:4790;top:5;width:2;height:2245" coordorigin="4790,5" coordsize="2,2245">
              <v:shape style="position:absolute;left:4790;top:5;width:2;height:2245" coordorigin="4790,5" coordsize="0,2245" path="m4790,5l4790,2249e" filled="false" stroked="true" strokeweight=".48pt" strokecolor="#000000">
                <v:path arrowok="t"/>
              </v:shape>
            </v:group>
            <v:group style="position:absolute;left:4795;top:2244;width:1584;height:2" coordorigin="4795,2244" coordsize="1584,2">
              <v:shape style="position:absolute;left:4795;top:2244;width:1584;height:2" coordorigin="4795,2244" coordsize="1584,0" path="m4795,2244l6379,2244e" filled="false" stroked="true" strokeweight=".48pt" strokecolor="#000000">
                <v:path arrowok="t"/>
              </v:shape>
            </v:group>
            <v:group style="position:absolute;left:6384;top:5;width:2;height:2245" coordorigin="6384,5" coordsize="2,2245">
              <v:shape style="position:absolute;left:6384;top:5;width:2;height:2245" coordorigin="6384,5" coordsize="0,2245" path="m6384,5l6384,2249e" filled="false" stroked="true" strokeweight=".48pt" strokecolor="#000000">
                <v:path arrowok="t"/>
              </v:shape>
            </v:group>
            <v:group style="position:absolute;left:6388;top:2244;width:1585;height:2" coordorigin="6388,2244" coordsize="1585,2">
              <v:shape style="position:absolute;left:6388;top:2244;width:1585;height:2" coordorigin="6388,2244" coordsize="1585,0" path="m6388,2244l7973,2244e" filled="false" stroked="true" strokeweight=".48pt" strokecolor="#000000">
                <v:path arrowok="t"/>
              </v:shape>
            </v:group>
            <v:group style="position:absolute;left:7978;top:5;width:2;height:2245" coordorigin="7978,5" coordsize="2,2245">
              <v:shape style="position:absolute;left:7978;top:5;width:2;height:2245" coordorigin="7978,5" coordsize="0,2245" path="m7978,5l7978,2249e" filled="false" stroked="true" strokeweight=".48pt" strokecolor="#000000">
                <v:path arrowok="t"/>
              </v:shape>
            </v:group>
            <v:group style="position:absolute;left:7982;top:2244;width:1586;height:2" coordorigin="7982,2244" coordsize="1586,2">
              <v:shape style="position:absolute;left:7982;top:2244;width:1586;height:2" coordorigin="7982,2244" coordsize="1586,0" path="m7982,2244l9568,2244e" filled="false" stroked="true" strokeweight=".48pt" strokecolor="#000000">
                <v:path arrowok="t"/>
              </v:shape>
            </v:group>
            <v:group style="position:absolute;left:9572;top:5;width:2;height:2245" coordorigin="9572,5" coordsize="2,2245">
              <v:shape style="position:absolute;left:9572;top:5;width:2;height:2245" coordorigin="9572,5" coordsize="0,2245" path="m9572,5l9572,2249e" filled="false" stroked="true" strokeweight=".48pt" strokecolor="#000000">
                <v:path arrowok="t"/>
              </v:shape>
              <v:shape style="position:absolute;left:0;top:0;width:9635;height:2254" type="#_x0000_t202" filled="false" stroked="false">
                <v:textbox inset="0,0,0,0">
                  <w:txbxContent>
                    <w:p>
                      <w:pPr>
                        <w:spacing w:line="316" w:lineRule="auto" w:before="25"/>
                        <w:ind w:left="8006" w:right="0" w:firstLine="0"/>
                        <w:jc w:val="right"/>
                        <w:rPr>
                          <w:rFonts w:ascii="宋体" w:hAnsi="宋体" w:cs="宋体" w:eastAsia="宋体" w:hint="default"/>
                          <w:sz w:val="18"/>
                          <w:szCs w:val="18"/>
                        </w:rPr>
                      </w:pPr>
                      <w:r>
                        <w:rPr>
                          <w:rFonts w:ascii="宋体" w:hAnsi="宋体" w:cs="宋体" w:eastAsia="宋体" w:hint="default"/>
                          <w:sz w:val="18"/>
                          <w:szCs w:val="18"/>
                        </w:rPr>
                        <w:t>股东大会决议公告》 </w:t>
                      </w:r>
                      <w:r>
                        <w:rPr>
                          <w:rFonts w:ascii="宋体" w:hAnsi="宋体" w:cs="宋体" w:eastAsia="宋体" w:hint="default"/>
                          <w:spacing w:val="-18"/>
                          <w:sz w:val="18"/>
                          <w:szCs w:val="18"/>
                        </w:rPr>
                        <w:t>刊登于《证券时报》、</w:t>
                      </w:r>
                    </w:p>
                    <w:p>
                      <w:pPr>
                        <w:spacing w:line="319" w:lineRule="auto" w:before="19"/>
                        <w:ind w:left="8006" w:right="88" w:firstLine="0"/>
                        <w:jc w:val="both"/>
                        <w:rPr>
                          <w:rFonts w:ascii="宋体" w:hAnsi="宋体" w:cs="宋体" w:eastAsia="宋体" w:hint="default"/>
                          <w:sz w:val="18"/>
                          <w:szCs w:val="18"/>
                        </w:rPr>
                      </w:pPr>
                      <w:r>
                        <w:rPr>
                          <w:rFonts w:ascii="宋体" w:hAnsi="宋体" w:cs="宋体" w:eastAsia="宋体" w:hint="default"/>
                          <w:spacing w:val="-27"/>
                          <w:sz w:val="18"/>
                          <w:szCs w:val="18"/>
                        </w:rPr>
                        <w:t>《证券日报》、《中国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报》及巨潮资讯网</w:t>
                      </w:r>
                    </w:p>
                    <w:p>
                      <w:pPr>
                        <w:spacing w:line="362" w:lineRule="auto" w:before="57"/>
                        <w:ind w:left="8006" w:right="100" w:firstLine="0"/>
                        <w:jc w:val="both"/>
                        <w:rPr>
                          <w:rFonts w:ascii="Times New Roman" w:hAnsi="Times New Roman" w:cs="Times New Roman" w:eastAsia="Times New Roman" w:hint="default"/>
                          <w:sz w:val="18"/>
                          <w:szCs w:val="18"/>
                        </w:rPr>
                      </w:pPr>
                      <w:hyperlink r:id="rId13">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xbxContent>
                </v:textbox>
                <w10:wrap type="none"/>
              </v:shape>
            </v:group>
          </v:group>
        </w:pict>
      </w:r>
      <w:r>
        <w:rPr>
          <w:rFonts w:ascii="宋体" w:hAnsi="宋体" w:cs="宋体" w:eastAsia="宋体" w:hint="default"/>
          <w:position w:val="-44"/>
          <w:sz w:val="20"/>
          <w:szCs w:val="20"/>
        </w:rPr>
      </w:r>
    </w:p>
    <w:p>
      <w:pPr>
        <w:spacing w:line="240" w:lineRule="auto" w:before="11"/>
        <w:rPr>
          <w:rFonts w:ascii="宋体" w:hAnsi="宋体" w:cs="宋体" w:eastAsia="宋体" w:hint="default"/>
          <w:sz w:val="18"/>
          <w:szCs w:val="18"/>
        </w:rPr>
      </w:pPr>
    </w:p>
    <w:p>
      <w:pPr>
        <w:pStyle w:val="Heading4"/>
        <w:spacing w:line="240" w:lineRule="auto" w:before="35"/>
        <w:ind w:right="1024"/>
        <w:jc w:val="left"/>
        <w:rPr>
          <w:b w:val="0"/>
          <w:bCs w:val="0"/>
        </w:rPr>
      </w:pPr>
      <w:bookmarkStart w:name="2、表决权恢复的优先股股东请求召开临时股东大会" w:id="149"/>
      <w:bookmarkEnd w:id="14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五、报告期内独立董事履行职责的情况" w:id="150"/>
      <w:bookmarkEnd w:id="150"/>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24"/>
        <w:jc w:val="left"/>
        <w:rPr>
          <w:b w:val="0"/>
          <w:bCs w:val="0"/>
        </w:rPr>
      </w:pPr>
      <w:bookmarkStart w:name="1、独立董事出席董事会及股东大会的情况" w:id="151"/>
      <w:bookmarkEnd w:id="15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both"/>
        <w:rPr>
          <w:b w:val="0"/>
          <w:bCs w:val="0"/>
        </w:rPr>
      </w:pPr>
      <w:bookmarkStart w:name="2、独立董事对公司有关事项提出异议的情况" w:id="152"/>
      <w:bookmarkEnd w:id="15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7"/>
        <w:ind w:right="0"/>
        <w:jc w:val="both"/>
      </w:pPr>
      <w:r>
        <w:rPr/>
        <w:t>报告期内独立董事对公司有关事项未提出异议。</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3、独立董事履行职责的其他说明" w:id="153"/>
      <w:bookmarkEnd w:id="15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before="11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408" w:lineRule="auto" w:before="153"/>
        <w:ind w:left="577" w:right="1024" w:hanging="424"/>
        <w:jc w:val="left"/>
        <w:rPr>
          <w:rFonts w:ascii="宋体" w:hAnsi="宋体" w:cs="宋体" w:eastAsia="宋体" w:hint="default"/>
          <w:sz w:val="21"/>
          <w:szCs w:val="21"/>
        </w:rPr>
      </w:pPr>
      <w:r>
        <w:rPr>
          <w:rFonts w:ascii="宋体" w:hAnsi="宋体" w:cs="宋体" w:eastAsia="宋体" w:hint="default"/>
          <w:b/>
          <w:bCs/>
          <w:sz w:val="21"/>
          <w:szCs w:val="21"/>
        </w:rPr>
        <w:t>独立董事对公司有关建议被采纳或未被采纳的说明</w:t>
      </w:r>
      <w:r>
        <w:rPr>
          <w:rFonts w:ascii="宋体" w:hAnsi="宋体" w:cs="宋体" w:eastAsia="宋体" w:hint="default"/>
          <w:b/>
          <w:bCs/>
          <w:w w:val="99"/>
          <w:sz w:val="21"/>
          <w:szCs w:val="21"/>
        </w:rPr>
        <w:t> </w:t>
      </w:r>
      <w:r>
        <w:rPr>
          <w:rFonts w:ascii="宋体" w:hAnsi="宋体" w:cs="宋体" w:eastAsia="宋体" w:hint="default"/>
          <w:spacing w:val="-1"/>
          <w:sz w:val="21"/>
          <w:szCs w:val="21"/>
        </w:rPr>
        <w:t>公司独立董事在</w:t>
      </w:r>
      <w:r>
        <w:rPr>
          <w:rFonts w:ascii="宋体" w:hAnsi="宋体" w:cs="宋体" w:eastAsia="宋体" w:hint="default"/>
          <w:spacing w:val="-1"/>
          <w:sz w:val="21"/>
          <w:szCs w:val="21"/>
        </w:rPr>
        <w:t>2015</w:t>
      </w:r>
      <w:r>
        <w:rPr>
          <w:rFonts w:ascii="宋体" w:hAnsi="宋体" w:cs="宋体" w:eastAsia="宋体" w:hint="default"/>
          <w:spacing w:val="-1"/>
          <w:sz w:val="21"/>
          <w:szCs w:val="21"/>
        </w:rPr>
        <w:t>年度勤勉尽责，积极了解公司的生产经营情况和财务状况；及时关注经济形势以</w:t>
      </w:r>
    </w:p>
    <w:p>
      <w:pPr>
        <w:pStyle w:val="BodyText"/>
        <w:spacing w:line="408" w:lineRule="auto"/>
        <w:ind w:right="1131"/>
        <w:jc w:val="both"/>
      </w:pPr>
      <w:r>
        <w:rPr>
          <w:spacing w:val="-1"/>
        </w:rPr>
        <w:t>及市场变化对公司经营状况的影响；关注传媒、网络有关公司的相关报道；及时获悉公司重大事项的进展</w:t>
      </w:r>
      <w:r>
        <w:rPr>
          <w:spacing w:val="-83"/>
        </w:rPr>
        <w:t> </w:t>
      </w:r>
      <w:r>
        <w:rPr>
          <w:spacing w:val="-83"/>
        </w:rPr>
      </w:r>
      <w:r>
        <w:rPr>
          <w:spacing w:val="-1"/>
        </w:rPr>
        <w:t>情况，定期审阅公司提供的定期报告、临时公告；对报告期内公司发生的相关事项出具了独立、公正的独</w:t>
      </w:r>
      <w:r>
        <w:rPr>
          <w:spacing w:val="-86"/>
        </w:rPr>
        <w:t> </w:t>
      </w:r>
      <w:r>
        <w:rPr>
          <w:spacing w:val="-86"/>
        </w:rPr>
      </w:r>
      <w:r>
        <w:rPr/>
        <w:t>立董事意见，有效地履行了独立董事的职责，维护了公司和中小股东的合法权益。</w:t>
      </w:r>
    </w:p>
    <w:p>
      <w:pPr>
        <w:spacing w:after="0" w:line="408"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24"/>
        <w:jc w:val="left"/>
        <w:rPr>
          <w:b w:val="0"/>
          <w:bCs w:val="0"/>
        </w:rPr>
      </w:pPr>
      <w:bookmarkStart w:name="六、董事会下设专门委员会在报告期内履行职责情况" w:id="154"/>
      <w:bookmarkEnd w:id="154"/>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8" w:right="1132"/>
        <w:jc w:val="left"/>
      </w:pPr>
      <w:r>
        <w:rPr>
          <w:rFonts w:ascii="宋体" w:hAnsi="宋体" w:cs="宋体" w:eastAsia="宋体" w:hint="default"/>
        </w:rPr>
        <w:t>1.</w:t>
      </w:r>
      <w:r>
        <w:rPr/>
        <w:t>战略委员会 </w:t>
      </w:r>
      <w:r>
        <w:rPr>
          <w:spacing w:val="-1"/>
        </w:rPr>
        <w:t>报告期内，战略委员会根据《董事会战略委员会工作制度》及其他有关规定积极开展工作，认真履行</w:t>
      </w:r>
    </w:p>
    <w:p>
      <w:pPr>
        <w:pStyle w:val="BodyText"/>
        <w:spacing w:line="408" w:lineRule="auto"/>
        <w:ind w:right="1024"/>
        <w:jc w:val="left"/>
      </w:pPr>
      <w:r>
        <w:rPr>
          <w:spacing w:val="-1"/>
        </w:rPr>
        <w:t>职责。报告期内，战略委员会召开了</w:t>
      </w:r>
      <w:r>
        <w:rPr>
          <w:rFonts w:ascii="宋体" w:hAnsi="宋体" w:cs="宋体" w:eastAsia="宋体" w:hint="default"/>
          <w:spacing w:val="-1"/>
        </w:rPr>
        <w:t>2</w:t>
      </w:r>
      <w:r>
        <w:rPr>
          <w:spacing w:val="-1"/>
        </w:rPr>
        <w:t>次战略委员会会议，向董事会提出的建议，明晰了公司的经营策略，</w:t>
      </w:r>
      <w:r>
        <w:rPr>
          <w:spacing w:val="-86"/>
        </w:rPr>
        <w:t> </w:t>
      </w:r>
      <w:r>
        <w:rPr>
          <w:spacing w:val="-86"/>
        </w:rPr>
      </w:r>
      <w:r>
        <w:rPr/>
        <w:t>对公司持续稳定健康的发展起到了及其重要的促进作用，对公司重要投资事项进行深入的分析研究，为公</w:t>
      </w:r>
      <w:r>
        <w:rPr/>
        <w:t> 司发展战略的实施提出了合理的建议。</w:t>
      </w:r>
    </w:p>
    <w:p>
      <w:pPr>
        <w:pStyle w:val="BodyText"/>
        <w:spacing w:line="408" w:lineRule="auto"/>
        <w:ind w:left="578" w:right="1132"/>
        <w:jc w:val="left"/>
      </w:pPr>
      <w:r>
        <w:rPr>
          <w:rFonts w:ascii="宋体" w:hAnsi="宋体" w:cs="宋体" w:eastAsia="宋体" w:hint="default"/>
        </w:rPr>
        <w:t>2.</w:t>
      </w:r>
      <w:r>
        <w:rPr/>
        <w:t>审计委员会 </w:t>
      </w:r>
      <w:r>
        <w:rPr>
          <w:spacing w:val="-1"/>
        </w:rPr>
        <w:t>报告期内，审计委员会根据《公司董事会审计委员会工作制度》及其他有关规定积极开展工作，认真</w:t>
      </w:r>
    </w:p>
    <w:p>
      <w:pPr>
        <w:pStyle w:val="BodyText"/>
        <w:spacing w:line="408" w:lineRule="auto"/>
        <w:ind w:right="1118"/>
        <w:jc w:val="left"/>
      </w:pPr>
      <w:r>
        <w:rPr>
          <w:spacing w:val="-1"/>
        </w:rPr>
        <w:t>履行职责</w:t>
      </w:r>
      <w:r>
        <w:rPr>
          <w:rFonts w:ascii="宋体" w:hAnsi="宋体" w:cs="宋体" w:eastAsia="宋体" w:hint="default"/>
          <w:spacing w:val="-1"/>
        </w:rPr>
        <w:t>,</w:t>
      </w:r>
      <w:r>
        <w:rPr>
          <w:spacing w:val="-1"/>
        </w:rPr>
        <w:t>本着勤勉尽责的原则，充分发挥监督作用，维护审计的独立性，审计委员会共召开</w:t>
      </w:r>
      <w:r>
        <w:rPr>
          <w:rFonts w:ascii="宋体" w:hAnsi="宋体" w:cs="宋体" w:eastAsia="宋体" w:hint="default"/>
          <w:spacing w:val="-1"/>
        </w:rPr>
        <w:t>5</w:t>
      </w:r>
      <w:r>
        <w:rPr>
          <w:spacing w:val="-1"/>
        </w:rPr>
        <w:t>次会议，审</w:t>
      </w:r>
      <w:r>
        <w:rPr>
          <w:spacing w:val="-85"/>
        </w:rPr>
        <w:t> </w:t>
      </w:r>
      <w:r>
        <w:rPr>
          <w:spacing w:val="-85"/>
        </w:rPr>
      </w:r>
      <w:r>
        <w:rPr/>
        <w:t>议通过了审计部</w:t>
      </w:r>
      <w:r>
        <w:rPr>
          <w:rFonts w:ascii="宋体" w:hAnsi="宋体" w:cs="宋体" w:eastAsia="宋体" w:hint="default"/>
        </w:rPr>
        <w:t>2015</w:t>
      </w:r>
      <w:r>
        <w:rPr/>
        <w:t>年各项审计工作汇报，对公司内部控制建立健全情况和财务审计情况进行了监督检 </w:t>
      </w:r>
      <w:r>
        <w:rPr>
          <w:spacing w:val="-1"/>
        </w:rPr>
        <w:t>查。审核了公司所有重要的会计政策，定期了解公司财务状况和经营情况，督促和指导公司审计部门对公</w:t>
      </w:r>
      <w:r>
        <w:rPr>
          <w:spacing w:val="-83"/>
        </w:rPr>
        <w:t> </w:t>
      </w:r>
      <w:r>
        <w:rPr>
          <w:spacing w:val="-83"/>
        </w:rPr>
      </w:r>
      <w:r>
        <w:rPr>
          <w:spacing w:val="-5"/>
        </w:rPr>
        <w:t>司财务管理运行情况进行定期和不定期的检查和评估，委员会认为公司内控制度体系符合法律、法规及《公</w:t>
      </w:r>
      <w:r>
        <w:rPr>
          <w:spacing w:val="-101"/>
        </w:rPr>
        <w:t> </w:t>
      </w:r>
      <w:r>
        <w:rPr>
          <w:spacing w:val="-101"/>
        </w:rPr>
      </w:r>
      <w:r>
        <w:rPr/>
        <w:t>司章程》的要求，适应当前公司生产经营实际情况的需要。</w:t>
      </w:r>
    </w:p>
    <w:p>
      <w:pPr>
        <w:pStyle w:val="BodyText"/>
        <w:spacing w:line="408" w:lineRule="auto"/>
        <w:ind w:left="578" w:right="1132"/>
        <w:jc w:val="left"/>
      </w:pPr>
      <w:r>
        <w:rPr>
          <w:rFonts w:ascii="宋体" w:hAnsi="宋体" w:cs="宋体" w:eastAsia="宋体" w:hint="default"/>
        </w:rPr>
        <w:t>3.</w:t>
      </w:r>
      <w:r>
        <w:rPr/>
        <w:t>薪酬与考核委员会 </w:t>
      </w:r>
      <w:r>
        <w:rPr>
          <w:spacing w:val="-1"/>
        </w:rPr>
        <w:t>报告期内，薪酬与考核委员会根据《董事会薪酬与考核委员会工作制度》及其他有关规定积极开展工</w:t>
      </w:r>
    </w:p>
    <w:p>
      <w:pPr>
        <w:pStyle w:val="BodyText"/>
        <w:spacing w:line="408" w:lineRule="auto"/>
        <w:ind w:right="1132"/>
        <w:jc w:val="both"/>
      </w:pPr>
      <w:r>
        <w:rPr/>
        <w:t>作，认真履行职责。报告期内，薪酬与考核委员会召开了</w:t>
      </w:r>
      <w:r>
        <w:rPr>
          <w:rFonts w:ascii="宋体" w:hAnsi="宋体" w:cs="宋体" w:eastAsia="宋体" w:hint="default"/>
        </w:rPr>
        <w:t>1</w:t>
      </w:r>
      <w:r>
        <w:rPr>
          <w:rFonts w:ascii="宋体" w:hAnsi="宋体" w:cs="宋体" w:eastAsia="宋体" w:hint="default"/>
          <w:spacing w:val="-24"/>
        </w:rPr>
        <w:t> </w:t>
      </w:r>
      <w:r>
        <w:rPr/>
        <w:t>次会议，根据《公司章程》及《公司董事会薪 </w:t>
      </w:r>
      <w:r>
        <w:rPr>
          <w:spacing w:val="-1"/>
        </w:rPr>
        <w:t>酬与考核委员会工作制度》，结合公司经营规模等实际情况并参照行业薪酬水平，对公司董事、监事和高</w:t>
      </w:r>
      <w:r>
        <w:rPr>
          <w:spacing w:val="-86"/>
        </w:rPr>
        <w:t> </w:t>
      </w:r>
      <w:r>
        <w:rPr>
          <w:spacing w:val="-86"/>
        </w:rPr>
      </w:r>
      <w:r>
        <w:rPr/>
        <w:t>级管理人员的薪酬情况进行了审核，并对公司薪酬体系的改善提出了合理化的建议。</w:t>
      </w:r>
    </w:p>
    <w:p>
      <w:pPr>
        <w:pStyle w:val="BodyText"/>
        <w:spacing w:line="408" w:lineRule="auto"/>
        <w:ind w:left="578" w:right="1024"/>
        <w:jc w:val="left"/>
      </w:pPr>
      <w:r>
        <w:rPr>
          <w:rFonts w:ascii="宋体" w:hAnsi="宋体" w:cs="宋体" w:eastAsia="宋体" w:hint="default"/>
        </w:rPr>
        <w:t>4.</w:t>
      </w:r>
      <w:r>
        <w:rPr/>
        <w:t>提名委员会 </w:t>
      </w:r>
      <w:r>
        <w:rPr>
          <w:spacing w:val="-1"/>
        </w:rPr>
        <w:t>报告期内，提名委员会根据《公司董事会提名委员会工作制度》及其他有关规定积极开展工作，认真</w:t>
      </w:r>
    </w:p>
    <w:p>
      <w:pPr>
        <w:pStyle w:val="BodyText"/>
        <w:spacing w:line="408" w:lineRule="auto"/>
        <w:ind w:right="1024"/>
        <w:jc w:val="left"/>
      </w:pPr>
      <w:r>
        <w:rPr/>
        <w:t>履行职责。报告期内，提名委员会召开了</w:t>
      </w:r>
      <w:r>
        <w:rPr>
          <w:rFonts w:ascii="宋体" w:hAnsi="宋体" w:cs="宋体" w:eastAsia="宋体" w:hint="default"/>
        </w:rPr>
        <w:t>2</w:t>
      </w:r>
      <w:r>
        <w:rPr/>
        <w:t>次会议，对公司高级管理人员的任职资格及公司董监高人员构 </w:t>
      </w:r>
      <w:r>
        <w:rPr>
          <w:spacing w:val="-1"/>
        </w:rPr>
        <w:t>成情况等相关事宜进行了认真的审核，认为公司新任管理人员具有丰富的行业经验和管理经验，完全胜任</w:t>
      </w:r>
      <w:r>
        <w:rPr>
          <w:spacing w:val="-81"/>
        </w:rPr>
        <w:t> </w:t>
      </w:r>
      <w:r>
        <w:rPr>
          <w:spacing w:val="-81"/>
        </w:rPr>
      </w:r>
      <w:r>
        <w:rPr/>
        <w:t>其工作。</w:t>
      </w:r>
    </w:p>
    <w:p>
      <w:pPr>
        <w:spacing w:line="240" w:lineRule="auto" w:before="11"/>
        <w:rPr>
          <w:rFonts w:ascii="宋体" w:hAnsi="宋体" w:cs="宋体" w:eastAsia="宋体" w:hint="default"/>
          <w:sz w:val="18"/>
          <w:szCs w:val="18"/>
        </w:rPr>
      </w:pPr>
    </w:p>
    <w:p>
      <w:pPr>
        <w:pStyle w:val="Heading2"/>
        <w:spacing w:line="240" w:lineRule="auto"/>
        <w:ind w:right="1024"/>
        <w:jc w:val="left"/>
        <w:rPr>
          <w:b w:val="0"/>
          <w:bCs w:val="0"/>
        </w:rPr>
      </w:pPr>
      <w:bookmarkStart w:name="七、监事会工作情况" w:id="155"/>
      <w:bookmarkEnd w:id="155"/>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before="116"/>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8"/>
        <w:ind w:right="1024"/>
        <w:jc w:val="left"/>
      </w:pPr>
      <w:r>
        <w:rPr/>
        <w:t>监事会对报告期内的监督事项无异议。</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24"/>
        <w:jc w:val="left"/>
        <w:rPr>
          <w:b w:val="0"/>
          <w:bCs w:val="0"/>
        </w:rPr>
      </w:pPr>
      <w:bookmarkStart w:name="八、高级管理人员的考评及激励情况" w:id="156"/>
      <w:bookmarkEnd w:id="156"/>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31" w:firstLine="423"/>
        <w:jc w:val="both"/>
      </w:pPr>
      <w:r>
        <w:rPr>
          <w:spacing w:val="-1"/>
        </w:rPr>
        <w:t>公司建立了较为合理的高级管理人员的绩效评价标准和激励约束机制，根据高级管理人员的年度履职</w:t>
      </w:r>
      <w:r>
        <w:rPr/>
        <w:t> </w:t>
      </w:r>
      <w:r>
        <w:rPr>
          <w:spacing w:val="-1"/>
        </w:rPr>
        <w:t>情况、绩效考核结果和公司经营业绩的情况决定其年度薪酬。</w:t>
      </w:r>
      <w:r>
        <w:rPr>
          <w:rFonts w:ascii="宋体" w:hAnsi="宋体" w:cs="宋体" w:eastAsia="宋体" w:hint="default"/>
          <w:spacing w:val="-1"/>
        </w:rPr>
        <w:t>2015</w:t>
      </w:r>
      <w:r>
        <w:rPr>
          <w:spacing w:val="-1"/>
        </w:rPr>
        <w:t>年公司高级管理人员能够严格按照《公</w:t>
      </w:r>
      <w:r>
        <w:rPr>
          <w:spacing w:val="-81"/>
        </w:rPr>
        <w:t> </w:t>
      </w:r>
      <w:r>
        <w:rPr>
          <w:spacing w:val="-81"/>
        </w:rPr>
      </w:r>
      <w:r>
        <w:rPr>
          <w:spacing w:val="-1"/>
        </w:rPr>
        <w:t>司法》、《公司章程》及国家有关法律法规认真履行职责，积极落实公司股东大会和董事会相关决议，认</w:t>
      </w:r>
      <w:r>
        <w:rPr>
          <w:spacing w:val="-83"/>
        </w:rPr>
        <w:t> </w:t>
      </w:r>
      <w:r>
        <w:rPr>
          <w:spacing w:val="-83"/>
        </w:rPr>
      </w:r>
      <w:r>
        <w:rPr>
          <w:spacing w:val="-1"/>
        </w:rPr>
        <w:t>真履行了工作职责，较好的完成了既定目标。公司各项考评及激励机制执行情况良好，起到了应有的激励</w:t>
      </w:r>
      <w:r>
        <w:rPr>
          <w:spacing w:val="-83"/>
        </w:rPr>
        <w:t> </w:t>
      </w:r>
      <w:r>
        <w:rPr>
          <w:spacing w:val="-83"/>
        </w:rPr>
      </w:r>
      <w:r>
        <w:rPr/>
        <w:t>和约束作用。</w:t>
      </w:r>
    </w:p>
    <w:p>
      <w:pPr>
        <w:spacing w:line="240" w:lineRule="auto" w:before="11"/>
        <w:rPr>
          <w:rFonts w:ascii="宋体" w:hAnsi="宋体" w:cs="宋体" w:eastAsia="宋体" w:hint="default"/>
          <w:sz w:val="18"/>
          <w:szCs w:val="18"/>
        </w:rPr>
      </w:pPr>
    </w:p>
    <w:p>
      <w:pPr>
        <w:pStyle w:val="Heading2"/>
        <w:spacing w:line="240" w:lineRule="auto"/>
        <w:ind w:right="1024"/>
        <w:jc w:val="left"/>
        <w:rPr>
          <w:b w:val="0"/>
          <w:bCs w:val="0"/>
        </w:rPr>
      </w:pPr>
      <w:bookmarkStart w:name="九、内部控制评价报告" w:id="157"/>
      <w:bookmarkEnd w:id="157"/>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报告期内发现的内部控制重大缺陷的具体情况" w:id="158"/>
      <w:bookmarkEnd w:id="15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4"/>
        <w:spacing w:line="240" w:lineRule="auto"/>
        <w:ind w:left="153" w:right="1024"/>
        <w:jc w:val="left"/>
        <w:rPr>
          <w:b w:val="0"/>
          <w:bCs w:val="0"/>
        </w:rPr>
      </w:pPr>
      <w:bookmarkStart w:name="2、内控自我评价报告" w:id="159"/>
      <w:bookmarkEnd w:id="15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spacing w:before="44"/>
        <w:ind w:left="0" w:right="1139" w:firstLine="0"/>
        <w:jc w:val="right"/>
        <w:rPr>
          <w:rFonts w:ascii="宋体" w:hAnsi="宋体" w:cs="宋体" w:eastAsia="宋体" w:hint="default"/>
          <w:sz w:val="18"/>
          <w:szCs w:val="18"/>
        </w:rPr>
      </w:pPr>
      <w:r>
        <w:rPr/>
        <w:pict>
          <v:shape style="position:absolute;margin-left:56.459999pt;margin-top:-185.848282pt;width:479.2pt;height:412.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3"/>
                            <w:sz w:val="18"/>
                            <w:szCs w:val="18"/>
                          </w:rPr>
                          <w:t> </w:t>
                        </w:r>
                        <w:hyperlink r:id="rId11">
                          <w:r>
                            <w:rPr>
                              <w:rFonts w:ascii="Times New Roman" w:hAnsi="Times New Roman" w:cs="Times New Roman" w:eastAsia="Times New Roman" w:hint="default"/>
                              <w:sz w:val="18"/>
                              <w:szCs w:val="18"/>
                            </w:rPr>
                            <w:t>http://www.cninfo.com.cn/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406"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9" w:lineRule="auto" w:before="71"/>
                          <w:ind w:left="22" w:right="48"/>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w:t>
                        </w:r>
                      </w:p>
                      <w:p>
                        <w:pPr>
                          <w:pStyle w:val="TableParagraph"/>
                          <w:spacing w:line="314" w:lineRule="auto" w:before="55"/>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）财务报告重大缺陷的迹象包括： ① 公司董事、监事和高级管理人员的舞弊行 为；</w:t>
                        </w:r>
                        <w:r>
                          <w:rPr>
                            <w:rFonts w:ascii="宋体" w:hAnsi="宋体" w:cs="宋体" w:eastAsia="宋体" w:hint="default"/>
                            <w:spacing w:val="-65"/>
                            <w:sz w:val="18"/>
                            <w:szCs w:val="18"/>
                          </w:rPr>
                          <w:t> </w:t>
                        </w:r>
                        <w:r>
                          <w:rPr>
                            <w:rFonts w:ascii="宋体" w:hAnsi="宋体" w:cs="宋体" w:eastAsia="宋体" w:hint="default"/>
                            <w:sz w:val="18"/>
                            <w:szCs w:val="18"/>
                          </w:rPr>
                          <w:t>②公司因责任事故更正已公布的财务</w:t>
                        </w:r>
                        <w:r>
                          <w:rPr>
                            <w:rFonts w:ascii="宋体" w:hAnsi="宋体" w:cs="宋体" w:eastAsia="宋体" w:hint="default"/>
                            <w:sz w:val="18"/>
                            <w:szCs w:val="18"/>
                          </w:rPr>
                          <w:t> 报告；③注册会计师发现的却未被公司内 部控制识别的当期财务报告中的重大错 报；④审计委员会和审计部对公司的对外 财务报告和财务报告内部控制监督无效。</w:t>
                        </w:r>
                      </w:p>
                      <w:p>
                        <w:pPr>
                          <w:pStyle w:val="TableParagraph"/>
                          <w:spacing w:line="314" w:lineRule="auto" w:before="59"/>
                          <w:ind w:left="22" w:right="4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）财务报告重要缺陷的迹象包括： ① 关键岗位人员舞弊；②合规性监管职能失 效，存在违反法规的行为，该行为对财务 报告的可靠性产生重大影响；③业务过程 控制存在一项或多项缺陷，不能合理保证 编制的财务报表达到真实、完整的目标。</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）一般缺陷是指除上述重大缺陷、重要</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36"/>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评价的定性标准如下：</w:t>
                        </w:r>
                      </w:p>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）非财务报告重大缺陷的迹象包括</w:t>
                        </w:r>
                      </w:p>
                      <w:p>
                        <w:pPr>
                          <w:pStyle w:val="TableParagraph"/>
                          <w:spacing w:line="319"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①公司经营活动严重违反国家法律法 </w:t>
                        </w:r>
                        <w:r>
                          <w:rPr>
                            <w:rFonts w:ascii="宋体" w:hAnsi="宋体" w:cs="宋体" w:eastAsia="宋体" w:hint="default"/>
                            <w:spacing w:val="-4"/>
                            <w:sz w:val="18"/>
                            <w:szCs w:val="18"/>
                          </w:rPr>
                          <w:t>规，受到重大处罚；②媒体负面新闻频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频曝光，对公司声誉造成重大损害；③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重要业务缺乏制度控制或制度系统性 失效； ④内部控制评价的结果特别是 重大缺陷未得到整改。</w:t>
                        </w:r>
                      </w:p>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）非财务报告重要缺陷的迹象包括</w:t>
                        </w:r>
                      </w:p>
                      <w:p>
                        <w:pPr>
                          <w:pStyle w:val="TableParagraph"/>
                          <w:spacing w:line="319" w:lineRule="auto" w:before="63"/>
                          <w:ind w:left="22" w:right="47"/>
                          <w:jc w:val="left"/>
                          <w:rPr>
                            <w:rFonts w:ascii="宋体" w:hAnsi="宋体" w:cs="宋体" w:eastAsia="宋体" w:hint="default"/>
                            <w:sz w:val="18"/>
                            <w:szCs w:val="18"/>
                          </w:rPr>
                        </w:pPr>
                        <w:r>
                          <w:rPr>
                            <w:rFonts w:ascii="宋体" w:hAnsi="宋体" w:cs="宋体" w:eastAsia="宋体" w:hint="default"/>
                            <w:sz w:val="18"/>
                            <w:szCs w:val="18"/>
                          </w:rPr>
                          <w:t>①公司违反国家法律法规受到轻微处 罚； ②重要业务制度控制或系统存在 缺陷； ③内部控制重要缺陷未得到整 改。</w:t>
                        </w:r>
                      </w:p>
                      <w:p>
                        <w:pPr>
                          <w:pStyle w:val="TableParagraph"/>
                          <w:spacing w:line="302" w:lineRule="auto" w:before="55"/>
                          <w:ind w:left="22"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）一般缺陷是指除上述重大缺陷、 重要缺陷之外的其他控制缺陷。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406"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缺陷之外的其他控制缺陷。</w:t>
            </w:r>
          </w:p>
        </w:tc>
        <w:tc>
          <w:tcPr>
            <w:tcW w:w="3051" w:type="dxa"/>
            <w:tcBorders>
              <w:top w:val="single" w:sz="4" w:space="0" w:color="000000"/>
              <w:left w:val="single" w:sz="4" w:space="0" w:color="000000"/>
              <w:bottom w:val="single" w:sz="4" w:space="0" w:color="000000"/>
              <w:right w:val="single" w:sz="4" w:space="0" w:color="000000"/>
            </w:tcBorders>
          </w:tcPr>
          <w:p>
            <w:pPr/>
          </w:p>
        </w:tc>
      </w:tr>
      <w:tr>
        <w:trPr>
          <w:trHeight w:val="543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48"/>
              <w:jc w:val="left"/>
              <w:rPr>
                <w:rFonts w:ascii="宋体" w:hAnsi="宋体" w:cs="宋体" w:eastAsia="宋体" w:hint="default"/>
                <w:sz w:val="18"/>
                <w:szCs w:val="18"/>
              </w:rPr>
            </w:pPr>
            <w:r>
              <w:rPr>
                <w:rFonts w:ascii="宋体" w:hAnsi="宋体" w:cs="宋体" w:eastAsia="宋体" w:hint="default"/>
                <w:sz w:val="18"/>
                <w:szCs w:val="18"/>
              </w:rPr>
              <w:t>定量标准以合并税前利润、资产总额作为 衡量指标。 内部控制缺陷可能导致或导致的损失与利</w:t>
            </w:r>
          </w:p>
          <w:p>
            <w:pPr>
              <w:pStyle w:val="TableParagraph"/>
              <w:spacing w:line="309" w:lineRule="auto" w:before="3"/>
              <w:ind w:left="23" w:right="20"/>
              <w:jc w:val="both"/>
              <w:rPr>
                <w:rFonts w:ascii="宋体" w:hAnsi="宋体" w:cs="宋体" w:eastAsia="宋体" w:hint="default"/>
                <w:sz w:val="18"/>
                <w:szCs w:val="18"/>
              </w:rPr>
            </w:pPr>
            <w:r>
              <w:rPr>
                <w:rFonts w:ascii="宋体" w:hAnsi="宋体" w:cs="宋体" w:eastAsia="宋体" w:hint="default"/>
                <w:sz w:val="18"/>
                <w:szCs w:val="18"/>
              </w:rPr>
              <w:t>润表相关的，以当期合并税前利润指标衡 量。如果该缺陷单独或连同其他缺陷可能 导致的财务报告错报金额小于合并税前利 润的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，则认定为一般缺陷；如果超过合</w:t>
            </w:r>
            <w:r>
              <w:rPr>
                <w:rFonts w:ascii="宋体" w:hAnsi="宋体" w:cs="宋体" w:eastAsia="宋体" w:hint="default"/>
                <w:sz w:val="18"/>
                <w:szCs w:val="18"/>
              </w:rPr>
              <w:t> 并税前利润的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，则为重要缺 </w:t>
            </w:r>
            <w:r>
              <w:rPr>
                <w:rFonts w:ascii="宋体" w:hAnsi="宋体" w:cs="宋体" w:eastAsia="宋体" w:hint="default"/>
                <w:spacing w:val="-4"/>
                <w:sz w:val="18"/>
                <w:szCs w:val="18"/>
              </w:rPr>
              <w:t>陷；如果超过合并税前利润的</w:t>
            </w:r>
            <w:r>
              <w:rPr>
                <w:rFonts w:ascii="宋体" w:hAnsi="宋体" w:cs="宋体" w:eastAsia="宋体" w:hint="default"/>
                <w:spacing w:val="-35"/>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，则认定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为重大缺陷。</w:t>
            </w:r>
            <w:r>
              <w:rPr>
                <w:rFonts w:ascii="宋体" w:hAnsi="宋体" w:cs="宋体" w:eastAsia="宋体" w:hint="default"/>
                <w:spacing w:val="-64"/>
                <w:sz w:val="18"/>
                <w:szCs w:val="18"/>
              </w:rPr>
              <w:t> </w:t>
            </w:r>
            <w:r>
              <w:rPr>
                <w:rFonts w:ascii="宋体" w:hAnsi="宋体" w:cs="宋体" w:eastAsia="宋体" w:hint="default"/>
                <w:sz w:val="18"/>
                <w:szCs w:val="18"/>
              </w:rPr>
              <w:t>内部控制缺陷可能导致或导</w:t>
            </w:r>
            <w:r>
              <w:rPr>
                <w:rFonts w:ascii="宋体" w:hAnsi="宋体" w:cs="宋体" w:eastAsia="宋体" w:hint="default"/>
                <w:sz w:val="18"/>
                <w:szCs w:val="18"/>
              </w:rPr>
              <w:t> 致的损失与资产管理相关的，以当期合并 资产总额指标衡量。如果该缺陷单独或连 同其他缺陷可能导致的财务报告错报金额 小于合并资产总额的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，则认定为一般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缺陷；如果超过合并资产总额的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w:t>
            </w:r>
            <w:r>
              <w:rPr>
                <w:rFonts w:ascii="宋体" w:hAnsi="宋体" w:cs="宋体" w:eastAsia="宋体" w:hint="default"/>
                <w:spacing w:val="-88"/>
                <w:sz w:val="18"/>
                <w:szCs w:val="18"/>
              </w:rPr>
              <w:t> </w:t>
            </w:r>
            <w:r>
              <w:rPr>
                <w:rFonts w:ascii="宋体" w:hAnsi="宋体" w:cs="宋体" w:eastAsia="宋体" w:hint="default"/>
                <w:sz w:val="18"/>
                <w:szCs w:val="18"/>
              </w:rPr>
              <w:t>于</w:t>
            </w:r>
            <w:r>
              <w:rPr>
                <w:rFonts w:ascii="宋体" w:hAnsi="宋体" w:cs="宋体" w:eastAsia="宋体" w:hint="default"/>
                <w:spacing w:val="-37"/>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认定为重要缺陷；如果超过合并资产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316" w:lineRule="auto"/>
              <w:ind w:left="22" w:right="136"/>
              <w:jc w:val="left"/>
              <w:rPr>
                <w:rFonts w:ascii="宋体" w:hAnsi="宋体" w:cs="宋体" w:eastAsia="宋体" w:hint="default"/>
                <w:sz w:val="18"/>
                <w:szCs w:val="18"/>
              </w:rPr>
            </w:pPr>
            <w:r>
              <w:rPr>
                <w:rFonts w:ascii="宋体" w:hAnsi="宋体" w:cs="宋体" w:eastAsia="宋体" w:hint="default"/>
                <w:sz w:val="18"/>
                <w:szCs w:val="18"/>
              </w:rPr>
              <w:t>参照财务报告内部控制缺陷评价的定 量标准执行。</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54" w:right="1024"/>
        <w:jc w:val="left"/>
        <w:rPr>
          <w:b w:val="0"/>
          <w:bCs w:val="0"/>
        </w:rPr>
      </w:pPr>
      <w:bookmarkStart w:name="十、内部控制审计报告或鉴证报告" w:id="160"/>
      <w:bookmarkEnd w:id="160"/>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1" w:id="161"/>
      <w:bookmarkStart w:name="第十节 财务报告" w:id="162"/>
      <w:r>
        <w:rPr>
          <w:b w:val="0"/>
          <w:bCs w:val="0"/>
        </w:rPr>
      </w:r>
      <w:r>
        <w:rPr/>
        <w:t>第十节</w:t>
      </w:r>
      <w:r>
        <w:rPr>
          <w:spacing w:val="-5"/>
        </w:rPr>
        <w:t> </w:t>
      </w:r>
      <w:r>
        <w:rPr/>
        <w:t>财务报告</w:t>
      </w:r>
      <w:bookmarkEnd w:id="16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4"/>
        <w:jc w:val="left"/>
        <w:rPr>
          <w:b w:val="0"/>
          <w:bCs w:val="0"/>
        </w:rPr>
      </w:pPr>
      <w:bookmarkStart w:name="一、审计报告" w:id="163"/>
      <w:bookmarkEnd w:id="163"/>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210525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李璟、汪沛</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4"/>
        <w:spacing w:line="444" w:lineRule="auto" w:before="35"/>
        <w:ind w:left="4341" w:right="5319"/>
        <w:jc w:val="center"/>
        <w:rPr>
          <w:b w:val="0"/>
          <w:bCs w:val="0"/>
        </w:rPr>
      </w:pPr>
      <w:r>
        <w:rPr/>
        <w:t>审计报告正文</w:t>
      </w:r>
      <w:r>
        <w:rPr>
          <w:w w:val="99"/>
        </w:rPr>
        <w:t> </w:t>
      </w:r>
      <w:r>
        <w:rPr/>
        <w:t>审 计 报</w:t>
      </w:r>
      <w:r>
        <w:rPr>
          <w:spacing w:val="-5"/>
        </w:rPr>
        <w:t> </w:t>
      </w:r>
      <w:r>
        <w:rPr/>
        <w:t>告</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pStyle w:val="BodyText"/>
        <w:spacing w:line="240" w:lineRule="auto" w:before="35"/>
        <w:ind w:left="7064" w:right="1024"/>
        <w:jc w:val="left"/>
      </w:pPr>
      <w:r>
        <w:rPr/>
        <w:t>信会师报字</w:t>
      </w:r>
      <w:r>
        <w:rPr>
          <w:rFonts w:ascii="宋体" w:hAnsi="宋体" w:cs="宋体" w:eastAsia="宋体" w:hint="default"/>
        </w:rPr>
        <w:t>[2016]</w:t>
      </w:r>
      <w:r>
        <w:rPr/>
        <w:t>第</w:t>
      </w:r>
      <w:r>
        <w:rPr>
          <w:rFonts w:ascii="宋体" w:hAnsi="宋体" w:cs="宋体" w:eastAsia="宋体" w:hint="default"/>
        </w:rPr>
        <w:t>210525</w:t>
      </w:r>
      <w:r>
        <w:rPr/>
        <w:t>号</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line="408" w:lineRule="auto" w:before="35"/>
        <w:ind w:left="580" w:right="1024" w:hanging="426"/>
        <w:jc w:val="left"/>
        <w:rPr>
          <w:rFonts w:ascii="宋体" w:hAnsi="宋体" w:cs="宋体" w:eastAsia="宋体" w:hint="default"/>
          <w:sz w:val="21"/>
          <w:szCs w:val="21"/>
        </w:rPr>
      </w:pPr>
      <w:r>
        <w:rPr>
          <w:rFonts w:ascii="宋体" w:hAnsi="宋体" w:cs="宋体" w:eastAsia="宋体" w:hint="default"/>
          <w:b/>
          <w:bCs/>
          <w:sz w:val="21"/>
          <w:szCs w:val="21"/>
        </w:rPr>
        <w:t>北京中科金财科技股份有限公司全体股东：</w:t>
      </w:r>
      <w:r>
        <w:rPr>
          <w:rFonts w:ascii="宋体" w:hAnsi="宋体" w:cs="宋体" w:eastAsia="宋体" w:hint="default"/>
          <w:b/>
          <w:bCs/>
          <w:w w:val="99"/>
          <w:sz w:val="21"/>
          <w:szCs w:val="21"/>
        </w:rPr>
        <w:t> </w:t>
      </w:r>
      <w:r>
        <w:rPr>
          <w:rFonts w:ascii="宋体" w:hAnsi="宋体" w:cs="宋体" w:eastAsia="宋体" w:hint="default"/>
          <w:spacing w:val="-1"/>
          <w:sz w:val="21"/>
          <w:szCs w:val="21"/>
        </w:rPr>
        <w:t>我们审计了后附的北京中科金财科技股份有限公司（以下简称“贵公司”）财务报表，包括</w:t>
      </w:r>
      <w:r>
        <w:rPr>
          <w:rFonts w:ascii="宋体" w:hAnsi="宋体" w:cs="宋体" w:eastAsia="宋体" w:hint="default"/>
          <w:spacing w:val="-1"/>
          <w:sz w:val="21"/>
          <w:szCs w:val="21"/>
        </w:rPr>
        <w:t>2015</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z w:val="21"/>
          <w:szCs w:val="21"/>
        </w:rPr>
      </w:r>
    </w:p>
    <w:p>
      <w:pPr>
        <w:pStyle w:val="BodyText"/>
        <w:spacing w:line="408" w:lineRule="auto"/>
        <w:ind w:left="154" w:right="1024"/>
        <w:jc w:val="left"/>
      </w:pPr>
      <w:r>
        <w:rPr>
          <w:spacing w:val="-1"/>
        </w:rPr>
        <w:t>月</w:t>
      </w:r>
      <w:r>
        <w:rPr>
          <w:rFonts w:ascii="宋体" w:hAnsi="宋体" w:cs="宋体" w:eastAsia="宋体" w:hint="default"/>
          <w:spacing w:val="-1"/>
        </w:rPr>
        <w:t>31</w:t>
      </w:r>
      <w:r>
        <w:rPr>
          <w:spacing w:val="-1"/>
        </w:rPr>
        <w:t>日的合并及公司资产负债表、</w:t>
      </w:r>
      <w:r>
        <w:rPr>
          <w:rFonts w:ascii="宋体" w:hAnsi="宋体" w:cs="宋体" w:eastAsia="宋体" w:hint="default"/>
          <w:spacing w:val="-1"/>
        </w:rPr>
        <w:t>2015</w:t>
      </w:r>
      <w:r>
        <w:rPr>
          <w:spacing w:val="-1"/>
        </w:rPr>
        <w:t>年度的合并及公司利润表、合并及公司现金流量表、合并及公司所</w:t>
      </w:r>
      <w:r>
        <w:rPr>
          <w:spacing w:val="-83"/>
        </w:rPr>
        <w:t> </w:t>
      </w:r>
      <w:r>
        <w:rPr>
          <w:spacing w:val="-83"/>
        </w:rPr>
      </w:r>
      <w:r>
        <w:rPr/>
        <w:t>有者权益变动表以及财务报表附注。</w:t>
      </w:r>
    </w:p>
    <w:p>
      <w:pPr>
        <w:spacing w:line="408" w:lineRule="auto" w:before="46"/>
        <w:ind w:left="580" w:right="1024" w:firstLine="0"/>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编制和公允列报财务报表是贵公司管理层的责任。这种责任包括：（</w:t>
      </w:r>
      <w:r>
        <w:rPr>
          <w:rFonts w:ascii="宋体" w:hAnsi="宋体" w:cs="宋体" w:eastAsia="宋体" w:hint="default"/>
          <w:sz w:val="21"/>
          <w:szCs w:val="21"/>
        </w:rPr>
        <w:t>1</w:t>
      </w:r>
      <w:r>
        <w:rPr>
          <w:rFonts w:ascii="宋体" w:hAnsi="宋体" w:cs="宋体" w:eastAsia="宋体" w:hint="default"/>
          <w:sz w:val="21"/>
          <w:szCs w:val="21"/>
        </w:rPr>
        <w:t>）按照企业会计准则的规定编</w:t>
      </w:r>
    </w:p>
    <w:p>
      <w:pPr>
        <w:pStyle w:val="BodyText"/>
        <w:spacing w:line="408" w:lineRule="auto"/>
        <w:ind w:right="1024"/>
        <w:jc w:val="left"/>
      </w:pPr>
      <w:r>
        <w:rPr/>
        <w:t>制财务报表，并使其实现公允反映；（</w:t>
      </w:r>
      <w:r>
        <w:rPr>
          <w:rFonts w:ascii="宋体" w:hAnsi="宋体" w:cs="宋体" w:eastAsia="宋体" w:hint="default"/>
        </w:rPr>
        <w:t>2</w:t>
      </w:r>
      <w:r>
        <w:rPr/>
        <w:t>）设计、执行和维护必要的内部控制，以使财务报表不存在由于</w:t>
      </w:r>
      <w:r>
        <w:rPr>
          <w:spacing w:val="-27"/>
        </w:rPr>
        <w:t> </w:t>
      </w:r>
      <w:r>
        <w:rPr>
          <w:spacing w:val="-27"/>
        </w:rPr>
      </w:r>
      <w:r>
        <w:rPr/>
        <w:t>舞弊或错误导致的重大错报。</w:t>
      </w:r>
    </w:p>
    <w:p>
      <w:pPr>
        <w:pStyle w:val="BodyText"/>
        <w:spacing w:line="408" w:lineRule="auto"/>
        <w:ind w:left="580" w:right="1130"/>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w:t>
      </w:r>
    </w:p>
    <w:p>
      <w:pPr>
        <w:pStyle w:val="BodyText"/>
        <w:spacing w:line="408" w:lineRule="auto"/>
        <w:ind w:left="154" w:right="1024"/>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ind w:left="154" w:right="1130" w:firstLine="426"/>
        <w:jc w:val="left"/>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408" w:lineRule="auto"/>
        <w:ind w:left="579" w:right="2977"/>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408" w:lineRule="auto"/>
        <w:ind w:right="1024" w:firstLine="426"/>
        <w:jc w:val="left"/>
      </w:pPr>
      <w:r>
        <w:rPr>
          <w:spacing w:val="-1"/>
        </w:rPr>
        <w:t>我们认为，贵公司财务报表在所有重大方面按照企业会计准则的规定编制，公允反映了贵公司</w:t>
      </w:r>
      <w:r>
        <w:rPr>
          <w:rFonts w:ascii="宋体" w:hAnsi="宋体" w:cs="宋体" w:eastAsia="宋体" w:hint="default"/>
          <w:spacing w:val="-1"/>
        </w:rPr>
        <w:t>2015</w:t>
      </w:r>
      <w:r>
        <w:rPr>
          <w:spacing w:val="-1"/>
        </w:rPr>
        <w:t>年</w:t>
      </w:r>
      <w:r>
        <w:rPr/>
        <w:t> </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2015</w:t>
      </w:r>
      <w:r>
        <w:rPr/>
        <w:t>年度的合并及公司经营成果和现金流量。</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二、财务报表" w:id="164"/>
      <w:bookmarkEnd w:id="164"/>
      <w:r>
        <w:rPr>
          <w:b w:val="0"/>
          <w:bCs w:val="0"/>
        </w:rPr>
      </w:r>
      <w:r>
        <w:rPr/>
        <w:t>二、财务报表</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77" w:right="1024"/>
        <w:jc w:val="left"/>
      </w:pPr>
      <w:r>
        <w:rPr/>
        <w:t>财务附注中报表的单位为：人民币元</w:t>
      </w:r>
    </w:p>
    <w:p>
      <w:pPr>
        <w:spacing w:line="240" w:lineRule="auto" w:before="9"/>
        <w:rPr>
          <w:rFonts w:ascii="宋体" w:hAnsi="宋体" w:cs="宋体" w:eastAsia="宋体" w:hint="default"/>
          <w:sz w:val="25"/>
          <w:szCs w:val="25"/>
        </w:rPr>
      </w:pPr>
    </w:p>
    <w:p>
      <w:pPr>
        <w:pStyle w:val="Heading4"/>
        <w:spacing w:line="240" w:lineRule="auto"/>
        <w:ind w:left="153" w:right="0"/>
        <w:jc w:val="both"/>
        <w:rPr>
          <w:b w:val="0"/>
          <w:bCs w:val="0"/>
        </w:rPr>
      </w:pPr>
      <w:bookmarkStart w:name="1、合并资产负债表" w:id="165"/>
      <w:bookmarkEnd w:id="16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编制单位：北京中科金财科技股份有限公司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571,048,628.75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691,799,630.78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26,647,211.10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11,847,600.00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86,037,681.38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58,856,687.46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16,444,464.94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9,748,571.90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42,445,818.85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38,738,200.59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385,491,161.88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428,768,115.95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195,088,374.81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112,514,998.94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1,323,203,341.71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1,352,273,805.62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30,636,800.00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339,486,166.39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27,119,839.51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64,590,677.09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103,282,710.55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5,473,382.76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5,887,828.81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155,576,256.01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143,136,524.09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20,890,399.37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42,472,969.20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624,031,391.94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624,031,391.94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1,406,799.84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12,521,368.16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9,087,747.90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12,468,538.33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3,413,334.25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1,265,759,580.05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984,739,146.09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2,588,962,921.76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2,337,012,951.71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1,821,078.05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207,363,148.29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112,854,595.70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329,079,035.41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310,660,697.48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9,812,164.65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8,462,798.18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26,237,026.15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10,526,934.21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72,882,281.10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106,988,935.73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671,669,733.65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561,553,961.30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21,508,166.66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32,242,266.66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260,428,166.66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270,682,266.66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932,097,900.31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832,236,227.96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316,979,102.00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158,489,551.00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839,133,707.03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997,623,258.03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56,589.38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45,424,335.65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36,778,236.69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450,394,854.26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308,215,956.06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1,651,988,588.32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1,501,107,899.39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4,876,433.13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3,668,824.36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1,656,865,021.45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1,504,776,723.75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2,588,962,921.76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2,337,012,951.71</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法定代表人：朱烨东</w:t>
        <w:tab/>
        <w:t>主管会计工作负责人：赵学荣</w:t>
        <w:tab/>
        <w:t>会计机构负责人：尹亚楠</w:t>
      </w:r>
    </w:p>
    <w:p>
      <w:pPr>
        <w:spacing w:line="240" w:lineRule="auto" w:before="11"/>
        <w:rPr>
          <w:rFonts w:ascii="宋体" w:hAnsi="宋体" w:cs="宋体" w:eastAsia="宋体" w:hint="default"/>
          <w:sz w:val="26"/>
          <w:szCs w:val="26"/>
        </w:rPr>
      </w:pPr>
    </w:p>
    <w:p>
      <w:pPr>
        <w:pStyle w:val="Heading4"/>
        <w:spacing w:line="240" w:lineRule="auto"/>
        <w:ind w:left="153" w:right="1024"/>
        <w:jc w:val="left"/>
        <w:rPr>
          <w:b w:val="0"/>
          <w:bCs w:val="0"/>
        </w:rPr>
      </w:pPr>
      <w:bookmarkStart w:name="2、母公司资产负债表" w:id="166"/>
      <w:bookmarkEnd w:id="16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327,557,845.24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528,337,632.55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26,647,211.10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11,847,600.00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73,165,885.44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40,845,109.27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13,513,184.97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7,584,353.56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43,010,069.41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37,444,638.80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339,998,727.09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381,156,386.59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189,630,747.79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107,536,525.87</w:t>
            </w:r>
          </w:p>
        </w:tc>
      </w:tr>
    </w:tbl>
    <w:p>
      <w:pPr>
        <w:spacing w:after="0" w:line="240" w:lineRule="auto"/>
        <w:jc w:val="right"/>
        <w:rPr>
          <w:rFonts w:ascii="Times New Roman" w:hAnsi="Times New Roman" w:cs="Times New Roman" w:eastAsia="Times New Roman" w:hint="default"/>
          <w:sz w:val="18"/>
          <w:szCs w:val="18"/>
        </w:rPr>
        <w:sectPr>
          <w:footerReference w:type="default" r:id="rId14"/>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1,013,523,671.04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1,114,752,246.64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1,264,246,177.99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945,879,851.11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39,851,037.07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64,900,412.29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92,766,799.30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70,383,139.96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20,890,399.37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38,665,791.24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1,406,799.84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9,307,311.65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6,554,948.88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11,510,538.33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2,455,334.25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1,438,656,863.71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1,130,246,277.57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2,452,180,534.75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2,244,998,524.21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1,821,078.05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206,693,913.14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95,418,170.72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288,058,696.50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252,504,783.03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7,304,661.27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6,083,497.46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14,895,204.33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2,336,651.55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71,725,606.71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106,086,563.21</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614,974,160.00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474,489,665.97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21,508,166.66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32,242,266.66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260,428,166.66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270,682,266.66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875,402,326.66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745,171,932.63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316,979,102.00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158,489,551.00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839,102,380.83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997,591,931.83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45,466,410.67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36,820,311.71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375,230,314.59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306,924,797.04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1,576,778,208.09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1,499,826,591.58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2,452,180,534.75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2,244,998,524.21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24"/>
        <w:jc w:val="left"/>
        <w:rPr>
          <w:b w:val="0"/>
          <w:bCs w:val="0"/>
        </w:rPr>
      </w:pPr>
      <w:bookmarkStart w:name="3、合并利润表" w:id="167"/>
      <w:bookmarkEnd w:id="16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581.619995pt;width:157.7pt;height:19.650pt;mso-position-horizontal-relative:page;mso-position-vertical-relative:page;z-index:-1212832" coordorigin="4242,11632" coordsize="3154,393">
            <v:shape style="position:absolute;left:4242;top:11632;width:3154;height:393" coordorigin="4242,11632" coordsize="3154,393" path="m4242,12025l7396,12025,7396,11632,4242,11632,4242,12025xe" filled="true" fillcolor="#ffffff" stroked="false">
              <v:path arrowok="t"/>
              <v:fill type="solid"/>
            </v:shape>
            <w10:wrap type="none"/>
          </v:group>
        </w:pict>
      </w:r>
      <w:r>
        <w:rPr/>
        <w:pict>
          <v:group style="position:absolute;margin-left:212.119995pt;margin-top:702.23999pt;width:157.7pt;height:19.650pt;mso-position-horizontal-relative:page;mso-position-vertical-relative:page;z-index:-1212808" coordorigin="4242,14045" coordsize="3154,393">
            <v:shape style="position:absolute;left:4242;top:14045;width:3154;height:393" coordorigin="4242,14045" coordsize="3154,393" path="m4242,14437l7396,14437,7396,14045,4242,14045,4242,144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2"/>
        <w:gridCol w:w="2151"/>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16" w:right="0"/>
              <w:jc w:val="left"/>
              <w:rPr>
                <w:rFonts w:ascii="Times New Roman" w:hAnsi="Times New Roman" w:cs="Times New Roman" w:eastAsia="Times New Roman" w:hint="default"/>
                <w:sz w:val="18"/>
                <w:szCs w:val="18"/>
              </w:rPr>
            </w:pPr>
            <w:r>
              <w:rPr>
                <w:rFonts w:ascii="Times New Roman"/>
                <w:sz w:val="18"/>
              </w:rPr>
              <w:t>1,327,554,356.58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1,098,367,226.38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16" w:right="0"/>
              <w:jc w:val="left"/>
              <w:rPr>
                <w:rFonts w:ascii="Times New Roman" w:hAnsi="Times New Roman" w:cs="Times New Roman" w:eastAsia="Times New Roman" w:hint="default"/>
                <w:sz w:val="18"/>
                <w:szCs w:val="18"/>
              </w:rPr>
            </w:pPr>
            <w:r>
              <w:rPr>
                <w:rFonts w:ascii="Times New Roman"/>
                <w:sz w:val="18"/>
              </w:rPr>
              <w:t>1,327,554,356.58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1,098,367,226.38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16" w:right="0"/>
              <w:jc w:val="left"/>
              <w:rPr>
                <w:rFonts w:ascii="Times New Roman" w:hAnsi="Times New Roman" w:cs="Times New Roman" w:eastAsia="Times New Roman" w:hint="default"/>
                <w:sz w:val="18"/>
                <w:szCs w:val="18"/>
              </w:rPr>
            </w:pPr>
            <w:r>
              <w:rPr>
                <w:rFonts w:ascii="Times New Roman"/>
                <w:sz w:val="18"/>
              </w:rPr>
              <w:t>1,181,932,910.63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1,045,765,117.81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944,807,205.82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831,234,411.64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7,952,827.12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3,305,056.89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37,180,153.03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24,619,642.82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175,518,437.79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169,933,498.61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12,774,713.94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16,924,047.07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3,699,572.93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-251,539.22</w:t>
            </w:r>
            <w:r>
              <w:rPr>
                <w:rFonts w:ascii="Times New Roman"/>
                <w:sz w:val="18"/>
              </w:rPr>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9,860,520.70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4,698,868.72</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-1,018,685.87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1,774,481.65</w:t>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155,481,966.65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57,300,977.29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22,576,802.11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27,611,158.54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261,910.18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73,196.24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215,432.05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331,053.03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137,143.03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318,265.88</w:t>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2"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177,843,336.71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84,581,082.80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16,425,225.62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5,705,685.49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65" w:right="0"/>
              <w:jc w:val="left"/>
              <w:rPr>
                <w:rFonts w:ascii="Times New Roman" w:hAnsi="Times New Roman" w:cs="Times New Roman" w:eastAsia="Times New Roman" w:hint="default"/>
                <w:sz w:val="18"/>
                <w:szCs w:val="18"/>
              </w:rPr>
            </w:pPr>
            <w:r>
              <w:rPr>
                <w:rFonts w:ascii="Times New Roman"/>
                <w:sz w:val="18"/>
              </w:rPr>
              <w:t>161,418,111.09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78,875,397.31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160,334,370.22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77,702,908.86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1,083,740.87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1,172,488.45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79,559.67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-291.17</w:t>
            </w:r>
            <w:r>
              <w:rPr>
                <w:rFonts w:ascii="Times New Roman"/>
                <w:sz w:val="18"/>
              </w:rPr>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55,691.77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305.99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55,691.77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305.99</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55,691.77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305.99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23,867.90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-597.16</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161,497,670.76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78,875,106.14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160,390,061.99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77,703,214.85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1,107,608.77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1,171,891.29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r>
    </w:tbl>
    <w:p>
      <w:pPr>
        <w:tabs>
          <w:tab w:pos="3574" w:val="left" w:leader="none"/>
          <w:tab w:pos="7715" w:val="left" w:leader="none"/>
        </w:tabs>
        <w:spacing w:line="590" w:lineRule="auto" w:before="51"/>
        <w:ind w:left="153"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法定代表人：朱烨东</w:t>
        <w:tab/>
        <w:t>主管会计工作负责人：赵学荣</w:t>
        <w:tab/>
        <w:t>会计机构负责人：尹亚楠</w:t>
      </w:r>
    </w:p>
    <w:p>
      <w:pPr>
        <w:spacing w:after="0" w:line="59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4、母公司利润表" w:id="168"/>
      <w:bookmarkEnd w:id="16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1,113,744,901.84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969,255,302.71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856,331,759.37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734,775,051.12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6,376,595.12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3,007,952.76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27,325,787.33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23,404,836.33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132,331,104.76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140,335,978.38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17,240,467.95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18,258,085.11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3,797,882.50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2,148,994.77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4,825,963.66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4,400,666.94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-3,669,626.08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1,178,821.65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75,167,268.47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51,725,071.18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19,121,233.70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22,236,798.39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100,300.61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73,196.24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166,256.68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322,409.22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123,181.24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317,021.07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94,122,245.49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73,639,460.35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7,661,255.92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4,965,341.75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86,460,989.57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68,674,118.60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权益法下在被投资单位</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86,460,989.57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68,674,118.60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5、合并现金流量表" w:id="169"/>
      <w:bookmarkEnd w:id="16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1,504,199,944.04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1,422,888,423.89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11,500,783.30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14,457,215.09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212,713,893.66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145,605,369.89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1,728,414,621.00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1,582,951,008.87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921,174,103.48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1,050,985,404.22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100,499,394.29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89,278,868.66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79,852,814.89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31,361,550.64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254,183,176.96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168,904,773.05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1,355,709,489.62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1,340,530,596.57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372,705,131.38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242,420,412.30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1,874,114,383.55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12,903,053.61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3,221,645.29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2,561,382.74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2,411,240.00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533,338.15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1,889,578,819.90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501,266,223.44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39,230,805.65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54,220,725.81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2,289,910,983.55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517,100,000.00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31,920,003.33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228,749,997.09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2,361,061,792.53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800,070,722.90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-471,482,972.63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-298,804,499.46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266,179,986.56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17,180,000.00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50,489,656.69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46,301.06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981,613.06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50,635,957.75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327,161,599.62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48,851,516.92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27,160,258.10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25,836,907.36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3,025,965.40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3,702,765.99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79,037,740.42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119,539,673.35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-28,401,782.67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207,621,926.27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73,785.73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-128.66</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-127,105,838.19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151,237,710.45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677,579,838.82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526,342,128.37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550,474,000.63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677,579,838.82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24"/>
        <w:jc w:val="left"/>
        <w:rPr>
          <w:b w:val="0"/>
          <w:bCs w:val="0"/>
        </w:rPr>
      </w:pPr>
      <w:bookmarkStart w:name="6、母公司现金流量表" w:id="170"/>
      <w:bookmarkEnd w:id="17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1,272,975,771.89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1,207,353,673.51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8,231,831.74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9,483,833.11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230,026,510.23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135,346,025.53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1,511,234,113.86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1,352,183,532.15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821,270,440.28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884,712,929.05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77,699,366.13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80,630,006.08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56,960,658.38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22,822,267.39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268,264,296.17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177,583,036.76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1,224,194,760.96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1,165,748,239.28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287,039,352.90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186,435,292.87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1,710,414,383.55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494,600,000.00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10,519,436.78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3,607,976.63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2,376,477.90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2,410,940.00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808,000.00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1,723,310,298.23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501,426,916.63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31,088,305.05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49,557,876.81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2,157,894,186.88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769,320,000.00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2,188,982,491.93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818,877,876.81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-465,672,193.70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-317,450,960.18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248,999,986.56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50,489,656.69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46,301.06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981,613.06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50,535,957.75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309,981,599.62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48,851,516.92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27,160,258.10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25,836,907.36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3,025,965.40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3,702,765.99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79,037,740.42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119,539,673.35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-28,501,782.67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190,441,926.27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-207,134,623.47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59,426,258.96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514,117,840.59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454,691,581.63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306,983,217.12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514,117,840.59</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7、合并所有者权益变动表" w:id="171"/>
      <w:bookmarkEnd w:id="17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102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158,48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9,551.</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997,623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,258.03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897.61</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36,778,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236.69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308,215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,956.06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3,668,8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24.36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76,723.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158,48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9,551.</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997,623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,258.03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897.61</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36,778,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236.69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308,215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,956.06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3,668,8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24.36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76,723.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158,48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9,551.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9,551.0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8,646,0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98.96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142,178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,898.20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1,207,6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08.77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152,088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,297.70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160,334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,370.22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1,107,6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08.77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161,497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,670.76</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8,646,0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98.96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-18,155,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472.02</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-9,509,3</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73.06</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8,646,0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98.96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-8,646,0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98.96</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-9,509,3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73.06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-9,509,3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73.06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158,48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9,551.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-158,48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9,551.0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158,48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9,551.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-158,48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9,551.0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316,97</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9,102.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839,133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,707.03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45,424,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335.65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450,394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,854.26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4,876,4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33.13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1,656,8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65,021.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104,69</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6,301.</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324,857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,209.72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591.62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29,910,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824.83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244,709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,200.13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5,777,2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09.31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709,951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,336.61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104,69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6,301.</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324,857</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,209.72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29,910,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824.83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244,709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,200.13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5,777,2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09.31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709,951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,336.61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672,766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,048.31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6,867,4</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11.86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63,506,</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755.93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-2,108,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384.95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794,825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,387.14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77,702,</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908.86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1,171,8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91.29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78,875,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106.14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693,705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,308.31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-3,280,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276.24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723,279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,022.07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693,705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,308.31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17,180,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743,739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,298.31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-20,460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,276.24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-20,460,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276.24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6,867,4</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11.86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-14,196,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152.93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-7,328,7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41.07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6,867,4</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11.86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-6,867,4</w:t>
            </w:r>
          </w:p>
          <w:p>
            <w:pPr>
              <w:pStyle w:val="TableParagraph"/>
              <w:spacing w:line="240" w:lineRule="auto" w:before="106"/>
              <w:ind w:left="245" w:right="0"/>
              <w:jc w:val="left"/>
              <w:rPr>
                <w:rFonts w:ascii="Times New Roman" w:hAnsi="Times New Roman" w:cs="Times New Roman" w:eastAsia="Times New Roman" w:hint="default"/>
                <w:sz w:val="18"/>
                <w:szCs w:val="18"/>
              </w:rPr>
            </w:pPr>
            <w:r>
              <w:rPr>
                <w:rFonts w:ascii="Times New Roman"/>
                <w:sz w:val="18"/>
              </w:rPr>
              <w:t>11.86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-7,328,7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41.07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-7,328,7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41.07</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-20,939,</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260.00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-20,939,</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260.00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158,48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9,551.</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997,623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,258.03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897.61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36,778,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236.69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308,215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,956.06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3,668,8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24.36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76,723.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24"/>
        <w:jc w:val="left"/>
        <w:rPr>
          <w:b w:val="0"/>
          <w:bCs w:val="0"/>
        </w:rPr>
      </w:pPr>
      <w:bookmarkStart w:name="8、母公司所有者权益变动表" w:id="172"/>
      <w:bookmarkEnd w:id="17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102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158,489,</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551.00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997,591,9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31.83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36,820,31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1.71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306,924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,797.04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1,499,826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,591.58</w:t>
            </w:r>
          </w:p>
        </w:tc>
      </w:tr>
      <w:tr>
        <w:trPr>
          <w:trHeight w:val="393"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158,489,</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551.00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997,591,9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31.83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36,820,31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1.71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306,924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,797.04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1,499,826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,591.58</w:t>
            </w:r>
          </w:p>
        </w:tc>
      </w:tr>
      <w:tr>
        <w:trPr>
          <w:trHeight w:val="392"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158,489,</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551.00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-158,489,</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551.00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8,646,098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68,305,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517.55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76,951,61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6.51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86,460,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989.57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86,460,98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9.57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8,646,098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-18,155,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472.02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-9,509,37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3.06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8,646,098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-8,646,0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98.96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-9,509,3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73.06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-9,509,37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158,489,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551.00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-158,489,</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551.00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158,489,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551.00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-158,489,</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551.00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316,979,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102.00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839,102,3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80.83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45,466,41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375,230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,314.59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1,576,778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,208.09</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104,696,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301.00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324,825,8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83.52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29,952,89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9.85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252,446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,831.37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34" w:right="0"/>
              <w:jc w:val="left"/>
              <w:rPr>
                <w:rFonts w:ascii="Times New Roman" w:hAnsi="Times New Roman" w:cs="Times New Roman" w:eastAsia="Times New Roman" w:hint="default"/>
                <w:sz w:val="18"/>
                <w:szCs w:val="18"/>
              </w:rPr>
            </w:pPr>
            <w:r>
              <w:rPr>
                <w:rFonts w:ascii="Times New Roman"/>
                <w:sz w:val="18"/>
              </w:rPr>
              <w:t>711,921,9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15.74</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104,696,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324,825,8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83.52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29,952,89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252,446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,831.37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711,921,9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15.74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53,793,2</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672,766,0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48.31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6,867,411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54,477,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965.67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787,904,6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75.84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68,674,</w:t>
            </w:r>
          </w:p>
          <w:p>
            <w:pPr>
              <w:pStyle w:val="TableParagraph"/>
              <w:spacing w:line="240" w:lineRule="auto" w:before="106"/>
              <w:ind w:left="154" w:right="0"/>
              <w:jc w:val="left"/>
              <w:rPr>
                <w:rFonts w:ascii="Times New Roman" w:hAnsi="Times New Roman" w:cs="Times New Roman" w:eastAsia="Times New Roman" w:hint="default"/>
                <w:sz w:val="18"/>
                <w:szCs w:val="18"/>
              </w:rPr>
            </w:pPr>
            <w:r>
              <w:rPr>
                <w:rFonts w:ascii="Times New Roman"/>
                <w:sz w:val="18"/>
              </w:rPr>
              <w:t>118.60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68,674,11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8.60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32,853,9</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90.00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693,705,3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08.31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726,559,2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98.31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32,853,9</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90.00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693,705,3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08.31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726,559,2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98.31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6,867,411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-14,196,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152.93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-7,328,74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1.07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6,867,411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-6,867,4</w:t>
            </w:r>
          </w:p>
          <w:p>
            <w:pPr>
              <w:pStyle w:val="TableParagraph"/>
              <w:spacing w:line="240" w:lineRule="auto" w:before="106"/>
              <w:ind w:left="244" w:right="0"/>
              <w:jc w:val="left"/>
              <w:rPr>
                <w:rFonts w:ascii="Times New Roman" w:hAnsi="Times New Roman" w:cs="Times New Roman" w:eastAsia="Times New Roman" w:hint="default"/>
                <w:sz w:val="18"/>
                <w:szCs w:val="18"/>
              </w:rPr>
            </w:pPr>
            <w:r>
              <w:rPr>
                <w:rFonts w:ascii="Times New Roman"/>
                <w:sz w:val="18"/>
              </w:rPr>
              <w:t>11.86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-7,328,7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41.07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-7,328,74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20,939,2</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-20,939,2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20,939,2</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-20,939,2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8.920013pt;margin-top:492.880005pt;width:.24pt;height:.48pt;mso-position-horizontal-relative:page;mso-position-vertical-relative:page;z-index:2032" type="#_x0000_t75" stroked="false">
            <v:imagedata r:id="rId16" o:title=""/>
          </v:shape>
        </w:pict>
      </w:r>
      <w:r>
        <w:rPr/>
        <w:pict>
          <v:shape style="position:absolute;margin-left:368.920013pt;margin-top:511.359985pt;width:.239985pt;height:.48pt;mso-position-horizontal-relative:page;mso-position-vertical-relative:page;z-index:2056" type="#_x0000_t75" stroked="false">
            <v:imagedata r:id="rId16" o:title=""/>
          </v:shape>
        </w:pict>
      </w:r>
      <w:r>
        <w:rPr/>
        <w:pict>
          <v:shape style="position:absolute;margin-left:368.920013pt;margin-top:529.779968pt;width:.24pt;height:.48pt;mso-position-horizontal-relative:page;mso-position-vertical-relative:page;z-index:2080" type="#_x0000_t75" stroked="false">
            <v:imagedata r:id="rId16" o:title=""/>
          </v:shape>
        </w:pict>
      </w:r>
      <w:r>
        <w:rPr/>
        <w:pict>
          <v:shape style="position:absolute;margin-left:368.920013pt;margin-top:548.26001pt;width:.24pt;height:.48pt;mso-position-horizontal-relative:page;mso-position-vertical-relative:page;z-index:2104" type="#_x0000_t75" stroked="false">
            <v:imagedata r:id="rId16" o:title=""/>
          </v:shape>
        </w:pict>
      </w:r>
      <w:r>
        <w:rPr/>
        <w:pict>
          <v:shape style="position:absolute;margin-left:368.920013pt;margin-top:585.159912pt;width:.239969pt;height:.48pt;mso-position-horizontal-relative:page;mso-position-vertical-relative:page;z-index:2128" type="#_x0000_t75" stroked="false">
            <v:imagedata r:id="rId16" o:title=""/>
          </v:shape>
        </w:pict>
      </w:r>
      <w:r>
        <w:rPr/>
        <w:pict>
          <v:shape style="position:absolute;margin-left:368.920013pt;margin-top:603.580017pt;width:.24pt;height:.48pt;mso-position-horizontal-relative:page;mso-position-vertical-relative:page;z-index:2152" type="#_x0000_t75" stroked="false">
            <v:imagedata r:id="rId16" o:title=""/>
          </v:shape>
        </w:pict>
      </w:r>
      <w:r>
        <w:rPr/>
        <w:pict>
          <v:shape style="position:absolute;margin-left:368.920013pt;margin-top:622.059998pt;width:.24pt;height:.48pt;mso-position-horizontal-relative:page;mso-position-vertical-relative:page;z-index:2176" type="#_x0000_t75" stroked="false">
            <v:imagedata r:id="rId16" o:title=""/>
          </v:shape>
        </w:pict>
      </w:r>
      <w:r>
        <w:rPr/>
        <w:pict>
          <v:shape style="position:absolute;margin-left:368.920013pt;margin-top:640.479919pt;width:.239969pt;height:.48pt;mso-position-horizontal-relative:page;mso-position-vertical-relative:page;z-index:2200" type="#_x0000_t75" stroked="false">
            <v:imagedata r:id="rId16" o:titl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158,489,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551.00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997,591,9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31.83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36,820,31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306,924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,797.04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1,499,826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,591.58</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1024"/>
        <w:jc w:val="left"/>
        <w:rPr>
          <w:b w:val="0"/>
          <w:bCs w:val="0"/>
        </w:rPr>
      </w:pPr>
      <w:bookmarkStart w:name="三、公司基本情况" w:id="173"/>
      <w:bookmarkEnd w:id="173"/>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340" w:lineRule="auto" w:before="0"/>
        <w:ind w:left="575" w:right="1024" w:hanging="422"/>
        <w:jc w:val="left"/>
      </w:pPr>
      <w:r>
        <w:rPr>
          <w:rFonts w:ascii="宋体" w:hAnsi="宋体" w:cs="宋体" w:eastAsia="宋体" w:hint="default"/>
          <w:b/>
          <w:bCs/>
        </w:rPr>
        <w:t>（一）公司概况</w:t>
      </w:r>
      <w:r>
        <w:rPr>
          <w:rFonts w:ascii="宋体" w:hAnsi="宋体" w:cs="宋体" w:eastAsia="宋体" w:hint="default"/>
          <w:b/>
          <w:bCs/>
          <w:w w:val="99"/>
        </w:rPr>
        <w:t> </w:t>
      </w:r>
      <w:r>
        <w:rPr/>
        <w:t>北京中科金财科技股份有限公司（以下简称“公司”或“本公司”）系于</w:t>
      </w:r>
      <w:r>
        <w:rPr>
          <w:rFonts w:ascii="宋体" w:hAnsi="宋体" w:cs="宋体" w:eastAsia="宋体" w:hint="default"/>
        </w:rPr>
        <w:t>2007</w:t>
      </w:r>
      <w:r>
        <w:rPr/>
        <w:t>年</w:t>
      </w:r>
      <w:r>
        <w:rPr>
          <w:rFonts w:ascii="宋体" w:hAnsi="宋体" w:cs="宋体" w:eastAsia="宋体" w:hint="default"/>
        </w:rPr>
        <w:t>7</w:t>
      </w:r>
      <w:r>
        <w:rPr/>
        <w:t>月</w:t>
      </w:r>
      <w:r>
        <w:rPr>
          <w:rFonts w:ascii="宋体" w:hAnsi="宋体" w:cs="宋体" w:eastAsia="宋体" w:hint="default"/>
        </w:rPr>
        <w:t>26</w:t>
      </w:r>
      <w:r>
        <w:rPr/>
        <w:t>日经北京市工</w:t>
      </w:r>
    </w:p>
    <w:p>
      <w:pPr>
        <w:pStyle w:val="BodyText"/>
        <w:spacing w:line="408" w:lineRule="auto" w:before="105"/>
        <w:ind w:right="1093"/>
        <w:jc w:val="left"/>
      </w:pPr>
      <w:r>
        <w:rPr/>
        <w:t>商行政管理局批准，由北京中科金财科技有限公司整体改制的股份有限公司。公司的统一社会信用代码： </w:t>
      </w:r>
      <w:r>
        <w:rPr>
          <w:rFonts w:ascii="宋体" w:hAnsi="宋体" w:cs="宋体" w:eastAsia="宋体" w:hint="default"/>
        </w:rPr>
        <w:t>91110000757740123M</w:t>
      </w:r>
      <w:r>
        <w:rPr/>
        <w:t>。</w:t>
      </w:r>
      <w:r>
        <w:rPr>
          <w:spacing w:val="-3"/>
        </w:rPr>
        <w:t> </w:t>
      </w:r>
      <w:r>
        <w:rPr>
          <w:rFonts w:ascii="宋体" w:hAnsi="宋体" w:cs="宋体" w:eastAsia="宋体" w:hint="default"/>
        </w:rPr>
        <w:t>2012</w:t>
      </w:r>
      <w:r>
        <w:rPr/>
        <w:t>年</w:t>
      </w:r>
      <w:r>
        <w:rPr>
          <w:rFonts w:ascii="宋体" w:hAnsi="宋体" w:cs="宋体" w:eastAsia="宋体" w:hint="default"/>
        </w:rPr>
        <w:t>2</w:t>
      </w:r>
      <w:r>
        <w:rPr/>
        <w:t>月在深圳证券交易所上市，所属行业为电子类软件和信息技术服务业。</w:t>
      </w:r>
    </w:p>
    <w:p>
      <w:pPr>
        <w:pStyle w:val="BodyText"/>
        <w:spacing w:line="408" w:lineRule="auto"/>
        <w:ind w:right="1130" w:firstLine="421"/>
        <w:jc w:val="both"/>
      </w:pPr>
      <w:r>
        <w:rPr>
          <w:spacing w:val="-3"/>
        </w:rPr>
        <w:t>截至</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日，本公司累计发行股本总数</w:t>
      </w:r>
      <w:r>
        <w:rPr>
          <w:rFonts w:ascii="宋体" w:hAnsi="宋体" w:cs="宋体" w:eastAsia="宋体" w:hint="default"/>
          <w:spacing w:val="-3"/>
        </w:rPr>
        <w:t>316,979,102</w:t>
      </w:r>
      <w:r>
        <w:rPr>
          <w:spacing w:val="-3"/>
        </w:rPr>
        <w:t>股，注册资本为</w:t>
      </w:r>
      <w:r>
        <w:rPr>
          <w:rFonts w:ascii="宋体" w:hAnsi="宋体" w:cs="宋体" w:eastAsia="宋体" w:hint="default"/>
          <w:spacing w:val="-3"/>
        </w:rPr>
        <w:t>316,979,102</w:t>
      </w:r>
      <w:r>
        <w:rPr>
          <w:spacing w:val="-3"/>
        </w:rPr>
        <w:t>元。注册地</w:t>
      </w:r>
      <w:r>
        <w:rPr>
          <w:rFonts w:ascii="宋体" w:hAnsi="宋体" w:cs="宋体" w:eastAsia="宋体" w:hint="default"/>
          <w:spacing w:val="-3"/>
        </w:rPr>
        <w:t>:</w:t>
      </w:r>
      <w:r>
        <w:rPr>
          <w:rFonts w:ascii="宋体" w:hAnsi="宋体" w:cs="宋体" w:eastAsia="宋体" w:hint="default"/>
        </w:rPr>
        <w:t> </w:t>
      </w:r>
      <w:r>
        <w:rPr/>
        <w:t>北京市海淀区学院路</w:t>
      </w:r>
      <w:r>
        <w:rPr>
          <w:spacing w:val="68"/>
        </w:rPr>
        <w:t> </w:t>
      </w:r>
      <w:r>
        <w:rPr>
          <w:rFonts w:ascii="宋体" w:hAnsi="宋体" w:cs="宋体" w:eastAsia="宋体" w:hint="default"/>
        </w:rPr>
        <w:t>39</w:t>
      </w:r>
      <w:r>
        <w:rPr/>
        <w:t>号唯实大厦</w:t>
      </w:r>
      <w:r>
        <w:rPr>
          <w:rFonts w:ascii="宋体" w:hAnsi="宋体" w:cs="宋体" w:eastAsia="宋体" w:hint="default"/>
        </w:rPr>
        <w:t>1006</w:t>
      </w:r>
      <w:r>
        <w:rPr/>
        <w:t>室，总部地址：北京市海淀区学院路</w:t>
      </w:r>
      <w:r>
        <w:rPr>
          <w:rFonts w:ascii="宋体" w:hAnsi="宋体" w:cs="宋体" w:eastAsia="宋体" w:hint="default"/>
        </w:rPr>
        <w:t>39</w:t>
      </w:r>
      <w:r>
        <w:rPr/>
        <w:t>号唯实大厦</w:t>
      </w:r>
      <w:r>
        <w:rPr>
          <w:rFonts w:ascii="宋体" w:hAnsi="宋体" w:cs="宋体" w:eastAsia="宋体" w:hint="default"/>
        </w:rPr>
        <w:t>10</w:t>
      </w:r>
      <w:r>
        <w:rPr/>
        <w:t>层。本公司</w:t>
      </w:r>
      <w:r>
        <w:rPr>
          <w:spacing w:val="-97"/>
        </w:rPr>
        <w:t> </w:t>
      </w:r>
      <w:r>
        <w:rPr>
          <w:spacing w:val="-97"/>
        </w:rPr>
      </w:r>
      <w:r>
        <w:rPr>
          <w:spacing w:val="-1"/>
        </w:rPr>
        <w:t>主要经营活动为：计算机软件技术开发；计算机系统集成及服务；与计算机技术相关的产品销售及其他延</w:t>
      </w:r>
      <w:r>
        <w:rPr>
          <w:spacing w:val="-83"/>
        </w:rPr>
        <w:t> </w:t>
      </w:r>
      <w:r>
        <w:rPr>
          <w:spacing w:val="-83"/>
        </w:rPr>
      </w:r>
      <w:r>
        <w:rPr/>
        <w:t>伸业务。本公司的实际控制人为沈飒、朱烨东夫妇。</w:t>
      </w:r>
    </w:p>
    <w:p>
      <w:pPr>
        <w:pStyle w:val="BodyText"/>
        <w:spacing w:line="240" w:lineRule="auto"/>
        <w:ind w:left="575" w:right="1024"/>
        <w:jc w:val="left"/>
      </w:pPr>
      <w:r>
        <w:rPr/>
        <w:t>本财务报表业经公司全体董事于</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11</w:t>
      </w:r>
      <w:r>
        <w:rPr/>
        <w:t>日批准报出。</w:t>
      </w:r>
    </w:p>
    <w:p>
      <w:pPr>
        <w:pStyle w:val="Heading4"/>
        <w:spacing w:line="240" w:lineRule="auto" w:before="115"/>
        <w:ind w:left="153" w:right="1024"/>
        <w:jc w:val="left"/>
        <w:rPr>
          <w:b w:val="0"/>
          <w:bCs w:val="0"/>
        </w:rPr>
      </w:pPr>
      <w:r>
        <w:rPr/>
        <w:t>（二）合并财务报表范围</w:t>
      </w:r>
      <w:r>
        <w:rPr>
          <w:b w:val="0"/>
          <w:bCs w:val="0"/>
        </w:rPr>
      </w:r>
    </w:p>
    <w:p>
      <w:pPr>
        <w:pStyle w:val="BodyText"/>
        <w:spacing w:line="240" w:lineRule="auto" w:before="115"/>
        <w:ind w:left="874" w:right="1024"/>
        <w:jc w:val="left"/>
      </w:pPr>
      <w:r>
        <w:rPr/>
        <w:pict>
          <v:shape style="position:absolute;margin-left:368.920013pt;margin-top:67.893646pt;width:.239985pt;height:.48pt;mso-position-horizontal-relative:page;mso-position-vertical-relative:paragraph;z-index:1960" type="#_x0000_t75" stroked="false">
            <v:imagedata r:id="rId16" o:title=""/>
          </v:shape>
        </w:pict>
      </w:r>
      <w:r>
        <w:rPr/>
        <w:pict>
          <v:shape style="position:absolute;margin-left:368.920013pt;margin-top:86.313675pt;width:.24pt;height:.48pt;mso-position-horizontal-relative:page;mso-position-vertical-relative:paragraph;z-index:1984" type="#_x0000_t75" stroked="false">
            <v:imagedata r:id="rId16" o:title=""/>
          </v:shape>
        </w:pict>
      </w:r>
      <w:r>
        <w:rPr/>
        <w:pict>
          <v:shape style="position:absolute;margin-left:368.920013pt;margin-top:104.793655pt;width:.239985pt;height:.48pt;mso-position-horizontal-relative:page;mso-position-vertical-relative:paragraph;z-index:2008" type="#_x0000_t75" stroked="false">
            <v:imagedata r:id="rId16" o:title=""/>
          </v:shape>
        </w:pict>
      </w: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日，本公司合并财务报表范围内子公司、孙公司如下：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550" w:type="dxa"/>
        <w:tblLayout w:type="fixed"/>
        <w:tblCellMar>
          <w:top w:w="0" w:type="dxa"/>
          <w:left w:w="0" w:type="dxa"/>
          <w:bottom w:w="0" w:type="dxa"/>
          <w:right w:w="0" w:type="dxa"/>
        </w:tblCellMar>
        <w:tblLook w:val="01E0"/>
      </w:tblPr>
      <w:tblGrid>
        <w:gridCol w:w="5842"/>
        <w:gridCol w:w="2724"/>
      </w:tblGrid>
      <w:tr>
        <w:trPr>
          <w:trHeight w:val="360" w:hRule="exact"/>
        </w:trPr>
        <w:tc>
          <w:tcPr>
            <w:tcW w:w="5842" w:type="dxa"/>
            <w:tcBorders>
              <w:top w:val="single" w:sz="12" w:space="0" w:color="000000"/>
              <w:left w:val="nil" w:sz="6" w:space="0" w:color="auto"/>
              <w:bottom w:val="single" w:sz="4" w:space="0" w:color="000000"/>
              <w:right w:val="single" w:sz="4" w:space="0" w:color="000000"/>
            </w:tcBorders>
          </w:tcPr>
          <w:p>
            <w:pPr>
              <w:pStyle w:val="TableParagraph"/>
              <w:spacing w:line="273" w:lineRule="exact"/>
              <w:ind w:left="1938" w:right="0"/>
              <w:jc w:val="left"/>
              <w:rPr>
                <w:rFonts w:ascii="宋体" w:hAnsi="宋体" w:cs="宋体" w:eastAsia="宋体" w:hint="default"/>
                <w:sz w:val="22"/>
                <w:szCs w:val="22"/>
              </w:rPr>
            </w:pPr>
            <w:r>
              <w:rPr>
                <w:rFonts w:ascii="宋体" w:hAnsi="宋体" w:cs="宋体" w:eastAsia="宋体" w:hint="default"/>
                <w:sz w:val="22"/>
                <w:szCs w:val="22"/>
              </w:rPr>
              <w:t>子公司、孙公司名称</w:t>
            </w:r>
          </w:p>
        </w:tc>
        <w:tc>
          <w:tcPr>
            <w:tcW w:w="2724" w:type="dxa"/>
            <w:tcBorders>
              <w:top w:val="single" w:sz="12" w:space="0" w:color="000000"/>
              <w:left w:val="single" w:sz="4" w:space="0" w:color="000000"/>
              <w:bottom w:val="single" w:sz="4" w:space="0" w:color="000000"/>
              <w:right w:val="nil" w:sz="6" w:space="0" w:color="auto"/>
            </w:tcBorders>
          </w:tcPr>
          <w:p>
            <w:pPr>
              <w:pStyle w:val="TableParagraph"/>
              <w:spacing w:line="273" w:lineRule="exact"/>
              <w:ind w:right="4"/>
              <w:jc w:val="center"/>
              <w:rPr>
                <w:rFonts w:ascii="宋体" w:hAnsi="宋体" w:cs="宋体" w:eastAsia="宋体" w:hint="default"/>
                <w:sz w:val="22"/>
                <w:szCs w:val="22"/>
              </w:rPr>
            </w:pPr>
            <w:r>
              <w:rPr>
                <w:rFonts w:ascii="宋体" w:hAnsi="宋体" w:cs="宋体" w:eastAsia="宋体" w:hint="default"/>
                <w:sz w:val="22"/>
                <w:szCs w:val="22"/>
              </w:rPr>
              <w:t>级次</w:t>
            </w:r>
          </w:p>
        </w:tc>
      </w:tr>
      <w:tr>
        <w:trPr>
          <w:trHeight w:val="368" w:hRule="exact"/>
        </w:trPr>
        <w:tc>
          <w:tcPr>
            <w:tcW w:w="5842" w:type="dxa"/>
            <w:tcBorders>
              <w:top w:val="single" w:sz="4" w:space="0" w:color="000000"/>
              <w:left w:val="nil" w:sz="6" w:space="0" w:color="auto"/>
              <w:bottom w:val="single" w:sz="4" w:space="0" w:color="000000"/>
              <w:right w:val="single" w:sz="4" w:space="0" w:color="000000"/>
            </w:tcBorders>
          </w:tcPr>
          <w:p>
            <w:pPr>
              <w:pStyle w:val="TableParagraph"/>
              <w:spacing w:line="282" w:lineRule="exact"/>
              <w:ind w:left="122" w:right="0"/>
              <w:jc w:val="left"/>
              <w:rPr>
                <w:rFonts w:ascii="宋体" w:hAnsi="宋体" w:cs="宋体" w:eastAsia="宋体" w:hint="default"/>
                <w:sz w:val="22"/>
                <w:szCs w:val="22"/>
              </w:rPr>
            </w:pPr>
            <w:r>
              <w:rPr>
                <w:rFonts w:ascii="宋体" w:hAnsi="宋体" w:cs="宋体" w:eastAsia="宋体" w:hint="default"/>
                <w:sz w:val="22"/>
                <w:szCs w:val="22"/>
              </w:rPr>
              <w:t>天津滨河创新科技有限公司</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82" w:lineRule="exact"/>
              <w:ind w:right="3"/>
              <w:jc w:val="center"/>
              <w:rPr>
                <w:rFonts w:ascii="宋体" w:hAnsi="宋体" w:cs="宋体" w:eastAsia="宋体" w:hint="default"/>
                <w:sz w:val="22"/>
                <w:szCs w:val="22"/>
              </w:rPr>
            </w:pPr>
            <w:r>
              <w:rPr>
                <w:rFonts w:ascii="宋体" w:hAnsi="宋体" w:cs="宋体" w:eastAsia="宋体" w:hint="default"/>
                <w:sz w:val="22"/>
                <w:szCs w:val="22"/>
              </w:rPr>
              <w:t>子公司</w:t>
            </w:r>
          </w:p>
        </w:tc>
      </w:tr>
      <w:tr>
        <w:trPr>
          <w:trHeight w:val="370" w:hRule="exact"/>
        </w:trPr>
        <w:tc>
          <w:tcPr>
            <w:tcW w:w="5842"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left="122" w:right="0"/>
              <w:jc w:val="left"/>
              <w:rPr>
                <w:rFonts w:ascii="宋体" w:hAnsi="宋体" w:cs="宋体" w:eastAsia="宋体" w:hint="default"/>
                <w:sz w:val="22"/>
                <w:szCs w:val="22"/>
              </w:rPr>
            </w:pPr>
            <w:r>
              <w:rPr>
                <w:rFonts w:ascii="宋体" w:hAnsi="宋体" w:cs="宋体" w:eastAsia="宋体" w:hint="default"/>
                <w:sz w:val="22"/>
                <w:szCs w:val="22"/>
              </w:rPr>
              <w:t>北京中科金财电子商务有限公司</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83" w:lineRule="exact"/>
              <w:ind w:right="3"/>
              <w:jc w:val="center"/>
              <w:rPr>
                <w:rFonts w:ascii="宋体" w:hAnsi="宋体" w:cs="宋体" w:eastAsia="宋体" w:hint="default"/>
                <w:sz w:val="22"/>
                <w:szCs w:val="22"/>
              </w:rPr>
            </w:pPr>
            <w:r>
              <w:rPr>
                <w:rFonts w:ascii="宋体" w:hAnsi="宋体" w:cs="宋体" w:eastAsia="宋体" w:hint="default"/>
                <w:sz w:val="22"/>
                <w:szCs w:val="22"/>
              </w:rPr>
              <w:t>子公司</w:t>
            </w:r>
          </w:p>
        </w:tc>
      </w:tr>
      <w:tr>
        <w:trPr>
          <w:trHeight w:val="368" w:hRule="exact"/>
        </w:trPr>
        <w:tc>
          <w:tcPr>
            <w:tcW w:w="5842" w:type="dxa"/>
            <w:tcBorders>
              <w:top w:val="single" w:sz="4" w:space="0" w:color="000000"/>
              <w:left w:val="nil" w:sz="6" w:space="0" w:color="auto"/>
              <w:bottom w:val="single" w:sz="4" w:space="0" w:color="000000"/>
              <w:right w:val="single" w:sz="4" w:space="0" w:color="000000"/>
            </w:tcBorders>
          </w:tcPr>
          <w:p>
            <w:pPr>
              <w:pStyle w:val="TableParagraph"/>
              <w:spacing w:line="282" w:lineRule="exact"/>
              <w:ind w:left="122" w:right="0"/>
              <w:jc w:val="left"/>
              <w:rPr>
                <w:rFonts w:ascii="宋体" w:hAnsi="宋体" w:cs="宋体" w:eastAsia="宋体" w:hint="default"/>
                <w:sz w:val="22"/>
                <w:szCs w:val="22"/>
              </w:rPr>
            </w:pPr>
            <w:r>
              <w:rPr>
                <w:rFonts w:ascii="宋体" w:hAnsi="宋体" w:cs="宋体" w:eastAsia="宋体" w:hint="default"/>
                <w:sz w:val="22"/>
                <w:szCs w:val="22"/>
              </w:rPr>
              <w:t>北京中科金财信息技术有限公司</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82" w:lineRule="exact"/>
              <w:ind w:right="3"/>
              <w:jc w:val="center"/>
              <w:rPr>
                <w:rFonts w:ascii="宋体" w:hAnsi="宋体" w:cs="宋体" w:eastAsia="宋体" w:hint="default"/>
                <w:sz w:val="22"/>
                <w:szCs w:val="22"/>
              </w:rPr>
            </w:pPr>
            <w:r>
              <w:rPr>
                <w:rFonts w:ascii="宋体" w:hAnsi="宋体" w:cs="宋体" w:eastAsia="宋体" w:hint="default"/>
                <w:sz w:val="22"/>
                <w:szCs w:val="22"/>
              </w:rPr>
              <w:t>子公司</w:t>
            </w:r>
          </w:p>
        </w:tc>
      </w:tr>
      <w:tr>
        <w:trPr>
          <w:trHeight w:val="370" w:hRule="exact"/>
        </w:trPr>
        <w:tc>
          <w:tcPr>
            <w:tcW w:w="5842"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left="122" w:right="0"/>
              <w:jc w:val="left"/>
              <w:rPr>
                <w:rFonts w:ascii="宋体" w:hAnsi="宋体" w:cs="宋体" w:eastAsia="宋体" w:hint="default"/>
                <w:sz w:val="22"/>
                <w:szCs w:val="22"/>
              </w:rPr>
            </w:pPr>
            <w:r>
              <w:rPr>
                <w:rFonts w:ascii="宋体" w:hAnsi="宋体" w:cs="宋体" w:eastAsia="宋体" w:hint="default"/>
                <w:sz w:val="22"/>
                <w:szCs w:val="22"/>
              </w:rPr>
              <w:t>北京中科金财软件技术有限公司</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83" w:lineRule="exact"/>
              <w:ind w:right="3"/>
              <w:jc w:val="center"/>
              <w:rPr>
                <w:rFonts w:ascii="宋体" w:hAnsi="宋体" w:cs="宋体" w:eastAsia="宋体" w:hint="default"/>
                <w:sz w:val="22"/>
                <w:szCs w:val="22"/>
              </w:rPr>
            </w:pPr>
            <w:r>
              <w:rPr>
                <w:rFonts w:ascii="宋体" w:hAnsi="宋体" w:cs="宋体" w:eastAsia="宋体" w:hint="default"/>
                <w:sz w:val="22"/>
                <w:szCs w:val="22"/>
              </w:rPr>
              <w:t>子公司</w:t>
            </w:r>
          </w:p>
        </w:tc>
      </w:tr>
      <w:tr>
        <w:trPr>
          <w:trHeight w:val="368" w:hRule="exact"/>
        </w:trPr>
        <w:tc>
          <w:tcPr>
            <w:tcW w:w="5842" w:type="dxa"/>
            <w:tcBorders>
              <w:top w:val="single" w:sz="4" w:space="0" w:color="000000"/>
              <w:left w:val="nil" w:sz="6" w:space="0" w:color="auto"/>
              <w:bottom w:val="single" w:sz="4" w:space="0" w:color="000000"/>
              <w:right w:val="single" w:sz="4" w:space="0" w:color="000000"/>
            </w:tcBorders>
          </w:tcPr>
          <w:p>
            <w:pPr>
              <w:pStyle w:val="TableParagraph"/>
              <w:spacing w:line="282" w:lineRule="exact"/>
              <w:ind w:left="122" w:right="0"/>
              <w:jc w:val="left"/>
              <w:rPr>
                <w:rFonts w:ascii="宋体" w:hAnsi="宋体" w:cs="宋体" w:eastAsia="宋体" w:hint="default"/>
                <w:sz w:val="22"/>
                <w:szCs w:val="22"/>
              </w:rPr>
            </w:pPr>
            <w:r>
              <w:rPr>
                <w:rFonts w:ascii="宋体" w:hAnsi="宋体" w:cs="宋体" w:eastAsia="宋体" w:hint="default"/>
                <w:sz w:val="22"/>
                <w:szCs w:val="22"/>
              </w:rPr>
              <w:t>北京中科金财投资管理有限公司</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82" w:lineRule="exact"/>
              <w:ind w:right="3"/>
              <w:jc w:val="center"/>
              <w:rPr>
                <w:rFonts w:ascii="宋体" w:hAnsi="宋体" w:cs="宋体" w:eastAsia="宋体" w:hint="default"/>
                <w:sz w:val="22"/>
                <w:szCs w:val="22"/>
              </w:rPr>
            </w:pPr>
            <w:r>
              <w:rPr>
                <w:rFonts w:ascii="宋体" w:hAnsi="宋体" w:cs="宋体" w:eastAsia="宋体" w:hint="default"/>
                <w:sz w:val="22"/>
                <w:szCs w:val="22"/>
              </w:rPr>
              <w:t>子公司</w:t>
            </w:r>
          </w:p>
        </w:tc>
      </w:tr>
      <w:tr>
        <w:trPr>
          <w:trHeight w:val="370" w:hRule="exact"/>
        </w:trPr>
        <w:tc>
          <w:tcPr>
            <w:tcW w:w="5842"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left="122" w:right="0"/>
              <w:jc w:val="left"/>
              <w:rPr>
                <w:rFonts w:ascii="宋体" w:hAnsi="宋体" w:cs="宋体" w:eastAsia="宋体" w:hint="default"/>
                <w:sz w:val="22"/>
                <w:szCs w:val="22"/>
              </w:rPr>
            </w:pPr>
            <w:r>
              <w:rPr>
                <w:rFonts w:ascii="宋体" w:hAnsi="宋体" w:cs="宋体" w:eastAsia="宋体" w:hint="default"/>
                <w:sz w:val="22"/>
                <w:szCs w:val="22"/>
              </w:rPr>
              <w:t>中科金财（上海）互联网金融信息服务有限公司</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83" w:lineRule="exact"/>
              <w:ind w:right="3"/>
              <w:jc w:val="center"/>
              <w:rPr>
                <w:rFonts w:ascii="宋体" w:hAnsi="宋体" w:cs="宋体" w:eastAsia="宋体" w:hint="default"/>
                <w:sz w:val="22"/>
                <w:szCs w:val="22"/>
              </w:rPr>
            </w:pPr>
            <w:r>
              <w:rPr>
                <w:rFonts w:ascii="宋体" w:hAnsi="宋体" w:cs="宋体" w:eastAsia="宋体" w:hint="default"/>
                <w:sz w:val="22"/>
                <w:szCs w:val="22"/>
              </w:rPr>
              <w:t>子公司</w:t>
            </w:r>
          </w:p>
        </w:tc>
      </w:tr>
      <w:tr>
        <w:trPr>
          <w:trHeight w:val="368" w:hRule="exact"/>
        </w:trPr>
        <w:tc>
          <w:tcPr>
            <w:tcW w:w="5842" w:type="dxa"/>
            <w:tcBorders>
              <w:top w:val="single" w:sz="4" w:space="0" w:color="000000"/>
              <w:left w:val="nil" w:sz="6" w:space="0" w:color="auto"/>
              <w:bottom w:val="single" w:sz="4" w:space="0" w:color="000000"/>
              <w:right w:val="single" w:sz="4" w:space="0" w:color="000000"/>
            </w:tcBorders>
          </w:tcPr>
          <w:p>
            <w:pPr>
              <w:pStyle w:val="TableParagraph"/>
              <w:spacing w:line="282" w:lineRule="exact"/>
              <w:ind w:left="122" w:right="0"/>
              <w:jc w:val="left"/>
              <w:rPr>
                <w:rFonts w:ascii="宋体" w:hAnsi="宋体" w:cs="宋体" w:eastAsia="宋体" w:hint="default"/>
                <w:sz w:val="22"/>
                <w:szCs w:val="22"/>
              </w:rPr>
            </w:pPr>
            <w:r>
              <w:rPr>
                <w:rFonts w:ascii="宋体" w:hAnsi="宋体" w:cs="宋体" w:eastAsia="宋体" w:hint="default"/>
                <w:sz w:val="22"/>
                <w:szCs w:val="22"/>
              </w:rPr>
              <w:t>北京中科金财互联网服务有限公司</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82" w:lineRule="exact"/>
              <w:ind w:right="3"/>
              <w:jc w:val="center"/>
              <w:rPr>
                <w:rFonts w:ascii="宋体" w:hAnsi="宋体" w:cs="宋体" w:eastAsia="宋体" w:hint="default"/>
                <w:sz w:val="22"/>
                <w:szCs w:val="22"/>
              </w:rPr>
            </w:pPr>
            <w:r>
              <w:rPr>
                <w:rFonts w:ascii="宋体" w:hAnsi="宋体" w:cs="宋体" w:eastAsia="宋体" w:hint="default"/>
                <w:sz w:val="22"/>
                <w:szCs w:val="22"/>
              </w:rPr>
              <w:t>子公司</w:t>
            </w:r>
          </w:p>
        </w:tc>
      </w:tr>
      <w:tr>
        <w:trPr>
          <w:trHeight w:val="370" w:hRule="exact"/>
        </w:trPr>
        <w:tc>
          <w:tcPr>
            <w:tcW w:w="5842" w:type="dxa"/>
            <w:tcBorders>
              <w:top w:val="single" w:sz="4" w:space="0" w:color="000000"/>
              <w:left w:val="nil" w:sz="6" w:space="0" w:color="auto"/>
              <w:bottom w:val="single" w:sz="4" w:space="0" w:color="000000"/>
              <w:right w:val="single" w:sz="4" w:space="0" w:color="000000"/>
            </w:tcBorders>
          </w:tcPr>
          <w:p>
            <w:pPr>
              <w:pStyle w:val="TableParagraph"/>
              <w:spacing w:line="20" w:lineRule="exact"/>
              <w:ind w:left="583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6"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北京国信金泽投资中心（有限合伙）</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3"/>
              <w:jc w:val="center"/>
              <w:rPr>
                <w:rFonts w:ascii="宋体" w:hAnsi="宋体" w:cs="宋体" w:eastAsia="宋体" w:hint="default"/>
                <w:sz w:val="22"/>
                <w:szCs w:val="22"/>
              </w:rPr>
            </w:pPr>
            <w:r>
              <w:rPr>
                <w:rFonts w:ascii="宋体" w:hAnsi="宋体" w:cs="宋体" w:eastAsia="宋体" w:hint="default"/>
                <w:sz w:val="22"/>
                <w:szCs w:val="22"/>
              </w:rPr>
              <w:t>子公司</w:t>
            </w:r>
          </w:p>
        </w:tc>
      </w:tr>
      <w:tr>
        <w:trPr>
          <w:trHeight w:val="368" w:hRule="exact"/>
        </w:trPr>
        <w:tc>
          <w:tcPr>
            <w:tcW w:w="5842" w:type="dxa"/>
            <w:tcBorders>
              <w:top w:val="single" w:sz="4" w:space="0" w:color="000000"/>
              <w:left w:val="nil" w:sz="6" w:space="0" w:color="auto"/>
              <w:bottom w:val="single" w:sz="4" w:space="0" w:color="000000"/>
              <w:right w:val="single" w:sz="4" w:space="0" w:color="000000"/>
            </w:tcBorders>
          </w:tcPr>
          <w:p>
            <w:pPr>
              <w:pStyle w:val="TableParagraph"/>
              <w:spacing w:line="282" w:lineRule="exact"/>
              <w:ind w:left="122" w:right="0"/>
              <w:jc w:val="left"/>
              <w:rPr>
                <w:rFonts w:ascii="宋体" w:hAnsi="宋体" w:cs="宋体" w:eastAsia="宋体" w:hint="default"/>
                <w:sz w:val="22"/>
                <w:szCs w:val="22"/>
              </w:rPr>
            </w:pPr>
            <w:r>
              <w:rPr>
                <w:rFonts w:ascii="宋体" w:hAnsi="宋体" w:cs="宋体" w:eastAsia="宋体" w:hint="default"/>
                <w:sz w:val="22"/>
                <w:szCs w:val="22"/>
              </w:rPr>
              <w:t>天津滨河创新电子科技有限公司</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82" w:lineRule="exact"/>
              <w:ind w:right="3"/>
              <w:jc w:val="center"/>
              <w:rPr>
                <w:rFonts w:ascii="宋体" w:hAnsi="宋体" w:cs="宋体" w:eastAsia="宋体" w:hint="default"/>
                <w:sz w:val="22"/>
                <w:szCs w:val="22"/>
              </w:rPr>
            </w:pPr>
            <w:r>
              <w:rPr>
                <w:rFonts w:ascii="宋体" w:hAnsi="宋体" w:cs="宋体" w:eastAsia="宋体" w:hint="default"/>
                <w:sz w:val="22"/>
                <w:szCs w:val="22"/>
              </w:rPr>
              <w:t>孙公司</w:t>
            </w:r>
          </w:p>
        </w:tc>
      </w:tr>
      <w:tr>
        <w:trPr>
          <w:trHeight w:val="370" w:hRule="exact"/>
        </w:trPr>
        <w:tc>
          <w:tcPr>
            <w:tcW w:w="5842"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left="122" w:right="0"/>
              <w:jc w:val="left"/>
              <w:rPr>
                <w:rFonts w:ascii="宋体" w:hAnsi="宋体" w:cs="宋体" w:eastAsia="宋体" w:hint="default"/>
                <w:sz w:val="22"/>
                <w:szCs w:val="22"/>
              </w:rPr>
            </w:pPr>
            <w:r>
              <w:rPr>
                <w:rFonts w:ascii="宋体" w:hAnsi="宋体" w:cs="宋体" w:eastAsia="宋体" w:hint="default"/>
                <w:sz w:val="22"/>
                <w:szCs w:val="22"/>
              </w:rPr>
              <w:t>天津滨河顺通科技有限公司</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83" w:lineRule="exact"/>
              <w:ind w:right="3"/>
              <w:jc w:val="center"/>
              <w:rPr>
                <w:rFonts w:ascii="宋体" w:hAnsi="宋体" w:cs="宋体" w:eastAsia="宋体" w:hint="default"/>
                <w:sz w:val="22"/>
                <w:szCs w:val="22"/>
              </w:rPr>
            </w:pPr>
            <w:r>
              <w:rPr>
                <w:rFonts w:ascii="宋体" w:hAnsi="宋体" w:cs="宋体" w:eastAsia="宋体" w:hint="default"/>
                <w:sz w:val="22"/>
                <w:szCs w:val="22"/>
              </w:rPr>
              <w:t>孙公司</w:t>
            </w:r>
          </w:p>
        </w:tc>
      </w:tr>
      <w:tr>
        <w:trPr>
          <w:trHeight w:val="368" w:hRule="exact"/>
        </w:trPr>
        <w:tc>
          <w:tcPr>
            <w:tcW w:w="5842" w:type="dxa"/>
            <w:tcBorders>
              <w:top w:val="single" w:sz="4" w:space="0" w:color="000000"/>
              <w:left w:val="nil" w:sz="6" w:space="0" w:color="auto"/>
              <w:bottom w:val="single" w:sz="4" w:space="0" w:color="000000"/>
              <w:right w:val="single" w:sz="4" w:space="0" w:color="000000"/>
            </w:tcBorders>
          </w:tcPr>
          <w:p>
            <w:pPr>
              <w:pStyle w:val="TableParagraph"/>
              <w:spacing w:line="282" w:lineRule="exact"/>
              <w:ind w:left="122" w:right="0"/>
              <w:jc w:val="left"/>
              <w:rPr>
                <w:rFonts w:ascii="宋体" w:hAnsi="宋体" w:cs="宋体" w:eastAsia="宋体" w:hint="default"/>
                <w:sz w:val="22"/>
                <w:szCs w:val="22"/>
              </w:rPr>
            </w:pPr>
            <w:r>
              <w:rPr>
                <w:rFonts w:ascii="宋体" w:hAnsi="宋体" w:cs="宋体" w:eastAsia="宋体" w:hint="default"/>
                <w:sz w:val="22"/>
                <w:szCs w:val="22"/>
              </w:rPr>
              <w:t>天津壬辰软件开发有限公司</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82" w:lineRule="exact"/>
              <w:ind w:right="3"/>
              <w:jc w:val="center"/>
              <w:rPr>
                <w:rFonts w:ascii="宋体" w:hAnsi="宋体" w:cs="宋体" w:eastAsia="宋体" w:hint="default"/>
                <w:sz w:val="22"/>
                <w:szCs w:val="22"/>
              </w:rPr>
            </w:pPr>
            <w:r>
              <w:rPr>
                <w:rFonts w:ascii="宋体" w:hAnsi="宋体" w:cs="宋体" w:eastAsia="宋体" w:hint="default"/>
                <w:sz w:val="22"/>
                <w:szCs w:val="22"/>
              </w:rPr>
              <w:t>孙公司</w:t>
            </w:r>
          </w:p>
        </w:tc>
      </w:tr>
      <w:tr>
        <w:trPr>
          <w:trHeight w:val="370" w:hRule="exact"/>
        </w:trPr>
        <w:tc>
          <w:tcPr>
            <w:tcW w:w="5842" w:type="dxa"/>
            <w:tcBorders>
              <w:top w:val="single" w:sz="4" w:space="0" w:color="000000"/>
              <w:left w:val="nil" w:sz="6" w:space="0" w:color="auto"/>
              <w:bottom w:val="single" w:sz="4" w:space="0" w:color="000000"/>
              <w:right w:val="single" w:sz="4" w:space="0" w:color="000000"/>
            </w:tcBorders>
          </w:tcPr>
          <w:p>
            <w:pPr>
              <w:pStyle w:val="TableParagraph"/>
              <w:spacing w:line="283" w:lineRule="exact"/>
              <w:ind w:left="122" w:right="0"/>
              <w:jc w:val="left"/>
              <w:rPr>
                <w:rFonts w:ascii="宋体" w:hAnsi="宋体" w:cs="宋体" w:eastAsia="宋体" w:hint="default"/>
                <w:sz w:val="22"/>
                <w:szCs w:val="22"/>
              </w:rPr>
            </w:pPr>
            <w:r>
              <w:rPr>
                <w:rFonts w:ascii="宋体" w:hAnsi="宋体" w:cs="宋体" w:eastAsia="宋体" w:hint="default"/>
                <w:sz w:val="22"/>
                <w:szCs w:val="22"/>
              </w:rPr>
              <w:t>中科金财信息技术（香港）有限公司</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83" w:lineRule="exact"/>
              <w:ind w:right="3"/>
              <w:jc w:val="center"/>
              <w:rPr>
                <w:rFonts w:ascii="宋体" w:hAnsi="宋体" w:cs="宋体" w:eastAsia="宋体" w:hint="default"/>
                <w:sz w:val="22"/>
                <w:szCs w:val="22"/>
              </w:rPr>
            </w:pPr>
            <w:r>
              <w:rPr>
                <w:rFonts w:ascii="宋体" w:hAnsi="宋体" w:cs="宋体" w:eastAsia="宋体" w:hint="default"/>
                <w:sz w:val="22"/>
                <w:szCs w:val="22"/>
              </w:rPr>
              <w:t>孙公司</w:t>
            </w:r>
          </w:p>
        </w:tc>
      </w:tr>
      <w:tr>
        <w:trPr>
          <w:trHeight w:val="368" w:hRule="exact"/>
        </w:trPr>
        <w:tc>
          <w:tcPr>
            <w:tcW w:w="5842" w:type="dxa"/>
            <w:tcBorders>
              <w:top w:val="single" w:sz="4" w:space="0" w:color="000000"/>
              <w:left w:val="nil" w:sz="6" w:space="0" w:color="auto"/>
              <w:bottom w:val="single" w:sz="4" w:space="0" w:color="000000"/>
              <w:right w:val="single" w:sz="4" w:space="0" w:color="000000"/>
            </w:tcBorders>
          </w:tcPr>
          <w:p>
            <w:pPr>
              <w:pStyle w:val="TableParagraph"/>
              <w:spacing w:line="282" w:lineRule="exact"/>
              <w:ind w:left="122" w:right="0"/>
              <w:jc w:val="left"/>
              <w:rPr>
                <w:rFonts w:ascii="宋体" w:hAnsi="宋体" w:cs="宋体" w:eastAsia="宋体" w:hint="default"/>
                <w:sz w:val="22"/>
                <w:szCs w:val="22"/>
              </w:rPr>
            </w:pPr>
            <w:r>
              <w:rPr>
                <w:rFonts w:ascii="宋体" w:hAnsi="宋体" w:cs="宋体" w:eastAsia="宋体" w:hint="default"/>
                <w:sz w:val="22"/>
                <w:szCs w:val="22"/>
              </w:rPr>
              <w:t>大连鼎运企业管理有限公司</w:t>
            </w:r>
          </w:p>
        </w:tc>
        <w:tc>
          <w:tcPr>
            <w:tcW w:w="2724" w:type="dxa"/>
            <w:tcBorders>
              <w:top w:val="single" w:sz="4" w:space="0" w:color="000000"/>
              <w:left w:val="single" w:sz="4" w:space="0" w:color="000000"/>
              <w:bottom w:val="single" w:sz="4" w:space="0" w:color="000000"/>
              <w:right w:val="nil" w:sz="6" w:space="0" w:color="auto"/>
            </w:tcBorders>
          </w:tcPr>
          <w:p>
            <w:pPr>
              <w:pStyle w:val="TableParagraph"/>
              <w:spacing w:line="282" w:lineRule="exact"/>
              <w:ind w:right="3"/>
              <w:jc w:val="center"/>
              <w:rPr>
                <w:rFonts w:ascii="宋体" w:hAnsi="宋体" w:cs="宋体" w:eastAsia="宋体" w:hint="default"/>
                <w:sz w:val="22"/>
                <w:szCs w:val="22"/>
              </w:rPr>
            </w:pPr>
            <w:r>
              <w:rPr>
                <w:rFonts w:ascii="宋体" w:hAnsi="宋体" w:cs="宋体" w:eastAsia="宋体" w:hint="default"/>
                <w:sz w:val="22"/>
                <w:szCs w:val="22"/>
              </w:rPr>
              <w:t>孙公司</w:t>
            </w:r>
          </w:p>
        </w:tc>
      </w:tr>
      <w:tr>
        <w:trPr>
          <w:trHeight w:val="380" w:hRule="exact"/>
        </w:trPr>
        <w:tc>
          <w:tcPr>
            <w:tcW w:w="5842" w:type="dxa"/>
            <w:tcBorders>
              <w:top w:val="single" w:sz="4" w:space="0" w:color="000000"/>
              <w:left w:val="nil" w:sz="6" w:space="0" w:color="auto"/>
              <w:bottom w:val="single" w:sz="12" w:space="0" w:color="000000"/>
              <w:right w:val="single" w:sz="4" w:space="0" w:color="000000"/>
            </w:tcBorders>
          </w:tcPr>
          <w:p>
            <w:pPr>
              <w:pStyle w:val="TableParagraph"/>
              <w:spacing w:line="20" w:lineRule="exact"/>
              <w:ind w:left="5832"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3047"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sz w:val="22"/>
                <w:szCs w:val="22"/>
              </w:rPr>
              <w:t>上海中科金财资产管理中心（有限合伙）</w:t>
            </w:r>
          </w:p>
        </w:tc>
        <w:tc>
          <w:tcPr>
            <w:tcW w:w="2724" w:type="dxa"/>
            <w:tcBorders>
              <w:top w:val="single" w:sz="4" w:space="0" w:color="000000"/>
              <w:left w:val="single" w:sz="4" w:space="0" w:color="000000"/>
              <w:bottom w:val="single" w:sz="12" w:space="0" w:color="000000"/>
              <w:right w:val="nil" w:sz="6" w:space="0" w:color="auto"/>
            </w:tcBorders>
          </w:tcPr>
          <w:p>
            <w:pPr>
              <w:pStyle w:val="TableParagraph"/>
              <w:spacing w:line="283" w:lineRule="exact"/>
              <w:ind w:right="3"/>
              <w:jc w:val="center"/>
              <w:rPr>
                <w:rFonts w:ascii="宋体" w:hAnsi="宋体" w:cs="宋体" w:eastAsia="宋体" w:hint="default"/>
                <w:sz w:val="22"/>
                <w:szCs w:val="22"/>
              </w:rPr>
            </w:pPr>
            <w:r>
              <w:rPr>
                <w:rFonts w:ascii="宋体" w:hAnsi="宋体" w:cs="宋体" w:eastAsia="宋体" w:hint="default"/>
                <w:sz w:val="22"/>
                <w:szCs w:val="22"/>
              </w:rPr>
              <w:t>孙公司</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0"/>
        <w:ind w:left="238" w:right="1024"/>
        <w:jc w:val="left"/>
      </w:pPr>
      <w:r>
        <w:rPr/>
        <w:pict>
          <v:shape style="position:absolute;margin-left:368.920013pt;margin-top:-88.376305pt;width:.24pt;height:.48pt;mso-position-horizontal-relative:page;mso-position-vertical-relative:paragraph;z-index:2224" type="#_x0000_t75" stroked="false">
            <v:imagedata r:id="rId16" o:title=""/>
          </v:shape>
        </w:pict>
      </w:r>
      <w:r>
        <w:rPr/>
        <w:t>本期合并财务报表范围及其变化情况详见本节八、合并范围的变更。</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24"/>
        <w:jc w:val="left"/>
        <w:rPr>
          <w:b w:val="0"/>
          <w:bCs w:val="0"/>
        </w:rPr>
      </w:pPr>
      <w:bookmarkStart w:name="四、财务报表的编制基础" w:id="174"/>
      <w:bookmarkEnd w:id="174"/>
      <w:r>
        <w:rPr>
          <w:b w:val="0"/>
          <w:bCs w:val="0"/>
        </w:rPr>
      </w:r>
      <w:r>
        <w:rPr/>
        <w:t>四、财务报表的编制基础</w:t>
      </w:r>
      <w:r>
        <w:rPr>
          <w:b w:val="0"/>
          <w:bCs w:val="0"/>
        </w:rPr>
      </w:r>
    </w:p>
    <w:p>
      <w:pPr>
        <w:pStyle w:val="BodyText"/>
        <w:spacing w:line="690" w:lineRule="exact" w:before="15"/>
        <w:ind w:left="489" w:right="1177" w:hanging="336"/>
        <w:jc w:val="left"/>
      </w:pPr>
      <w:bookmarkStart w:name="1、编制基础" w:id="175"/>
      <w:bookmarkEnd w:id="175"/>
      <w:r>
        <w:rPr/>
      </w:r>
      <w:r>
        <w:rPr>
          <w:rFonts w:ascii="Times New Roman" w:hAnsi="Times New Roman" w:cs="Times New Roman" w:eastAsia="Times New Roman" w:hint="default"/>
          <w:b/>
          <w:bCs/>
        </w:rPr>
        <w:t>1</w:t>
      </w:r>
      <w:r>
        <w:rPr>
          <w:rFonts w:ascii="宋体" w:hAnsi="宋体" w:cs="宋体" w:eastAsia="宋体" w:hint="default"/>
          <w:b/>
          <w:bCs/>
        </w:rPr>
        <w:t>、编制基础</w:t>
      </w:r>
      <w:r>
        <w:rPr>
          <w:rFonts w:ascii="宋体" w:hAnsi="宋体" w:cs="宋体" w:eastAsia="宋体" w:hint="default"/>
          <w:b/>
          <w:bCs/>
          <w:w w:val="99"/>
        </w:rPr>
        <w:t> </w:t>
      </w:r>
      <w:r>
        <w:rPr/>
        <w:t>公司以持续经营为基础，根据实际发生的交易和事项，按照财政部颁布的《企业会计准则——基本准</w:t>
      </w:r>
    </w:p>
    <w:p>
      <w:pPr>
        <w:pStyle w:val="BodyText"/>
        <w:spacing w:line="408" w:lineRule="auto" w:before="84"/>
        <w:ind w:right="1117"/>
        <w:jc w:val="left"/>
      </w:pPr>
      <w:r>
        <w:rPr/>
        <w:t>则》和各项具体会计准则、企业会计准则应用指南、企业会计准则解释及其他相关规定</w:t>
      </w:r>
      <w:r>
        <w:rPr>
          <w:rFonts w:ascii="宋体" w:hAnsi="宋体" w:cs="宋体" w:eastAsia="宋体" w:hint="default"/>
        </w:rPr>
        <w:t>(</w:t>
      </w:r>
      <w:r>
        <w:rPr/>
        <w:t>以下合称“企业 会计准则”</w:t>
      </w:r>
      <w:r>
        <w:rPr>
          <w:rFonts w:ascii="宋体" w:hAnsi="宋体" w:cs="宋体" w:eastAsia="宋体" w:hint="default"/>
        </w:rPr>
        <w:t>)</w:t>
      </w:r>
      <w:r>
        <w:rPr/>
        <w:t>、以及中国证券监督管理委员会《公开发行证券的公司信息披露编报规则第</w:t>
      </w:r>
      <w:r>
        <w:rPr>
          <w:rFonts w:ascii="宋体" w:hAnsi="宋体" w:cs="宋体" w:eastAsia="宋体" w:hint="default"/>
        </w:rPr>
        <w:t>15</w:t>
      </w:r>
      <w:r>
        <w:rPr>
          <w:rFonts w:ascii="宋体" w:hAnsi="宋体" w:cs="宋体" w:eastAsia="宋体" w:hint="default"/>
          <w:spacing w:val="-24"/>
        </w:rPr>
        <w:t> </w:t>
      </w:r>
      <w:r>
        <w:rPr/>
        <w:t>号——财务报 告的一般规定》的披露规定编制财务报表。</w:t>
      </w:r>
    </w:p>
    <w:p>
      <w:pPr>
        <w:spacing w:line="240" w:lineRule="auto" w:before="8"/>
        <w:rPr>
          <w:rFonts w:ascii="宋体" w:hAnsi="宋体" w:cs="宋体" w:eastAsia="宋体" w:hint="default"/>
          <w:sz w:val="20"/>
          <w:szCs w:val="20"/>
        </w:rPr>
      </w:pPr>
    </w:p>
    <w:p>
      <w:pPr>
        <w:pStyle w:val="Heading4"/>
        <w:spacing w:line="240" w:lineRule="auto"/>
        <w:ind w:right="1024"/>
        <w:jc w:val="left"/>
        <w:rPr>
          <w:b w:val="0"/>
          <w:bCs w:val="0"/>
        </w:rPr>
      </w:pPr>
      <w:bookmarkStart w:name="2、持续经营" w:id="176"/>
      <w:bookmarkEnd w:id="17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5" w:right="1024"/>
        <w:jc w:val="left"/>
      </w:pPr>
      <w:r>
        <w:rPr/>
        <w:t>公司自报告期末起</w:t>
      </w:r>
      <w:r>
        <w:rPr>
          <w:rFonts w:ascii="宋体" w:hAnsi="宋体" w:cs="宋体" w:eastAsia="宋体" w:hint="default"/>
        </w:rPr>
        <w:t>12</w:t>
      </w:r>
      <w:r>
        <w:rPr/>
        <w:t>个月的持续经营能力强，不存在导致对持续经营能力产生重大怀疑的因素。</w:t>
      </w:r>
    </w:p>
    <w:p>
      <w:pPr>
        <w:spacing w:line="240" w:lineRule="auto" w:before="1"/>
        <w:rPr>
          <w:rFonts w:ascii="宋体" w:hAnsi="宋体" w:cs="宋体" w:eastAsia="宋体" w:hint="default"/>
          <w:sz w:val="24"/>
          <w:szCs w:val="24"/>
        </w:rPr>
      </w:pPr>
    </w:p>
    <w:p>
      <w:pPr>
        <w:pStyle w:val="Heading2"/>
        <w:spacing w:line="240" w:lineRule="auto"/>
        <w:ind w:left="154" w:right="1024"/>
        <w:jc w:val="left"/>
        <w:rPr>
          <w:b w:val="0"/>
          <w:bCs w:val="0"/>
        </w:rPr>
      </w:pPr>
      <w:bookmarkStart w:name="五、重要会计政策及会计估计" w:id="177"/>
      <w:bookmarkEnd w:id="177"/>
      <w:r>
        <w:rPr>
          <w:b w:val="0"/>
          <w:bCs w:val="0"/>
        </w:rPr>
      </w:r>
      <w:r>
        <w:rPr/>
        <w:t>五、重要会计政策及会计估计</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7" w:right="2349"/>
        <w:jc w:val="left"/>
      </w:pPr>
      <w:r>
        <w:rPr/>
        <w:t>具体会计政策和会计估计提示： 以下披露内容已涵盖了本公司根据实际生产经营特点制定的具体会计政策和会计估计。</w:t>
      </w:r>
    </w:p>
    <w:p>
      <w:pPr>
        <w:spacing w:line="240" w:lineRule="auto" w:before="8"/>
        <w:rPr>
          <w:rFonts w:ascii="宋体" w:hAnsi="宋体" w:cs="宋体" w:eastAsia="宋体" w:hint="default"/>
          <w:sz w:val="20"/>
          <w:szCs w:val="20"/>
        </w:rPr>
      </w:pPr>
    </w:p>
    <w:p>
      <w:pPr>
        <w:pStyle w:val="Heading4"/>
        <w:spacing w:line="240" w:lineRule="auto"/>
        <w:ind w:right="1024"/>
        <w:jc w:val="left"/>
        <w:rPr>
          <w:b w:val="0"/>
          <w:bCs w:val="0"/>
        </w:rPr>
      </w:pPr>
      <w:bookmarkStart w:name="1、遵循企业会计准则的声明" w:id="178"/>
      <w:bookmarkEnd w:id="17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1024" w:firstLine="423"/>
        <w:jc w:val="left"/>
      </w:pPr>
      <w:r>
        <w:rPr>
          <w:spacing w:val="-1"/>
        </w:rPr>
        <w:t>公司所编制的财务报表符合企业会计准则的要求，真实、完整地反映了报告期公司的财务状况、经营</w:t>
      </w:r>
      <w:r>
        <w:rPr/>
        <w:t> 成果、现金流量等有关信息。</w:t>
      </w:r>
    </w:p>
    <w:p>
      <w:pPr>
        <w:spacing w:line="240" w:lineRule="auto" w:before="8"/>
        <w:rPr>
          <w:rFonts w:ascii="宋体" w:hAnsi="宋体" w:cs="宋体" w:eastAsia="宋体" w:hint="default"/>
          <w:sz w:val="20"/>
          <w:szCs w:val="20"/>
        </w:rPr>
      </w:pPr>
    </w:p>
    <w:p>
      <w:pPr>
        <w:pStyle w:val="Heading4"/>
        <w:spacing w:line="240" w:lineRule="auto"/>
        <w:ind w:right="1024"/>
        <w:jc w:val="left"/>
        <w:rPr>
          <w:b w:val="0"/>
          <w:bCs w:val="0"/>
        </w:rPr>
      </w:pPr>
      <w:bookmarkStart w:name="2、会计期间" w:id="179"/>
      <w:bookmarkEnd w:id="17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7" w:right="1024"/>
        <w:jc w:val="left"/>
      </w:pPr>
      <w:r>
        <w:rPr/>
        <w:t>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日止为一个会计年度。</w:t>
      </w:r>
    </w:p>
    <w:p>
      <w:pPr>
        <w:spacing w:line="240" w:lineRule="auto" w:before="8"/>
        <w:rPr>
          <w:rFonts w:ascii="宋体" w:hAnsi="宋体" w:cs="宋体" w:eastAsia="宋体" w:hint="default"/>
          <w:sz w:val="30"/>
          <w:szCs w:val="30"/>
        </w:rPr>
      </w:pPr>
    </w:p>
    <w:p>
      <w:pPr>
        <w:pStyle w:val="Heading4"/>
        <w:spacing w:line="240" w:lineRule="auto"/>
        <w:ind w:right="1024"/>
        <w:jc w:val="left"/>
        <w:rPr>
          <w:b w:val="0"/>
          <w:bCs w:val="0"/>
        </w:rPr>
      </w:pPr>
      <w:bookmarkStart w:name="3、营业周期" w:id="180"/>
      <w:bookmarkEnd w:id="18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7" w:right="1024"/>
        <w:jc w:val="left"/>
      </w:pPr>
      <w:r>
        <w:rPr/>
        <w:t>本公司营业周期为</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个月。</w:t>
      </w:r>
    </w:p>
    <w:p>
      <w:pPr>
        <w:spacing w:line="240" w:lineRule="auto" w:before="8"/>
        <w:rPr>
          <w:rFonts w:ascii="宋体" w:hAnsi="宋体" w:cs="宋体" w:eastAsia="宋体" w:hint="default"/>
          <w:sz w:val="30"/>
          <w:szCs w:val="30"/>
        </w:rPr>
      </w:pPr>
    </w:p>
    <w:p>
      <w:pPr>
        <w:pStyle w:val="Heading4"/>
        <w:spacing w:line="240" w:lineRule="auto"/>
        <w:ind w:right="1024"/>
        <w:jc w:val="left"/>
        <w:rPr>
          <w:b w:val="0"/>
          <w:bCs w:val="0"/>
        </w:rPr>
      </w:pPr>
      <w:bookmarkStart w:name="4、记账本位币" w:id="181"/>
      <w:bookmarkEnd w:id="18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7" w:right="1024"/>
        <w:jc w:val="left"/>
      </w:pPr>
      <w:r>
        <w:rPr/>
        <w:t>采用人民币为记账本位币。</w:t>
      </w:r>
    </w:p>
    <w:p>
      <w:pPr>
        <w:spacing w:line="670" w:lineRule="atLeast" w:before="37"/>
        <w:ind w:left="577" w:right="1024" w:hanging="424"/>
        <w:jc w:val="left"/>
        <w:rPr>
          <w:rFonts w:ascii="宋体" w:hAnsi="宋体" w:cs="宋体" w:eastAsia="宋体" w:hint="default"/>
          <w:sz w:val="21"/>
          <w:szCs w:val="21"/>
        </w:rPr>
      </w:pPr>
      <w:bookmarkStart w:name="5、同一控制下和非同一控制下企业合并的会计处理方法" w:id="182"/>
      <w:bookmarkEnd w:id="18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6"/>
          <w:sz w:val="21"/>
          <w:szCs w:val="21"/>
        </w:rPr>
        <w:t>同一控制下企业合并：本公司在企业合并中取得的资产和负债，按照合并日在被合并方资产、负债（包</w:t>
      </w:r>
    </w:p>
    <w:p>
      <w:pPr>
        <w:spacing w:line="240" w:lineRule="auto" w:before="10"/>
        <w:rPr>
          <w:rFonts w:ascii="宋体" w:hAnsi="宋体" w:cs="宋体" w:eastAsia="宋体" w:hint="default"/>
          <w:sz w:val="14"/>
          <w:szCs w:val="14"/>
        </w:rPr>
      </w:pPr>
    </w:p>
    <w:p>
      <w:pPr>
        <w:pStyle w:val="BodyText"/>
        <w:spacing w:line="240" w:lineRule="auto" w:before="0"/>
        <w:ind w:left="154" w:right="1024"/>
        <w:jc w:val="left"/>
      </w:pPr>
      <w:r>
        <w:rPr/>
        <w:t>括最终控制方收购被合并方而形成的商誉）在最终控制方合并财务报表中的账面价值计量。在合并中取得</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的净资产账面价值与支付的合并对价账面价值（或发行股份面值总额）的差额，调整资本公积中的股本溢</w:t>
      </w:r>
      <w:r>
        <w:rPr>
          <w:spacing w:val="-83"/>
        </w:rPr>
        <w:t> </w:t>
      </w:r>
      <w:r>
        <w:rPr>
          <w:spacing w:val="-83"/>
        </w:rPr>
      </w:r>
      <w:r>
        <w:rPr/>
        <w:t>价，资本公积中的股本溢价不足冲减的，调整留存收益。</w:t>
      </w:r>
    </w:p>
    <w:p>
      <w:pPr>
        <w:pStyle w:val="BodyText"/>
        <w:spacing w:line="408" w:lineRule="auto"/>
        <w:ind w:right="1131" w:firstLine="423"/>
        <w:jc w:val="both"/>
      </w:pPr>
      <w:r>
        <w:rPr>
          <w:spacing w:val="-1"/>
        </w:rPr>
        <w:t>非同一控制下企业合并：本公司在购买日对作为企业合并对价付出的资产、发生或承担的负债按照公</w:t>
      </w:r>
      <w:r>
        <w:rPr/>
        <w:t> </w:t>
      </w:r>
      <w:r>
        <w:rPr>
          <w:spacing w:val="-1"/>
        </w:rPr>
        <w:t>允价值计量，公允价值与其账面价值的差额，计入当期损益。本公司对合并成本大于合并中取得的被购买</w:t>
      </w:r>
      <w:r>
        <w:rPr>
          <w:spacing w:val="-83"/>
        </w:rPr>
        <w:t> </w:t>
      </w:r>
      <w:r>
        <w:rPr>
          <w:spacing w:val="-83"/>
        </w:rPr>
      </w:r>
      <w:r>
        <w:rPr>
          <w:spacing w:val="-1"/>
        </w:rPr>
        <w:t>方可辨认净资产公允价值份额的差额，确认为商誉；合并成本小于合并中取得的被购买方可辨认净资产公</w:t>
      </w:r>
      <w:r>
        <w:rPr>
          <w:spacing w:val="-81"/>
        </w:rPr>
        <w:t> </w:t>
      </w:r>
      <w:r>
        <w:rPr>
          <w:spacing w:val="-81"/>
        </w:rPr>
      </w:r>
      <w:r>
        <w:rPr/>
        <w:t>允价值份额的差额，经复核后，计入当期损益。</w:t>
      </w:r>
    </w:p>
    <w:p>
      <w:pPr>
        <w:pStyle w:val="BodyText"/>
        <w:spacing w:line="408" w:lineRule="auto"/>
        <w:ind w:right="1133" w:firstLine="423"/>
        <w:jc w:val="both"/>
      </w:pPr>
      <w:r>
        <w:rPr>
          <w:spacing w:val="-1"/>
        </w:rPr>
        <w:t>为企业合并发生的审计、法律服务、评估咨询等中介费用以及其他直接相关费用，于发生时计入当期</w:t>
      </w:r>
      <w:r>
        <w:rPr/>
        <w:t> 损益；为企业合并而发行权益性证券的交易费用，冲减权益。</w:t>
      </w:r>
    </w:p>
    <w:p>
      <w:pPr>
        <w:spacing w:line="240" w:lineRule="auto" w:before="8"/>
        <w:rPr>
          <w:rFonts w:ascii="宋体" w:hAnsi="宋体" w:cs="宋体" w:eastAsia="宋体" w:hint="default"/>
          <w:sz w:val="20"/>
          <w:szCs w:val="20"/>
        </w:rPr>
      </w:pPr>
    </w:p>
    <w:p>
      <w:pPr>
        <w:pStyle w:val="Heading4"/>
        <w:spacing w:line="240" w:lineRule="auto"/>
        <w:ind w:left="153" w:right="0"/>
        <w:jc w:val="both"/>
        <w:rPr>
          <w:b w:val="0"/>
          <w:bCs w:val="0"/>
        </w:rPr>
      </w:pPr>
      <w:bookmarkStart w:name="6、合并财务报表的编制方法" w:id="183"/>
      <w:bookmarkEnd w:id="18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321" w:lineRule="auto" w:before="0"/>
        <w:ind w:left="577" w:right="1024" w:hanging="6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1"/>
        </w:rPr>
        <w:t>本公司合并财务报表的合并范围以控制为基础确定，所有子公司（包括本公司所控制的被投资方可分</w:t>
      </w:r>
    </w:p>
    <w:p>
      <w:pPr>
        <w:pStyle w:val="BodyText"/>
        <w:spacing w:line="240" w:lineRule="auto" w:before="121"/>
        <w:ind w:left="154" w:right="0"/>
        <w:jc w:val="both"/>
      </w:pPr>
      <w:r>
        <w:rPr/>
        <w:t>割的部分）均纳入合并财务报表。</w:t>
      </w:r>
    </w:p>
    <w:p>
      <w:pPr>
        <w:pStyle w:val="BodyText"/>
        <w:spacing w:line="321" w:lineRule="auto" w:before="115"/>
        <w:ind w:left="577" w:right="1024" w:hanging="6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1"/>
        </w:rPr>
        <w:t>本公司以自身和各子公司的财务报表为基础，根据其他有关资料，编制合并财务报表。本公司编制合</w:t>
      </w:r>
    </w:p>
    <w:p>
      <w:pPr>
        <w:pStyle w:val="BodyText"/>
        <w:spacing w:line="408" w:lineRule="auto" w:before="122"/>
        <w:ind w:left="154" w:right="1133"/>
        <w:jc w:val="both"/>
      </w:pPr>
      <w:r>
        <w:rPr>
          <w:spacing w:val="-1"/>
        </w:rPr>
        <w:t>并财务报表，将整个企业集团视为一个会计主体，依据相关企业会计准则的确认、计量和列报要求，按照</w:t>
      </w:r>
      <w:r>
        <w:rPr>
          <w:spacing w:val="-86"/>
        </w:rPr>
        <w:t> </w:t>
      </w:r>
      <w:r>
        <w:rPr>
          <w:spacing w:val="-86"/>
        </w:rPr>
      </w:r>
      <w:r>
        <w:rPr/>
        <w:t>统一的会计政策，反映本企业集团整体财务状况、经营成果和现金流量。</w:t>
      </w:r>
    </w:p>
    <w:p>
      <w:pPr>
        <w:pStyle w:val="BodyText"/>
        <w:spacing w:line="408" w:lineRule="auto"/>
        <w:ind w:right="1130" w:firstLine="423"/>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6"/>
        </w:rPr>
        <w:t> </w:t>
      </w:r>
      <w:r>
        <w:rPr>
          <w:spacing w:val="-86"/>
        </w:rPr>
      </w:r>
      <w:r>
        <w:rPr>
          <w:spacing w:val="-1"/>
        </w:rPr>
        <w:t>必要的调整。对于非同一控制下企业合并取得的子公司，以购买日可辨认净资产公允价值为基础对其财务</w:t>
      </w:r>
      <w:r>
        <w:rPr>
          <w:spacing w:val="-80"/>
        </w:rPr>
        <w:t> </w:t>
      </w:r>
      <w:r>
        <w:rPr>
          <w:spacing w:val="-80"/>
        </w:rPr>
      </w:r>
      <w:r>
        <w:rPr>
          <w:spacing w:val="-1"/>
        </w:rPr>
        <w:t>报表进行调整。对于同一控制下企业合并取得的子公司，以其资产、负债（包括最终控制方收购该子公司</w:t>
      </w:r>
      <w:r>
        <w:rPr>
          <w:spacing w:val="-86"/>
        </w:rPr>
        <w:t> </w:t>
      </w:r>
      <w:r>
        <w:rPr>
          <w:spacing w:val="-86"/>
        </w:rPr>
      </w:r>
      <w:r>
        <w:rPr/>
        <w:t>而形成的商誉）在最终控制方财务报表中的账面价值为基础对其财务报表进行调整。</w:t>
      </w:r>
    </w:p>
    <w:p>
      <w:pPr>
        <w:pStyle w:val="BodyText"/>
        <w:spacing w:line="408" w:lineRule="auto"/>
        <w:ind w:right="1131" w:firstLine="423"/>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408" w:lineRule="auto"/>
        <w:ind w:left="577" w:right="1024"/>
        <w:jc w:val="left"/>
      </w:pPr>
      <w:r>
        <w:rPr/>
        <w:t>① 增加子公司或业务 </w:t>
      </w:r>
      <w:r>
        <w:rPr>
          <w:spacing w:val="-1"/>
        </w:rPr>
        <w:t>在报告期内，若因同一控制下企业合并增加子公司或业务的，则调整合并资产负债表的期初数；将子</w:t>
      </w:r>
    </w:p>
    <w:p>
      <w:pPr>
        <w:pStyle w:val="BodyText"/>
        <w:spacing w:line="408" w:lineRule="auto"/>
        <w:ind w:right="113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423"/>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0"/>
        </w:rPr>
        <w:t> </w:t>
      </w:r>
      <w:r>
        <w:rPr>
          <w:spacing w:val="-80"/>
        </w:rPr>
      </w:r>
      <w:r>
        <w:rPr/>
        <w:t>资产变动，分别冲减比较报表期间的期初留存收益或当期损益。</w:t>
      </w:r>
    </w:p>
    <w:p>
      <w:pPr>
        <w:pStyle w:val="BodyText"/>
        <w:spacing w:line="408" w:lineRule="auto"/>
        <w:ind w:right="1131" w:firstLine="423"/>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408" w:lineRule="auto"/>
        <w:ind w:right="1131" w:firstLine="423"/>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ind w:left="577" w:right="1024"/>
        <w:jc w:val="left"/>
      </w:pPr>
      <w:r>
        <w:rPr/>
        <w:t>②</w:t>
      </w:r>
      <w:r>
        <w:rPr>
          <w:spacing w:val="-1"/>
        </w:rPr>
        <w:t> </w:t>
      </w:r>
      <w:r>
        <w:rPr/>
        <w:t>处置子公司或业务</w:t>
      </w:r>
    </w:p>
    <w:p>
      <w:pPr>
        <w:spacing w:line="240" w:lineRule="auto" w:before="10"/>
        <w:rPr>
          <w:rFonts w:ascii="宋体" w:hAnsi="宋体" w:cs="宋体" w:eastAsia="宋体" w:hint="default"/>
          <w:sz w:val="14"/>
          <w:szCs w:val="14"/>
        </w:rPr>
      </w:pPr>
    </w:p>
    <w:p>
      <w:pPr>
        <w:pStyle w:val="BodyText"/>
        <w:spacing w:line="386" w:lineRule="auto" w:before="0"/>
        <w:ind w:left="577" w:right="1024"/>
        <w:jc w:val="left"/>
      </w:pPr>
      <w:r>
        <w:rPr>
          <w:rFonts w:ascii="Times New Roman" w:hAnsi="Times New Roman" w:cs="Times New Roman" w:eastAsia="Times New Roman" w:hint="default"/>
        </w:rPr>
        <w:t>a.</w:t>
      </w:r>
      <w:r>
        <w:rPr/>
        <w:t>一般处理方法 </w:t>
      </w:r>
      <w:r>
        <w:rPr>
          <w:spacing w:val="-1"/>
        </w:rPr>
        <w:t>在报告期内，本公司处置子公司或业务，则该子公司或业务期初至处置日的收入、费用、利润纳入合</w:t>
      </w:r>
    </w:p>
    <w:p>
      <w:pPr>
        <w:pStyle w:val="BodyText"/>
        <w:spacing w:line="408" w:lineRule="auto" w:before="65"/>
        <w:ind w:left="577" w:right="1024" w:hanging="424"/>
        <w:jc w:val="left"/>
      </w:pPr>
      <w:r>
        <w:rPr/>
        <w:t>并利润表；该子公司或业务期初至处置日的现金流量纳入合并现金流量表。 </w:t>
      </w:r>
      <w:r>
        <w:rPr>
          <w:spacing w:val="-1"/>
        </w:rPr>
        <w:t>因处置部分股权投资或其他原因丧失了对被投资方控制权时，对于处置后的剩余股权投资，本公司按</w:t>
      </w:r>
    </w:p>
    <w:p>
      <w:pPr>
        <w:pStyle w:val="BodyText"/>
        <w:spacing w:line="408" w:lineRule="auto"/>
        <w:ind w:right="1131"/>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386" w:lineRule="auto"/>
        <w:ind w:left="577" w:right="1024"/>
        <w:jc w:val="left"/>
      </w:pPr>
      <w:r>
        <w:rPr>
          <w:rFonts w:ascii="Times New Roman" w:hAnsi="Times New Roman" w:cs="Times New Roman" w:eastAsia="Times New Roman" w:hint="default"/>
        </w:rPr>
        <w:t>b.</w:t>
      </w:r>
      <w:r>
        <w:rPr/>
        <w:t>分步处置子公司 </w:t>
      </w:r>
      <w:r>
        <w:rPr>
          <w:spacing w:val="-1"/>
        </w:rPr>
        <w:t>通过多次交易分步处置对子公司股权投资直至丧失控制权的，处置对子公司股权投资的各项交易的条</w:t>
      </w:r>
    </w:p>
    <w:p>
      <w:pPr>
        <w:pStyle w:val="BodyText"/>
        <w:spacing w:line="408" w:lineRule="auto" w:before="65"/>
        <w:ind w:right="113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408" w:lineRule="auto"/>
        <w:ind w:left="683" w:right="3503"/>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423"/>
        <w:jc w:val="both"/>
      </w:pPr>
      <w:r>
        <w:rPr>
          <w:spacing w:val="-1"/>
        </w:rPr>
        <w:t>处置对子公司股权投资直至丧失控制权的各项交易属于一揽子交易的，本公司将各项交易作为一项处</w:t>
      </w:r>
      <w:r>
        <w:rPr/>
        <w:t> </w:t>
      </w:r>
      <w:r>
        <w:rPr>
          <w:spacing w:val="-1"/>
        </w:rPr>
        <w:t>置子公司并丧失控制权的交易进行会计处理；但是，在丧失控制权之前每一次处置价款与处置投资对应的</w:t>
      </w:r>
      <w:r>
        <w:rPr>
          <w:spacing w:val="-80"/>
        </w:rPr>
        <w:t> </w:t>
      </w:r>
      <w:r>
        <w:rPr>
          <w:spacing w:val="-80"/>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BodyText"/>
        <w:spacing w:line="408" w:lineRule="auto"/>
        <w:ind w:right="1131" w:firstLine="423"/>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408" w:lineRule="auto"/>
        <w:ind w:left="577" w:right="1024"/>
        <w:jc w:val="left"/>
      </w:pPr>
      <w:r>
        <w:rPr/>
        <w:t>③ 购买子公司少数股权 </w:t>
      </w:r>
      <w:r>
        <w:rPr>
          <w:spacing w:val="-1"/>
        </w:rPr>
        <w:t>本公司因购买少数股权新取得的长期股权投资与按照新增持股比例计算应享有子公司自购买日（或合</w:t>
      </w:r>
    </w:p>
    <w:p>
      <w:pPr>
        <w:pStyle w:val="BodyText"/>
        <w:spacing w:line="408" w:lineRule="auto"/>
        <w:ind w:right="1024"/>
        <w:jc w:val="left"/>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408" w:lineRule="auto"/>
        <w:ind w:left="577" w:right="1299"/>
        <w:jc w:val="left"/>
      </w:pPr>
      <w:r>
        <w:rPr/>
        <w:t>④ 不丧失控制权的情况下部分处置对子公司的股权投资 在不丧失控制权的情况下因部分处置对子公司的长期股权投资而取得的处置价款与处置长期股权投</w:t>
      </w:r>
    </w:p>
    <w:p>
      <w:pPr>
        <w:pStyle w:val="BodyText"/>
        <w:spacing w:line="408" w:lineRule="auto"/>
        <w:ind w:right="1024"/>
        <w:jc w:val="left"/>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8"/>
        <w:rPr>
          <w:rFonts w:ascii="宋体" w:hAnsi="宋体" w:cs="宋体" w:eastAsia="宋体" w:hint="default"/>
          <w:sz w:val="20"/>
          <w:szCs w:val="20"/>
        </w:rPr>
      </w:pPr>
    </w:p>
    <w:p>
      <w:pPr>
        <w:pStyle w:val="Heading4"/>
        <w:spacing w:line="240" w:lineRule="auto"/>
        <w:ind w:left="153" w:right="1024"/>
        <w:jc w:val="left"/>
        <w:rPr>
          <w:b w:val="0"/>
          <w:bCs w:val="0"/>
        </w:rPr>
      </w:pPr>
      <w:bookmarkStart w:name="7、合营安排分类及共同经营会计处理方法" w:id="184"/>
      <w:bookmarkEnd w:id="18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7" w:right="1089"/>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ind w:left="577" w:right="1024"/>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77"/>
        <w:ind w:left="577" w:right="1024"/>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77"/>
        <w:ind w:left="577" w:right="1024"/>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77"/>
        <w:ind w:left="577" w:right="1024"/>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86" w:lineRule="auto" w:before="177"/>
        <w:ind w:left="577" w:right="3294"/>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本公司对合营企业投资的会计政策见本附注五、</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9"/>
          <w:szCs w:val="19"/>
        </w:rPr>
      </w:pPr>
    </w:p>
    <w:p>
      <w:pPr>
        <w:pStyle w:val="Heading4"/>
        <w:spacing w:line="240" w:lineRule="auto"/>
        <w:ind w:left="153" w:right="1024"/>
        <w:jc w:val="left"/>
        <w:rPr>
          <w:b w:val="0"/>
          <w:bCs w:val="0"/>
        </w:rPr>
      </w:pPr>
      <w:bookmarkStart w:name="8、现金及现金等价物的确定标准" w:id="185"/>
      <w:bookmarkEnd w:id="18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3" w:firstLine="423"/>
        <w:jc w:val="both"/>
      </w:pPr>
      <w:r>
        <w:rPr>
          <w:spacing w:val="-1"/>
        </w:rPr>
        <w:t>在编制现金流量表时，将本公司库存现金以及可以随时用于支付的存款确认为现金。将同时具备期限</w:t>
      </w:r>
      <w:r>
        <w:rPr/>
        <w:t> </w:t>
      </w:r>
      <w:r>
        <w:rPr>
          <w:spacing w:val="-3"/>
        </w:rPr>
        <w:t>短（从购买日起三个月内到期）、流动性强、易于转换为已知现金、价值变动风险很小四个条件的投资，</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24"/>
        <w:jc w:val="left"/>
      </w:pPr>
      <w:r>
        <w:rPr/>
        <w:t>确定为现金等价物。</w:t>
      </w:r>
    </w:p>
    <w:p>
      <w:pPr>
        <w:spacing w:line="240" w:lineRule="auto" w:before="0"/>
        <w:rPr>
          <w:rFonts w:ascii="宋体" w:hAnsi="宋体" w:cs="宋体" w:eastAsia="宋体" w:hint="default"/>
          <w:sz w:val="20"/>
          <w:szCs w:val="20"/>
        </w:rPr>
      </w:pPr>
    </w:p>
    <w:p>
      <w:pPr>
        <w:pStyle w:val="Heading4"/>
        <w:spacing w:line="240" w:lineRule="auto" w:before="154"/>
        <w:ind w:left="153" w:right="1024"/>
        <w:jc w:val="left"/>
        <w:rPr>
          <w:b w:val="0"/>
          <w:bCs w:val="0"/>
        </w:rPr>
      </w:pPr>
      <w:bookmarkStart w:name="9、外币业务和外币报表折算" w:id="186"/>
      <w:bookmarkEnd w:id="18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BodyText"/>
        <w:spacing w:line="321" w:lineRule="auto" w:before="0"/>
        <w:ind w:left="577" w:right="2769" w:hanging="107"/>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408" w:lineRule="auto" w:before="121"/>
        <w:ind w:right="1130" w:firstLine="423"/>
        <w:jc w:val="both"/>
      </w:pPr>
      <w:r>
        <w:rPr>
          <w:spacing w:val="-1"/>
        </w:rPr>
        <w:t>资产负债表日外币货币性项目余额按资产负债表日即期汇率折算，由此产生的汇兑差额，除属于与购</w:t>
      </w:r>
      <w:r>
        <w:rPr/>
        <w:t> </w:t>
      </w:r>
      <w:r>
        <w:rPr>
          <w:spacing w:val="-1"/>
        </w:rPr>
        <w:t>建符合资本化条件的资产相关的外币专门借款产生的汇兑差额按照借款费用资本化的原则处理外，均计入</w:t>
      </w:r>
      <w:r>
        <w:rPr>
          <w:spacing w:val="-80"/>
        </w:rPr>
        <w:t> </w:t>
      </w:r>
      <w:r>
        <w:rPr>
          <w:spacing w:val="-80"/>
        </w:rPr>
      </w:r>
      <w:r>
        <w:rPr/>
        <w:t>当期损益。</w:t>
      </w:r>
    </w:p>
    <w:p>
      <w:pPr>
        <w:spacing w:line="240" w:lineRule="auto" w:before="5"/>
        <w:rPr>
          <w:rFonts w:ascii="宋体" w:hAnsi="宋体" w:cs="宋体" w:eastAsia="宋体" w:hint="default"/>
          <w:sz w:val="21"/>
          <w:szCs w:val="21"/>
        </w:rPr>
      </w:pPr>
    </w:p>
    <w:p>
      <w:pPr>
        <w:spacing w:line="321" w:lineRule="auto" w:before="0"/>
        <w:ind w:left="577" w:right="1206" w:firstLine="55"/>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BodyText"/>
        <w:spacing w:line="386" w:lineRule="auto" w:before="98"/>
        <w:ind w:right="1210"/>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 汇率折算，按照上述折算产生的外币财务报表折算差额，在资产负债表所有者权益项目下单独列示。</w:t>
      </w:r>
    </w:p>
    <w:p>
      <w:pPr>
        <w:pStyle w:val="BodyText"/>
        <w:spacing w:line="240" w:lineRule="auto" w:before="65"/>
        <w:ind w:left="577" w:right="1024"/>
        <w:jc w:val="left"/>
      </w:pPr>
      <w:r>
        <w:rPr/>
        <w:t>处置境外经营时，将与该境外经营相关的外币财务报表折算差额，自所有者权益项目转入处置当期损</w:t>
      </w:r>
    </w:p>
    <w:p>
      <w:pPr>
        <w:spacing w:line="240" w:lineRule="auto" w:before="10"/>
        <w:rPr>
          <w:rFonts w:ascii="宋体" w:hAnsi="宋体" w:cs="宋体" w:eastAsia="宋体" w:hint="default"/>
          <w:sz w:val="14"/>
          <w:szCs w:val="14"/>
        </w:rPr>
      </w:pPr>
    </w:p>
    <w:p>
      <w:pPr>
        <w:pStyle w:val="BodyText"/>
        <w:spacing w:line="240" w:lineRule="auto" w:before="0"/>
        <w:ind w:right="1024"/>
        <w:jc w:val="left"/>
      </w:pPr>
      <w:r>
        <w:rPr/>
        <w:t>益。</w:t>
      </w:r>
    </w:p>
    <w:p>
      <w:pPr>
        <w:spacing w:line="240" w:lineRule="auto" w:before="0"/>
        <w:rPr>
          <w:rFonts w:ascii="宋体" w:hAnsi="宋体" w:cs="宋体" w:eastAsia="宋体" w:hint="default"/>
          <w:sz w:val="20"/>
          <w:szCs w:val="20"/>
        </w:rPr>
      </w:pPr>
    </w:p>
    <w:p>
      <w:pPr>
        <w:pStyle w:val="Heading4"/>
        <w:spacing w:line="240" w:lineRule="auto" w:before="155"/>
        <w:ind w:right="1024"/>
        <w:jc w:val="left"/>
        <w:rPr>
          <w:b w:val="0"/>
          <w:bCs w:val="0"/>
        </w:rPr>
      </w:pPr>
      <w:bookmarkStart w:name="10、金融工具" w:id="187"/>
      <w:bookmarkEnd w:id="18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7" w:right="1024"/>
        <w:jc w:val="left"/>
      </w:pPr>
      <w:r>
        <w:rPr/>
        <w:t>金融工具包括金融资产、金融负债和权益工具。</w:t>
      </w:r>
    </w:p>
    <w:p>
      <w:pPr>
        <w:pStyle w:val="BodyText"/>
        <w:spacing w:line="321" w:lineRule="auto" w:before="115"/>
        <w:ind w:left="577" w:right="1024" w:hanging="68"/>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1"/>
        </w:rPr>
        <w:t>金融资产和金融负债于初始确认时分类为：以公允价值计量且其变动计入当期损益的金融资产或金融</w:t>
      </w:r>
    </w:p>
    <w:p>
      <w:pPr>
        <w:pStyle w:val="BodyText"/>
        <w:spacing w:line="408" w:lineRule="auto" w:before="121"/>
        <w:ind w:left="154" w:right="1024"/>
        <w:jc w:val="left"/>
      </w:pPr>
      <w:r>
        <w:rPr>
          <w:spacing w:val="-1"/>
        </w:rPr>
        <w:t>负债，包括交易性金融资产或金融负债和直接指定为以公允价值计量且其变动计入当期损益的金融资产或</w:t>
      </w:r>
      <w:r>
        <w:rPr>
          <w:spacing w:val="-81"/>
        </w:rPr>
        <w:t> </w:t>
      </w:r>
      <w:r>
        <w:rPr>
          <w:spacing w:val="-81"/>
        </w:rPr>
      </w:r>
      <w:r>
        <w:rPr/>
        <w:t>金融负债；持有至到期投资；应收款项；可供出售金融资产；其他金融负债等。</w:t>
      </w:r>
    </w:p>
    <w:p>
      <w:pPr>
        <w:pStyle w:val="Heading4"/>
        <w:spacing w:line="259" w:lineRule="exact"/>
        <w:ind w:left="602" w:right="1024"/>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pStyle w:val="BodyText"/>
        <w:spacing w:line="408" w:lineRule="auto" w:before="99"/>
        <w:ind w:left="577" w:right="1024"/>
        <w:jc w:val="left"/>
      </w:pPr>
      <w:r>
        <w:rPr/>
        <w:t>① 以公允价值计量且其变动计入当期损益的金融资产（金融负债） </w:t>
      </w:r>
      <w:r>
        <w:rPr>
          <w:spacing w:val="-1"/>
        </w:rPr>
        <w:t>取得时以公允价值（扣除已宣告但尚未发放的现金股利或已到付息期但尚未领取的债券利息）作为初</w:t>
      </w:r>
    </w:p>
    <w:p>
      <w:pPr>
        <w:pStyle w:val="BodyText"/>
        <w:spacing w:line="408" w:lineRule="auto"/>
        <w:ind w:left="577" w:right="1509" w:hanging="424"/>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08" w:lineRule="auto"/>
        <w:ind w:left="577" w:right="1014"/>
        <w:jc w:val="left"/>
      </w:pPr>
      <w:r>
        <w:rPr/>
        <w:t>② 持有至到期投资 </w:t>
      </w:r>
      <w:r>
        <w:rPr>
          <w:spacing w:val="-3"/>
        </w:rPr>
        <w:t>取得时按公允价值（扣除已到付息期但尚未领取的债券利息）和相关交易费用之和作为初始确认金额。</w:t>
      </w:r>
      <w:r>
        <w:rPr>
          <w:spacing w:val="-101"/>
        </w:rPr>
        <w:t> </w:t>
      </w:r>
      <w:r>
        <w:rPr>
          <w:spacing w:val="-101"/>
        </w:rPr>
      </w:r>
      <w:r>
        <w:rPr/>
        <w:t>持有期间按照摊余成本和实际利率计算确认利息收入，计入投资收益。实际利率在取得时确定，在该</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7" w:right="4029" w:hanging="424"/>
        <w:jc w:val="left"/>
      </w:pPr>
      <w:r>
        <w:rPr/>
        <w:t>预期存续期间或适用的更短期间内保持不变。 处置时，将所取得价款与该投资账面价值之间的差额计入投资收益。</w:t>
      </w:r>
    </w:p>
    <w:p>
      <w:pPr>
        <w:pStyle w:val="BodyText"/>
        <w:spacing w:line="408" w:lineRule="auto"/>
        <w:ind w:left="577" w:right="1024"/>
        <w:jc w:val="left"/>
      </w:pPr>
      <w:r>
        <w:rPr/>
        <w:t>③</w:t>
      </w:r>
      <w:r>
        <w:rPr>
          <w:spacing w:val="1"/>
        </w:rPr>
        <w:t> </w:t>
      </w:r>
      <w:r>
        <w:rPr/>
        <w:t>应收款项</w:t>
      </w:r>
      <w:r>
        <w:rPr/>
        <w:t> </w:t>
      </w:r>
      <w:r>
        <w:rPr>
          <w:spacing w:val="-1"/>
        </w:rPr>
        <w:t>公司对外销售商品或提供劳务形成的应收债权，以及公司持有的其他企业的不包括在活跃市场上有报</w:t>
      </w:r>
    </w:p>
    <w:p>
      <w:pPr>
        <w:pStyle w:val="BodyText"/>
        <w:spacing w:line="408" w:lineRule="auto"/>
        <w:ind w:right="1024"/>
        <w:jc w:val="left"/>
      </w:pPr>
      <w:r>
        <w:rPr>
          <w:spacing w:val="-1"/>
        </w:rPr>
        <w:t>价的债务工具的债权，包括应收账款、其他应收款等，以向购货方应收的合同或协议价款作为初始确认金</w:t>
      </w:r>
      <w:r>
        <w:rPr>
          <w:spacing w:val="-83"/>
        </w:rPr>
        <w:t> </w:t>
      </w:r>
      <w:r>
        <w:rPr>
          <w:spacing w:val="-83"/>
        </w:rPr>
      </w:r>
      <w:r>
        <w:rPr/>
        <w:t>额；具有融资性质的，按其现值进行初始确认。</w:t>
      </w:r>
    </w:p>
    <w:p>
      <w:pPr>
        <w:pStyle w:val="BodyText"/>
        <w:spacing w:line="240" w:lineRule="auto"/>
        <w:ind w:left="577" w:right="1024"/>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408" w:lineRule="auto" w:before="0"/>
        <w:ind w:left="577" w:right="1024"/>
        <w:jc w:val="left"/>
      </w:pPr>
      <w:r>
        <w:rPr/>
        <w:t>④ 可供出售金融资产 </w:t>
      </w:r>
      <w:r>
        <w:rPr>
          <w:spacing w:val="-1"/>
        </w:rPr>
        <w:t>取得时按公允价值（扣除已宣告但尚未发放的现金股利或已到付息期但尚未领取的债券利息）和相关</w:t>
      </w:r>
    </w:p>
    <w:p>
      <w:pPr>
        <w:pStyle w:val="BodyText"/>
        <w:spacing w:line="408" w:lineRule="auto"/>
        <w:ind w:left="577" w:right="1024" w:hanging="424"/>
        <w:jc w:val="left"/>
      </w:pPr>
      <w:r>
        <w:rPr/>
        <w:t>交易费用之和作为初始确认金额。 </w:t>
      </w:r>
      <w:r>
        <w:rPr>
          <w:spacing w:val="-1"/>
        </w:rPr>
        <w:t>持有期间将取得的利息或现金股利确认为投资收益。期末以公允价值计量且将公允价值变动计入其他</w:t>
      </w:r>
    </w:p>
    <w:p>
      <w:pPr>
        <w:pStyle w:val="BodyText"/>
        <w:spacing w:line="408" w:lineRule="auto"/>
        <w:ind w:right="1024"/>
        <w:jc w:val="left"/>
      </w:pPr>
      <w:r>
        <w:rPr>
          <w:spacing w:val="-1"/>
        </w:rPr>
        <w:t>综合收益。但是，在活跃市场中没有报价且其公允价值不能可靠计量的权益工具投资，以及与该权益工具</w:t>
      </w:r>
      <w:r>
        <w:rPr>
          <w:spacing w:val="-83"/>
        </w:rPr>
        <w:t> </w:t>
      </w:r>
      <w:r>
        <w:rPr>
          <w:spacing w:val="-83"/>
        </w:rPr>
      </w:r>
      <w:r>
        <w:rPr/>
        <w:t>挂钩并须通过交付该权益工具结算的衍生金融资产，按照成本计量。</w:t>
      </w:r>
    </w:p>
    <w:p>
      <w:pPr>
        <w:pStyle w:val="BodyText"/>
        <w:spacing w:line="408" w:lineRule="auto"/>
        <w:ind w:right="1024" w:firstLine="423"/>
        <w:jc w:val="left"/>
      </w:pPr>
      <w:r>
        <w:rPr>
          <w:spacing w:val="-1"/>
        </w:rPr>
        <w:t>处置时，将取得的价款与该金融资产账面价值之间的差额，计入投资损益；同时，将原直接计入其他</w:t>
      </w:r>
      <w:r>
        <w:rPr/>
        <w:t> 综合收益的公允价值变动累计额对应处置部分的金额转出，计入当期损益。</w:t>
      </w:r>
    </w:p>
    <w:p>
      <w:pPr>
        <w:pStyle w:val="BodyText"/>
        <w:spacing w:line="408" w:lineRule="auto"/>
        <w:ind w:left="577" w:right="2559"/>
        <w:jc w:val="left"/>
      </w:pPr>
      <w:r>
        <w:rPr/>
        <w:t>⑤ 其他金融负债 按其公允价值和相关交易费用之和作为初始确认金额。采用摊余成本进行后续计量。</w:t>
      </w:r>
    </w:p>
    <w:p>
      <w:pPr>
        <w:pStyle w:val="Heading4"/>
        <w:spacing w:line="259" w:lineRule="exact"/>
        <w:ind w:left="423" w:right="1024"/>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pStyle w:val="BodyText"/>
        <w:spacing w:line="408" w:lineRule="auto" w:before="99"/>
        <w:ind w:right="1024" w:firstLine="423"/>
        <w:jc w:val="left"/>
      </w:pPr>
      <w:r>
        <w:rPr>
          <w:spacing w:val="-1"/>
        </w:rPr>
        <w:t>公司发生金融资产转移时，如已将金融资产所有权上几乎所有的风险和报酬转移给转入方，则终止确</w:t>
      </w:r>
      <w:r>
        <w:rPr/>
        <w:t> 认该金融资产；如保留了金融资产所有权上几乎所有的风险和报酬的，则不终止确认该金融资产。</w:t>
      </w:r>
    </w:p>
    <w:p>
      <w:pPr>
        <w:pStyle w:val="BodyText"/>
        <w:spacing w:line="408" w:lineRule="auto"/>
        <w:ind w:right="1131" w:firstLine="423"/>
        <w:jc w:val="both"/>
      </w:pPr>
      <w:r>
        <w:rPr>
          <w:spacing w:val="-1"/>
        </w:rPr>
        <w:t>在判断金融资产转移是否满足上述金融资产终止确认条件时，采用实质重于形式的原则。公司将金融</w:t>
      </w:r>
      <w:r>
        <w:rPr/>
        <w:t> </w:t>
      </w: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577" w:right="1024"/>
        <w:jc w:val="left"/>
      </w:pPr>
      <w:r>
        <w:rPr/>
        <w:t>①</w:t>
      </w:r>
      <w:r>
        <w:rPr>
          <w:spacing w:val="-1"/>
        </w:rPr>
        <w:t> </w:t>
      </w:r>
      <w:r>
        <w:rPr/>
        <w:t>所转移金融资产的账面价值；</w:t>
      </w:r>
    </w:p>
    <w:p>
      <w:pPr>
        <w:spacing w:line="240" w:lineRule="auto" w:before="10"/>
        <w:rPr>
          <w:rFonts w:ascii="宋体" w:hAnsi="宋体" w:cs="宋体" w:eastAsia="宋体" w:hint="default"/>
          <w:sz w:val="14"/>
          <w:szCs w:val="14"/>
        </w:rPr>
      </w:pPr>
    </w:p>
    <w:p>
      <w:pPr>
        <w:pStyle w:val="BodyText"/>
        <w:spacing w:line="408" w:lineRule="auto" w:before="0"/>
        <w:ind w:right="1196" w:firstLine="423"/>
        <w:jc w:val="left"/>
      </w:pPr>
      <w:r>
        <w:rPr/>
        <w:t>②</w:t>
      </w:r>
      <w:r>
        <w:rPr>
          <w:spacing w:val="-1"/>
        </w:rPr>
        <w:t> </w:t>
      </w:r>
      <w:r>
        <w:rPr/>
        <w:t>因转移而收到的对价，与原直接计入所有者权益的公允价值变动累计额（涉及转移的金融资产为</w:t>
      </w:r>
      <w:r>
        <w:rPr/>
        <w:t> 可供出售金融资产的情形）之和。</w:t>
      </w:r>
    </w:p>
    <w:p>
      <w:pPr>
        <w:pStyle w:val="BodyText"/>
        <w:spacing w:line="408" w:lineRule="auto"/>
        <w:ind w:right="1024" w:firstLine="423"/>
        <w:jc w:val="left"/>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ind w:left="577" w:right="1024"/>
        <w:jc w:val="left"/>
      </w:pPr>
      <w:r>
        <w:rPr/>
        <w:t>①</w:t>
      </w:r>
      <w:r>
        <w:rPr>
          <w:spacing w:val="-1"/>
        </w:rPr>
        <w:t> </w:t>
      </w:r>
      <w:r>
        <w:rPr/>
        <w:t>终止确认部分的账面价值；</w:t>
      </w:r>
    </w:p>
    <w:p>
      <w:pPr>
        <w:spacing w:line="240" w:lineRule="auto" w:before="10"/>
        <w:rPr>
          <w:rFonts w:ascii="宋体" w:hAnsi="宋体" w:cs="宋体" w:eastAsia="宋体" w:hint="default"/>
          <w:sz w:val="14"/>
          <w:szCs w:val="14"/>
        </w:rPr>
      </w:pPr>
    </w:p>
    <w:p>
      <w:pPr>
        <w:pStyle w:val="BodyText"/>
        <w:spacing w:line="240" w:lineRule="auto" w:before="0"/>
        <w:ind w:left="577" w:right="1024"/>
        <w:jc w:val="left"/>
      </w:pPr>
      <w:r>
        <w:rPr/>
        <w:t>②</w:t>
      </w:r>
      <w:r>
        <w:rPr>
          <w:spacing w:val="-1"/>
        </w:rPr>
        <w:t> </w:t>
      </w:r>
      <w:r>
        <w:rPr/>
        <w:t>终止确认部分的对价，与原直接计入所有者权益的公允价值变动累计额中对应终止确认部分的金</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683" w:right="1193" w:hanging="530"/>
        <w:jc w:val="left"/>
      </w:pPr>
      <w:r>
        <w:rPr/>
        <w:t>额（涉及转移的金融资产为可供出售金融资产的情形）之和。 金融资产转移不满足终止确认条件的，继续确认该金融资产，所收到的对价确认为一项金融负债。</w:t>
      </w:r>
    </w:p>
    <w:p>
      <w:pPr>
        <w:pStyle w:val="Heading4"/>
        <w:spacing w:line="259" w:lineRule="exact"/>
        <w:ind w:left="510" w:right="1024"/>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pStyle w:val="BodyText"/>
        <w:spacing w:line="408" w:lineRule="auto" w:before="99"/>
        <w:ind w:right="1024" w:firstLine="508"/>
        <w:jc w:val="left"/>
      </w:pPr>
      <w:r>
        <w:rPr/>
        <w:t>金融负债的现时义务全部或部分已经解除的，则终止确认该金融负债或其一部分；本公司若与债权 </w:t>
      </w:r>
      <w:r>
        <w:rPr>
          <w:spacing w:val="-1"/>
        </w:rPr>
        <w:t>人签定协议，以承担新金融负债方式替换现存金融负债，且新金融负债与现存金融负债的合同条款实质上</w:t>
      </w:r>
      <w:r>
        <w:rPr>
          <w:spacing w:val="-81"/>
        </w:rPr>
        <w:t> </w:t>
      </w:r>
      <w:r>
        <w:rPr>
          <w:spacing w:val="-81"/>
        </w:rPr>
      </w:r>
      <w:r>
        <w:rPr/>
        <w:t>不同的，则终止确认现存金融负债，并同时确认新金融负债。</w:t>
      </w:r>
    </w:p>
    <w:p>
      <w:pPr>
        <w:pStyle w:val="BodyText"/>
        <w:spacing w:line="408" w:lineRule="auto"/>
        <w:ind w:right="1024" w:firstLine="423"/>
        <w:jc w:val="left"/>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408" w:lineRule="auto"/>
        <w:ind w:right="1024" w:firstLine="423"/>
        <w:jc w:val="left"/>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408" w:lineRule="auto"/>
        <w:ind w:right="1131" w:firstLine="423"/>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pStyle w:val="Heading4"/>
        <w:spacing w:line="259" w:lineRule="exact"/>
        <w:ind w:left="512" w:right="1024"/>
        <w:jc w:val="left"/>
        <w:rPr>
          <w:b w:val="0"/>
          <w:bCs w:val="0"/>
        </w:rPr>
      </w:pPr>
      <w:r>
        <w:rPr/>
        <w:t>（</w:t>
      </w:r>
      <w:r>
        <w:rPr>
          <w:rFonts w:ascii="Times New Roman" w:hAnsi="Times New Roman" w:cs="Times New Roman" w:eastAsia="Times New Roman" w:hint="default"/>
        </w:rPr>
        <w:t>5</w:t>
      </w:r>
      <w:r>
        <w:rPr/>
        <w:t>）金融资产和金融负债的公允价值的确定方法</w:t>
      </w:r>
      <w:r>
        <w:rPr>
          <w:b w:val="0"/>
          <w:bCs w:val="0"/>
        </w:rPr>
      </w:r>
    </w:p>
    <w:p>
      <w:pPr>
        <w:pStyle w:val="BodyText"/>
        <w:spacing w:line="408" w:lineRule="auto" w:before="99"/>
        <w:ind w:right="1110" w:firstLine="423"/>
        <w:jc w:val="both"/>
      </w:pPr>
      <w:r>
        <w:rPr>
          <w:spacing w:val="-1"/>
        </w:rPr>
        <w:t>存在活跃市场的金融工具，以活跃市场中的报价确定其公允价值。不存在活跃市场的金融工具，采用</w:t>
      </w:r>
      <w:r>
        <w:rPr/>
        <w:t> </w:t>
      </w:r>
      <w:r>
        <w:rPr>
          <w:spacing w:val="-1"/>
        </w:rPr>
        <w:t>估值技术确定其公允价值。在估值时，本公司采用在当前情况下适用并且有足够可利用数据和其他信息支</w:t>
      </w:r>
      <w:r>
        <w:rPr>
          <w:spacing w:val="-81"/>
        </w:rPr>
        <w:t> </w:t>
      </w:r>
      <w:r>
        <w:rPr>
          <w:spacing w:val="-81"/>
        </w:rPr>
      </w:r>
      <w:r>
        <w:rPr/>
        <w:t>持的估值技术，选择与市场参与者在相关资产或负债的交易中所考虑的资产或负债特征相一致的输入值， </w:t>
      </w:r>
      <w:r>
        <w:rPr>
          <w:spacing w:val="-1"/>
        </w:rPr>
        <w:t>并优先使用相关可观察输入值。只有在相关可观察输入值无法取得或取得不切实可行的情况下，才使用不</w:t>
      </w:r>
      <w:r>
        <w:rPr>
          <w:spacing w:val="-81"/>
        </w:rPr>
        <w:t> </w:t>
      </w:r>
      <w:r>
        <w:rPr>
          <w:spacing w:val="-81"/>
        </w:rPr>
      </w:r>
      <w:r>
        <w:rPr/>
        <w:t>可观察输入值。</w:t>
      </w:r>
    </w:p>
    <w:p>
      <w:pPr>
        <w:pStyle w:val="Heading4"/>
        <w:spacing w:line="259" w:lineRule="exact"/>
        <w:ind w:left="569" w:right="1024"/>
        <w:jc w:val="left"/>
        <w:rPr>
          <w:b w:val="0"/>
          <w:bCs w:val="0"/>
        </w:rPr>
      </w:pPr>
      <w:r>
        <w:rPr/>
        <w:t>（</w:t>
      </w:r>
      <w:r>
        <w:rPr>
          <w:rFonts w:ascii="Times New Roman" w:hAnsi="Times New Roman" w:cs="Times New Roman" w:eastAsia="Times New Roman" w:hint="default"/>
        </w:rPr>
        <w:t>6</w:t>
      </w:r>
      <w:r>
        <w:rPr/>
        <w:t>）金融资产（不含应收款项）减值的测试方法及会计处理方法</w:t>
      </w:r>
      <w:r>
        <w:rPr>
          <w:b w:val="0"/>
          <w:bCs w:val="0"/>
        </w:rPr>
      </w:r>
    </w:p>
    <w:p>
      <w:pPr>
        <w:pStyle w:val="BodyText"/>
        <w:spacing w:line="408" w:lineRule="auto" w:before="99"/>
        <w:ind w:right="1024" w:firstLine="423"/>
        <w:jc w:val="left"/>
      </w:pPr>
      <w:r>
        <w:rPr>
          <w:spacing w:val="-1"/>
        </w:rPr>
        <w:t>除以公允价值计量且其变动计入当期损益的金融资产外，本公司于资产负债表日对金融资产的账面价</w:t>
      </w:r>
      <w:r>
        <w:rPr/>
        <w:t> 值进行检查，如果有客观证据表明某项金融资产发生减值的，计提减值准备。</w:t>
      </w:r>
    </w:p>
    <w:p>
      <w:pPr>
        <w:pStyle w:val="BodyText"/>
        <w:spacing w:line="408" w:lineRule="auto"/>
        <w:ind w:left="577" w:right="1024"/>
        <w:jc w:val="left"/>
      </w:pPr>
      <w:r>
        <w:rPr/>
        <w:t>① 可供出售金融资产的减值准备： </w:t>
      </w:r>
      <w:r>
        <w:rPr>
          <w:spacing w:val="-1"/>
        </w:rPr>
        <w:t>期末如果可供出售金融资产的公允价值发生严重下降，或在综合考虑各种相关因素后，预期这种下降</w:t>
      </w:r>
    </w:p>
    <w:p>
      <w:pPr>
        <w:pStyle w:val="BodyText"/>
        <w:spacing w:line="408" w:lineRule="auto"/>
        <w:ind w:right="1024"/>
        <w:jc w:val="left"/>
      </w:pPr>
      <w:r>
        <w:rPr>
          <w:spacing w:val="-1"/>
        </w:rPr>
        <w:t>趋势属于非暂时性的，就认定其已发生减值，将原直接计入所有者权益的公允价值下降形成的累计损失一</w:t>
      </w:r>
      <w:r>
        <w:rPr>
          <w:spacing w:val="-81"/>
        </w:rPr>
        <w:t> </w:t>
      </w:r>
      <w:r>
        <w:rPr>
          <w:spacing w:val="-81"/>
        </w:rPr>
      </w:r>
      <w:r>
        <w:rPr/>
        <w:t>并转出，确认减值损失。</w:t>
      </w:r>
    </w:p>
    <w:p>
      <w:pPr>
        <w:pStyle w:val="BodyText"/>
        <w:spacing w:line="408" w:lineRule="auto"/>
        <w:ind w:right="1024" w:firstLine="423"/>
        <w:jc w:val="left"/>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pStyle w:val="BodyText"/>
        <w:spacing w:line="240" w:lineRule="auto"/>
        <w:ind w:left="577" w:right="1024"/>
        <w:jc w:val="left"/>
      </w:pPr>
      <w:r>
        <w:rPr/>
        <w:t>可供出售权益工具投资发生的减值损失，不通过损益转回。</w:t>
      </w:r>
    </w:p>
    <w:p>
      <w:pPr>
        <w:spacing w:line="240" w:lineRule="auto" w:before="10"/>
        <w:rPr>
          <w:rFonts w:ascii="宋体" w:hAnsi="宋体" w:cs="宋体" w:eastAsia="宋体" w:hint="default"/>
          <w:sz w:val="14"/>
          <w:szCs w:val="14"/>
        </w:rPr>
      </w:pPr>
    </w:p>
    <w:p>
      <w:pPr>
        <w:pStyle w:val="BodyText"/>
        <w:spacing w:line="408" w:lineRule="auto" w:before="0"/>
        <w:ind w:left="577" w:right="3819"/>
        <w:jc w:val="left"/>
      </w:pPr>
      <w:r>
        <w:rPr/>
        <w:t>② 持有至到期投资的减值准备： 持有至到期投资减值损失的计量比照应收款项减值损失计量方法处理。</w:t>
      </w:r>
    </w:p>
    <w:p>
      <w:pPr>
        <w:spacing w:after="0" w:line="40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11、应收款项" w:id="188"/>
      <w:bookmarkEnd w:id="188"/>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单项金额重大并单独计提坏账准备的应收款项" w:id="189"/>
      <w:bookmarkEnd w:id="18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spacing w:before="44"/>
        <w:ind w:left="0" w:right="1139" w:firstLine="0"/>
        <w:jc w:val="right"/>
        <w:rPr>
          <w:rFonts w:ascii="宋体" w:hAnsi="宋体" w:cs="宋体" w:eastAsia="宋体" w:hint="default"/>
          <w:sz w:val="18"/>
          <w:szCs w:val="18"/>
        </w:rPr>
      </w:pPr>
      <w:r>
        <w:rPr/>
        <w:pict>
          <v:shape style="position:absolute;margin-left:56.459999pt;margin-top:-67.828285pt;width:479.2pt;height:87.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应收款项余额前五名的款项。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期末对于单项金额重大的应收款项单独进行减值测试。如有 客观证据表明其已发生了减值，按预计未来现金流量现值低 于其账面价值的差额计提坏账准备，计入当期损益。单独测 </w:t>
                        </w:r>
                        <w:r>
                          <w:rPr>
                            <w:rFonts w:ascii="宋体" w:hAnsi="宋体" w:cs="宋体" w:eastAsia="宋体" w:hint="default"/>
                            <w:spacing w:val="-2"/>
                            <w:sz w:val="18"/>
                            <w:szCs w:val="18"/>
                          </w:rPr>
                          <w:t>试未发生减值的应收款项，将其归入相应组合计提坏账准备</w:t>
                        </w:r>
                      </w:p>
                    </w:tc>
                  </w:tr>
                </w:tbl>
                <w:p>
                  <w:pPr/>
                </w:p>
              </w:txbxContent>
            </v:textbox>
            <w10:wrap type="none"/>
          </v:shape>
        </w:pict>
      </w:r>
      <w:r>
        <w:rPr>
          <w:rFonts w:ascii="宋体" w:hAnsi="宋体" w:cs="宋体" w:eastAsia="宋体" w:hint="default"/>
          <w:sz w:val="18"/>
          <w:szCs w:val="18"/>
        </w:rPr>
        <w:t>。</w:t>
      </w:r>
    </w:p>
    <w:p>
      <w:pPr>
        <w:spacing w:line="240" w:lineRule="auto" w:before="12"/>
        <w:rPr>
          <w:rFonts w:ascii="宋体" w:hAnsi="宋体" w:cs="宋体" w:eastAsia="宋体" w:hint="default"/>
          <w:sz w:val="27"/>
          <w:szCs w:val="27"/>
        </w:rPr>
      </w:pPr>
    </w:p>
    <w:p>
      <w:pPr>
        <w:pStyle w:val="Heading4"/>
        <w:spacing w:line="240" w:lineRule="auto" w:before="35"/>
        <w:ind w:right="1024"/>
        <w:jc w:val="left"/>
        <w:rPr>
          <w:b w:val="0"/>
          <w:bCs w:val="0"/>
        </w:rPr>
      </w:pPr>
      <w:bookmarkStart w:name="（2）按信用风险特征组合计提坏账准备的应收款项" w:id="190"/>
      <w:bookmarkEnd w:id="19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1024"/>
        <w:jc w:val="left"/>
        <w:rPr>
          <w:b w:val="0"/>
          <w:bCs w:val="0"/>
        </w:rPr>
      </w:pPr>
      <w:bookmarkStart w:name="（3）单项金额不重大但单独计提坏账准备的应收款项" w:id="191"/>
      <w:bookmarkEnd w:id="19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单项金额不重大的应收款项，如有客观证据表明其已发生了 减值，按预计未来现金流量现值低于其账面价值的差额计提 坏账准备，计入当期损益。</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line="240" w:lineRule="auto" w:before="3"/>
        <w:rPr>
          <w:rFonts w:ascii="宋体" w:hAnsi="宋体" w:cs="宋体" w:eastAsia="宋体" w:hint="default"/>
          <w:b/>
          <w:bCs/>
          <w:sz w:val="19"/>
          <w:szCs w:val="19"/>
        </w:rPr>
      </w:pPr>
    </w:p>
    <w:p>
      <w:pPr>
        <w:pStyle w:val="Heading4"/>
        <w:spacing w:line="240" w:lineRule="auto" w:before="35"/>
        <w:ind w:right="1024"/>
        <w:jc w:val="left"/>
        <w:rPr>
          <w:b w:val="0"/>
          <w:bCs w:val="0"/>
        </w:rPr>
      </w:pPr>
      <w:bookmarkStart w:name="12、存货" w:id="192"/>
      <w:bookmarkEnd w:id="192"/>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30"/>
          <w:szCs w:val="30"/>
        </w:rPr>
      </w:pPr>
    </w:p>
    <w:p>
      <w:pPr>
        <w:pStyle w:val="Heading4"/>
        <w:spacing w:line="240" w:lineRule="auto"/>
        <w:ind w:left="576" w:right="1024"/>
        <w:jc w:val="left"/>
        <w:rPr>
          <w:b w:val="0"/>
          <w:bCs w:val="0"/>
        </w:rPr>
      </w:pPr>
      <w:r>
        <w:rPr/>
        <w:t>（</w:t>
      </w:r>
      <w:r>
        <w:rPr>
          <w:rFonts w:ascii="宋体" w:hAnsi="宋体" w:cs="宋体" w:eastAsia="宋体" w:hint="default"/>
        </w:rPr>
        <w:t>1</w:t>
      </w:r>
      <w:r>
        <w:rPr/>
        <w:t>）存货的分类</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240" w:lineRule="auto" w:before="174"/>
        <w:ind w:left="573" w:right="1024"/>
        <w:jc w:val="left"/>
      </w:pPr>
      <w:r>
        <w:rPr/>
        <w:t>本公司存货分为原材料、库存商品、发出商品、周转材料、委托加工物资等。</w:t>
      </w:r>
    </w:p>
    <w:p>
      <w:pPr>
        <w:spacing w:line="240" w:lineRule="auto" w:before="10"/>
        <w:rPr>
          <w:rFonts w:ascii="宋体" w:hAnsi="宋体" w:cs="宋体" w:eastAsia="宋体" w:hint="default"/>
          <w:sz w:val="14"/>
          <w:szCs w:val="14"/>
        </w:rPr>
      </w:pPr>
    </w:p>
    <w:p>
      <w:pPr>
        <w:spacing w:line="408" w:lineRule="auto" w:before="0"/>
        <w:ind w:left="677" w:right="6659" w:hanging="46"/>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各类存货发出时采用个别计价法计价。</w:t>
      </w:r>
    </w:p>
    <w:p>
      <w:pPr>
        <w:spacing w:line="408" w:lineRule="auto" w:before="46"/>
        <w:ind w:left="574" w:right="1024" w:firstLine="57"/>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）不同类别存货可变现净值的确定依据</w:t>
      </w:r>
      <w:r>
        <w:rPr>
          <w:rFonts w:ascii="宋体" w:hAnsi="宋体" w:cs="宋体" w:eastAsia="宋体" w:hint="default"/>
          <w:b/>
          <w:bCs/>
          <w:w w:val="99"/>
          <w:sz w:val="21"/>
          <w:szCs w:val="21"/>
        </w:rPr>
        <w:t> </w:t>
      </w:r>
      <w:r>
        <w:rPr>
          <w:rFonts w:ascii="宋体" w:hAnsi="宋体" w:cs="宋体" w:eastAsia="宋体" w:hint="default"/>
          <w:spacing w:val="-1"/>
          <w:sz w:val="21"/>
          <w:szCs w:val="21"/>
        </w:rPr>
        <w:t>产成品、库存商品和用于出售的材料等直接用于出售的商品存货，在正常生产经营过程中，以该存货</w:t>
      </w:r>
    </w:p>
    <w:p>
      <w:pPr>
        <w:pStyle w:val="BodyText"/>
        <w:spacing w:line="408" w:lineRule="auto"/>
        <w:ind w:left="154" w:right="1131"/>
        <w:jc w:val="both"/>
      </w:pP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BodyText"/>
        <w:spacing w:line="408" w:lineRule="auto"/>
        <w:ind w:left="154"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408" w:lineRule="auto"/>
        <w:ind w:left="154" w:right="1024" w:firstLine="420"/>
        <w:jc w:val="left"/>
      </w:pPr>
      <w:r>
        <w:rPr>
          <w:spacing w:val="-1"/>
        </w:rPr>
        <w:t>除有明确证据表明资产负债表日市场价格异常外，存货项目的可变现净值以资产负债表日市场价格为</w:t>
      </w:r>
      <w:r>
        <w:rPr/>
        <w:t> 基础确定。</w:t>
      </w:r>
    </w:p>
    <w:p>
      <w:pPr>
        <w:pStyle w:val="BodyText"/>
        <w:spacing w:line="240" w:lineRule="auto"/>
        <w:ind w:left="514" w:right="1024"/>
        <w:jc w:val="left"/>
      </w:pPr>
      <w:r>
        <w:rPr/>
        <w:t>本期期末存货项目的可变现净值以资产负债表日市场价格为基础确定。</w:t>
      </w:r>
    </w:p>
    <w:p>
      <w:pPr>
        <w:spacing w:line="240" w:lineRule="auto" w:before="10"/>
        <w:rPr>
          <w:rFonts w:ascii="宋体" w:hAnsi="宋体" w:cs="宋体" w:eastAsia="宋体" w:hint="default"/>
          <w:sz w:val="14"/>
          <w:szCs w:val="14"/>
        </w:rPr>
      </w:pPr>
    </w:p>
    <w:p>
      <w:pPr>
        <w:spacing w:line="408" w:lineRule="auto" w:before="0"/>
        <w:ind w:left="576" w:right="832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pStyle w:val="Heading4"/>
        <w:spacing w:line="240" w:lineRule="auto" w:before="46"/>
        <w:ind w:left="578" w:right="1024"/>
        <w:jc w:val="left"/>
        <w:rPr>
          <w:b w:val="0"/>
          <w:bCs w:val="0"/>
        </w:rPr>
      </w:pPr>
      <w:r>
        <w:rPr/>
        <w:t>（</w:t>
      </w:r>
      <w:r>
        <w:rPr>
          <w:rFonts w:ascii="宋体" w:hAnsi="宋体" w:cs="宋体" w:eastAsia="宋体" w:hint="default"/>
        </w:rPr>
        <w:t>5</w:t>
      </w:r>
      <w:r>
        <w:rPr/>
        <w:t>）低值易耗品的和周转材料的摊销方法</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576" w:right="1024"/>
        <w:jc w:val="left"/>
      </w:pPr>
      <w:r>
        <w:rPr/>
        <w:t>①</w:t>
      </w:r>
      <w:r>
        <w:rPr>
          <w:spacing w:val="-1"/>
        </w:rPr>
        <w:t> </w:t>
      </w:r>
      <w:r>
        <w:rPr/>
        <w:t>低值易耗品采用一次转销法。</w:t>
      </w:r>
    </w:p>
    <w:p>
      <w:pPr>
        <w:spacing w:line="240" w:lineRule="auto" w:before="10"/>
        <w:rPr>
          <w:rFonts w:ascii="宋体" w:hAnsi="宋体" w:cs="宋体" w:eastAsia="宋体" w:hint="default"/>
          <w:sz w:val="14"/>
          <w:szCs w:val="14"/>
        </w:rPr>
      </w:pPr>
    </w:p>
    <w:p>
      <w:pPr>
        <w:pStyle w:val="BodyText"/>
        <w:spacing w:line="408" w:lineRule="auto" w:before="0"/>
        <w:ind w:right="1118" w:firstLine="422"/>
        <w:jc w:val="left"/>
      </w:pPr>
      <w:r>
        <w:rPr/>
        <w:t>②</w:t>
      </w:r>
      <w:r>
        <w:rPr>
          <w:spacing w:val="-27"/>
        </w:rPr>
        <w:t> </w:t>
      </w:r>
      <w:r>
        <w:rPr/>
        <w:t>周转材料采用分次摊销法，在领用或出借周转材料（备品备件）时先摊销其成本的</w:t>
      </w:r>
      <w:r>
        <w:rPr>
          <w:rFonts w:ascii="宋体" w:hAnsi="宋体" w:cs="宋体" w:eastAsia="宋体" w:hint="default"/>
        </w:rPr>
        <w:t>50%</w:t>
      </w:r>
      <w:r>
        <w:rPr/>
        <w:t>，在报废时 再摊销其成本的</w:t>
      </w:r>
      <w:r>
        <w:rPr>
          <w:rFonts w:ascii="宋体" w:hAnsi="宋体" w:cs="宋体" w:eastAsia="宋体" w:hint="default"/>
        </w:rPr>
        <w:t>50%</w:t>
      </w:r>
      <w:r>
        <w:rPr/>
        <w:t>。</w:t>
      </w:r>
    </w:p>
    <w:p>
      <w:pPr>
        <w:spacing w:line="240" w:lineRule="auto" w:before="8"/>
        <w:rPr>
          <w:rFonts w:ascii="宋体" w:hAnsi="宋体" w:cs="宋体" w:eastAsia="宋体" w:hint="default"/>
          <w:sz w:val="20"/>
          <w:szCs w:val="20"/>
        </w:rPr>
      </w:pPr>
    </w:p>
    <w:p>
      <w:pPr>
        <w:pStyle w:val="Heading4"/>
        <w:spacing w:line="240" w:lineRule="auto"/>
        <w:ind w:left="153" w:right="0"/>
        <w:jc w:val="both"/>
        <w:rPr>
          <w:b w:val="0"/>
          <w:bCs w:val="0"/>
        </w:rPr>
      </w:pPr>
      <w:bookmarkStart w:name="13、长期股权投资" w:id="193"/>
      <w:bookmarkEnd w:id="193"/>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30"/>
          <w:szCs w:val="30"/>
        </w:rPr>
      </w:pPr>
    </w:p>
    <w:p>
      <w:pPr>
        <w:spacing w:line="408" w:lineRule="auto" w:before="0"/>
        <w:ind w:left="576" w:right="1024"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共同控制，是指按照相关约定对某项安排所共有的控制，并且该安排的相关活动必须经过分享控制权</w:t>
      </w:r>
    </w:p>
    <w:p>
      <w:pPr>
        <w:pStyle w:val="BodyText"/>
        <w:spacing w:line="408" w:lineRule="auto"/>
        <w:ind w:left="154" w:right="1132"/>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BodyText"/>
        <w:spacing w:line="408" w:lineRule="auto"/>
        <w:ind w:left="154" w:right="1024" w:firstLine="422"/>
        <w:jc w:val="left"/>
      </w:pPr>
      <w:r>
        <w:rPr>
          <w:spacing w:val="-1"/>
        </w:rPr>
        <w:t>重大影响，是指对一个企业的财务和经营决策有参与决策的权力，但并不能够控制或者与其他方一起</w:t>
      </w:r>
      <w:r>
        <w:rPr/>
        <w:t> 共同控制这些政策的制定。本公司能够对被投资单位施加重大影响的，被投资单位为本公司联营企业。</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left="633" w:right="1024"/>
        <w:jc w:val="left"/>
        <w:rPr>
          <w:b w:val="0"/>
          <w:bCs w:val="0"/>
        </w:rPr>
      </w:pPr>
      <w:r>
        <w:rPr/>
        <w:t>（</w:t>
      </w:r>
      <w:r>
        <w:rPr>
          <w:rFonts w:ascii="宋体" w:hAnsi="宋体" w:cs="宋体" w:eastAsia="宋体" w:hint="default"/>
        </w:rPr>
        <w:t>2</w:t>
      </w:r>
      <w:r>
        <w:rPr/>
        <w:t>）初始投资成本的确定</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left="576" w:right="1024"/>
        <w:jc w:val="left"/>
      </w:pPr>
      <w:r>
        <w:rPr/>
        <w:t>① 企业合并形成的长期股权投资 </w:t>
      </w:r>
      <w:r>
        <w:rPr>
          <w:spacing w:val="-1"/>
        </w:rPr>
        <w:t>同一控制下的企业合并：公司以支付现金、转让非现金资产或承担债务方式以及以发行权益性证券作</w:t>
      </w:r>
    </w:p>
    <w:p>
      <w:pPr>
        <w:pStyle w:val="BodyText"/>
        <w:spacing w:line="408" w:lineRule="auto"/>
        <w:ind w:left="154" w:right="1130"/>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0"/>
        </w:rPr>
        <w:t> </w:t>
      </w:r>
      <w:r>
        <w:rPr>
          <w:spacing w:val="-80"/>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pStyle w:val="BodyText"/>
        <w:spacing w:line="408" w:lineRule="auto"/>
        <w:ind w:left="154" w:right="1131" w:firstLine="422"/>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408" w:lineRule="auto"/>
        <w:ind w:left="576" w:right="1024" w:firstLine="1"/>
        <w:jc w:val="left"/>
      </w:pPr>
      <w:r>
        <w:rPr/>
        <w:t>② 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BodyText"/>
        <w:spacing w:line="408" w:lineRule="auto"/>
        <w:ind w:right="113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spacing w:line="408" w:lineRule="auto" w:before="46"/>
        <w:ind w:left="577" w:right="2981" w:hanging="2"/>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 </w:t>
      </w:r>
      <w:r>
        <w:rPr>
          <w:rFonts w:ascii="宋体" w:hAnsi="宋体" w:cs="宋体" w:eastAsia="宋体" w:hint="default"/>
          <w:b/>
          <w:bCs/>
          <w:sz w:val="21"/>
          <w:szCs w:val="21"/>
        </w:rPr>
        <w:t>3</w:t>
      </w:r>
      <w:r>
        <w:rPr>
          <w:rFonts w:ascii="宋体" w:hAnsi="宋体" w:cs="宋体" w:eastAsia="宋体" w:hint="default"/>
          <w:b/>
          <w:bCs/>
          <w:sz w:val="21"/>
          <w:szCs w:val="21"/>
        </w:rPr>
        <w:t>、后续计量及损益确认方法</w:t>
      </w:r>
      <w:r>
        <w:rPr>
          <w:rFonts w:ascii="宋体" w:hAnsi="宋体" w:cs="宋体" w:eastAsia="宋体" w:hint="default"/>
          <w:sz w:val="21"/>
          <w:szCs w:val="21"/>
        </w:rPr>
      </w:r>
    </w:p>
    <w:p>
      <w:pPr>
        <w:pStyle w:val="BodyText"/>
        <w:spacing w:line="408" w:lineRule="auto"/>
        <w:ind w:left="576" w:right="1024"/>
        <w:jc w:val="left"/>
      </w:pPr>
      <w:r>
        <w:rPr/>
        <w:t>① 成本法核算的长期股权投资 </w:t>
      </w:r>
      <w:r>
        <w:rPr>
          <w:spacing w:val="-1"/>
        </w:rPr>
        <w:t>公司对子公司的长期股权投资，采用成本法核算。除取得投资时实际支付的价款或对价中包含的已宣</w:t>
      </w:r>
    </w:p>
    <w:p>
      <w:pPr>
        <w:pStyle w:val="BodyText"/>
        <w:spacing w:line="408" w:lineRule="auto"/>
        <w:ind w:right="1132"/>
        <w:jc w:val="both"/>
      </w:pPr>
      <w:r>
        <w:rPr>
          <w:spacing w:val="-1"/>
        </w:rPr>
        <w:t>告但尚未发放的现金股利或利润外，公司按照享有被投资单位宣告发放的现金股利或利润确认当期投资收</w:t>
      </w:r>
      <w:r>
        <w:rPr>
          <w:spacing w:val="-81"/>
        </w:rPr>
        <w:t> </w:t>
      </w:r>
      <w:r>
        <w:rPr>
          <w:spacing w:val="-81"/>
        </w:rPr>
      </w:r>
      <w:r>
        <w:rPr/>
        <w:t>益。</w:t>
      </w:r>
    </w:p>
    <w:p>
      <w:pPr>
        <w:pStyle w:val="BodyText"/>
        <w:spacing w:line="408" w:lineRule="auto"/>
        <w:ind w:left="576" w:right="1024"/>
        <w:jc w:val="left"/>
      </w:pPr>
      <w:r>
        <w:rPr/>
        <w:t>② 权益法核算的长期股权投资 </w:t>
      </w:r>
      <w:r>
        <w:rPr>
          <w:spacing w:val="-1"/>
        </w:rPr>
        <w:t>对联营企业和合营企业的长期股权投资，采用权益法核算。初始投资成本大于投资时应享有被投资单</w:t>
      </w:r>
    </w:p>
    <w:p>
      <w:pPr>
        <w:pStyle w:val="BodyText"/>
        <w:spacing w:line="408" w:lineRule="auto"/>
        <w:ind w:left="154" w:right="1131"/>
        <w:jc w:val="both"/>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BodyText"/>
        <w:spacing w:line="240" w:lineRule="auto"/>
        <w:ind w:left="576" w:right="1024"/>
        <w:jc w:val="left"/>
      </w:pPr>
      <w:r>
        <w:rPr/>
        <w:t>公司按照应享有或应分担的被投资单位实现的净损益和其他综合收益的份额，分别确认投资收益和其</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他综合收益，同时调整长期股权投资的账面价值；按照被投资单位宣告分派的利润或现金股利计算应享有</w:t>
      </w:r>
      <w:r>
        <w:rPr>
          <w:spacing w:val="-81"/>
        </w:rPr>
        <w:t> </w:t>
      </w:r>
      <w:r>
        <w:rPr>
          <w:spacing w:val="-81"/>
        </w:rPr>
      </w:r>
      <w:r>
        <w:rPr>
          <w:spacing w:val="-1"/>
        </w:rPr>
        <w:t>的部分，相应减少长期股权投资的账面价值；对于被投资单位除净损益、其他综合收益和利润分配以外所</w:t>
      </w:r>
      <w:r>
        <w:rPr>
          <w:spacing w:val="-83"/>
        </w:rPr>
        <w:t> </w:t>
      </w:r>
      <w:r>
        <w:rPr>
          <w:spacing w:val="-83"/>
        </w:rPr>
      </w:r>
      <w:r>
        <w:rPr/>
        <w:t>有者权益的其他变动，调整长期股权投资的账面价值并计入所有者权益。</w:t>
      </w:r>
    </w:p>
    <w:p>
      <w:pPr>
        <w:pStyle w:val="BodyText"/>
        <w:spacing w:line="408" w:lineRule="auto"/>
        <w:ind w:right="1131" w:firstLine="422"/>
        <w:jc w:val="both"/>
      </w:pPr>
      <w:r>
        <w:rPr>
          <w:spacing w:val="3"/>
        </w:rPr>
        <w:t>在确认应享有被投资单位净损益的份额时，以取得投资时被投资单位可辨认净资产的公允价值为基</w:t>
      </w:r>
      <w:r>
        <w:rPr/>
        <w:t> </w:t>
      </w:r>
      <w:r>
        <w:rPr>
          <w:spacing w:val="-1"/>
        </w:rPr>
        <w:t>础，并按照公司的会计政策及会计期间，对被投资单位的净利润进行调整后确认。在持有投资期间，被投</w:t>
      </w:r>
      <w:r>
        <w:rPr>
          <w:spacing w:val="-86"/>
        </w:rPr>
        <w:t> </w:t>
      </w:r>
      <w:r>
        <w:rPr>
          <w:spacing w:val="-86"/>
        </w:rPr>
      </w:r>
      <w:r>
        <w:rPr>
          <w:spacing w:val="-1"/>
        </w:rPr>
        <w:t>资单位编制合并财务报表的，以合并财务报表中的净利润、其他综合收益和其他所有者权益变动中归属于</w:t>
      </w:r>
      <w:r>
        <w:rPr>
          <w:spacing w:val="-81"/>
        </w:rPr>
        <w:t> </w:t>
      </w:r>
      <w:r>
        <w:rPr>
          <w:spacing w:val="-81"/>
        </w:rPr>
      </w:r>
      <w:r>
        <w:rPr/>
        <w:t>被投资单位的金额为基础进行核算。</w:t>
      </w:r>
    </w:p>
    <w:p>
      <w:pPr>
        <w:pStyle w:val="BodyText"/>
        <w:spacing w:line="408" w:lineRule="auto"/>
        <w:ind w:right="1130" w:firstLine="422"/>
        <w:jc w:val="both"/>
      </w:pPr>
      <w:r>
        <w:rPr>
          <w:spacing w:val="3"/>
        </w:rPr>
        <w:t>公司与联营企业、合营企业之间发生的未实现内部交易损益按照应享有的比例计算归属于公司的部</w:t>
      </w:r>
      <w:r>
        <w:rPr/>
        <w:t> </w:t>
      </w:r>
      <w:r>
        <w:rPr>
          <w:spacing w:val="-1"/>
        </w:rPr>
        <w:t>分，予以抵销，在此基础上确认投资收益。与被投资单位发生的未实现内部交易损失，属于资产减值损失</w:t>
      </w:r>
      <w:r>
        <w:rPr>
          <w:spacing w:val="-86"/>
        </w:rPr>
        <w:t> </w:t>
      </w:r>
      <w:r>
        <w:rPr>
          <w:spacing w:val="-86"/>
        </w:rPr>
      </w:r>
      <w:r>
        <w:rPr>
          <w:spacing w:val="-1"/>
        </w:rPr>
        <w:t>的，全额确认。公司与联营企业、合营企业之间发生投出或出售资产的交易，该资产构成业务的，按照本</w:t>
      </w:r>
      <w:r>
        <w:rPr>
          <w:spacing w:val="-83"/>
        </w:rPr>
        <w:t> </w:t>
      </w:r>
      <w:r>
        <w:rPr>
          <w:spacing w:val="-83"/>
        </w:rPr>
      </w:r>
      <w:r>
        <w:rPr>
          <w:spacing w:val="-1"/>
        </w:rPr>
        <w:t>节“五、</w:t>
      </w:r>
      <w:r>
        <w:rPr>
          <w:rFonts w:ascii="宋体" w:hAnsi="宋体" w:cs="宋体" w:eastAsia="宋体" w:hint="default"/>
          <w:spacing w:val="-1"/>
        </w:rPr>
        <w:t>5.</w:t>
      </w:r>
      <w:r>
        <w:rPr>
          <w:spacing w:val="-1"/>
        </w:rPr>
        <w:t>同一控制下和非同一控制下企业合并的会计处理方法”和“五、</w:t>
      </w:r>
      <w:r>
        <w:rPr>
          <w:rFonts w:ascii="宋体" w:hAnsi="宋体" w:cs="宋体" w:eastAsia="宋体" w:hint="default"/>
          <w:spacing w:val="-1"/>
        </w:rPr>
        <w:t>6.</w:t>
      </w:r>
      <w:r>
        <w:rPr>
          <w:spacing w:val="-1"/>
        </w:rPr>
        <w:t>合并财务报表的编制方法”</w:t>
      </w:r>
      <w:r>
        <w:rPr>
          <w:spacing w:val="-82"/>
        </w:rPr>
        <w:t> </w:t>
      </w:r>
      <w:r>
        <w:rPr>
          <w:spacing w:val="-82"/>
        </w:rPr>
      </w:r>
      <w:r>
        <w:rPr/>
        <w:t>中披露的相关政策进行会计处理。</w:t>
      </w:r>
    </w:p>
    <w:p>
      <w:pPr>
        <w:pStyle w:val="BodyText"/>
        <w:spacing w:line="408" w:lineRule="auto"/>
        <w:ind w:right="1131" w:firstLine="422"/>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pStyle w:val="BodyText"/>
        <w:spacing w:line="408" w:lineRule="auto"/>
        <w:ind w:left="576" w:right="3610"/>
        <w:jc w:val="left"/>
      </w:pPr>
      <w:r>
        <w:rPr/>
        <w:t>③ 长期股权投资的处置 处置长期股权投资，其账面价值与实际取得价款的差额，计入当期损益。</w:t>
      </w:r>
    </w:p>
    <w:p>
      <w:pPr>
        <w:pStyle w:val="BodyText"/>
        <w:spacing w:line="408" w:lineRule="auto"/>
        <w:ind w:right="1131" w:firstLine="422"/>
        <w:jc w:val="both"/>
      </w:pPr>
      <w:r>
        <w:rPr>
          <w:spacing w:val="-1"/>
        </w:rPr>
        <w:t>采用权益法核算的长期股权投资，在处置该项投资时，采用与被投资单位直接处置相关资产或负债相</w:t>
      </w:r>
      <w:r>
        <w:rPr/>
        <w:t> </w:t>
      </w: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r>
        <w:rPr>
          <w:spacing w:val="-81"/>
        </w:rPr>
        <w:t> </w:t>
      </w:r>
      <w:r>
        <w:rPr>
          <w:spacing w:val="-81"/>
        </w:rPr>
      </w:r>
      <w:r>
        <w:rPr/>
        <w:t>新计量设定受益计划净负债或净资产变动而产生的其他综合收益除外。</w:t>
      </w:r>
    </w:p>
    <w:p>
      <w:pPr>
        <w:pStyle w:val="BodyText"/>
        <w:spacing w:line="408" w:lineRule="auto"/>
        <w:ind w:right="1131" w:firstLine="422"/>
        <w:jc w:val="both"/>
      </w:pPr>
      <w:r>
        <w:rPr>
          <w:spacing w:val="-1"/>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BodyText"/>
        <w:spacing w:line="408" w:lineRule="auto"/>
        <w:ind w:right="1131" w:firstLine="422"/>
        <w:jc w:val="both"/>
      </w:pPr>
      <w:r>
        <w:rPr>
          <w:spacing w:val="-1"/>
        </w:rPr>
        <w:t>因处置部分股权投资等原因丧失了对被投资单位控制权的，在编制个别财务报表时，处置后的剩余股</w:t>
      </w:r>
      <w:r>
        <w:rPr/>
        <w:t> </w:t>
      </w:r>
      <w:r>
        <w:rPr>
          <w:spacing w:val="-1"/>
        </w:rPr>
        <w:t>权能够对被投资单位实施共同控制或重大影响的，改按权益法核算，并对该剩余股权视同自取得时即采用</w:t>
      </w:r>
      <w:r>
        <w:rPr>
          <w:spacing w:val="-81"/>
        </w:rPr>
        <w:t> </w:t>
      </w:r>
      <w:r>
        <w:rPr>
          <w:spacing w:val="-81"/>
        </w:rPr>
      </w:r>
      <w:r>
        <w:rPr>
          <w:spacing w:val="-1"/>
        </w:rPr>
        <w:t>权益法核算进行调整；处置后的剩余股权不能对被投资单位实施共同控制或施加重大影响的，改按金融工</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spacing w:val="-1"/>
        </w:rPr>
        <w:t>具确认和计量准则的有关规定进行会计处理，其在丧失控制之日的公允价值与账面价值间的差额计入当期</w:t>
      </w:r>
      <w:r>
        <w:rPr>
          <w:spacing w:val="-81"/>
        </w:rPr>
        <w:t> </w:t>
      </w:r>
      <w:r>
        <w:rPr>
          <w:spacing w:val="-81"/>
        </w:rPr>
      </w:r>
      <w:r>
        <w:rPr/>
        <w:t>损益。</w:t>
      </w:r>
    </w:p>
    <w:p>
      <w:pPr>
        <w:pStyle w:val="BodyText"/>
        <w:spacing w:line="408" w:lineRule="auto"/>
        <w:ind w:right="1131" w:firstLine="422"/>
        <w:jc w:val="both"/>
      </w:pPr>
      <w:r>
        <w:rPr>
          <w:spacing w:val="-1"/>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line="240" w:lineRule="auto" w:before="8"/>
        <w:rPr>
          <w:rFonts w:ascii="宋体" w:hAnsi="宋体" w:cs="宋体" w:eastAsia="宋体" w:hint="default"/>
          <w:sz w:val="20"/>
          <w:szCs w:val="20"/>
        </w:rPr>
      </w:pPr>
    </w:p>
    <w:p>
      <w:pPr>
        <w:pStyle w:val="Heading4"/>
        <w:spacing w:line="240" w:lineRule="auto"/>
        <w:ind w:left="153" w:right="1024"/>
        <w:jc w:val="left"/>
        <w:rPr>
          <w:b w:val="0"/>
          <w:bCs w:val="0"/>
        </w:rPr>
      </w:pPr>
      <w:bookmarkStart w:name="14、固定资产" w:id="194"/>
      <w:bookmarkEnd w:id="194"/>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确认条件" w:id="195"/>
      <w:bookmarkEnd w:id="19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410" w:lineRule="auto" w:before="0"/>
        <w:ind w:left="154" w:right="1133" w:firstLine="423"/>
        <w:jc w:val="both"/>
      </w:pPr>
      <w:r>
        <w:rPr>
          <w:spacing w:val="-1"/>
        </w:rPr>
        <w:t>固定资产指为生产商品、提供劳务、出租或经营管理而持有，并且使用寿命超过一个会计年度的有形</w:t>
      </w:r>
      <w:r>
        <w:rPr/>
        <w:t> 资产。固定资产在同时满足下列条件时予以确认：</w:t>
      </w:r>
    </w:p>
    <w:p>
      <w:pPr>
        <w:pStyle w:val="BodyText"/>
        <w:spacing w:line="240" w:lineRule="auto" w:before="83"/>
        <w:ind w:left="577" w:right="1024"/>
        <w:jc w:val="left"/>
      </w:pPr>
      <w:r>
        <w:rPr/>
        <w:t>①</w:t>
      </w:r>
      <w:r>
        <w:rPr>
          <w:spacing w:val="-1"/>
        </w:rPr>
        <w:t> </w:t>
      </w:r>
      <w:r>
        <w:rPr/>
        <w:t>与该固定资产有关的经济利益很可能流入企业；</w:t>
      </w:r>
    </w:p>
    <w:p>
      <w:pPr>
        <w:spacing w:line="240" w:lineRule="auto" w:before="12"/>
        <w:rPr>
          <w:rFonts w:ascii="宋体" w:hAnsi="宋体" w:cs="宋体" w:eastAsia="宋体" w:hint="default"/>
          <w:sz w:val="17"/>
          <w:szCs w:val="17"/>
        </w:rPr>
      </w:pPr>
    </w:p>
    <w:p>
      <w:pPr>
        <w:pStyle w:val="BodyText"/>
        <w:spacing w:line="240" w:lineRule="auto" w:before="0"/>
        <w:ind w:left="577" w:right="1024"/>
        <w:jc w:val="left"/>
      </w:pPr>
      <w:r>
        <w:rPr/>
        <w:t>②</w:t>
      </w:r>
      <w:r>
        <w:rPr>
          <w:spacing w:val="-1"/>
        </w:rPr>
        <w:t> </w:t>
      </w:r>
      <w:r>
        <w:rPr/>
        <w:t>该固定资产的成本能够可靠地计量。</w:t>
      </w:r>
    </w:p>
    <w:p>
      <w:pPr>
        <w:spacing w:line="240" w:lineRule="auto" w:before="0"/>
        <w:rPr>
          <w:rFonts w:ascii="宋体" w:hAnsi="宋体" w:cs="宋体" w:eastAsia="宋体" w:hint="default"/>
          <w:sz w:val="20"/>
          <w:szCs w:val="20"/>
        </w:rPr>
      </w:pPr>
    </w:p>
    <w:p>
      <w:pPr>
        <w:pStyle w:val="Heading4"/>
        <w:spacing w:line="240" w:lineRule="auto" w:before="152"/>
        <w:ind w:left="153" w:right="1024"/>
        <w:jc w:val="left"/>
        <w:rPr>
          <w:b w:val="0"/>
          <w:bCs w:val="0"/>
        </w:rPr>
      </w:pPr>
      <w:bookmarkStart w:name="（2）折旧方法" w:id="196"/>
      <w:bookmarkEnd w:id="19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1.9 -</w:t>
            </w:r>
            <w:r>
              <w:rPr>
                <w:rFonts w:ascii="Times New Roman"/>
                <w:spacing w:val="-1"/>
                <w:sz w:val="18"/>
              </w:rPr>
              <w:t> </w:t>
            </w: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b/>
          <w:bCs/>
          <w:sz w:val="5"/>
          <w:szCs w:val="5"/>
        </w:rPr>
      </w:pPr>
    </w:p>
    <w:p>
      <w:pPr>
        <w:pStyle w:val="BodyText"/>
        <w:spacing w:line="408" w:lineRule="auto" w:before="35"/>
        <w:ind w:right="1131" w:firstLine="423"/>
        <w:jc w:val="both"/>
      </w:pPr>
      <w:r>
        <w:rPr>
          <w:spacing w:val="-1"/>
        </w:rPr>
        <w:t>固定资产折旧采用年限平均法分类计提，根据固定资产类别、预计使用寿命和预计净残值率确定折旧</w:t>
      </w:r>
      <w:r>
        <w:rPr/>
        <w:t> </w:t>
      </w:r>
      <w:r>
        <w:rPr>
          <w:spacing w:val="-1"/>
        </w:rPr>
        <w:t>率。如固定资产各组成部分的使用寿命不同或者以不同方式为企业提供经济利益，则选择不同折旧率或折</w:t>
      </w:r>
      <w:r>
        <w:rPr>
          <w:spacing w:val="-81"/>
        </w:rPr>
        <w:t> </w:t>
      </w:r>
      <w:r>
        <w:rPr>
          <w:spacing w:val="-81"/>
        </w:rPr>
      </w:r>
      <w:r>
        <w:rPr/>
        <w:t>旧方法，分别计提折旧。</w:t>
      </w:r>
    </w:p>
    <w:p>
      <w:pPr>
        <w:spacing w:line="240" w:lineRule="auto" w:before="6"/>
        <w:rPr>
          <w:rFonts w:ascii="宋体" w:hAnsi="宋体" w:cs="宋体" w:eastAsia="宋体" w:hint="default"/>
          <w:sz w:val="20"/>
          <w:szCs w:val="20"/>
        </w:rPr>
      </w:pPr>
    </w:p>
    <w:p>
      <w:pPr>
        <w:pStyle w:val="Heading4"/>
        <w:spacing w:line="240" w:lineRule="auto"/>
        <w:ind w:right="1024"/>
        <w:jc w:val="left"/>
        <w:rPr>
          <w:b w:val="0"/>
          <w:bCs w:val="0"/>
        </w:rPr>
      </w:pPr>
      <w:bookmarkStart w:name="（3）融资租入固定资产的认定依据、计价和折旧方法" w:id="197"/>
      <w:bookmarkEnd w:id="19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30"/>
          <w:szCs w:val="30"/>
        </w:rPr>
      </w:pPr>
    </w:p>
    <w:p>
      <w:pPr>
        <w:pStyle w:val="BodyText"/>
        <w:spacing w:line="410" w:lineRule="auto" w:before="0"/>
        <w:ind w:left="154" w:right="1131" w:firstLine="423"/>
        <w:jc w:val="both"/>
      </w:pPr>
      <w:r>
        <w:rPr>
          <w:spacing w:val="-1"/>
        </w:rPr>
        <w:t>融资租赁方式租入的固定资产，能合理确定租赁期届满时将会取得租赁资产所有权的，在租赁资产尚</w:t>
      </w:r>
      <w:r>
        <w:rPr/>
        <w:t> </w:t>
      </w:r>
      <w:r>
        <w:rPr>
          <w:spacing w:val="-1"/>
        </w:rPr>
        <w:t>可使用年限内计提折旧；无法合理确定租赁期届满时能够取得租赁资产所有权的，在租赁期与租赁资产尚</w:t>
      </w:r>
      <w:r>
        <w:rPr>
          <w:spacing w:val="-81"/>
        </w:rPr>
        <w:t> </w:t>
      </w:r>
      <w:r>
        <w:rPr>
          <w:spacing w:val="-81"/>
        </w:rPr>
      </w:r>
      <w:r>
        <w:rPr/>
        <w:t>可使用年限两者中较短的期间内计提折旧。</w:t>
      </w:r>
    </w:p>
    <w:p>
      <w:pPr>
        <w:spacing w:after="0" w:line="41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15、在建工程" w:id="198"/>
      <w:bookmarkEnd w:id="198"/>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54" w:right="1023" w:firstLine="423"/>
        <w:jc w:val="left"/>
      </w:pPr>
      <w:r>
        <w:rPr/>
        <w:t>在建工程项目按建造该项资产达到预定可使用状态前所发生的必要支出，作为固定资产的入账价值。 </w:t>
      </w:r>
      <w:r>
        <w:rPr>
          <w:spacing w:val="-3"/>
        </w:rPr>
        <w:t>所建造的固定资产在工程已达到预定可使用状态，但尚未办理竣工决算的，自达到预定可使用状态之日起，</w:t>
      </w:r>
      <w:r>
        <w:rPr>
          <w:spacing w:val="-92"/>
        </w:rPr>
        <w:t> </w:t>
      </w:r>
      <w:r>
        <w:rPr>
          <w:spacing w:val="-92"/>
        </w:rPr>
      </w:r>
      <w:r>
        <w:rPr/>
        <w:t>根据工程预算、造价或者工程实际成本等，按估计的价值转入固定资产，并按本公司固定资产折旧政策计</w:t>
      </w:r>
      <w:r>
        <w:rPr/>
        <w:t> </w:t>
      </w:r>
      <w:r>
        <w:rPr>
          <w:spacing w:val="-3"/>
        </w:rPr>
        <w:t>提固定资产的折旧，待办理竣工决算后，再按实际成本调整原来的暂估价值，但不调整原已计提的折旧额。</w:t>
      </w:r>
    </w:p>
    <w:p>
      <w:pPr>
        <w:spacing w:line="240" w:lineRule="auto" w:before="5"/>
        <w:rPr>
          <w:rFonts w:ascii="宋体" w:hAnsi="宋体" w:cs="宋体" w:eastAsia="宋体" w:hint="default"/>
          <w:sz w:val="20"/>
          <w:szCs w:val="20"/>
        </w:rPr>
      </w:pPr>
    </w:p>
    <w:p>
      <w:pPr>
        <w:pStyle w:val="Heading4"/>
        <w:spacing w:line="240" w:lineRule="auto"/>
        <w:ind w:right="1024"/>
        <w:jc w:val="left"/>
        <w:rPr>
          <w:b w:val="0"/>
          <w:bCs w:val="0"/>
        </w:rPr>
      </w:pPr>
      <w:bookmarkStart w:name="16、无形资产" w:id="199"/>
      <w:bookmarkEnd w:id="199"/>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计价方法、使用寿命、减值测试" w:id="200"/>
      <w:bookmarkEnd w:id="20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spacing w:line="376" w:lineRule="auto" w:before="0"/>
        <w:ind w:left="577" w:right="6129" w:hanging="334"/>
        <w:jc w:val="left"/>
        <w:rPr>
          <w:rFonts w:ascii="宋体" w:hAnsi="宋体" w:cs="宋体" w:eastAsia="宋体" w:hint="default"/>
          <w:sz w:val="21"/>
          <w:szCs w:val="21"/>
        </w:rPr>
      </w:pPr>
      <w:r>
        <w:rPr>
          <w:rFonts w:ascii="宋体" w:hAnsi="宋体" w:cs="宋体" w:eastAsia="宋体" w:hint="default"/>
          <w:b/>
          <w:bCs/>
          <w:sz w:val="21"/>
          <w:szCs w:val="21"/>
        </w:rPr>
        <w:t>①</w:t>
      </w:r>
      <w:r>
        <w:rPr>
          <w:rFonts w:ascii="宋体" w:hAnsi="宋体" w:cs="宋体" w:eastAsia="宋体" w:hint="default"/>
          <w:b/>
          <w:bCs/>
          <w:spacing w:val="-1"/>
          <w:sz w:val="21"/>
          <w:szCs w:val="21"/>
        </w:rPr>
        <w:t> </w:t>
      </w:r>
      <w:r>
        <w:rPr>
          <w:rFonts w:ascii="宋体" w:hAnsi="宋体" w:cs="宋体" w:eastAsia="宋体" w:hint="default"/>
          <w:b/>
          <w:bCs/>
          <w:sz w:val="21"/>
          <w:szCs w:val="21"/>
        </w:rPr>
        <w:t>无形资产的计价方法</w:t>
      </w:r>
      <w:r>
        <w:rPr>
          <w:rFonts w:ascii="宋体" w:hAnsi="宋体" w:cs="宋体" w:eastAsia="宋体" w:hint="default"/>
          <w:b/>
          <w:bCs/>
          <w:w w:val="99"/>
          <w:sz w:val="21"/>
          <w:szCs w:val="21"/>
        </w:rPr>
        <w:t> </w:t>
      </w:r>
      <w:r>
        <w:rPr>
          <w:rFonts w:ascii="宋体" w:hAnsi="宋体" w:cs="宋体" w:eastAsia="宋体" w:hint="default"/>
          <w:sz w:val="21"/>
          <w:szCs w:val="21"/>
        </w:rPr>
        <w:t>a.</w:t>
      </w:r>
      <w:r>
        <w:rPr>
          <w:rFonts w:ascii="宋体" w:hAnsi="宋体" w:cs="宋体" w:eastAsia="宋体" w:hint="default"/>
          <w:sz w:val="21"/>
          <w:szCs w:val="21"/>
        </w:rPr>
        <w:t>公司取得无形资产时按成本进行初始计量；</w:t>
      </w:r>
    </w:p>
    <w:p>
      <w:pPr>
        <w:pStyle w:val="BodyText"/>
        <w:spacing w:line="410" w:lineRule="auto" w:before="113"/>
        <w:ind w:left="154" w:right="1131" w:firstLine="423"/>
        <w:jc w:val="both"/>
      </w:pPr>
      <w:r>
        <w:rPr>
          <w:spacing w:val="-1"/>
        </w:rPr>
        <w:t>外购无形资产的成本，包括购买价款、相关税费以及直接归属于使该项资产达到预定用途所发生的其</w:t>
      </w:r>
      <w:r>
        <w:rPr/>
        <w:t> </w:t>
      </w: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410" w:lineRule="auto" w:before="82"/>
        <w:ind w:left="154" w:right="1133" w:firstLine="423"/>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408" w:lineRule="auto" w:before="83"/>
        <w:ind w:left="154" w:right="1131" w:firstLine="423"/>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444" w:lineRule="auto" w:before="87"/>
        <w:ind w:left="577" w:right="6549"/>
        <w:jc w:val="left"/>
      </w:pPr>
      <w:r>
        <w:rPr>
          <w:rFonts w:ascii="宋体" w:hAnsi="宋体" w:cs="宋体" w:eastAsia="宋体" w:hint="default"/>
        </w:rPr>
        <w:t>b.</w:t>
      </w:r>
      <w:r>
        <w:rPr/>
        <w:t>后续计量 在取得无形资产时分析判断其使用寿命。</w:t>
      </w:r>
    </w:p>
    <w:p>
      <w:pPr>
        <w:pStyle w:val="BodyText"/>
        <w:spacing w:line="410" w:lineRule="auto" w:before="53"/>
        <w:ind w:left="154" w:right="1133" w:firstLine="423"/>
        <w:jc w:val="both"/>
      </w:pPr>
      <w:r>
        <w:rPr>
          <w:spacing w:val="-1"/>
        </w:rPr>
        <w:t>对于使用寿命有限的无形资产，在为企业带来经济利益的期限内按直线法摊销；无法预见无形资产为</w:t>
      </w:r>
      <w:r>
        <w:rPr/>
        <w:t> 企业带来经济利益期限的，视为使用寿命不确定的无形资产，不予摊销。</w:t>
      </w:r>
    </w:p>
    <w:p>
      <w:pPr>
        <w:pStyle w:val="Heading4"/>
        <w:spacing w:line="240" w:lineRule="auto" w:before="5"/>
        <w:ind w:left="545" w:right="1024"/>
        <w:jc w:val="left"/>
        <w:rPr>
          <w:b w:val="0"/>
          <w:bCs w:val="0"/>
        </w:rPr>
      </w:pPr>
      <w:r>
        <w:rPr/>
        <w:t>②</w:t>
      </w:r>
      <w:r>
        <w:rPr>
          <w:spacing w:val="-6"/>
        </w:rPr>
        <w:t> </w:t>
      </w:r>
      <w:r>
        <w:rPr/>
        <w:t>使用寿命有限的无形资产的使用寿命估计情况：</w:t>
      </w:r>
      <w:r>
        <w:rPr>
          <w:b w:val="0"/>
          <w:bCs w:val="0"/>
        </w:rPr>
      </w:r>
    </w:p>
    <w:p>
      <w:pPr>
        <w:spacing w:line="240" w:lineRule="auto" w:before="13"/>
        <w:rPr>
          <w:rFonts w:ascii="宋体" w:hAnsi="宋体" w:cs="宋体" w:eastAsia="宋体" w:hint="default"/>
          <w:b/>
          <w:bCs/>
          <w:sz w:val="3"/>
          <w:szCs w:val="3"/>
        </w:rPr>
      </w:pPr>
    </w:p>
    <w:tbl>
      <w:tblPr>
        <w:tblW w:w="0" w:type="auto"/>
        <w:jc w:val="left"/>
        <w:tblInd w:w="858" w:type="dxa"/>
        <w:tblLayout w:type="fixed"/>
        <w:tblCellMar>
          <w:top w:w="0" w:type="dxa"/>
          <w:left w:w="0" w:type="dxa"/>
          <w:bottom w:w="0" w:type="dxa"/>
          <w:right w:w="0" w:type="dxa"/>
        </w:tblCellMar>
        <w:tblLook w:val="01E0"/>
      </w:tblPr>
      <w:tblGrid>
        <w:gridCol w:w="2552"/>
        <w:gridCol w:w="2555"/>
        <w:gridCol w:w="2554"/>
      </w:tblGrid>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预计使用寿命（年）</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依</w:t>
            </w:r>
            <w:r>
              <w:rPr>
                <w:rFonts w:ascii="宋体" w:hAnsi="宋体" w:cs="宋体" w:eastAsia="宋体" w:hint="default"/>
                <w:spacing w:val="63"/>
                <w:sz w:val="21"/>
                <w:szCs w:val="21"/>
              </w:rPr>
              <w:t> </w:t>
            </w:r>
            <w:r>
              <w:rPr>
                <w:rFonts w:ascii="宋体" w:hAnsi="宋体" w:cs="宋体" w:eastAsia="宋体" w:hint="default"/>
                <w:sz w:val="21"/>
                <w:szCs w:val="21"/>
              </w:rPr>
              <w:t>据</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5</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24" w:right="0"/>
              <w:jc w:val="left"/>
              <w:rPr>
                <w:rFonts w:ascii="宋体" w:hAnsi="宋体" w:cs="宋体" w:eastAsia="宋体" w:hint="default"/>
                <w:sz w:val="21"/>
                <w:szCs w:val="21"/>
              </w:rPr>
            </w:pPr>
            <w:r>
              <w:rPr>
                <w:rFonts w:ascii="宋体" w:hAnsi="宋体" w:cs="宋体" w:eastAsia="宋体" w:hint="default"/>
                <w:sz w:val="21"/>
                <w:szCs w:val="21"/>
              </w:rPr>
              <w:t>预计受益年限</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50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24" w:right="0"/>
              <w:jc w:val="left"/>
              <w:rPr>
                <w:rFonts w:ascii="宋体" w:hAnsi="宋体" w:cs="宋体" w:eastAsia="宋体" w:hint="default"/>
                <w:sz w:val="21"/>
                <w:szCs w:val="21"/>
              </w:rPr>
            </w:pPr>
            <w:r>
              <w:rPr>
                <w:rFonts w:ascii="宋体" w:hAnsi="宋体" w:cs="宋体" w:eastAsia="宋体" w:hint="default"/>
                <w:sz w:val="21"/>
                <w:szCs w:val="21"/>
              </w:rPr>
              <w:t>土地使用权证</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10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24" w:right="0"/>
              <w:jc w:val="left"/>
              <w:rPr>
                <w:rFonts w:ascii="宋体" w:hAnsi="宋体" w:cs="宋体" w:eastAsia="宋体" w:hint="default"/>
                <w:sz w:val="21"/>
                <w:szCs w:val="21"/>
              </w:rPr>
            </w:pPr>
            <w:r>
              <w:rPr>
                <w:rFonts w:ascii="宋体" w:hAnsi="宋体" w:cs="宋体" w:eastAsia="宋体" w:hint="default"/>
                <w:sz w:val="21"/>
                <w:szCs w:val="21"/>
              </w:rPr>
              <w:t>专利权有效期限</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10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24" w:right="0"/>
              <w:jc w:val="left"/>
              <w:rPr>
                <w:rFonts w:ascii="宋体" w:hAnsi="宋体" w:cs="宋体" w:eastAsia="宋体" w:hint="default"/>
                <w:sz w:val="21"/>
                <w:szCs w:val="21"/>
              </w:rPr>
            </w:pPr>
            <w:r>
              <w:rPr>
                <w:rFonts w:ascii="宋体" w:hAnsi="宋体" w:cs="宋体" w:eastAsia="宋体" w:hint="default"/>
                <w:sz w:val="21"/>
                <w:szCs w:val="21"/>
              </w:rPr>
              <w:t>预计受益年限</w:t>
            </w:r>
          </w:p>
        </w:tc>
      </w:tr>
    </w:tbl>
    <w:p>
      <w:pPr>
        <w:spacing w:line="240" w:lineRule="auto" w:before="3"/>
        <w:rPr>
          <w:rFonts w:ascii="宋体" w:hAnsi="宋体" w:cs="宋体" w:eastAsia="宋体" w:hint="default"/>
          <w:b/>
          <w:bCs/>
          <w:sz w:val="5"/>
          <w:szCs w:val="5"/>
        </w:rPr>
      </w:pPr>
    </w:p>
    <w:p>
      <w:pPr>
        <w:pStyle w:val="BodyText"/>
        <w:spacing w:line="240" w:lineRule="auto" w:before="35"/>
        <w:ind w:left="661" w:right="1024"/>
        <w:jc w:val="left"/>
      </w:pPr>
      <w:r>
        <w:rPr/>
        <w:t>每期末，对使用寿命有限的无形资产的使用寿命及摊销方法进行复核。</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683" w:right="1024"/>
        <w:jc w:val="left"/>
      </w:pPr>
      <w:r>
        <w:rPr/>
        <w:t>经复核，本年期末无形资产的使用寿命及摊销方法与以前估计未有不同。</w:t>
      </w:r>
    </w:p>
    <w:p>
      <w:pPr>
        <w:spacing w:line="376" w:lineRule="auto" w:before="153"/>
        <w:ind w:left="577" w:right="3325" w:hanging="51"/>
        <w:jc w:val="left"/>
        <w:rPr>
          <w:rFonts w:ascii="宋体" w:hAnsi="宋体" w:cs="宋体" w:eastAsia="宋体" w:hint="default"/>
          <w:sz w:val="21"/>
          <w:szCs w:val="21"/>
        </w:rPr>
      </w:pPr>
      <w:r>
        <w:rPr>
          <w:rFonts w:ascii="宋体" w:hAnsi="宋体" w:cs="宋体" w:eastAsia="宋体" w:hint="default"/>
          <w:b/>
          <w:bCs/>
          <w:sz w:val="21"/>
          <w:szCs w:val="21"/>
        </w:rPr>
        <w:t>③</w:t>
      </w:r>
      <w:r>
        <w:rPr>
          <w:rFonts w:ascii="宋体" w:hAnsi="宋体" w:cs="宋体" w:eastAsia="宋体" w:hint="default"/>
          <w:b/>
          <w:bCs/>
          <w:spacing w:val="-8"/>
          <w:sz w:val="21"/>
          <w:szCs w:val="21"/>
        </w:rPr>
        <w:t> </w:t>
      </w:r>
      <w:r>
        <w:rPr>
          <w:rFonts w:ascii="宋体" w:hAnsi="宋体" w:cs="宋体" w:eastAsia="宋体" w:hint="default"/>
          <w:b/>
          <w:bCs/>
          <w:sz w:val="21"/>
          <w:szCs w:val="21"/>
        </w:rPr>
        <w:t>使用寿命不确定的无形资产的判断依据以及对其使用寿命进行复核的程序</w:t>
      </w:r>
      <w:r>
        <w:rPr>
          <w:rFonts w:ascii="宋体" w:hAnsi="宋体" w:cs="宋体" w:eastAsia="宋体" w:hint="default"/>
          <w:b/>
          <w:bCs/>
          <w:w w:val="99"/>
          <w:sz w:val="21"/>
          <w:szCs w:val="21"/>
        </w:rPr>
        <w:t> </w:t>
      </w:r>
      <w:r>
        <w:rPr>
          <w:rFonts w:ascii="宋体" w:hAnsi="宋体" w:cs="宋体" w:eastAsia="宋体" w:hint="default"/>
          <w:sz w:val="21"/>
          <w:szCs w:val="21"/>
        </w:rPr>
        <w:t>截至资产负债表日</w:t>
      </w:r>
      <w:r>
        <w:rPr>
          <w:rFonts w:ascii="宋体" w:hAnsi="宋体" w:cs="宋体" w:eastAsia="宋体" w:hint="default"/>
          <w:sz w:val="21"/>
          <w:szCs w:val="21"/>
        </w:rPr>
        <w:t>,</w:t>
      </w:r>
      <w:r>
        <w:rPr>
          <w:rFonts w:ascii="宋体" w:hAnsi="宋体" w:cs="宋体" w:eastAsia="宋体" w:hint="default"/>
          <w:sz w:val="21"/>
          <w:szCs w:val="21"/>
        </w:rPr>
        <w:t>本公司没有使用寿命不确定的无形资产。</w:t>
      </w:r>
    </w:p>
    <w:p>
      <w:pPr>
        <w:spacing w:line="240" w:lineRule="auto" w:before="8"/>
        <w:rPr>
          <w:rFonts w:ascii="宋体" w:hAnsi="宋体" w:cs="宋体" w:eastAsia="宋体" w:hint="default"/>
          <w:sz w:val="22"/>
          <w:szCs w:val="22"/>
        </w:rPr>
      </w:pPr>
    </w:p>
    <w:p>
      <w:pPr>
        <w:pStyle w:val="Heading4"/>
        <w:spacing w:line="240" w:lineRule="auto"/>
        <w:ind w:left="153" w:right="0"/>
        <w:jc w:val="both"/>
        <w:rPr>
          <w:b w:val="0"/>
          <w:bCs w:val="0"/>
        </w:rPr>
      </w:pPr>
      <w:bookmarkStart w:name="（2）内部研究开发支出会计政策" w:id="201"/>
      <w:bookmarkEnd w:id="20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30"/>
          <w:szCs w:val="30"/>
        </w:rPr>
      </w:pPr>
    </w:p>
    <w:p>
      <w:pPr>
        <w:pStyle w:val="BodyText"/>
        <w:spacing w:line="410" w:lineRule="auto" w:before="0"/>
        <w:ind w:right="1131" w:firstLine="423"/>
        <w:jc w:val="both"/>
      </w:pPr>
      <w:r>
        <w:rPr>
          <w:spacing w:val="-1"/>
        </w:rPr>
        <w:t>公司制定了研发项目管理制度，明确每个研发项目均需要经过项目调研、立项申请、立项评审、项目</w:t>
      </w:r>
      <w:r>
        <w:rPr/>
        <w:t> 启动、项目过程管理、项目阶段评估和项目验收阶段。</w:t>
      </w:r>
    </w:p>
    <w:p>
      <w:pPr>
        <w:pStyle w:val="BodyText"/>
        <w:spacing w:line="441" w:lineRule="auto" w:before="83"/>
        <w:ind w:left="577" w:right="1024"/>
        <w:jc w:val="left"/>
      </w:pPr>
      <w:r>
        <w:rPr/>
        <w:t>研发费用的会计处理方式为： </w:t>
      </w:r>
      <w:r>
        <w:rPr>
          <w:spacing w:val="-1"/>
        </w:rPr>
        <w:t>将研究阶段和不符合资本化条件的开发阶段的费用计入“研发支出—费用化”科目进行核算，月底一</w:t>
      </w:r>
    </w:p>
    <w:p>
      <w:pPr>
        <w:pStyle w:val="BodyText"/>
        <w:spacing w:line="444" w:lineRule="auto" w:before="18"/>
        <w:ind w:left="683" w:right="1193" w:hanging="530"/>
        <w:jc w:val="left"/>
      </w:pPr>
      <w:r>
        <w:rPr/>
        <w:t>次性费用化，结转计入当期损益； 将符合资本化条件的开发阶段的费用计入“研发支出—资本化”科目进行归集核算，具体操作过程</w:t>
      </w:r>
    </w:p>
    <w:p>
      <w:pPr>
        <w:pStyle w:val="BodyText"/>
        <w:spacing w:line="240" w:lineRule="auto" w:before="16"/>
        <w:ind w:right="0"/>
        <w:jc w:val="both"/>
      </w:pPr>
      <w:r>
        <w:rPr/>
        <w:t>如下：</w:t>
      </w:r>
    </w:p>
    <w:p>
      <w:pPr>
        <w:spacing w:line="240" w:lineRule="auto" w:before="10"/>
        <w:rPr>
          <w:rFonts w:ascii="宋体" w:hAnsi="宋体" w:cs="宋体" w:eastAsia="宋体" w:hint="default"/>
          <w:sz w:val="17"/>
          <w:szCs w:val="17"/>
        </w:rPr>
      </w:pPr>
    </w:p>
    <w:p>
      <w:pPr>
        <w:pStyle w:val="BodyText"/>
        <w:spacing w:line="441" w:lineRule="auto" w:before="0"/>
        <w:ind w:left="577" w:right="1024"/>
        <w:jc w:val="left"/>
      </w:pPr>
      <w:r>
        <w:rPr/>
        <w:t>① 研发费用资本化开始时点： </w:t>
      </w:r>
      <w:r>
        <w:rPr>
          <w:spacing w:val="-1"/>
        </w:rPr>
        <w:t>在形成《项目可行性研究报告》后由公司组织项目评审组对项目的技术可行性、方案可行性、研发产</w:t>
      </w:r>
    </w:p>
    <w:p>
      <w:pPr>
        <w:pStyle w:val="BodyText"/>
        <w:spacing w:line="410" w:lineRule="auto" w:before="16"/>
        <w:ind w:right="1130"/>
        <w:jc w:val="both"/>
      </w:pPr>
      <w:r>
        <w:rPr>
          <w:spacing w:val="-1"/>
        </w:rPr>
        <w:t>品未来市场情况、投资收益、投资风险、预算的合理性和项目资金的落实情况进行评审。通过评审形成立</w:t>
      </w:r>
      <w:r>
        <w:rPr>
          <w:spacing w:val="-86"/>
        </w:rPr>
        <w:t> </w:t>
      </w:r>
      <w:r>
        <w:rPr>
          <w:spacing w:val="-86"/>
        </w:rPr>
      </w:r>
      <w:r>
        <w:rPr>
          <w:spacing w:val="-1"/>
        </w:rPr>
        <w:t>项通知书，此时为研发费用资本化开始时点。项目资本化开始后产生的相关费用在“研发支出—资本化”</w:t>
      </w:r>
      <w:r>
        <w:rPr>
          <w:spacing w:val="-80"/>
        </w:rPr>
        <w:t> </w:t>
      </w:r>
      <w:r>
        <w:rPr>
          <w:spacing w:val="-80"/>
        </w:rPr>
      </w:r>
      <w:r>
        <w:rPr/>
        <w:t>科目进行归集核算。</w:t>
      </w:r>
    </w:p>
    <w:p>
      <w:pPr>
        <w:pStyle w:val="BodyText"/>
        <w:spacing w:line="441" w:lineRule="auto" w:before="85"/>
        <w:ind w:left="577" w:right="1024"/>
        <w:jc w:val="left"/>
      </w:pPr>
      <w:r>
        <w:rPr/>
        <w:t>② 研发项目成果结转 </w:t>
      </w:r>
      <w:r>
        <w:rPr>
          <w:spacing w:val="-1"/>
        </w:rPr>
        <w:t>研发项目达到研发目标后，项目开发组、相关专家、业务部门及财务管理部、审计部等组成研发项目</w:t>
      </w:r>
    </w:p>
    <w:p>
      <w:pPr>
        <w:pStyle w:val="BodyText"/>
        <w:spacing w:line="410" w:lineRule="auto" w:before="16"/>
        <w:ind w:right="1216"/>
        <w:jc w:val="both"/>
      </w:pPr>
      <w:r>
        <w:rPr>
          <w:spacing w:val="-3"/>
        </w:rPr>
        <w:t>验收组，对项目成果进行验收，形成《验收报告》和《结项报告》。对研发成果申请专利或计算机软件著</w:t>
      </w:r>
      <w:r>
        <w:rPr>
          <w:spacing w:val="-74"/>
        </w:rPr>
        <w:t> </w:t>
      </w:r>
      <w:r>
        <w:rPr>
          <w:spacing w:val="-74"/>
        </w:rPr>
      </w:r>
      <w:r>
        <w:rPr/>
        <w:t>作权，取得著作权登记证书当月，将“研发支出—资本化”归集的费用转入无形资产进行核算。</w:t>
      </w:r>
    </w:p>
    <w:p>
      <w:pPr>
        <w:spacing w:line="240" w:lineRule="auto" w:before="3"/>
        <w:rPr>
          <w:rFonts w:ascii="宋体" w:hAnsi="宋体" w:cs="宋体" w:eastAsia="宋体" w:hint="default"/>
          <w:sz w:val="20"/>
          <w:szCs w:val="20"/>
        </w:rPr>
      </w:pPr>
    </w:p>
    <w:p>
      <w:pPr>
        <w:pStyle w:val="Heading4"/>
        <w:spacing w:line="240" w:lineRule="auto"/>
        <w:ind w:left="153" w:right="0"/>
        <w:jc w:val="both"/>
        <w:rPr>
          <w:b w:val="0"/>
          <w:bCs w:val="0"/>
        </w:rPr>
      </w:pPr>
      <w:bookmarkStart w:name="17、长期资产减值" w:id="202"/>
      <w:bookmarkEnd w:id="202"/>
      <w:r>
        <w:rPr>
          <w:b w:val="0"/>
          <w:bCs w:val="0"/>
        </w:rPr>
      </w:r>
      <w:r>
        <w:rPr>
          <w:rFonts w:ascii="Times New Roman" w:hAnsi="Times New Roman" w:cs="Times New Roman" w:eastAsia="Times New Roman" w:hint="default"/>
        </w:rPr>
        <w:t>17</w:t>
      </w:r>
      <w:r>
        <w:rPr/>
        <w:t>、长期资产减值</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154" w:right="1110" w:firstLine="423"/>
        <w:jc w:val="both"/>
      </w:pPr>
      <w:r>
        <w:rPr>
          <w:spacing w:val="-1"/>
        </w:rPr>
        <w:t>长期股权投资、采用成本模式计量的投资性房地产、固定资产、在建工程、无形资产等长期资产，于</w:t>
      </w:r>
      <w:r>
        <w:rPr/>
        <w:t> 资产负债表日存在减值迹象的，进行减值测试。减值测试结果表明资产的可收回金额低于其账面价值的， </w:t>
      </w:r>
      <w:r>
        <w:rPr>
          <w:spacing w:val="-1"/>
        </w:rPr>
        <w:t>按其差额计提减值准备并计入减值损失。可收回金额为资产的公允价值减去处置费用后的净额与资产预计</w:t>
      </w:r>
      <w:r>
        <w:rPr>
          <w:spacing w:val="-81"/>
        </w:rPr>
        <w:t> </w:t>
      </w:r>
      <w:r>
        <w:rPr>
          <w:spacing w:val="-81"/>
        </w:rPr>
      </w:r>
      <w:r>
        <w:rPr>
          <w:spacing w:val="-1"/>
        </w:rPr>
        <w:t>未来现金流量的现值两者之间的较高者。资产减值准备按单项资产为基础计算并确认，如果难以对单项资</w:t>
      </w:r>
      <w:r>
        <w:rPr>
          <w:spacing w:val="-81"/>
        </w:rPr>
        <w:t> </w:t>
      </w:r>
      <w:r>
        <w:rPr>
          <w:spacing w:val="-81"/>
        </w:rPr>
      </w:r>
      <w:r>
        <w:rPr>
          <w:spacing w:val="-1"/>
        </w:rPr>
        <w:t>产的可收回金额进行估计的，以该资产所属的资产组确定资产组的可收回金额。资产组是能够独立产生现</w:t>
      </w:r>
      <w:r>
        <w:rPr>
          <w:spacing w:val="-81"/>
        </w:rPr>
        <w:t> </w:t>
      </w:r>
      <w:r>
        <w:rPr>
          <w:spacing w:val="-81"/>
        </w:rPr>
      </w:r>
      <w:r>
        <w:rPr/>
        <w:t>金流入的最小资产组合。</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41" w:lineRule="auto" w:before="175"/>
        <w:ind w:left="577" w:right="1024"/>
        <w:jc w:val="left"/>
      </w:pPr>
      <w:r>
        <w:rPr/>
        <w:t>商誉至少在每年年度终了进行减值测试。 </w:t>
      </w:r>
      <w:r>
        <w:rPr>
          <w:spacing w:val="-1"/>
        </w:rPr>
        <w:t>本公司进行商誉减值测试，对于因企业合并形成的商誉的账面价值，自购买日起按照合理的方法分摊</w:t>
      </w:r>
    </w:p>
    <w:p>
      <w:pPr>
        <w:pStyle w:val="BodyText"/>
        <w:spacing w:line="408" w:lineRule="auto" w:before="16"/>
        <w:ind w:right="1131"/>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BodyText"/>
        <w:spacing w:line="408" w:lineRule="auto" w:before="85"/>
        <w:ind w:right="1131" w:firstLine="423"/>
        <w:jc w:val="both"/>
      </w:pPr>
      <w:r>
        <w:rPr>
          <w:spacing w:val="-1"/>
        </w:rPr>
        <w:t>在对包含商誉的相关资产组或者资产组组合进行减值测试时，如与商誉相关的资产组或者资产组组合</w:t>
      </w:r>
      <w:r>
        <w:rPr/>
        <w:t> </w:t>
      </w:r>
      <w:r>
        <w:rPr>
          <w:spacing w:val="-1"/>
        </w:rPr>
        <w:t>存在减值迹象的，先对不包含商誉的资产组或者资产组组合进行减值测试，计算可收回金额，并与相关账</w:t>
      </w:r>
      <w:r>
        <w:rPr>
          <w:spacing w:val="-83"/>
        </w:rPr>
        <w:t> </w:t>
      </w:r>
      <w:r>
        <w:rPr>
          <w:spacing w:val="-83"/>
        </w:rPr>
      </w:r>
      <w:r>
        <w:rPr>
          <w:spacing w:val="-1"/>
        </w:rPr>
        <w:t>面价值相比较，确认相应的减值损失。再对包含商誉的资产组或者资产组组合进行减值测试，比较这些相</w:t>
      </w:r>
      <w:r>
        <w:rPr>
          <w:spacing w:val="-83"/>
        </w:rPr>
        <w:t> </w:t>
      </w:r>
      <w:r>
        <w:rPr>
          <w:spacing w:val="-83"/>
        </w:rPr>
      </w:r>
      <w:r>
        <w:rPr>
          <w:spacing w:val="-1"/>
        </w:rPr>
        <w:t>关资产组或者资产组组合的账面价值（包括所分摊的商誉的账面价值部分）与其可收回金额，如相关资产</w:t>
      </w:r>
      <w:r>
        <w:rPr>
          <w:spacing w:val="-83"/>
        </w:rPr>
        <w:t> </w:t>
      </w:r>
      <w:r>
        <w:rPr>
          <w:spacing w:val="-83"/>
        </w:rPr>
      </w:r>
      <w:r>
        <w:rPr/>
        <w:t>组或者资产组组合的可收回金额低于其账面价值的，确认商誉的减值损失。</w:t>
      </w:r>
    </w:p>
    <w:p>
      <w:pPr>
        <w:pStyle w:val="BodyText"/>
        <w:spacing w:line="240" w:lineRule="auto" w:before="85"/>
        <w:ind w:left="577" w:right="1024"/>
        <w:jc w:val="left"/>
      </w:pPr>
      <w:r>
        <w:rPr/>
        <w:t>上述资产减值损失一经确认，在以后会计期间不予转回。</w:t>
      </w:r>
    </w:p>
    <w:p>
      <w:pPr>
        <w:pStyle w:val="BodyText"/>
        <w:spacing w:line="670" w:lineRule="atLeast" w:before="34"/>
        <w:ind w:left="577" w:right="1024" w:hanging="424"/>
        <w:jc w:val="left"/>
      </w:pPr>
      <w:bookmarkStart w:name="18、长期待摊费用" w:id="203"/>
      <w:bookmarkEnd w:id="203"/>
      <w:r>
        <w:rPr/>
      </w:r>
      <w:r>
        <w:rPr>
          <w:rFonts w:ascii="Times New Roman" w:hAnsi="Times New Roman" w:cs="Times New Roman" w:eastAsia="Times New Roman" w:hint="default"/>
          <w:b/>
          <w:bCs/>
        </w:rPr>
        <w:t>18</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长期待摊费用为已经发生但应由本期和以后各期负担的分摊期限在一年以上的各项费用。本公司长期</w:t>
      </w:r>
    </w:p>
    <w:p>
      <w:pPr>
        <w:spacing w:line="240" w:lineRule="auto" w:before="12"/>
        <w:rPr>
          <w:rFonts w:ascii="宋体" w:hAnsi="宋体" w:cs="宋体" w:eastAsia="宋体" w:hint="default"/>
          <w:sz w:val="14"/>
          <w:szCs w:val="14"/>
        </w:rPr>
      </w:pPr>
    </w:p>
    <w:p>
      <w:pPr>
        <w:pStyle w:val="BodyText"/>
        <w:spacing w:line="240" w:lineRule="auto" w:before="0"/>
        <w:ind w:left="154" w:right="1024"/>
        <w:jc w:val="left"/>
      </w:pPr>
      <w:r>
        <w:rPr/>
        <w:t>待摊费用包括装修费</w:t>
      </w:r>
    </w:p>
    <w:p>
      <w:pPr>
        <w:spacing w:line="376" w:lineRule="auto" w:before="153"/>
        <w:ind w:left="577" w:right="6969" w:hanging="68"/>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w:t>
      </w:r>
    </w:p>
    <w:p>
      <w:pPr>
        <w:spacing w:line="355" w:lineRule="auto" w:before="35"/>
        <w:ind w:left="577" w:right="4029" w:hanging="6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）摊销年限</w:t>
      </w:r>
      <w:r>
        <w:rPr>
          <w:rFonts w:ascii="宋体" w:hAnsi="宋体" w:cs="宋体" w:eastAsia="宋体" w:hint="default"/>
          <w:b/>
          <w:bCs/>
          <w:w w:val="99"/>
          <w:sz w:val="21"/>
          <w:szCs w:val="21"/>
        </w:rPr>
        <w:t> </w:t>
      </w:r>
      <w:r>
        <w:rPr>
          <w:rFonts w:ascii="宋体" w:hAnsi="宋体" w:cs="宋体" w:eastAsia="宋体" w:hint="default"/>
          <w:sz w:val="21"/>
          <w:szCs w:val="21"/>
        </w:rPr>
        <w:t>装修费按照预计可使用年限和剩余租赁期限孰短原则确认摊销年限。</w:t>
      </w:r>
    </w:p>
    <w:p>
      <w:pPr>
        <w:spacing w:line="240" w:lineRule="auto" w:before="0"/>
        <w:rPr>
          <w:rFonts w:ascii="宋体" w:hAnsi="宋体" w:cs="宋体" w:eastAsia="宋体" w:hint="default"/>
          <w:sz w:val="24"/>
          <w:szCs w:val="24"/>
        </w:rPr>
      </w:pPr>
    </w:p>
    <w:p>
      <w:pPr>
        <w:pStyle w:val="Heading4"/>
        <w:spacing w:line="240" w:lineRule="auto"/>
        <w:ind w:left="153" w:right="1024"/>
        <w:jc w:val="left"/>
        <w:rPr>
          <w:b w:val="0"/>
          <w:bCs w:val="0"/>
        </w:rPr>
      </w:pPr>
      <w:bookmarkStart w:name="19、职工薪酬" w:id="204"/>
      <w:bookmarkEnd w:id="204"/>
      <w:r>
        <w:rPr>
          <w:b w:val="0"/>
          <w:bCs w:val="0"/>
        </w:rPr>
      </w:r>
      <w:r>
        <w:rPr>
          <w:rFonts w:ascii="Times New Roman" w:hAnsi="Times New Roman" w:cs="Times New Roman" w:eastAsia="Times New Roman" w:hint="default"/>
        </w:rPr>
        <w:t>19</w:t>
      </w:r>
      <w:r>
        <w:rPr/>
        <w:t>、职工薪酬</w:t>
      </w:r>
      <w:r>
        <w:rPr>
          <w:b w:val="0"/>
          <w:bCs w:val="0"/>
        </w:rPr>
      </w:r>
    </w:p>
    <w:p>
      <w:pPr>
        <w:spacing w:line="690" w:lineRule="exact" w:before="15"/>
        <w:ind w:left="577" w:right="1024" w:hanging="424"/>
        <w:jc w:val="left"/>
        <w:rPr>
          <w:rFonts w:ascii="宋体" w:hAnsi="宋体" w:cs="宋体" w:eastAsia="宋体" w:hint="default"/>
          <w:sz w:val="21"/>
          <w:szCs w:val="21"/>
        </w:rPr>
      </w:pPr>
      <w:bookmarkStart w:name="（1）短期薪酬的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pStyle w:val="BodyText"/>
        <w:spacing w:line="444" w:lineRule="auto" w:before="86"/>
        <w:ind w:left="577" w:right="1024" w:hanging="424"/>
        <w:jc w:val="left"/>
      </w:pPr>
      <w:r>
        <w:rPr/>
        <w:t>相关资产成本。 </w:t>
      </w:r>
      <w:r>
        <w:rPr>
          <w:spacing w:val="-1"/>
        </w:rPr>
        <w:t>本公司为职工缴纳的社会保险费和住房公积金，以及按规定提取的工会经费和职工教育经费，在职工</w:t>
      </w:r>
    </w:p>
    <w:p>
      <w:pPr>
        <w:pStyle w:val="BodyText"/>
        <w:spacing w:line="444" w:lineRule="auto" w:before="16"/>
        <w:ind w:left="577" w:right="1933" w:hanging="424"/>
        <w:jc w:val="left"/>
      </w:pPr>
      <w:r>
        <w:rPr/>
        <w:t>为本公司提供服务的会计期间，根据规定的计提基础和计提比例计算确定相应的职工薪酬金额。 职工福利费为非货币性福利的，如能够可靠计量的，按照公允价值计量。</w:t>
      </w:r>
    </w:p>
    <w:p>
      <w:pPr>
        <w:spacing w:after="0" w:line="444"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2）离职后福利的会计处理方法" w:id="206"/>
      <w:bookmarkEnd w:id="20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30"/>
          <w:szCs w:val="30"/>
        </w:rPr>
      </w:pPr>
    </w:p>
    <w:p>
      <w:pPr>
        <w:pStyle w:val="BodyText"/>
        <w:spacing w:line="441" w:lineRule="auto" w:before="0"/>
        <w:ind w:left="577" w:right="1024" w:firstLine="84"/>
        <w:jc w:val="left"/>
      </w:pPr>
      <w:r>
        <w:rPr/>
        <w:t>设定提存计划 </w:t>
      </w:r>
      <w:r>
        <w:rPr>
          <w:spacing w:val="-1"/>
        </w:rPr>
        <w:t>本公司按当地政府的相关规定为职工缴纳基本养老保险和失业保险，在职工为本公司提供服务的会计</w:t>
      </w:r>
    </w:p>
    <w:p>
      <w:pPr>
        <w:pStyle w:val="BodyText"/>
        <w:spacing w:line="240" w:lineRule="auto" w:before="18"/>
        <w:ind w:right="1024"/>
        <w:jc w:val="left"/>
      </w:pPr>
      <w:r>
        <w:rPr/>
        <w:t>期间，按以当地规定的缴纳基数和比例计算应缴纳金额，确认为负债，并计入当期损益或相关资产成本。</w:t>
      </w:r>
    </w:p>
    <w:p>
      <w:pPr>
        <w:spacing w:line="670" w:lineRule="atLeast" w:before="36"/>
        <w:ind w:left="577" w:right="1024" w:hanging="424"/>
        <w:jc w:val="left"/>
        <w:rPr>
          <w:rFonts w:ascii="宋体" w:hAnsi="宋体" w:cs="宋体" w:eastAsia="宋体" w:hint="default"/>
          <w:sz w:val="21"/>
          <w:szCs w:val="21"/>
        </w:rPr>
      </w:pPr>
      <w:bookmarkStart w:name="（3）辞退福利的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本公司在不能单方面撤回因解除劳动关系计划或裁减建议所提供的辞退福利时，或确认与涉及支付辞</w:t>
      </w:r>
    </w:p>
    <w:p>
      <w:pPr>
        <w:spacing w:line="240" w:lineRule="auto" w:before="11"/>
        <w:rPr>
          <w:rFonts w:ascii="宋体" w:hAnsi="宋体" w:cs="宋体" w:eastAsia="宋体" w:hint="default"/>
          <w:sz w:val="14"/>
          <w:szCs w:val="14"/>
        </w:rPr>
      </w:pPr>
    </w:p>
    <w:p>
      <w:pPr>
        <w:pStyle w:val="BodyText"/>
        <w:spacing w:line="240" w:lineRule="auto" w:before="0"/>
        <w:ind w:left="154" w:right="1024"/>
        <w:jc w:val="left"/>
      </w:pPr>
      <w:r>
        <w:rPr/>
        <w:t>退福利的重组相关的成本或费用时（两者孰早</w:t>
      </w:r>
      <w:r>
        <w:rPr>
          <w:spacing w:val="-106"/>
        </w:rPr>
        <w:t>）</w:t>
      </w:r>
      <w:r>
        <w:rPr/>
        <w:t>，确认辞退福利产生的职工薪酬负债，并计入当期损益。</w:t>
      </w:r>
    </w:p>
    <w:p>
      <w:pPr>
        <w:spacing w:line="240" w:lineRule="auto" w:before="0"/>
        <w:rPr>
          <w:rFonts w:ascii="宋体" w:hAnsi="宋体" w:cs="宋体" w:eastAsia="宋体" w:hint="default"/>
          <w:sz w:val="20"/>
          <w:szCs w:val="20"/>
        </w:rPr>
      </w:pPr>
    </w:p>
    <w:p>
      <w:pPr>
        <w:pStyle w:val="Heading4"/>
        <w:spacing w:line="240" w:lineRule="auto" w:before="153"/>
        <w:ind w:right="1024"/>
        <w:jc w:val="left"/>
        <w:rPr>
          <w:b w:val="0"/>
          <w:bCs w:val="0"/>
        </w:rPr>
      </w:pPr>
      <w:bookmarkStart w:name="20、收入" w:id="208"/>
      <w:bookmarkEnd w:id="208"/>
      <w:r>
        <w:rPr>
          <w:b w:val="0"/>
          <w:bCs w:val="0"/>
        </w:rPr>
      </w:r>
      <w:r>
        <w:rPr>
          <w:rFonts w:ascii="Times New Roman" w:hAnsi="Times New Roman" w:cs="Times New Roman" w:eastAsia="Times New Roman" w:hint="default"/>
        </w:rPr>
        <w:t>20</w:t>
      </w:r>
      <w:r>
        <w:rPr/>
        <w:t>、收入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510" w:right="1024"/>
        <w:jc w:val="left"/>
        <w:rPr>
          <w:b w:val="0"/>
          <w:bCs w:val="0"/>
        </w:rPr>
      </w:pPr>
      <w:r>
        <w:rPr/>
        <w:t>（</w:t>
      </w:r>
      <w:r>
        <w:rPr>
          <w:rFonts w:ascii="Times New Roman" w:hAnsi="Times New Roman" w:cs="Times New Roman" w:eastAsia="Times New Roman" w:hint="default"/>
        </w:rPr>
        <w:t>1</w:t>
      </w:r>
      <w:r>
        <w:rPr/>
        <w:t>）销售商品收入的确认一般原则</w:t>
      </w:r>
      <w:r>
        <w:rPr>
          <w:b w:val="0"/>
          <w:bCs w:val="0"/>
        </w:rPr>
      </w:r>
    </w:p>
    <w:p>
      <w:pPr>
        <w:pStyle w:val="BodyText"/>
        <w:spacing w:line="240" w:lineRule="auto" w:before="140"/>
        <w:ind w:left="577" w:right="1024"/>
        <w:jc w:val="left"/>
      </w:pPr>
      <w:r>
        <w:rPr/>
        <w:t>①</w:t>
      </w:r>
      <w:r>
        <w:rPr>
          <w:spacing w:val="-1"/>
        </w:rPr>
        <w:t> </w:t>
      </w:r>
      <w:r>
        <w:rPr/>
        <w:t>本公司已将商品所有权上的主要风险和报酬转移给购货方；</w:t>
      </w:r>
    </w:p>
    <w:p>
      <w:pPr>
        <w:spacing w:line="240" w:lineRule="auto" w:before="10"/>
        <w:rPr>
          <w:rFonts w:ascii="宋体" w:hAnsi="宋体" w:cs="宋体" w:eastAsia="宋体" w:hint="default"/>
          <w:sz w:val="17"/>
          <w:szCs w:val="17"/>
        </w:rPr>
      </w:pPr>
    </w:p>
    <w:p>
      <w:pPr>
        <w:pStyle w:val="BodyText"/>
        <w:spacing w:line="240" w:lineRule="auto" w:before="0"/>
        <w:ind w:left="577" w:right="1024"/>
        <w:jc w:val="left"/>
      </w:pPr>
      <w:r>
        <w:rPr/>
        <w:t>②</w:t>
      </w:r>
      <w:r>
        <w:rPr>
          <w:spacing w:val="-1"/>
        </w:rPr>
        <w:t> </w:t>
      </w:r>
      <w:r>
        <w:rPr/>
        <w:t>本公司既没有保留通常与所有权相联系的继续管理权，也没有对已售出的商品实施有效控制；</w:t>
      </w:r>
    </w:p>
    <w:p>
      <w:pPr>
        <w:spacing w:line="240" w:lineRule="auto" w:before="12"/>
        <w:rPr>
          <w:rFonts w:ascii="宋体" w:hAnsi="宋体" w:cs="宋体" w:eastAsia="宋体" w:hint="default"/>
          <w:sz w:val="17"/>
          <w:szCs w:val="17"/>
        </w:rPr>
      </w:pPr>
    </w:p>
    <w:p>
      <w:pPr>
        <w:pStyle w:val="BodyText"/>
        <w:spacing w:line="240" w:lineRule="auto" w:before="0"/>
        <w:ind w:left="577" w:right="1024"/>
        <w:jc w:val="left"/>
      </w:pPr>
      <w:r>
        <w:rPr/>
        <w:t>③</w:t>
      </w:r>
      <w:r>
        <w:rPr>
          <w:spacing w:val="-1"/>
        </w:rPr>
        <w:t> </w:t>
      </w:r>
      <w:r>
        <w:rPr/>
        <w:t>收入的金额能够可靠地计量；</w:t>
      </w:r>
    </w:p>
    <w:p>
      <w:pPr>
        <w:spacing w:line="240" w:lineRule="auto" w:before="11"/>
        <w:rPr>
          <w:rFonts w:ascii="宋体" w:hAnsi="宋体" w:cs="宋体" w:eastAsia="宋体" w:hint="default"/>
          <w:sz w:val="17"/>
          <w:szCs w:val="17"/>
        </w:rPr>
      </w:pPr>
    </w:p>
    <w:p>
      <w:pPr>
        <w:pStyle w:val="BodyText"/>
        <w:spacing w:line="240" w:lineRule="auto" w:before="0"/>
        <w:ind w:left="577" w:right="1024"/>
        <w:jc w:val="left"/>
      </w:pPr>
      <w:r>
        <w:rPr/>
        <w:t>④</w:t>
      </w:r>
      <w:r>
        <w:rPr>
          <w:spacing w:val="-1"/>
        </w:rPr>
        <w:t> </w:t>
      </w:r>
      <w:r>
        <w:rPr/>
        <w:t>相关的经济利益很可能流入本公司；</w:t>
      </w:r>
    </w:p>
    <w:p>
      <w:pPr>
        <w:spacing w:line="240" w:lineRule="auto" w:before="10"/>
        <w:rPr>
          <w:rFonts w:ascii="宋体" w:hAnsi="宋体" w:cs="宋体" w:eastAsia="宋体" w:hint="default"/>
          <w:sz w:val="17"/>
          <w:szCs w:val="17"/>
        </w:rPr>
      </w:pPr>
    </w:p>
    <w:p>
      <w:pPr>
        <w:pStyle w:val="BodyText"/>
        <w:spacing w:line="240" w:lineRule="auto" w:before="0"/>
        <w:ind w:left="577" w:right="1024"/>
        <w:jc w:val="left"/>
      </w:pPr>
      <w:r>
        <w:rPr/>
        <w:t>⑤</w:t>
      </w:r>
      <w:r>
        <w:rPr>
          <w:spacing w:val="-1"/>
        </w:rPr>
        <w:t> </w:t>
      </w:r>
      <w:r>
        <w:rPr/>
        <w:t>相关的、已发生或将发生的成本能够可靠地计量。</w:t>
      </w:r>
    </w:p>
    <w:p>
      <w:pPr>
        <w:spacing w:line="355" w:lineRule="auto" w:before="154"/>
        <w:ind w:left="577" w:right="1024" w:hanging="6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）确认让渡资产使用权收入确认和计量的总体原则</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BodyText"/>
        <w:spacing w:line="240" w:lineRule="auto" w:before="92"/>
        <w:ind w:left="154" w:right="1024"/>
        <w:jc w:val="left"/>
      </w:pPr>
      <w:r>
        <w:rPr/>
        <w:t>使用权收入金额：</w:t>
      </w:r>
    </w:p>
    <w:p>
      <w:pPr>
        <w:spacing w:line="240" w:lineRule="auto" w:before="10"/>
        <w:rPr>
          <w:rFonts w:ascii="宋体" w:hAnsi="宋体" w:cs="宋体" w:eastAsia="宋体" w:hint="default"/>
          <w:sz w:val="17"/>
          <w:szCs w:val="17"/>
        </w:rPr>
      </w:pPr>
    </w:p>
    <w:p>
      <w:pPr>
        <w:pStyle w:val="BodyText"/>
        <w:spacing w:line="240" w:lineRule="auto" w:before="0"/>
        <w:ind w:left="577" w:right="1024"/>
        <w:jc w:val="left"/>
      </w:pPr>
      <w:r>
        <w:rPr/>
        <w:t>①</w:t>
      </w:r>
      <w:r>
        <w:rPr>
          <w:spacing w:val="-1"/>
        </w:rPr>
        <w:t> </w:t>
      </w:r>
      <w:r>
        <w:rPr/>
        <w:t>利息收入金额，按照他人使用本企业货币资金的时间和实际利率计算确定。</w:t>
      </w:r>
    </w:p>
    <w:p>
      <w:pPr>
        <w:spacing w:line="240" w:lineRule="auto" w:before="10"/>
        <w:rPr>
          <w:rFonts w:ascii="宋体" w:hAnsi="宋体" w:cs="宋体" w:eastAsia="宋体" w:hint="default"/>
          <w:sz w:val="17"/>
          <w:szCs w:val="17"/>
        </w:rPr>
      </w:pPr>
    </w:p>
    <w:p>
      <w:pPr>
        <w:pStyle w:val="BodyText"/>
        <w:spacing w:line="240" w:lineRule="auto" w:before="0"/>
        <w:ind w:left="577" w:right="1024"/>
        <w:jc w:val="left"/>
      </w:pPr>
      <w:r>
        <w:rPr/>
        <w:t>②</w:t>
      </w:r>
      <w:r>
        <w:rPr>
          <w:spacing w:val="-1"/>
        </w:rPr>
        <w:t> </w:t>
      </w:r>
      <w:r>
        <w:rPr/>
        <w:t>使用费收入金额，按照有关合同或协议约定的收费时间和方法计算确定。</w:t>
      </w:r>
    </w:p>
    <w:p>
      <w:pPr>
        <w:spacing w:line="355" w:lineRule="auto" w:before="154"/>
        <w:ind w:left="577" w:right="1024" w:hanging="6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）按完工百分比法确认提供劳务的收入和建造合同收入的确认和计量的总体原则</w:t>
      </w:r>
      <w:r>
        <w:rPr>
          <w:rFonts w:ascii="宋体" w:hAnsi="宋体" w:cs="宋体" w:eastAsia="宋体" w:hint="default"/>
          <w:b/>
          <w:bCs/>
          <w:w w:val="99"/>
          <w:sz w:val="21"/>
          <w:szCs w:val="21"/>
        </w:rPr>
        <w:t> </w:t>
      </w:r>
      <w:r>
        <w:rPr>
          <w:rFonts w:ascii="宋体" w:hAnsi="宋体" w:cs="宋体" w:eastAsia="宋体" w:hint="default"/>
          <w:spacing w:val="-1"/>
          <w:sz w:val="21"/>
          <w:szCs w:val="21"/>
        </w:rPr>
        <w:t>在资产负债表日提供劳务交易的结果能够可靠估计的，采用完工百分比法确认提供劳务收入。提供劳</w:t>
      </w:r>
    </w:p>
    <w:p>
      <w:pPr>
        <w:pStyle w:val="BodyText"/>
        <w:spacing w:line="441" w:lineRule="auto" w:before="92"/>
        <w:ind w:left="577" w:right="1024" w:hanging="424"/>
        <w:jc w:val="left"/>
      </w:pPr>
      <w:r>
        <w:rPr/>
        <w:t>务交易的完工进度，依据已完工作的测量确定。 </w:t>
      </w:r>
      <w:r>
        <w:rPr>
          <w:spacing w:val="-1"/>
        </w:rPr>
        <w:t>按照已收或应收的合同或协议价款确定提供劳务收入总额，但已收或应收的合同或协议价款不公允的</w:t>
      </w:r>
    </w:p>
    <w:p>
      <w:pPr>
        <w:pStyle w:val="BodyText"/>
        <w:spacing w:line="410" w:lineRule="auto" w:before="16"/>
        <w:ind w:left="154" w:right="1131"/>
        <w:jc w:val="both"/>
      </w:pPr>
      <w:r>
        <w:rPr>
          <w:spacing w:val="-1"/>
        </w:rPr>
        <w:t>除外。资产负债表日按照提供劳务收入总额乘以完工进度扣除以前会计期间累计已确认提供劳务收入后的</w:t>
      </w:r>
      <w:r>
        <w:rPr>
          <w:spacing w:val="-81"/>
        </w:rPr>
        <w:t> </w:t>
      </w:r>
      <w:r>
        <w:rPr>
          <w:spacing w:val="-81"/>
        </w:rPr>
      </w:r>
      <w:r>
        <w:rPr>
          <w:spacing w:val="-1"/>
        </w:rPr>
        <w:t>金额，确认当期提供劳务收入；同时，按照提供劳务估计总成本乘以完工进度扣除以前会计期间累计已确</w:t>
      </w:r>
      <w:r>
        <w:rPr>
          <w:spacing w:val="-83"/>
        </w:rPr>
        <w:t> </w:t>
      </w:r>
      <w:r>
        <w:rPr>
          <w:spacing w:val="-83"/>
        </w:rPr>
      </w:r>
      <w:r>
        <w:rPr/>
        <w:t>认劳务成本后的金额，结转当期劳务成本。</w:t>
      </w:r>
    </w:p>
    <w:p>
      <w:pPr>
        <w:pStyle w:val="BodyText"/>
        <w:spacing w:line="240" w:lineRule="auto" w:before="85"/>
        <w:ind w:left="577" w:right="1024"/>
        <w:jc w:val="left"/>
      </w:pPr>
      <w:r>
        <w:rPr/>
        <w:t>在资产负债表日提供劳务交易结果不能够可靠估计的，分别下列情况处理：</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10" w:lineRule="auto" w:before="174"/>
        <w:ind w:right="1196" w:firstLine="423"/>
        <w:jc w:val="left"/>
      </w:pPr>
      <w:r>
        <w:rPr/>
        <w:t>①</w:t>
      </w:r>
      <w:r>
        <w:rPr>
          <w:spacing w:val="-1"/>
        </w:rPr>
        <w:t> </w:t>
      </w:r>
      <w:r>
        <w:rPr/>
        <w:t>已经发生的劳务成本预计能够得到补偿的，按照已经发生的劳务成本金额确认提供劳务收入，并</w:t>
      </w:r>
      <w:r>
        <w:rPr/>
        <w:t> 按相同金额结转劳务成本。</w:t>
      </w:r>
    </w:p>
    <w:p>
      <w:pPr>
        <w:pStyle w:val="BodyText"/>
        <w:spacing w:line="410" w:lineRule="auto" w:before="82"/>
        <w:ind w:right="1196" w:firstLine="423"/>
        <w:jc w:val="left"/>
      </w:pPr>
      <w:r>
        <w:rPr/>
        <w:t>②</w:t>
      </w:r>
      <w:r>
        <w:rPr>
          <w:spacing w:val="-1"/>
        </w:rPr>
        <w:t> </w:t>
      </w:r>
      <w:r>
        <w:rPr/>
        <w:t>已经发生的劳务成本预计不能够得到补偿的，将已经发生的劳务成本计入当期损益，不确认提供</w:t>
      </w:r>
      <w:r>
        <w:rPr/>
        <w:t> 劳务收入。</w:t>
      </w:r>
    </w:p>
    <w:p>
      <w:pPr>
        <w:spacing w:line="355" w:lineRule="auto" w:before="5"/>
        <w:ind w:left="577" w:right="1024" w:hanging="1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）本公司收入确认的确认标准及收入确认时间的具体判断标准</w:t>
      </w:r>
      <w:r>
        <w:rPr>
          <w:rFonts w:ascii="宋体" w:hAnsi="宋体" w:cs="宋体" w:eastAsia="宋体" w:hint="default"/>
          <w:b/>
          <w:bCs/>
          <w:w w:val="99"/>
          <w:sz w:val="21"/>
          <w:szCs w:val="21"/>
        </w:rPr>
        <w:t> </w:t>
      </w:r>
      <w:r>
        <w:rPr>
          <w:rFonts w:ascii="宋体" w:hAnsi="宋体" w:cs="宋体" w:eastAsia="宋体" w:hint="default"/>
          <w:spacing w:val="-3"/>
          <w:sz w:val="21"/>
          <w:szCs w:val="21"/>
        </w:rPr>
        <w:t>公司主营业务为应用软件开发、技术服务及相关的计算机信息系统集成服务。。包括集成服务、技术</w:t>
      </w:r>
    </w:p>
    <w:p>
      <w:pPr>
        <w:pStyle w:val="BodyText"/>
        <w:spacing w:line="240" w:lineRule="auto" w:before="92"/>
        <w:ind w:right="1024"/>
        <w:jc w:val="left"/>
      </w:pPr>
      <w:r>
        <w:rPr/>
        <w:t>服务、软件产品销售、硬件销售、合作运营，各类业务销售收入确认的具体方法如下：</w:t>
      </w:r>
    </w:p>
    <w:p>
      <w:pPr>
        <w:spacing w:line="240" w:lineRule="auto" w:before="9"/>
        <w:rPr>
          <w:rFonts w:ascii="宋体" w:hAnsi="宋体" w:cs="宋体" w:eastAsia="宋体" w:hint="default"/>
          <w:sz w:val="17"/>
          <w:szCs w:val="17"/>
        </w:rPr>
      </w:pPr>
    </w:p>
    <w:p>
      <w:pPr>
        <w:pStyle w:val="BodyText"/>
        <w:spacing w:line="410" w:lineRule="auto" w:before="0"/>
        <w:ind w:right="1122" w:firstLine="423"/>
        <w:jc w:val="left"/>
      </w:pPr>
      <w:r>
        <w:rPr/>
        <w:t>①</w:t>
      </w:r>
      <w:r>
        <w:rPr>
          <w:spacing w:val="-22"/>
        </w:rPr>
        <w:t> </w:t>
      </w:r>
      <w:r>
        <w:rPr/>
        <w:t>集成服务收入：主要包括</w:t>
      </w:r>
      <w:r>
        <w:rPr>
          <w:spacing w:val="-65"/>
        </w:rPr>
        <w:t> </w:t>
      </w:r>
      <w:r>
        <w:rPr>
          <w:rFonts w:ascii="宋体" w:hAnsi="宋体" w:cs="宋体" w:eastAsia="宋体" w:hint="default"/>
        </w:rPr>
        <w:t>IT</w:t>
      </w:r>
      <w:r>
        <w:rPr>
          <w:rFonts w:ascii="宋体" w:hAnsi="宋体" w:cs="宋体" w:eastAsia="宋体" w:hint="default"/>
          <w:spacing w:val="-64"/>
        </w:rPr>
        <w:t> </w:t>
      </w:r>
      <w:r>
        <w:rPr>
          <w:spacing w:val="-3"/>
        </w:rPr>
        <w:t>硬件设备供货，</w:t>
      </w:r>
      <w:r>
        <w:rPr>
          <w:rFonts w:ascii="宋体" w:hAnsi="宋体" w:cs="宋体" w:eastAsia="宋体" w:hint="default"/>
          <w:spacing w:val="-3"/>
        </w:rPr>
        <w:t>IT</w:t>
      </w:r>
      <w:r>
        <w:rPr>
          <w:rFonts w:ascii="宋体" w:hAnsi="宋体" w:cs="宋体" w:eastAsia="宋体" w:hint="default"/>
          <w:spacing w:val="-64"/>
        </w:rPr>
        <w:t> </w:t>
      </w:r>
      <w:r>
        <w:rPr/>
        <w:t>硬件设备的安装、调试业务收入。按合同约定在产 品交付购货方，并经对方验收合格后确认收入。</w:t>
      </w:r>
    </w:p>
    <w:p>
      <w:pPr>
        <w:pStyle w:val="BodyText"/>
        <w:spacing w:line="410" w:lineRule="auto" w:before="83"/>
        <w:ind w:right="1024" w:firstLine="423"/>
        <w:jc w:val="left"/>
      </w:pPr>
      <w:r>
        <w:rPr/>
        <w:t>②</w:t>
      </w:r>
      <w:r>
        <w:rPr>
          <w:spacing w:val="-1"/>
        </w:rPr>
        <w:t> </w:t>
      </w:r>
      <w:r>
        <w:rPr/>
        <w:t>技术服务收入：主要包括为用户提供技术开发、技术咨询、技术服务、技术培训等业务取得的收</w:t>
      </w:r>
      <w:r>
        <w:rPr/>
        <w:t> </w:t>
      </w:r>
      <w:r>
        <w:rPr>
          <w:spacing w:val="-1"/>
        </w:rPr>
        <w:t>入。按合同约定提供服务完成并经对方验收合格后，或服务期满后确认收入。技术开发收入按合同约定开</w:t>
      </w:r>
      <w:r>
        <w:rPr>
          <w:spacing w:val="-83"/>
        </w:rPr>
        <w:t> </w:t>
      </w:r>
      <w:r>
        <w:rPr>
          <w:spacing w:val="-83"/>
        </w:rPr>
      </w:r>
      <w:r>
        <w:rPr/>
        <w:t>发进度，并经对方阶段验收合格后按进度确认收入。</w:t>
      </w:r>
    </w:p>
    <w:p>
      <w:pPr>
        <w:pStyle w:val="BodyText"/>
        <w:spacing w:line="410" w:lineRule="auto" w:before="82"/>
        <w:ind w:right="1196" w:firstLine="423"/>
        <w:jc w:val="left"/>
      </w:pPr>
      <w:r>
        <w:rPr/>
        <w:t>③</w:t>
      </w:r>
      <w:r>
        <w:rPr>
          <w:spacing w:val="-1"/>
        </w:rPr>
        <w:t> </w:t>
      </w:r>
      <w:r>
        <w:rPr/>
        <w:t>软件产品销售收入：按合同约定，需安装调试的，在安装调试完成、投入运行并经对方验收合格</w:t>
      </w:r>
      <w:r>
        <w:rPr/>
        <w:t> 后确认收入；不需安装的，于产品发出且到货验收合格后确认收入。</w:t>
      </w:r>
    </w:p>
    <w:p>
      <w:pPr>
        <w:pStyle w:val="BodyText"/>
        <w:spacing w:line="410" w:lineRule="auto" w:before="83"/>
        <w:ind w:right="1196" w:firstLine="423"/>
        <w:jc w:val="left"/>
      </w:pPr>
      <w:r>
        <w:rPr/>
        <w:t>④</w:t>
      </w:r>
      <w:r>
        <w:rPr>
          <w:spacing w:val="-1"/>
        </w:rPr>
        <w:t> </w:t>
      </w:r>
      <w:r>
        <w:rPr/>
        <w:t>自助设备（硬件销售）收入：按合同约定，需开通上线的，在设备开通上线，经对方验收确认后</w:t>
      </w:r>
      <w:r>
        <w:rPr/>
        <w:t> 确认收入；不需开通上线的，于产品发出且到货验收合格后确认收入。</w:t>
      </w:r>
    </w:p>
    <w:p>
      <w:pPr>
        <w:pStyle w:val="BodyText"/>
        <w:spacing w:line="240" w:lineRule="auto" w:before="85"/>
        <w:ind w:left="577" w:right="1024"/>
        <w:jc w:val="left"/>
      </w:pPr>
      <w:r>
        <w:rPr/>
        <w:t>⑤</w:t>
      </w:r>
      <w:r>
        <w:rPr>
          <w:spacing w:val="-1"/>
        </w:rPr>
        <w:t> </w:t>
      </w:r>
      <w:r>
        <w:rPr/>
        <w:t>合作运营：在每个运营期，依据合同约定比例以及经确认的交易金额，予以确认收入。</w:t>
      </w:r>
    </w:p>
    <w:p>
      <w:pPr>
        <w:spacing w:line="240" w:lineRule="auto" w:before="0"/>
        <w:rPr>
          <w:rFonts w:ascii="宋体" w:hAnsi="宋体" w:cs="宋体" w:eastAsia="宋体" w:hint="default"/>
          <w:sz w:val="20"/>
          <w:szCs w:val="20"/>
        </w:rPr>
      </w:pPr>
    </w:p>
    <w:p>
      <w:pPr>
        <w:pStyle w:val="Heading4"/>
        <w:spacing w:line="240" w:lineRule="auto" w:before="152"/>
        <w:ind w:left="153" w:right="1024"/>
        <w:jc w:val="left"/>
        <w:rPr>
          <w:b w:val="0"/>
          <w:bCs w:val="0"/>
        </w:rPr>
      </w:pPr>
      <w:bookmarkStart w:name="21、政府补助" w:id="209"/>
      <w:bookmarkEnd w:id="209"/>
      <w:r>
        <w:rPr>
          <w:b w:val="0"/>
          <w:bCs w:val="0"/>
        </w:rPr>
      </w:r>
      <w:r>
        <w:rPr>
          <w:rFonts w:ascii="Times New Roman" w:hAnsi="Times New Roman" w:cs="Times New Roman" w:eastAsia="Times New Roman" w:hint="default"/>
        </w:rPr>
        <w:t>21</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与资产相关的政府补助判断依据及会计处理方法" w:id="210"/>
      <w:bookmarkEnd w:id="210"/>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14" w:right="1024" w:hanging="4"/>
        <w:jc w:val="left"/>
      </w:pPr>
      <w:r>
        <w:rPr>
          <w:rFonts w:ascii="宋体" w:hAnsi="宋体" w:cs="宋体" w:eastAsia="宋体" w:hint="default"/>
          <w:b/>
          <w:bCs/>
        </w:rPr>
        <w:t>①</w:t>
      </w:r>
      <w:r>
        <w:rPr>
          <w:rFonts w:ascii="宋体" w:hAnsi="宋体" w:cs="宋体" w:eastAsia="宋体" w:hint="default"/>
          <w:b/>
          <w:bCs/>
          <w:spacing w:val="1"/>
        </w:rPr>
        <w:t> </w:t>
      </w:r>
      <w:r>
        <w:rPr>
          <w:rFonts w:ascii="宋体" w:hAnsi="宋体" w:cs="宋体" w:eastAsia="宋体" w:hint="default"/>
          <w:b/>
          <w:bCs/>
        </w:rPr>
        <w:t>类型</w:t>
      </w:r>
      <w:r>
        <w:rPr>
          <w:rFonts w:ascii="宋体" w:hAnsi="宋体" w:cs="宋体" w:eastAsia="宋体" w:hint="default"/>
          <w:b/>
          <w:bCs/>
          <w:spacing w:val="1"/>
          <w:w w:val="99"/>
        </w:rPr>
        <w:t> </w:t>
      </w:r>
      <w:r>
        <w:rPr/>
        <w:t>政府补助，是本公司从政府无偿取得的货币性资产与非货币性资产。分为与资产相关的政府补助和与 收益相关的政府补助。 与资产相关的政府补助，是指企业取得的、用于购建或以其他方式形成长期资产的政府补助，包括购</w:t>
      </w:r>
    </w:p>
    <w:p>
      <w:pPr>
        <w:pStyle w:val="BodyText"/>
        <w:spacing w:line="408" w:lineRule="auto"/>
        <w:ind w:left="154" w:right="1024"/>
        <w:jc w:val="left"/>
      </w:pPr>
      <w:r>
        <w:rPr>
          <w:spacing w:val="-1"/>
        </w:rPr>
        <w:t>买固定资产或无形资产的财政拨款、固定资产专门借款的财政贴息等。与收益相关的政府补助，是指除与</w:t>
      </w:r>
      <w:r>
        <w:rPr>
          <w:spacing w:val="-83"/>
        </w:rPr>
        <w:t> </w:t>
      </w:r>
      <w:r>
        <w:rPr>
          <w:spacing w:val="-83"/>
        </w:rPr>
      </w:r>
      <w:r>
        <w:rPr/>
        <w:t>资产相关的政府补助之外的政府补助。</w:t>
      </w:r>
    </w:p>
    <w:p>
      <w:pPr>
        <w:pStyle w:val="BodyText"/>
        <w:spacing w:line="408" w:lineRule="auto"/>
        <w:ind w:left="154" w:right="1024" w:firstLine="423"/>
        <w:jc w:val="left"/>
      </w:pPr>
      <w:r>
        <w:rPr>
          <w:spacing w:val="-1"/>
        </w:rPr>
        <w:t>本公司将政府补助划分为与资产相关的具体标准为：企业取得的，用于购建或以其他方式形成长期资</w:t>
      </w:r>
      <w:r>
        <w:rPr/>
        <w:t> 产的政府补助；</w:t>
      </w:r>
    </w:p>
    <w:p>
      <w:pPr>
        <w:pStyle w:val="BodyText"/>
        <w:spacing w:line="240" w:lineRule="auto"/>
        <w:ind w:left="514" w:right="1024"/>
        <w:jc w:val="left"/>
      </w:pPr>
      <w:r>
        <w:rPr/>
        <w:t>本公司将政府补助划分为与收益相关的具体标准为：除与资产相关的政府补助之外的政府补助；</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firstLine="421"/>
        <w:jc w:val="left"/>
      </w:pPr>
      <w:r>
        <w:rPr>
          <w:spacing w:val="-1"/>
        </w:rPr>
        <w:t>对于政府文件未明确规定补助对象的，本公司将该政府补助划分为与资产相关或与收益相关的判断依</w:t>
      </w:r>
      <w:r>
        <w:rPr/>
        <w:t> 据为：是否用于购建或以其他方式形成长期资产；</w:t>
      </w:r>
    </w:p>
    <w:p>
      <w:pPr>
        <w:pStyle w:val="BodyText"/>
        <w:spacing w:line="408" w:lineRule="auto"/>
        <w:ind w:left="577" w:right="1024" w:hanging="68"/>
        <w:jc w:val="left"/>
      </w:pPr>
      <w:r>
        <w:rPr>
          <w:rFonts w:ascii="宋体" w:hAnsi="宋体" w:cs="宋体" w:eastAsia="宋体" w:hint="default"/>
          <w:b/>
          <w:bCs/>
        </w:rPr>
        <w:t>② 会计处理</w:t>
      </w:r>
      <w:r>
        <w:rPr>
          <w:rFonts w:ascii="宋体" w:hAnsi="宋体" w:cs="宋体" w:eastAsia="宋体" w:hint="default"/>
          <w:b/>
          <w:bCs/>
          <w:w w:val="99"/>
        </w:rPr>
        <w:t> </w:t>
      </w:r>
      <w:r>
        <w:rPr>
          <w:spacing w:val="-1"/>
        </w:rPr>
        <w:t>与购建固定资产、无形资产等长期资产相关的政府补助，确认为递延收益，按照所建造或购买的资产</w:t>
      </w:r>
    </w:p>
    <w:p>
      <w:pPr>
        <w:pStyle w:val="BodyText"/>
        <w:spacing w:line="408" w:lineRule="auto"/>
        <w:ind w:left="575" w:right="1024" w:hanging="422"/>
        <w:jc w:val="left"/>
      </w:pPr>
      <w:r>
        <w:rPr/>
        <w:t>使用年限分期计入营业外收入； </w:t>
      </w:r>
      <w:r>
        <w:rPr>
          <w:spacing w:val="-1"/>
        </w:rPr>
        <w:t>与收益相关的政府补助，用于补偿企业以后期间的相关费用或损失的，取得时确认为递延收益，在确</w:t>
      </w:r>
    </w:p>
    <w:p>
      <w:pPr>
        <w:pStyle w:val="BodyText"/>
        <w:spacing w:line="408" w:lineRule="auto"/>
        <w:ind w:right="1131"/>
        <w:jc w:val="both"/>
      </w:pPr>
      <w:r>
        <w:rPr>
          <w:spacing w:val="-1"/>
        </w:rPr>
        <w:t>认相关费用的期间计入当期营业外收入；用于补偿企业已发生的相关费用或损失的，取得时直接计入当期</w:t>
      </w:r>
      <w:r>
        <w:rPr>
          <w:spacing w:val="-81"/>
        </w:rPr>
        <w:t> </w:t>
      </w:r>
      <w:r>
        <w:rPr>
          <w:spacing w:val="-81"/>
        </w:rPr>
      </w:r>
      <w:r>
        <w:rPr/>
        <w:t>营业外收入。</w:t>
      </w:r>
    </w:p>
    <w:p>
      <w:pPr>
        <w:pStyle w:val="BodyText"/>
        <w:spacing w:line="408" w:lineRule="auto"/>
        <w:ind w:left="619" w:right="3147" w:hanging="110"/>
        <w:jc w:val="left"/>
      </w:pPr>
      <w:r>
        <w:rPr>
          <w:rFonts w:ascii="宋体" w:hAnsi="宋体" w:cs="宋体" w:eastAsia="宋体" w:hint="default"/>
          <w:b/>
          <w:bCs/>
        </w:rPr>
        <w:t>③ 确认时点</w:t>
      </w:r>
      <w:r>
        <w:rPr>
          <w:rFonts w:ascii="宋体" w:hAnsi="宋体" w:cs="宋体" w:eastAsia="宋体" w:hint="default"/>
          <w:b/>
          <w:bCs/>
          <w:w w:val="99"/>
        </w:rPr>
        <w:t> </w:t>
      </w:r>
      <w:r>
        <w:rPr/>
        <w:t>与资产相关的政府补助，以建造或购买的资产达到可使用状态作为确认时点；</w:t>
      </w:r>
    </w:p>
    <w:p>
      <w:pPr>
        <w:pStyle w:val="BodyText"/>
        <w:spacing w:line="408" w:lineRule="auto"/>
        <w:ind w:right="1024" w:firstLine="421"/>
        <w:jc w:val="left"/>
      </w:pPr>
      <w:r>
        <w:rPr/>
        <w:t>与收益相关的政府补助，用于补偿企业以后期间的相关费用或损失的，如政府补助相关文件规定需要 </w:t>
      </w:r>
      <w:r>
        <w:rPr>
          <w:spacing w:val="-3"/>
        </w:rPr>
        <w:t>验收，以验收报告确认的完成时点作为确认时点，未规定是否验收，以确认相关费用的期间作为确认时点；</w:t>
      </w:r>
      <w:r>
        <w:rPr>
          <w:spacing w:val="-90"/>
        </w:rPr>
        <w:t> </w:t>
      </w:r>
      <w:r>
        <w:rPr>
          <w:spacing w:val="-90"/>
        </w:rPr>
      </w:r>
      <w:r>
        <w:rPr/>
        <w:t>用于补偿企业已发生的相关费用或损失的，以实际收到政府补助款项作为确认时点。</w:t>
      </w:r>
    </w:p>
    <w:p>
      <w:pPr>
        <w:spacing w:line="240" w:lineRule="auto" w:before="8"/>
        <w:rPr>
          <w:rFonts w:ascii="宋体" w:hAnsi="宋体" w:cs="宋体" w:eastAsia="宋体" w:hint="default"/>
          <w:sz w:val="20"/>
          <w:szCs w:val="20"/>
        </w:rPr>
      </w:pPr>
    </w:p>
    <w:p>
      <w:pPr>
        <w:pStyle w:val="Heading4"/>
        <w:spacing w:line="240" w:lineRule="auto"/>
        <w:ind w:left="153" w:right="1024"/>
        <w:jc w:val="left"/>
        <w:rPr>
          <w:b w:val="0"/>
          <w:bCs w:val="0"/>
        </w:rPr>
      </w:pPr>
      <w:bookmarkStart w:name="（2）与收益相关的政府补助判断依据及会计处理方法" w:id="211"/>
      <w:bookmarkEnd w:id="211"/>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spacing w:before="0"/>
        <w:ind w:left="334"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22、递延所得税资产/递延所得税负债" w:id="212"/>
      <w:bookmarkEnd w:id="212"/>
      <w:r>
        <w:rPr>
          <w:b w:val="0"/>
          <w:bCs w:val="0"/>
        </w:rPr>
      </w: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1" w:right="1024"/>
        <w:jc w:val="left"/>
      </w:pPr>
      <w:r>
        <w:rPr>
          <w:spacing w:val="-1"/>
        </w:rPr>
        <w:t>对于可抵扣暂时性差异确认递延所得税资产，以未来期间很可能取得的用来抵扣可抵扣暂时性差异的</w:t>
      </w:r>
      <w:r>
        <w:rPr>
          <w:spacing w:val="-82"/>
        </w:rPr>
        <w:t> </w:t>
      </w:r>
      <w:r>
        <w:rPr>
          <w:spacing w:val="-82"/>
        </w:rPr>
      </w:r>
      <w:r>
        <w:rPr/>
        <w:t>应纳税所得额为限。</w:t>
      </w:r>
    </w:p>
    <w:p>
      <w:pPr>
        <w:pStyle w:val="BodyText"/>
        <w:spacing w:line="408" w:lineRule="auto"/>
        <w:ind w:left="489" w:right="1024" w:firstLine="81"/>
        <w:jc w:val="left"/>
      </w:pPr>
      <w:r>
        <w:rPr/>
        <w:t>对于应纳税暂时性差异，除特殊情况外，确认递延所得税负债。 不确认递延所得税资产或递延所得税负债的特殊情况包括：商誉的初始确认；除企业合并以外的发生</w:t>
      </w:r>
    </w:p>
    <w:p>
      <w:pPr>
        <w:pStyle w:val="BodyText"/>
        <w:spacing w:line="408" w:lineRule="auto"/>
        <w:ind w:left="489" w:right="1024" w:hanging="336"/>
        <w:jc w:val="left"/>
      </w:pPr>
      <w:r>
        <w:rPr/>
        <w:t>时既不影响会计利润也不影响应纳税所得额（或可抵扣亏损）的其他交易或事项。 当拥有以净额结算的法定权利，且意图以净额结算或取得资产、清偿负债同时进行时，当期所得税资</w:t>
      </w:r>
    </w:p>
    <w:p>
      <w:pPr>
        <w:pStyle w:val="BodyText"/>
        <w:spacing w:line="408" w:lineRule="auto"/>
        <w:ind w:left="490" w:right="1024" w:hanging="336"/>
        <w:jc w:val="left"/>
      </w:pPr>
      <w:r>
        <w:rPr/>
        <w:t>产及当期所得税负债以抵销后的净额列报。 当拥有以净额结算当期所得税资产及当期所得税负债的法定权利，且递延所得税资产及递延所得税负</w:t>
      </w:r>
    </w:p>
    <w:p>
      <w:pPr>
        <w:pStyle w:val="BodyText"/>
        <w:spacing w:line="408" w:lineRule="auto"/>
        <w:ind w:left="154" w:right="1132"/>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after="0" w:line="408"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23、租赁" w:id="213"/>
      <w:bookmarkEnd w:id="213"/>
      <w:r>
        <w:rPr>
          <w:b w:val="0"/>
          <w:bCs w:val="0"/>
        </w:rPr>
      </w:r>
      <w:r>
        <w:rPr>
          <w:rFonts w:ascii="Times New Roman" w:hAnsi="Times New Roman" w:cs="Times New Roman" w:eastAsia="Times New Roman" w:hint="default"/>
        </w:rPr>
        <w:t>23</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经营租赁的会计处理方法" w:id="214"/>
      <w:bookmarkEnd w:id="21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1126" w:firstLine="422"/>
        <w:jc w:val="left"/>
      </w:pPr>
      <w:r>
        <w:rPr/>
        <w:t>①</w:t>
      </w:r>
      <w:r>
        <w:rPr>
          <w:spacing w:val="69"/>
        </w:rPr>
        <w:t> </w:t>
      </w:r>
      <w:r>
        <w:rPr/>
        <w:t>公司租入资产所支付的租赁费，在不扣除免租期的整个租赁期内，按直线法进行分摊，计入当期</w:t>
      </w:r>
      <w:r>
        <w:rPr/>
        <w:t> 费用。公司支付的与租赁交易相关的初始直接费用，计入当期费用。</w:t>
      </w:r>
    </w:p>
    <w:p>
      <w:pPr>
        <w:pStyle w:val="BodyText"/>
        <w:spacing w:line="408" w:lineRule="auto"/>
        <w:ind w:left="154" w:right="1024" w:firstLine="421"/>
        <w:jc w:val="left"/>
      </w:pPr>
      <w:r>
        <w:rPr>
          <w:spacing w:val="-1"/>
        </w:rPr>
        <w:t>资产出租方承担了应由公司承担的与租赁相关的费用时，公司将该部分费用从租金总额中扣除，按扣</w:t>
      </w:r>
      <w:r>
        <w:rPr/>
        <w:t> 除后的租金费用在租赁期内分摊，计入当期费用。</w:t>
      </w:r>
    </w:p>
    <w:p>
      <w:pPr>
        <w:pStyle w:val="BodyText"/>
        <w:spacing w:line="408" w:lineRule="auto"/>
        <w:ind w:left="154" w:right="1131" w:firstLine="315"/>
        <w:jc w:val="both"/>
      </w:pPr>
      <w:r>
        <w:rPr/>
        <w:t>②</w:t>
      </w:r>
      <w:r>
        <w:rPr>
          <w:spacing w:val="-23"/>
        </w:rPr>
        <w:t> </w:t>
      </w:r>
      <w:r>
        <w:rPr/>
        <w:t>公司出租资产所收取的租赁费，在不扣除免租期的整个租赁期内，按直线法进行分摊，确认为租赁</w:t>
      </w:r>
      <w:r>
        <w:rPr/>
        <w:t> </w:t>
      </w:r>
      <w:r>
        <w:rPr>
          <w:spacing w:val="-1"/>
        </w:rPr>
        <w:t>收入。公司支付的与租赁交易相关的初始直接费用，计入当期费用；如金额较大的，则予以资本化，在整</w:t>
      </w:r>
      <w:r>
        <w:rPr>
          <w:spacing w:val="-83"/>
        </w:rPr>
        <w:t> </w:t>
      </w:r>
      <w:r>
        <w:rPr>
          <w:spacing w:val="-83"/>
        </w:rPr>
      </w:r>
      <w:r>
        <w:rPr/>
        <w:t>个租赁期间内按照与租赁收入确认相同的基础分期计入当期收益。</w:t>
      </w:r>
    </w:p>
    <w:p>
      <w:pPr>
        <w:pStyle w:val="BodyText"/>
        <w:spacing w:line="408" w:lineRule="auto"/>
        <w:ind w:left="154" w:right="1024" w:firstLine="423"/>
        <w:jc w:val="left"/>
      </w:pPr>
      <w:r>
        <w:rPr>
          <w:spacing w:val="-1"/>
        </w:rPr>
        <w:t>公司承担了应由承租方承担的与租赁相关的费用时，公司将该部分费用从租金收入总额中扣除，按扣</w:t>
      </w:r>
      <w:r>
        <w:rPr/>
        <w:t> 除后的租金费用在租赁期内分配。</w:t>
      </w:r>
    </w:p>
    <w:p>
      <w:pPr>
        <w:spacing w:line="240" w:lineRule="auto" w:before="8"/>
        <w:rPr>
          <w:rFonts w:ascii="宋体" w:hAnsi="宋体" w:cs="宋体" w:eastAsia="宋体" w:hint="default"/>
          <w:sz w:val="20"/>
          <w:szCs w:val="20"/>
        </w:rPr>
      </w:pPr>
    </w:p>
    <w:p>
      <w:pPr>
        <w:pStyle w:val="Heading4"/>
        <w:spacing w:line="240" w:lineRule="auto"/>
        <w:ind w:right="1024"/>
        <w:jc w:val="left"/>
        <w:rPr>
          <w:b w:val="0"/>
          <w:bCs w:val="0"/>
        </w:rPr>
      </w:pPr>
      <w:bookmarkStart w:name="（2）融资租赁的会计处理方法" w:id="215"/>
      <w:bookmarkEnd w:id="21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24、重要会计政策和会计估计变更" w:id="216"/>
      <w:bookmarkEnd w:id="216"/>
      <w:r>
        <w:rPr>
          <w:b w:val="0"/>
          <w:bCs w:val="0"/>
        </w:rPr>
      </w:r>
      <w:r>
        <w:rPr>
          <w:rFonts w:ascii="Times New Roman" w:hAnsi="Times New Roman" w:cs="Times New Roman" w:eastAsia="Times New Roman" w:hint="default"/>
        </w:rPr>
        <w:t>24</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重要会计政策变更" w:id="217"/>
      <w:bookmarkEnd w:id="21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left="153" w:right="1024"/>
        <w:jc w:val="left"/>
        <w:rPr>
          <w:b w:val="0"/>
          <w:bCs w:val="0"/>
        </w:rPr>
      </w:pPr>
      <w:bookmarkStart w:name="（2）重要会计估计变更" w:id="218"/>
      <w:bookmarkEnd w:id="21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24"/>
        <w:jc w:val="left"/>
        <w:rPr>
          <w:b w:val="0"/>
          <w:bCs w:val="0"/>
        </w:rPr>
      </w:pPr>
      <w:bookmarkStart w:name="六、税项" w:id="219"/>
      <w:bookmarkEnd w:id="219"/>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1024"/>
        <w:jc w:val="left"/>
        <w:rPr>
          <w:b w:val="0"/>
          <w:bCs w:val="0"/>
        </w:rPr>
      </w:pPr>
      <w:bookmarkStart w:name="1、主要税种及税率" w:id="220"/>
      <w:bookmarkEnd w:id="22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2"/>
          <w:szCs w:val="12"/>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393"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right="84"/>
              <w:jc w:val="center"/>
              <w:rPr>
                <w:rFonts w:ascii="宋体" w:hAnsi="宋体" w:cs="宋体" w:eastAsia="宋体" w:hint="default"/>
                <w:sz w:val="18"/>
                <w:szCs w:val="18"/>
              </w:rPr>
            </w:pPr>
            <w:r>
              <w:rPr>
                <w:rFonts w:ascii="宋体" w:hAnsi="宋体" w:cs="宋体" w:eastAsia="宋体" w:hint="default"/>
                <w:sz w:val="18"/>
                <w:szCs w:val="18"/>
              </w:rPr>
              <w:t>建筑智能化工程业务按应税营业收入计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6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征</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按应缴流转税额计征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按应缴流转税额计征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按应缴流转税额计征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35"/>
        <w:ind w:left="154" w:right="1024" w:firstLine="0"/>
        <w:jc w:val="left"/>
        <w:rPr>
          <w:rFonts w:ascii="宋体" w:hAnsi="宋体" w:cs="宋体" w:eastAsia="宋体" w:hint="default"/>
          <w:sz w:val="20"/>
          <w:szCs w:val="20"/>
        </w:rPr>
      </w:pPr>
      <w:r>
        <w:rPr>
          <w:rFonts w:ascii="宋体" w:hAnsi="宋体" w:cs="宋体" w:eastAsia="宋体" w:hint="default"/>
          <w:sz w:val="20"/>
          <w:szCs w:val="20"/>
        </w:rPr>
        <w:t>存在不同企业所得税税率纳税主体的，披露情况说明</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中科金财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中科商务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中科信息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中科投资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中科软件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滨河创新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税收优惠" w:id="221"/>
      <w:bookmarkEnd w:id="22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5" w:right="1024" w:hanging="106"/>
        <w:jc w:val="left"/>
      </w:pPr>
      <w:r>
        <w:rPr/>
        <w:t>（</w:t>
      </w:r>
      <w:r>
        <w:rPr>
          <w:rFonts w:ascii="宋体" w:hAnsi="宋体" w:cs="宋体" w:eastAsia="宋体" w:hint="default"/>
        </w:rPr>
        <w:t>1</w:t>
      </w:r>
      <w:r>
        <w:rPr/>
        <w:t>）企业所得税减免 </w:t>
      </w:r>
      <w:r>
        <w:rPr>
          <w:spacing w:val="-1"/>
        </w:rPr>
        <w:t>公司于</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12</w:t>
      </w:r>
      <w:r>
        <w:rPr>
          <w:spacing w:val="-1"/>
        </w:rPr>
        <w:t>日取得北京市科学技术委员会、北京市财政局、北京市国家税务局、北京市地方</w:t>
      </w:r>
    </w:p>
    <w:p>
      <w:pPr>
        <w:pStyle w:val="BodyText"/>
        <w:spacing w:line="408" w:lineRule="auto"/>
        <w:ind w:right="1024"/>
        <w:jc w:val="left"/>
      </w:pPr>
      <w:r>
        <w:rPr/>
        <w:t>税务局核发的编号为</w:t>
      </w:r>
      <w:r>
        <w:rPr>
          <w:rFonts w:ascii="宋体" w:hAnsi="宋体" w:cs="宋体" w:eastAsia="宋体" w:hint="default"/>
        </w:rPr>
        <w:t>GR201411003512</w:t>
      </w:r>
      <w:r>
        <w:rPr/>
        <w:t>的《高新技术企业证书》，有效期</w:t>
      </w:r>
      <w:r>
        <w:rPr>
          <w:rFonts w:ascii="宋体" w:hAnsi="宋体" w:cs="宋体" w:eastAsia="宋体" w:hint="default"/>
        </w:rPr>
        <w:t>3</w:t>
      </w:r>
      <w:r>
        <w:rPr/>
        <w:t>年。根据《中华人民共和国企业</w:t>
      </w:r>
      <w:r>
        <w:rPr>
          <w:spacing w:val="-31"/>
        </w:rPr>
        <w:t> </w:t>
      </w:r>
      <w:r>
        <w:rPr>
          <w:spacing w:val="-31"/>
        </w:rPr>
      </w:r>
      <w:r>
        <w:rPr/>
        <w:t>所得税法》第</w:t>
      </w:r>
      <w:r>
        <w:rPr>
          <w:rFonts w:ascii="宋体" w:hAnsi="宋体" w:cs="宋体" w:eastAsia="宋体" w:hint="default"/>
        </w:rPr>
        <w:t>28</w:t>
      </w:r>
      <w:r>
        <w:rPr/>
        <w:t>条的规定，</w:t>
      </w:r>
      <w:r>
        <w:rPr>
          <w:rFonts w:ascii="宋体" w:hAnsi="宋体" w:cs="宋体" w:eastAsia="宋体" w:hint="default"/>
        </w:rPr>
        <w:t>2015</w:t>
      </w:r>
      <w:r>
        <w:rPr/>
        <w:t>年度按</w:t>
      </w:r>
      <w:r>
        <w:rPr>
          <w:rFonts w:ascii="宋体" w:hAnsi="宋体" w:cs="宋体" w:eastAsia="宋体" w:hint="default"/>
        </w:rPr>
        <w:t>15%</w:t>
      </w:r>
      <w:r>
        <w:rPr/>
        <w:t>的税率计提并缴纳企业所得税。 子公司北京中科金财电子商务有限公司于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30</w:t>
      </w:r>
      <w:r>
        <w:rPr/>
        <w:t>日取得北京市科学技术委员会、北京市财政局、北 </w:t>
      </w:r>
      <w:r>
        <w:rPr>
          <w:spacing w:val="-1"/>
        </w:rPr>
        <w:t>京市国家税务局、北京市地方税务局核发的编号为</w:t>
      </w:r>
      <w:r>
        <w:rPr>
          <w:rFonts w:ascii="宋体" w:hAnsi="宋体" w:cs="宋体" w:eastAsia="宋体" w:hint="default"/>
          <w:spacing w:val="-1"/>
        </w:rPr>
        <w:t>GR201411001366</w:t>
      </w:r>
      <w:r>
        <w:rPr>
          <w:spacing w:val="-1"/>
        </w:rPr>
        <w:t>的《高新技术企业证书》，有效期</w:t>
      </w:r>
      <w:r>
        <w:rPr>
          <w:rFonts w:ascii="宋体" w:hAnsi="宋体" w:cs="宋体" w:eastAsia="宋体" w:hint="default"/>
          <w:spacing w:val="-1"/>
        </w:rPr>
        <w:t>3</w:t>
      </w:r>
      <w:r>
        <w:rPr>
          <w:spacing w:val="-1"/>
        </w:rPr>
        <w:t>年。</w:t>
      </w:r>
      <w:r>
        <w:rPr>
          <w:spacing w:val="-77"/>
        </w:rPr>
        <w:t> </w:t>
      </w:r>
      <w:r>
        <w:rPr/>
        <w:t>根据《中华人民共和国企业所得税法》第</w:t>
      </w:r>
      <w:r>
        <w:rPr>
          <w:rFonts w:ascii="宋体" w:hAnsi="宋体" w:cs="宋体" w:eastAsia="宋体" w:hint="default"/>
        </w:rPr>
        <w:t>28</w:t>
      </w:r>
      <w:r>
        <w:rPr/>
        <w:t>条的规定，</w:t>
      </w:r>
      <w:r>
        <w:rPr>
          <w:rFonts w:ascii="宋体" w:hAnsi="宋体" w:cs="宋体" w:eastAsia="宋体" w:hint="default"/>
        </w:rPr>
        <w:t>2015</w:t>
      </w:r>
      <w:r>
        <w:rPr/>
        <w:t>年度按</w:t>
      </w:r>
      <w:r>
        <w:rPr>
          <w:rFonts w:ascii="宋体" w:hAnsi="宋体" w:cs="宋体" w:eastAsia="宋体" w:hint="default"/>
        </w:rPr>
        <w:t>15%</w:t>
      </w:r>
      <w:r>
        <w:rPr/>
        <w:t>的税率计提并缴纳企业所得税。</w:t>
      </w:r>
    </w:p>
    <w:p>
      <w:pPr>
        <w:pStyle w:val="BodyText"/>
        <w:spacing w:line="408" w:lineRule="auto"/>
        <w:ind w:left="154" w:right="1131" w:firstLine="421"/>
        <w:jc w:val="both"/>
      </w:pPr>
      <w:r>
        <w:rPr/>
        <w:t>子公司滨河创新于</w:t>
      </w:r>
      <w:r>
        <w:rPr>
          <w:rFonts w:ascii="宋体" w:hAnsi="宋体" w:cs="宋体" w:eastAsia="宋体" w:hint="default"/>
        </w:rPr>
        <w:t>2013</w:t>
      </w:r>
      <w:r>
        <w:rPr/>
        <w:t>年</w:t>
      </w:r>
      <w:r>
        <w:rPr>
          <w:rFonts w:ascii="宋体" w:hAnsi="宋体" w:cs="宋体" w:eastAsia="宋体" w:hint="default"/>
        </w:rPr>
        <w:t>6</w:t>
      </w:r>
      <w:r>
        <w:rPr/>
        <w:t>月</w:t>
      </w:r>
      <w:r>
        <w:rPr>
          <w:rFonts w:ascii="宋体" w:hAnsi="宋体" w:cs="宋体" w:eastAsia="宋体" w:hint="default"/>
        </w:rPr>
        <w:t>27</w:t>
      </w:r>
      <w:r>
        <w:rPr/>
        <w:t>日取得天津市科学技术委员会、天津市财政局、天津市国家税务局、 天津市地方税务局核发的编号为</w:t>
      </w:r>
      <w:r>
        <w:rPr>
          <w:rFonts w:ascii="宋体" w:hAnsi="宋体" w:cs="宋体" w:eastAsia="宋体" w:hint="default"/>
        </w:rPr>
        <w:t>GR201312000053</w:t>
      </w:r>
      <w:r>
        <w:rPr/>
        <w:t>的《高新技术企业证书》，有效期</w:t>
      </w:r>
      <w:r>
        <w:rPr>
          <w:rFonts w:ascii="宋体" w:hAnsi="宋体" w:cs="宋体" w:eastAsia="宋体" w:hint="default"/>
        </w:rPr>
        <w:t>3</w:t>
      </w:r>
      <w:r>
        <w:rPr/>
        <w:t>年，根据《中华人民</w:t>
      </w:r>
      <w:r>
        <w:rPr>
          <w:spacing w:val="-28"/>
        </w:rPr>
        <w:t> </w:t>
      </w:r>
      <w:r>
        <w:rPr>
          <w:spacing w:val="-28"/>
        </w:rPr>
      </w:r>
      <w:r>
        <w:rPr/>
        <w:t>共和国企业所得税法》第</w:t>
      </w:r>
      <w:r>
        <w:rPr>
          <w:rFonts w:ascii="宋体" w:hAnsi="宋体" w:cs="宋体" w:eastAsia="宋体" w:hint="default"/>
        </w:rPr>
        <w:t>28</w:t>
      </w:r>
      <w:r>
        <w:rPr/>
        <w:t>条的规定，</w:t>
      </w:r>
      <w:r>
        <w:rPr>
          <w:rFonts w:ascii="宋体" w:hAnsi="宋体" w:cs="宋体" w:eastAsia="宋体" w:hint="default"/>
        </w:rPr>
        <w:t>2015</w:t>
      </w:r>
      <w:r>
        <w:rPr/>
        <w:t>年度按</w:t>
      </w:r>
      <w:r>
        <w:rPr>
          <w:rFonts w:ascii="宋体" w:hAnsi="宋体" w:cs="宋体" w:eastAsia="宋体" w:hint="default"/>
        </w:rPr>
        <w:t>15%</w:t>
      </w:r>
      <w:r>
        <w:rPr/>
        <w:t>的税率计提并缴纳企业所得税。</w:t>
      </w:r>
    </w:p>
    <w:p>
      <w:pPr>
        <w:pStyle w:val="BodyText"/>
        <w:spacing w:line="408" w:lineRule="auto"/>
        <w:ind w:right="1129" w:firstLine="421"/>
        <w:jc w:val="both"/>
      </w:pPr>
      <w:r>
        <w:rPr>
          <w:spacing w:val="3"/>
        </w:rPr>
        <w:t>滨河创新子公司天津壬辰软件有限公司于</w:t>
      </w:r>
      <w:r>
        <w:rPr>
          <w:rFonts w:ascii="宋体" w:hAnsi="宋体" w:cs="宋体" w:eastAsia="宋体" w:hint="default"/>
          <w:spacing w:val="3"/>
        </w:rPr>
        <w:t>2014</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w:t>
      </w:r>
      <w:r>
        <w:rPr>
          <w:spacing w:val="3"/>
        </w:rPr>
        <w:t>日取得天津市经济和信息化委员会颁发的软件</w:t>
      </w:r>
      <w:r>
        <w:rPr/>
        <w:t> 企业认定证书，证书编号为：津</w:t>
      </w:r>
      <w:r>
        <w:rPr>
          <w:rFonts w:ascii="宋体" w:hAnsi="宋体" w:cs="宋体" w:eastAsia="宋体" w:hint="default"/>
        </w:rPr>
        <w:t>R-2014-0026</w:t>
      </w:r>
      <w:r>
        <w:rPr/>
        <w:t>。根据《财政部国家税务总局关于进一步鼓励软件产业和集</w:t>
      </w:r>
      <w:r>
        <w:rPr>
          <w:spacing w:val="-32"/>
        </w:rPr>
        <w:t> </w:t>
      </w:r>
      <w:r>
        <w:rPr>
          <w:spacing w:val="-32"/>
        </w:rPr>
      </w:r>
      <w:r>
        <w:rPr>
          <w:spacing w:val="-1"/>
        </w:rPr>
        <w:t>成电路产业发展企业所得税政策的通知》财税【</w:t>
      </w:r>
      <w:r>
        <w:rPr>
          <w:rFonts w:ascii="宋体" w:hAnsi="宋体" w:cs="宋体" w:eastAsia="宋体" w:hint="default"/>
          <w:spacing w:val="-1"/>
        </w:rPr>
        <w:t>2012</w:t>
      </w:r>
      <w:r>
        <w:rPr>
          <w:spacing w:val="-1"/>
        </w:rPr>
        <w:t>】</w:t>
      </w:r>
      <w:r>
        <w:rPr>
          <w:rFonts w:ascii="宋体" w:hAnsi="宋体" w:cs="宋体" w:eastAsia="宋体" w:hint="default"/>
          <w:spacing w:val="-1"/>
        </w:rPr>
        <w:t>27</w:t>
      </w:r>
      <w:r>
        <w:rPr>
          <w:spacing w:val="-1"/>
        </w:rPr>
        <w:t>号文件第三条规定：“我国境内新办的集成电路</w:t>
      </w:r>
      <w:r>
        <w:rPr>
          <w:spacing w:val="-81"/>
        </w:rPr>
        <w:t> </w:t>
      </w:r>
      <w:r>
        <w:rPr>
          <w:spacing w:val="-81"/>
        </w:rPr>
      </w:r>
      <w:r>
        <w:rPr>
          <w:spacing w:val="-1"/>
        </w:rPr>
        <w:t>设计企业和符合条件的软件企业，经认定后，在</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日前自获利年度起计算优惠期，第一年至第</w:t>
      </w:r>
      <w:r>
        <w:rPr>
          <w:spacing w:val="-83"/>
        </w:rPr>
        <w:t> </w:t>
      </w:r>
      <w:r>
        <w:rPr>
          <w:spacing w:val="-83"/>
        </w:rPr>
      </w:r>
      <w:r>
        <w:rPr/>
        <w:t>二年免征企业所得税，第三年至第五年按照</w:t>
      </w:r>
      <w:r>
        <w:rPr>
          <w:rFonts w:ascii="宋体" w:hAnsi="宋体" w:cs="宋体" w:eastAsia="宋体" w:hint="default"/>
        </w:rPr>
        <w:t>25%</w:t>
      </w:r>
      <w:r>
        <w:rPr/>
        <w:t>的法定税率减半征收企业所得税，并享受至期满为止。”</w:t>
      </w:r>
      <w:r>
        <w:rPr>
          <w:spacing w:val="-26"/>
        </w:rPr>
        <w:t> </w:t>
      </w:r>
      <w:r>
        <w:rPr>
          <w:spacing w:val="-26"/>
        </w:rPr>
      </w:r>
      <w:r>
        <w:rPr/>
        <w:t>天津壬辰软件有限公司</w:t>
      </w:r>
      <w:r>
        <w:rPr>
          <w:rFonts w:ascii="宋体" w:hAnsi="宋体" w:cs="宋体" w:eastAsia="宋体" w:hint="default"/>
        </w:rPr>
        <w:t>2014</w:t>
      </w:r>
      <w:r>
        <w:rPr/>
        <w:t>年度至</w:t>
      </w:r>
      <w:r>
        <w:rPr>
          <w:rFonts w:ascii="宋体" w:hAnsi="宋体" w:cs="宋体" w:eastAsia="宋体" w:hint="default"/>
        </w:rPr>
        <w:t>2015</w:t>
      </w:r>
      <w:r>
        <w:rPr/>
        <w:t>年度免征企业所得税。</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5" w:right="1024" w:hanging="106"/>
        <w:jc w:val="left"/>
      </w:pPr>
      <w:r>
        <w:rPr/>
        <w:t>（</w:t>
      </w:r>
      <w:r>
        <w:rPr>
          <w:rFonts w:ascii="宋体" w:hAnsi="宋体" w:cs="宋体" w:eastAsia="宋体" w:hint="default"/>
        </w:rPr>
        <w:t>2</w:t>
      </w:r>
      <w:r>
        <w:rPr/>
        <w:t>）增值税减免及退税 根据《财政部国家税务总局关于在北京等</w:t>
      </w:r>
      <w:r>
        <w:rPr>
          <w:rFonts w:ascii="宋体" w:hAnsi="宋体" w:cs="宋体" w:eastAsia="宋体" w:hint="default"/>
        </w:rPr>
        <w:t>8</w:t>
      </w:r>
      <w:r>
        <w:rPr/>
        <w:t>省市开展交通运输业和部分现代服务业营业税改征增值税</w:t>
      </w:r>
    </w:p>
    <w:p>
      <w:pPr>
        <w:pStyle w:val="BodyText"/>
        <w:spacing w:line="408" w:lineRule="auto"/>
        <w:ind w:right="1024"/>
        <w:jc w:val="left"/>
      </w:pPr>
      <w:r>
        <w:rPr/>
        <w:t>试点的通知》</w:t>
      </w:r>
      <w:r>
        <w:rPr>
          <w:rFonts w:ascii="宋体" w:hAnsi="宋体" w:cs="宋体" w:eastAsia="宋体" w:hint="default"/>
        </w:rPr>
        <w:t>(</w:t>
      </w:r>
      <w:r>
        <w:rPr/>
        <w:t>财税〔</w:t>
      </w:r>
      <w:r>
        <w:rPr>
          <w:rFonts w:ascii="宋体" w:hAnsi="宋体" w:cs="宋体" w:eastAsia="宋体" w:hint="default"/>
        </w:rPr>
        <w:t>2012</w:t>
      </w:r>
      <w:r>
        <w:rPr/>
        <w:t>〕</w:t>
      </w:r>
      <w:r>
        <w:rPr>
          <w:rFonts w:ascii="宋体" w:hAnsi="宋体" w:cs="宋体" w:eastAsia="宋体" w:hint="default"/>
        </w:rPr>
        <w:t>71</w:t>
      </w:r>
      <w:r>
        <w:rPr/>
        <w:t>号）规定及《关于在全国开展交通运输业和部分现代服务业营业税改征增</w:t>
      </w:r>
      <w:r>
        <w:rPr>
          <w:spacing w:val="-32"/>
        </w:rPr>
        <w:t> </w:t>
      </w:r>
      <w:r>
        <w:rPr>
          <w:spacing w:val="-32"/>
        </w:rPr>
      </w:r>
      <w:r>
        <w:rPr/>
        <w:t>值税试点税收政策的通知》（财税</w:t>
      </w:r>
      <w:r>
        <w:rPr>
          <w:rFonts w:ascii="宋体" w:hAnsi="宋体" w:cs="宋体" w:eastAsia="宋体" w:hint="default"/>
        </w:rPr>
        <w:t>[2013]37</w:t>
      </w:r>
      <w:r>
        <w:rPr/>
        <w:t>号）规定，本公司</w:t>
      </w:r>
      <w:r>
        <w:rPr>
          <w:rFonts w:ascii="宋体" w:hAnsi="宋体" w:cs="宋体" w:eastAsia="宋体" w:hint="default"/>
        </w:rPr>
        <w:t>2015</w:t>
      </w:r>
      <w:r>
        <w:rPr/>
        <w:t>年度提供技术转让、技术开发业务和与 之相关的技术咨询、技术服务业务取得的收入免征增值税。 </w:t>
      </w:r>
      <w:r>
        <w:rPr>
          <w:rFonts w:ascii="宋体" w:hAnsi="宋体" w:cs="宋体" w:eastAsia="宋体" w:hint="default"/>
          <w:spacing w:val="-3"/>
        </w:rPr>
        <w:t>2011</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18</w:t>
      </w:r>
      <w:r>
        <w:rPr>
          <w:spacing w:val="-3"/>
        </w:rPr>
        <w:t>日，国务院颁发《进一步鼓励软件产业和集成电路产业发展的若干政策》（国发</w:t>
      </w:r>
      <w:r>
        <w:rPr>
          <w:rFonts w:ascii="宋体" w:hAnsi="宋体" w:cs="宋体" w:eastAsia="宋体" w:hint="default"/>
          <w:spacing w:val="-3"/>
        </w:rPr>
        <w:t>[2011]4</w:t>
      </w:r>
      <w:r>
        <w:rPr>
          <w:spacing w:val="-3"/>
        </w:rPr>
        <w:t>号），</w:t>
      </w:r>
      <w:r>
        <w:rPr>
          <w:spacing w:val="-74"/>
        </w:rPr>
        <w:t> </w:t>
      </w:r>
      <w:r>
        <w:rPr>
          <w:spacing w:val="-74"/>
        </w:rPr>
      </w:r>
      <w:r>
        <w:rPr/>
        <w:t>规定明确了“继续实施软件增值税优惠政策”。</w:t>
      </w:r>
    </w:p>
    <w:p>
      <w:pPr>
        <w:pStyle w:val="BodyText"/>
        <w:spacing w:line="408" w:lineRule="auto"/>
        <w:ind w:right="1130" w:firstLine="420"/>
        <w:jc w:val="both"/>
      </w:pP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14</w:t>
      </w:r>
      <w:r>
        <w:rPr/>
        <w:t>日，财政部发布了《关于软件产品增值税政策的通知》（财税</w:t>
      </w:r>
      <w:r>
        <w:rPr>
          <w:rFonts w:ascii="宋体" w:hAnsi="宋体" w:cs="宋体" w:eastAsia="宋体" w:hint="default"/>
        </w:rPr>
        <w:t>[2011]100</w:t>
      </w:r>
      <w:r>
        <w:rPr/>
        <w:t>号）明确了增 值税一般纳税人销售其自行开发生产的软件产品，按</w:t>
      </w:r>
      <w:r>
        <w:rPr>
          <w:rFonts w:ascii="宋体" w:hAnsi="宋体" w:cs="宋体" w:eastAsia="宋体" w:hint="default"/>
        </w:rPr>
        <w:t>17%</w:t>
      </w:r>
      <w:r>
        <w:rPr/>
        <w:t>税率征收增值税后，对其增值税实际税负超过</w:t>
      </w:r>
      <w:r>
        <w:rPr>
          <w:rFonts w:ascii="宋体" w:hAnsi="宋体" w:cs="宋体" w:eastAsia="宋体" w:hint="default"/>
        </w:rPr>
        <w:t>3%</w:t>
      </w:r>
      <w:r>
        <w:rPr>
          <w:rFonts w:ascii="宋体" w:hAnsi="宋体" w:cs="宋体" w:eastAsia="宋体" w:hint="default"/>
          <w:spacing w:val="-27"/>
        </w:rPr>
        <w:t> </w:t>
      </w:r>
      <w:r>
        <w:rPr/>
        <w:t>的部分实行即征即退政策。</w:t>
      </w:r>
    </w:p>
    <w:p>
      <w:pPr>
        <w:spacing w:line="240" w:lineRule="auto" w:before="11"/>
        <w:rPr>
          <w:rFonts w:ascii="宋体" w:hAnsi="宋体" w:cs="宋体" w:eastAsia="宋体" w:hint="default"/>
          <w:sz w:val="18"/>
          <w:szCs w:val="18"/>
        </w:rPr>
      </w:pPr>
    </w:p>
    <w:p>
      <w:pPr>
        <w:pStyle w:val="Heading2"/>
        <w:spacing w:line="240" w:lineRule="auto"/>
        <w:ind w:right="1024"/>
        <w:jc w:val="left"/>
        <w:rPr>
          <w:b w:val="0"/>
          <w:bCs w:val="0"/>
        </w:rPr>
      </w:pPr>
      <w:bookmarkStart w:name="七、合并财务报表项目注释" w:id="222"/>
      <w:bookmarkEnd w:id="222"/>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货币资金" w:id="223"/>
      <w:bookmarkEnd w:id="22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225,624.60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241,462.53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550,143,629.39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677,338,376.29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20,679,374.76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14,219,791.96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571,048,628.75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691,799,630.78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1,453,318.91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1,390,405.75</w:t>
            </w:r>
          </w:p>
        </w:tc>
      </w:tr>
    </w:tbl>
    <w:p>
      <w:pPr>
        <w:pStyle w:val="BodyText"/>
        <w:spacing w:line="240" w:lineRule="auto" w:before="26"/>
        <w:ind w:left="154" w:right="1024"/>
        <w:jc w:val="left"/>
      </w:pPr>
      <w:r>
        <w:rPr/>
        <w:t>其他说明</w:t>
      </w:r>
    </w:p>
    <w:p>
      <w:pPr>
        <w:pStyle w:val="BodyText"/>
        <w:spacing w:line="240" w:lineRule="auto" w:before="75"/>
        <w:ind w:left="863" w:right="1024"/>
        <w:jc w:val="left"/>
      </w:pPr>
      <w:r>
        <w:rPr/>
        <w:t>其中因抵押、质押或冻结等对使用有限制的货币资金明细如下：</w:t>
      </w:r>
    </w:p>
    <w:p>
      <w:pPr>
        <w:spacing w:line="240" w:lineRule="auto" w:before="13"/>
        <w:rPr>
          <w:rFonts w:ascii="宋体" w:hAnsi="宋体" w:cs="宋体" w:eastAsia="宋体" w:hint="default"/>
          <w:sz w:val="3"/>
          <w:szCs w:val="3"/>
        </w:rPr>
      </w:pPr>
    </w:p>
    <w:tbl>
      <w:tblPr>
        <w:tblW w:w="0" w:type="auto"/>
        <w:jc w:val="left"/>
        <w:tblInd w:w="717" w:type="dxa"/>
        <w:tblLayout w:type="fixed"/>
        <w:tblCellMar>
          <w:top w:w="0" w:type="dxa"/>
          <w:left w:w="0" w:type="dxa"/>
          <w:bottom w:w="0" w:type="dxa"/>
          <w:right w:w="0" w:type="dxa"/>
        </w:tblCellMar>
        <w:tblLook w:val="01E0"/>
      </w:tblPr>
      <w:tblGrid>
        <w:gridCol w:w="2597"/>
        <w:gridCol w:w="2600"/>
        <w:gridCol w:w="2600"/>
      </w:tblGrid>
      <w:tr>
        <w:trPr>
          <w:trHeight w:val="342"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保函保证金</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20,574,628.12</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14,219,791.96</w:t>
            </w:r>
          </w:p>
        </w:tc>
      </w:tr>
      <w:tr>
        <w:trPr>
          <w:trHeight w:val="343" w:hRule="exact"/>
        </w:trPr>
        <w:tc>
          <w:tcPr>
            <w:tcW w:w="2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20,574,628.12</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14,219,791.96</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应收票据" w:id="224"/>
      <w:bookmarkEnd w:id="224"/>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应收票据分类列示" w:id="225"/>
      <w:bookmarkEnd w:id="22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13,978,820.00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11,847,600.00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12,668,391.10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26,647,211.10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11,847,600.00</w:t>
            </w:r>
          </w:p>
        </w:tc>
      </w:tr>
    </w:tbl>
    <w:p>
      <w:pPr>
        <w:spacing w:line="240" w:lineRule="auto" w:before="2"/>
        <w:rPr>
          <w:rFonts w:ascii="宋体" w:hAnsi="宋体" w:cs="宋体" w:eastAsia="宋体" w:hint="default"/>
          <w:sz w:val="19"/>
          <w:szCs w:val="19"/>
        </w:rPr>
      </w:pPr>
    </w:p>
    <w:p>
      <w:pPr>
        <w:pStyle w:val="Heading4"/>
        <w:spacing w:line="506" w:lineRule="auto" w:before="35"/>
        <w:ind w:left="575" w:right="7696" w:hanging="422"/>
        <w:jc w:val="left"/>
        <w:rPr>
          <w:rFonts w:ascii="宋体" w:hAnsi="宋体" w:cs="宋体" w:eastAsia="宋体" w:hint="default"/>
          <w:b w:val="0"/>
          <w:bCs w:val="0"/>
        </w:rPr>
      </w:pPr>
      <w:bookmarkStart w:name="（2）期末公司已质押的应收票据" w:id="226"/>
      <w:bookmarkEnd w:id="226"/>
      <w:r>
        <w:rPr>
          <w:b w:val="0"/>
          <w:bCs w:val="0"/>
        </w:rPr>
      </w:r>
      <w:r>
        <w:rPr/>
        <w:t>（</w:t>
      </w:r>
      <w:r>
        <w:rPr>
          <w:rFonts w:ascii="Times New Roman" w:hAnsi="Times New Roman" w:cs="Times New Roman" w:eastAsia="Times New Roman" w:hint="default"/>
        </w:rPr>
        <w:t>2</w:t>
      </w:r>
      <w:r>
        <w:rPr/>
        <w:t>）期末公司已质押的应收票据</w:t>
      </w:r>
      <w:r>
        <w:rPr>
          <w:w w:val="99"/>
        </w:rPr>
        <w:t> </w:t>
      </w:r>
      <w:r>
        <w:rPr>
          <w:rFonts w:ascii="宋体" w:hAnsi="宋体" w:cs="宋体" w:eastAsia="宋体" w:hint="default"/>
          <w:b w:val="0"/>
          <w:bCs w:val="0"/>
        </w:rPr>
        <w:t>无</w:t>
      </w:r>
    </w:p>
    <w:p>
      <w:pPr>
        <w:pStyle w:val="Heading4"/>
        <w:spacing w:line="240" w:lineRule="auto" w:before="104"/>
        <w:ind w:right="1024"/>
        <w:jc w:val="left"/>
        <w:rPr>
          <w:b w:val="0"/>
          <w:bCs w:val="0"/>
        </w:rPr>
      </w:pPr>
      <w:bookmarkStart w:name="（3）期末公司已背书或贴现且在资产负债表日尚未到期的应收票据" w:id="227"/>
      <w:bookmarkEnd w:id="22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506" w:lineRule="auto" w:before="35"/>
        <w:ind w:left="575" w:right="5588" w:hanging="422"/>
        <w:jc w:val="left"/>
        <w:rPr>
          <w:rFonts w:ascii="宋体" w:hAnsi="宋体" w:cs="宋体" w:eastAsia="宋体" w:hint="default"/>
          <w:b w:val="0"/>
          <w:bCs w:val="0"/>
        </w:rPr>
      </w:pPr>
      <w:bookmarkStart w:name="（4）期末公司因出票人未履约而将其转应收账款的票据" w:id="228"/>
      <w:bookmarkEnd w:id="228"/>
      <w:r>
        <w:rPr>
          <w:b w:val="0"/>
          <w:bCs w:val="0"/>
        </w:rPr>
      </w:r>
      <w:r>
        <w:rPr/>
        <w:t>（</w:t>
      </w:r>
      <w:r>
        <w:rPr>
          <w:rFonts w:ascii="Times New Roman" w:hAnsi="Times New Roman" w:cs="Times New Roman" w:eastAsia="Times New Roman" w:hint="default"/>
        </w:rPr>
        <w:t>4</w:t>
      </w:r>
      <w:r>
        <w:rPr/>
        <w:t>）期末公司因出票人未履约而将其转应收账款的票据</w:t>
      </w:r>
      <w:r>
        <w:rPr>
          <w:w w:val="99"/>
        </w:rPr>
        <w:t> </w:t>
      </w:r>
      <w:r>
        <w:rPr>
          <w:rFonts w:ascii="宋体" w:hAnsi="宋体" w:cs="宋体" w:eastAsia="宋体" w:hint="default"/>
          <w:b w:val="0"/>
          <w:bCs w:val="0"/>
        </w:rPr>
        <w:t>无</w:t>
      </w:r>
    </w:p>
    <w:p>
      <w:pPr>
        <w:pStyle w:val="Heading4"/>
        <w:spacing w:line="240" w:lineRule="auto" w:before="104"/>
        <w:ind w:right="1024"/>
        <w:jc w:val="left"/>
        <w:rPr>
          <w:b w:val="0"/>
          <w:bCs w:val="0"/>
        </w:rPr>
      </w:pPr>
      <w:bookmarkStart w:name="3、应收账款" w:id="229"/>
      <w:bookmarkEnd w:id="229"/>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应收账款分类披露" w:id="230"/>
      <w:bookmarkEnd w:id="2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92,694,8</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02.80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6,657,12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86,037,68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1.38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63,839,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305.71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4,982,618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58,856,687.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92,694,8</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02.80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6,657,12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7.18%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86,037,68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1.38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63,839,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305.71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4,982,618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7.80%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58,856,687.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80,824,576.09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4,041,228.81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80,824,576.09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4,041,228.81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8,816,727.31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881,672.73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1,649,099.40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329,819.88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92,694,802.80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6,657,121.42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before="117"/>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1024"/>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154" w:right="1024"/>
        <w:jc w:val="left"/>
      </w:pPr>
      <w:r>
        <w:rPr/>
        <w:t>本期计提坏账准备金额</w:t>
      </w:r>
      <w:r>
        <w:rPr>
          <w:spacing w:val="-53"/>
        </w:rPr>
        <w:t> </w:t>
      </w:r>
      <w:r>
        <w:rPr>
          <w:rFonts w:ascii="Times New Roman" w:hAnsi="Times New Roman" w:cs="Times New Roman" w:eastAsia="Times New Roman" w:hint="default"/>
        </w:rPr>
        <w:t>1,674,503.17</w:t>
      </w:r>
      <w:r>
        <w:rPr>
          <w:rFonts w:ascii="Times New Roman" w:hAnsi="Times New Roman" w:cs="Times New Roman" w:eastAsia="Times New Roman" w:hint="default"/>
          <w:spacing w:val="-2"/>
        </w:rPr>
        <w:t> </w:t>
      </w:r>
      <w:r>
        <w:rPr/>
        <w:t>元；本期收回或转回坏账准备金额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4"/>
          <w:szCs w:val="24"/>
        </w:rPr>
      </w:pPr>
    </w:p>
    <w:p>
      <w:pPr>
        <w:pStyle w:val="Heading4"/>
        <w:spacing w:line="240" w:lineRule="auto"/>
        <w:ind w:left="153" w:right="1024"/>
        <w:jc w:val="left"/>
        <w:rPr>
          <w:b w:val="0"/>
          <w:bCs w:val="0"/>
        </w:rPr>
      </w:pPr>
      <w:bookmarkStart w:name="（3）本期实际核销的应收账款情况" w:id="232"/>
      <w:bookmarkEnd w:id="2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1024"/>
        <w:jc w:val="left"/>
        <w:rPr>
          <w:b w:val="0"/>
          <w:bCs w:val="0"/>
        </w:rPr>
      </w:pPr>
      <w:bookmarkStart w:name="（4）按欠款方归集的期末余额前五名的应收账款情况" w:id="233"/>
      <w:bookmarkEnd w:id="2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17" w:type="dxa"/>
        <w:tblLayout w:type="fixed"/>
        <w:tblCellMar>
          <w:top w:w="0" w:type="dxa"/>
          <w:left w:w="0" w:type="dxa"/>
          <w:bottom w:w="0" w:type="dxa"/>
          <w:right w:w="0" w:type="dxa"/>
        </w:tblCellMar>
        <w:tblLook w:val="01E0"/>
      </w:tblPr>
      <w:tblGrid>
        <w:gridCol w:w="2797"/>
        <w:gridCol w:w="1595"/>
        <w:gridCol w:w="1699"/>
        <w:gridCol w:w="1652"/>
      </w:tblGrid>
      <w:tr>
        <w:trPr>
          <w:trHeight w:val="342" w:hRule="exact"/>
        </w:trPr>
        <w:tc>
          <w:tcPr>
            <w:tcW w:w="27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9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2797" w:type="dxa"/>
            <w:vMerge/>
            <w:tcBorders>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20" w:right="32"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 例</w:t>
            </w:r>
            <w:r>
              <w:rPr>
                <w:rFonts w:ascii="Times New Roman" w:hAnsi="Times New Roman" w:cs="Times New Roman" w:eastAsia="Times New Roman" w:hint="default"/>
                <w:sz w:val="18"/>
                <w:szCs w:val="18"/>
              </w:rPr>
              <w:t>(%)</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7" w:right="0"/>
              <w:jc w:val="left"/>
              <w:rPr>
                <w:rFonts w:ascii="宋体" w:hAnsi="宋体" w:cs="宋体" w:eastAsia="宋体" w:hint="default"/>
                <w:sz w:val="18"/>
                <w:szCs w:val="18"/>
              </w:rPr>
            </w:pPr>
            <w:r>
              <w:rPr>
                <w:rFonts w:ascii="宋体" w:hAnsi="宋体" w:cs="宋体" w:eastAsia="宋体" w:hint="default"/>
                <w:sz w:val="18"/>
                <w:szCs w:val="18"/>
              </w:rPr>
              <w:t>河南省卫生厅统计信息中心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17,704,800.00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19.10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885,240.00</w:t>
            </w:r>
          </w:p>
        </w:tc>
      </w:tr>
      <w:tr>
        <w:trPr>
          <w:trHeight w:val="342"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7" w:right="0"/>
              <w:jc w:val="left"/>
              <w:rPr>
                <w:rFonts w:ascii="宋体" w:hAnsi="宋体" w:cs="宋体" w:eastAsia="宋体" w:hint="default"/>
                <w:sz w:val="18"/>
                <w:szCs w:val="18"/>
              </w:rPr>
            </w:pPr>
            <w:r>
              <w:rPr>
                <w:rFonts w:ascii="宋体" w:hAnsi="宋体" w:cs="宋体" w:eastAsia="宋体" w:hint="default"/>
                <w:sz w:val="18"/>
                <w:szCs w:val="18"/>
              </w:rPr>
              <w:t>鹰皇金佰仕网络技术有限公司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12,707,641.51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13.71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635,382.08</w:t>
            </w:r>
          </w:p>
        </w:tc>
      </w:tr>
      <w:tr>
        <w:trPr>
          <w:trHeight w:val="342"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7" w:right="0"/>
              <w:jc w:val="left"/>
              <w:rPr>
                <w:rFonts w:ascii="宋体" w:hAnsi="宋体" w:cs="宋体" w:eastAsia="宋体" w:hint="default"/>
                <w:sz w:val="18"/>
                <w:szCs w:val="18"/>
              </w:rPr>
            </w:pPr>
            <w:r>
              <w:rPr>
                <w:rFonts w:ascii="宋体" w:hAnsi="宋体" w:cs="宋体" w:eastAsia="宋体" w:hint="default"/>
                <w:sz w:val="18"/>
                <w:szCs w:val="18"/>
              </w:rPr>
              <w:t>成都万达电子科技有限公司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7,911,115.72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8.53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395,555.79</w:t>
            </w:r>
          </w:p>
        </w:tc>
      </w:tr>
      <w:tr>
        <w:trPr>
          <w:trHeight w:val="342"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7" w:right="0"/>
              <w:jc w:val="left"/>
              <w:rPr>
                <w:rFonts w:ascii="宋体" w:hAnsi="宋体" w:cs="宋体" w:eastAsia="宋体" w:hint="default"/>
                <w:sz w:val="18"/>
                <w:szCs w:val="18"/>
              </w:rPr>
            </w:pPr>
            <w:r>
              <w:rPr>
                <w:rFonts w:ascii="宋体" w:hAnsi="宋体" w:cs="宋体" w:eastAsia="宋体" w:hint="default"/>
                <w:sz w:val="18"/>
                <w:szCs w:val="18"/>
              </w:rPr>
              <w:t>北京市东城区教育研究中心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6,700,855.60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7.23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335,042.78</w:t>
            </w:r>
          </w:p>
        </w:tc>
      </w:tr>
      <w:tr>
        <w:trPr>
          <w:trHeight w:val="342"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7" w:right="0"/>
              <w:jc w:val="left"/>
              <w:rPr>
                <w:rFonts w:ascii="宋体" w:hAnsi="宋体" w:cs="宋体" w:eastAsia="宋体" w:hint="default"/>
                <w:sz w:val="18"/>
                <w:szCs w:val="18"/>
              </w:rPr>
            </w:pPr>
            <w:r>
              <w:rPr>
                <w:rFonts w:ascii="宋体" w:hAnsi="宋体" w:cs="宋体" w:eastAsia="宋体" w:hint="default"/>
                <w:sz w:val="18"/>
                <w:szCs w:val="18"/>
              </w:rPr>
              <w:t>审计署计算机技术中心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3,466,691.04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3.74</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173,334.55</w:t>
            </w:r>
          </w:p>
        </w:tc>
      </w:tr>
      <w:tr>
        <w:trPr>
          <w:trHeight w:val="343"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48,491,103.87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20"/>
                <w:szCs w:val="20"/>
              </w:rPr>
            </w:pPr>
            <w:r>
              <w:rPr>
                <w:rFonts w:ascii="Times New Roman"/>
                <w:sz w:val="20"/>
              </w:rPr>
              <w:t>52.31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2,424,555.20</w:t>
            </w:r>
          </w:p>
        </w:tc>
      </w:tr>
    </w:tbl>
    <w:p>
      <w:pPr>
        <w:spacing w:line="240" w:lineRule="auto" w:before="2"/>
        <w:rPr>
          <w:rFonts w:ascii="宋体" w:hAnsi="宋体" w:cs="宋体" w:eastAsia="宋体" w:hint="default"/>
          <w:b/>
          <w:bCs/>
          <w:sz w:val="19"/>
          <w:szCs w:val="19"/>
        </w:rPr>
      </w:pPr>
    </w:p>
    <w:p>
      <w:pPr>
        <w:pStyle w:val="Heading4"/>
        <w:spacing w:line="240" w:lineRule="auto" w:before="35"/>
        <w:ind w:right="1024"/>
        <w:jc w:val="left"/>
        <w:rPr>
          <w:b w:val="0"/>
          <w:bCs w:val="0"/>
        </w:rPr>
      </w:pPr>
      <w:bookmarkStart w:name="（5）转移应收账款且继续涉入形成的资产、负债金额" w:id="234"/>
      <w:bookmarkEnd w:id="234"/>
      <w:r>
        <w:rPr>
          <w:b w:val="0"/>
          <w:bCs w:val="0"/>
        </w:rPr>
      </w:r>
      <w:r>
        <w:rPr/>
        <w:t>（</w:t>
      </w:r>
      <w:r>
        <w:rPr>
          <w:rFonts w:ascii="Times New Roman" w:hAnsi="Times New Roman" w:cs="Times New Roman" w:eastAsia="Times New Roman" w:hint="default"/>
        </w:rPr>
        <w:t>5</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514"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pStyle w:val="Heading4"/>
        <w:spacing w:line="240" w:lineRule="auto" w:before="92"/>
        <w:ind w:right="1024"/>
        <w:jc w:val="left"/>
        <w:rPr>
          <w:b w:val="0"/>
          <w:bCs w:val="0"/>
        </w:rPr>
      </w:pPr>
      <w:r>
        <w:rPr/>
        <w:t>其他说明：</w:t>
      </w:r>
      <w:r>
        <w:rPr>
          <w:b w:val="0"/>
          <w:bCs w:val="0"/>
        </w:rPr>
      </w:r>
    </w:p>
    <w:p>
      <w:pPr>
        <w:pStyle w:val="BodyText"/>
        <w:spacing w:line="408" w:lineRule="auto" w:before="153"/>
        <w:ind w:right="1024" w:firstLine="423"/>
        <w:jc w:val="left"/>
      </w:pPr>
      <w:r>
        <w:rPr>
          <w:rFonts w:ascii="宋体" w:hAnsi="宋体" w:cs="宋体" w:eastAsia="宋体" w:hint="default"/>
          <w:spacing w:val="-1"/>
        </w:rPr>
        <w:t>2013</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10</w:t>
      </w:r>
      <w:r>
        <w:rPr>
          <w:spacing w:val="-1"/>
        </w:rPr>
        <w:t>日，本公司与北京中关村科技融资担保有限公司签定</w:t>
      </w:r>
      <w:r>
        <w:rPr>
          <w:rFonts w:ascii="宋体" w:hAnsi="宋体" w:cs="宋体" w:eastAsia="宋体" w:hint="default"/>
          <w:spacing w:val="-1"/>
        </w:rPr>
        <w:t>2012</w:t>
      </w:r>
      <w:r>
        <w:rPr>
          <w:spacing w:val="-1"/>
        </w:rPr>
        <w:t>年</w:t>
      </w:r>
      <w:r>
        <w:rPr>
          <w:rFonts w:ascii="宋体" w:hAnsi="宋体" w:cs="宋体" w:eastAsia="宋体" w:hint="default"/>
          <w:spacing w:val="-1"/>
        </w:rPr>
        <w:t>QZY0736</w:t>
      </w:r>
      <w:r>
        <w:rPr>
          <w:spacing w:val="-1"/>
        </w:rPr>
        <w:t>号反担保（应收账款</w:t>
      </w:r>
      <w:r>
        <w:rPr/>
        <w:t> </w:t>
      </w:r>
      <w:r>
        <w:rPr>
          <w:spacing w:val="-1"/>
        </w:rPr>
        <w:t>质押）合同，约定以主债务全部清偿前形成的全部应收账款出质，为北京中关村科技融资担保有限公司根</w:t>
      </w:r>
      <w:r>
        <w:rPr>
          <w:spacing w:val="-83"/>
        </w:rPr>
        <w:t> </w:t>
      </w:r>
      <w:r>
        <w:rPr>
          <w:spacing w:val="-83"/>
        </w:rPr>
      </w:r>
      <w:r>
        <w:rPr/>
        <w:t>据双方签定的</w:t>
      </w:r>
      <w:r>
        <w:rPr>
          <w:rFonts w:ascii="宋体" w:hAnsi="宋体" w:cs="宋体" w:eastAsia="宋体" w:hint="default"/>
        </w:rPr>
        <w:t>2012</w:t>
      </w:r>
      <w:r>
        <w:rPr/>
        <w:t>年</w:t>
      </w:r>
      <w:r>
        <w:rPr>
          <w:rFonts w:ascii="宋体" w:hAnsi="宋体" w:cs="宋体" w:eastAsia="宋体" w:hint="default"/>
        </w:rPr>
        <w:t>WT0736</w:t>
      </w:r>
      <w:r>
        <w:rPr/>
        <w:t>号委托保证合同向本公司发行</w:t>
      </w:r>
      <w:r>
        <w:rPr>
          <w:rFonts w:ascii="宋体" w:hAnsi="宋体" w:cs="宋体" w:eastAsia="宋体" w:hint="default"/>
        </w:rPr>
        <w:t>24,000.00</w:t>
      </w:r>
      <w:r>
        <w:rPr/>
        <w:t>万元公司债券提供的保证担保进行反 担保。</w:t>
      </w:r>
    </w:p>
    <w:p>
      <w:pPr>
        <w:spacing w:after="0" w:line="40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4、预付款项" w:id="235"/>
      <w:bookmarkEnd w:id="235"/>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预付款项按账龄列示" w:id="236"/>
      <w:bookmarkEnd w:id="23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15,856,054.60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9,310,861.13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95.51%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588,410.34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355,010.77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52,700.00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16,444,464.94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9,748,571.90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按预付对象归集的期末余额前五名的预付款情况" w:id="237"/>
      <w:bookmarkEnd w:id="23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858" w:type="dxa"/>
        <w:tblLayout w:type="fixed"/>
        <w:tblCellMar>
          <w:top w:w="0" w:type="dxa"/>
          <w:left w:w="0" w:type="dxa"/>
          <w:bottom w:w="0" w:type="dxa"/>
          <w:right w:w="0" w:type="dxa"/>
        </w:tblCellMar>
        <w:tblLook w:val="01E0"/>
      </w:tblPr>
      <w:tblGrid>
        <w:gridCol w:w="3526"/>
        <w:gridCol w:w="2036"/>
        <w:gridCol w:w="2028"/>
      </w:tblGrid>
      <w:tr>
        <w:trPr>
          <w:trHeight w:val="654"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65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33" w:right="288"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p>
        </w:tc>
      </w:tr>
      <w:tr>
        <w:trPr>
          <w:trHeight w:val="542"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赞华（中国）电子系统有限公司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3"/>
              <w:jc w:val="right"/>
              <w:rPr>
                <w:rFonts w:ascii="Times New Roman" w:hAnsi="Times New Roman" w:cs="Times New Roman" w:eastAsia="Times New Roman" w:hint="default"/>
                <w:sz w:val="18"/>
                <w:szCs w:val="18"/>
              </w:rPr>
            </w:pPr>
            <w:r>
              <w:rPr>
                <w:rFonts w:ascii="Times New Roman"/>
                <w:spacing w:val="-1"/>
                <w:sz w:val="18"/>
              </w:rPr>
              <w:t>5,714,684.62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806" w:right="0"/>
              <w:jc w:val="left"/>
              <w:rPr>
                <w:rFonts w:ascii="Times New Roman" w:hAnsi="Times New Roman" w:cs="Times New Roman" w:eastAsia="Times New Roman" w:hint="default"/>
                <w:sz w:val="18"/>
                <w:szCs w:val="18"/>
              </w:rPr>
            </w:pPr>
            <w:r>
              <w:rPr>
                <w:rFonts w:ascii="Times New Roman"/>
                <w:sz w:val="18"/>
              </w:rPr>
              <w:t>34.75</w:t>
            </w:r>
          </w:p>
        </w:tc>
      </w:tr>
      <w:tr>
        <w:trPr>
          <w:trHeight w:val="542"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北京市科瑞讯科技发展股份有限公司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3"/>
              <w:jc w:val="right"/>
              <w:rPr>
                <w:rFonts w:ascii="Times New Roman" w:hAnsi="Times New Roman" w:cs="Times New Roman" w:eastAsia="Times New Roman" w:hint="default"/>
                <w:sz w:val="18"/>
                <w:szCs w:val="18"/>
              </w:rPr>
            </w:pPr>
            <w:r>
              <w:rPr>
                <w:rFonts w:ascii="Times New Roman"/>
                <w:spacing w:val="-1"/>
                <w:sz w:val="18"/>
              </w:rPr>
              <w:t>5,202,333.39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806" w:right="0"/>
              <w:jc w:val="left"/>
              <w:rPr>
                <w:rFonts w:ascii="Times New Roman" w:hAnsi="Times New Roman" w:cs="Times New Roman" w:eastAsia="Times New Roman" w:hint="default"/>
                <w:sz w:val="18"/>
                <w:szCs w:val="18"/>
              </w:rPr>
            </w:pPr>
            <w:r>
              <w:rPr>
                <w:rFonts w:ascii="Times New Roman"/>
                <w:sz w:val="18"/>
              </w:rPr>
              <w:t>31.64</w:t>
            </w:r>
          </w:p>
        </w:tc>
      </w:tr>
      <w:tr>
        <w:trPr>
          <w:trHeight w:val="542"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3"/>
              <w:jc w:val="right"/>
              <w:rPr>
                <w:rFonts w:ascii="Times New Roman" w:hAnsi="Times New Roman" w:cs="Times New Roman" w:eastAsia="Times New Roman" w:hint="default"/>
                <w:sz w:val="18"/>
                <w:szCs w:val="18"/>
              </w:rPr>
            </w:pPr>
            <w:r>
              <w:rPr>
                <w:rFonts w:ascii="Times New Roman"/>
                <w:spacing w:val="-1"/>
                <w:sz w:val="18"/>
              </w:rPr>
              <w:t>1,795,644.25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806" w:right="0"/>
              <w:jc w:val="left"/>
              <w:rPr>
                <w:rFonts w:ascii="Times New Roman" w:hAnsi="Times New Roman" w:cs="Times New Roman" w:eastAsia="Times New Roman" w:hint="default"/>
                <w:sz w:val="18"/>
                <w:szCs w:val="18"/>
              </w:rPr>
            </w:pPr>
            <w:r>
              <w:rPr>
                <w:rFonts w:ascii="Times New Roman"/>
                <w:sz w:val="18"/>
              </w:rPr>
              <w:t>10.92</w:t>
            </w:r>
          </w:p>
        </w:tc>
      </w:tr>
      <w:tr>
        <w:trPr>
          <w:trHeight w:val="542"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 w:right="0"/>
              <w:jc w:val="left"/>
              <w:rPr>
                <w:rFonts w:ascii="宋体" w:hAnsi="宋体" w:cs="宋体" w:eastAsia="宋体" w:hint="default"/>
                <w:sz w:val="18"/>
                <w:szCs w:val="18"/>
              </w:rPr>
            </w:pPr>
            <w:r>
              <w:rPr>
                <w:rFonts w:ascii="宋体" w:hAnsi="宋体" w:cs="宋体" w:eastAsia="宋体" w:hint="default"/>
                <w:sz w:val="18"/>
                <w:szCs w:val="18"/>
              </w:rPr>
              <w:t>深圳市怡亚通供应链股份有限公司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3"/>
              <w:jc w:val="right"/>
              <w:rPr>
                <w:rFonts w:ascii="Times New Roman" w:hAnsi="Times New Roman" w:cs="Times New Roman" w:eastAsia="Times New Roman" w:hint="default"/>
                <w:sz w:val="18"/>
                <w:szCs w:val="18"/>
              </w:rPr>
            </w:pPr>
            <w:r>
              <w:rPr>
                <w:rFonts w:ascii="Times New Roman"/>
                <w:spacing w:val="-1"/>
                <w:sz w:val="18"/>
              </w:rPr>
              <w:t>1,229,875.28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51" w:right="0"/>
              <w:jc w:val="left"/>
              <w:rPr>
                <w:rFonts w:ascii="Times New Roman" w:hAnsi="Times New Roman" w:cs="Times New Roman" w:eastAsia="Times New Roman" w:hint="default"/>
                <w:sz w:val="18"/>
                <w:szCs w:val="18"/>
              </w:rPr>
            </w:pPr>
            <w:r>
              <w:rPr>
                <w:rFonts w:ascii="Times New Roman"/>
                <w:sz w:val="18"/>
              </w:rPr>
              <w:t>7.48</w:t>
            </w:r>
          </w:p>
        </w:tc>
      </w:tr>
      <w:tr>
        <w:trPr>
          <w:trHeight w:val="541"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北京北航科技园有限公司</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3"/>
              <w:jc w:val="right"/>
              <w:rPr>
                <w:rFonts w:ascii="Times New Roman" w:hAnsi="Times New Roman" w:cs="Times New Roman" w:eastAsia="Times New Roman" w:hint="default"/>
                <w:sz w:val="18"/>
                <w:szCs w:val="18"/>
              </w:rPr>
            </w:pPr>
            <w:r>
              <w:rPr>
                <w:rFonts w:ascii="Times New Roman"/>
                <w:sz w:val="18"/>
              </w:rPr>
              <w:t>355,949.00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851" w:right="0"/>
              <w:jc w:val="left"/>
              <w:rPr>
                <w:rFonts w:ascii="Times New Roman" w:hAnsi="Times New Roman" w:cs="Times New Roman" w:eastAsia="Times New Roman" w:hint="default"/>
                <w:sz w:val="18"/>
                <w:szCs w:val="18"/>
              </w:rPr>
            </w:pPr>
            <w:r>
              <w:rPr>
                <w:rFonts w:ascii="Times New Roman"/>
                <w:sz w:val="18"/>
              </w:rPr>
              <w:t>2.16</w:t>
            </w:r>
          </w:p>
        </w:tc>
      </w:tr>
      <w:tr>
        <w:trPr>
          <w:trHeight w:val="542"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4"/>
              <w:jc w:val="right"/>
              <w:rPr>
                <w:rFonts w:ascii="Times New Roman" w:hAnsi="Times New Roman" w:cs="Times New Roman" w:eastAsia="Times New Roman" w:hint="default"/>
                <w:sz w:val="18"/>
                <w:szCs w:val="18"/>
              </w:rPr>
            </w:pPr>
            <w:r>
              <w:rPr>
                <w:rFonts w:ascii="Times New Roman"/>
                <w:spacing w:val="-1"/>
                <w:sz w:val="18"/>
              </w:rPr>
              <w:t>14,298,486.54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06" w:right="0"/>
              <w:jc w:val="left"/>
              <w:rPr>
                <w:rFonts w:ascii="Times New Roman" w:hAnsi="Times New Roman" w:cs="Times New Roman" w:eastAsia="Times New Roman" w:hint="default"/>
                <w:sz w:val="18"/>
                <w:szCs w:val="18"/>
              </w:rPr>
            </w:pPr>
            <w:r>
              <w:rPr>
                <w:rFonts w:ascii="Times New Roman"/>
                <w:sz w:val="18"/>
              </w:rPr>
              <w:t>86.95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240" w:lineRule="auto" w:before="35"/>
        <w:ind w:right="1024"/>
        <w:jc w:val="left"/>
        <w:rPr>
          <w:b w:val="0"/>
          <w:bCs w:val="0"/>
        </w:rPr>
      </w:pPr>
      <w:bookmarkStart w:name="5、其他应收款" w:id="238"/>
      <w:bookmarkEnd w:id="238"/>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其他应收款分类披露" w:id="239"/>
      <w:bookmarkEnd w:id="23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51"/>
        <w:gridCol w:w="800"/>
        <w:gridCol w:w="655"/>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60"/>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47,471,8</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68.53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5,026,04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9.68</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10.59%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42,445,81</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8.85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41,705,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616.78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2,967,416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38,738,200.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47,471,8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68.53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5,026,04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10.59%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42,445,81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8.85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41,705,</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616.78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2,967,416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38,738,200.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27,995,944.35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1,399,795.57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27,995,944.35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1,399,795.57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10,019,759.97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1,001,976.00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7,858,054.96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1,571,610.99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1,598,109.25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1,052,667.12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1,090,884.25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545,442.12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507,225.00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507,225.00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47,471,868.53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5,026,049.68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10.58%</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1024"/>
        <w:jc w:val="left"/>
        <w:rPr>
          <w:b w:val="0"/>
          <w:bCs w:val="0"/>
        </w:rPr>
      </w:pPr>
      <w:bookmarkStart w:name="（2）本期计提、收回或转回的坏账准备情况" w:id="240"/>
      <w:bookmarkEnd w:id="24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154" w:right="1024"/>
        <w:jc w:val="left"/>
      </w:pPr>
      <w:r>
        <w:rPr/>
        <w:t>本期计提坏账准备金额</w:t>
      </w:r>
      <w:r>
        <w:rPr>
          <w:spacing w:val="-53"/>
        </w:rPr>
        <w:t> </w:t>
      </w:r>
      <w:r>
        <w:rPr>
          <w:rFonts w:ascii="Times New Roman" w:hAnsi="Times New Roman" w:cs="Times New Roman" w:eastAsia="Times New Roman" w:hint="default"/>
        </w:rPr>
        <w:t>1,842,408.97</w:t>
      </w:r>
      <w:r>
        <w:rPr>
          <w:rFonts w:ascii="Times New Roman" w:hAnsi="Times New Roman" w:cs="Times New Roman" w:eastAsia="Times New Roman" w:hint="default"/>
          <w:spacing w:val="-2"/>
        </w:rPr>
        <w:t> </w:t>
      </w:r>
      <w:r>
        <w:rPr/>
        <w:t>元；本期收回或转回坏账准备金额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4"/>
          <w:szCs w:val="24"/>
        </w:rPr>
      </w:pPr>
    </w:p>
    <w:p>
      <w:pPr>
        <w:pStyle w:val="Heading4"/>
        <w:spacing w:line="240" w:lineRule="auto"/>
        <w:ind w:left="153" w:right="1024"/>
        <w:jc w:val="left"/>
        <w:rPr>
          <w:b w:val="0"/>
          <w:bCs w:val="0"/>
        </w:rPr>
      </w:pPr>
      <w:bookmarkStart w:name="（3）本期实际核销的其他应收款情况" w:id="241"/>
      <w:bookmarkEnd w:id="241"/>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1024"/>
        <w:jc w:val="left"/>
        <w:rPr>
          <w:b w:val="0"/>
          <w:bCs w:val="0"/>
        </w:rPr>
      </w:pPr>
      <w:bookmarkStart w:name="（4）其他应收款按款项性质分类情况" w:id="242"/>
      <w:bookmarkEnd w:id="24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43,169,625.82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38,964,151.11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764,010.94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366,072.25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预付房租物业费及押金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1,832,196.00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1,410,430.00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1,403,493.79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302,541.98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964,963.42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47,471,868.53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41,705,616.78</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5）按欠款方归集的期末余额前五名的其他应收款情况" w:id="243"/>
      <w:bookmarkEnd w:id="24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中科软科技股份有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11,709,050.84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1,275,539.41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北京市信息管理学 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6,291,875.30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314,593.77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北京工业职业技术 学院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2,302,957.00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230,295.70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北京财贸职业学院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1,904,104.00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189,640.40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北京北航科技园有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预付房租物业费及 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1,558,791.00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250,048.20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23,766,778.14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2,260,117.48</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6、存货" w:id="244"/>
      <w:bookmarkEnd w:id="244"/>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存货分类" w:id="245"/>
      <w:bookmarkEnd w:id="24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1,031,796.00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1,031,796.00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4,557,192.62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4,557,192.62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60,795,190.52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60,795,190.52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165,694,796.50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165,694,796.50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5,237,259.74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5,237,259.74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318,426,915.62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318,426,915.62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258,516,126.83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258,516,126.83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385,491,161.88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385,491,161.88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428,768,115.95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428,768,115.95</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7、其他流动资产" w:id="246"/>
      <w:bookmarkEnd w:id="246"/>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留抵税金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642,119.05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2,514,998.94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446,255.76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195,088,374.81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112,514,998.94</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8、可供出售金融资产" w:id="247"/>
      <w:bookmarkEnd w:id="247"/>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可供出售金融资产情况" w:id="248"/>
      <w:bookmarkEnd w:id="248"/>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30,636,800.00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30,636,800.00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30,636,800.00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30,636,800.00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30,636,800.00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30,636,800.00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24,900,000.00</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期末按成本计量的可供出售金融资产" w:id="249"/>
      <w:bookmarkEnd w:id="249"/>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马鞍山农 村商业银 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佛山南海 新华村镇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大连鼎金 企业管理 中心（有 限合伙）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5,736,800.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5,736,800.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5,736,800.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30,636,800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3"/>
        <w:rPr>
          <w:rFonts w:ascii="宋体" w:hAnsi="宋体" w:cs="宋体" w:eastAsia="宋体" w:hint="default"/>
          <w:sz w:val="19"/>
          <w:szCs w:val="19"/>
        </w:rPr>
      </w:pPr>
    </w:p>
    <w:p>
      <w:pPr>
        <w:pStyle w:val="Heading4"/>
        <w:spacing w:line="240" w:lineRule="auto" w:before="35"/>
        <w:ind w:right="1024"/>
        <w:jc w:val="left"/>
        <w:rPr>
          <w:b w:val="0"/>
          <w:bCs w:val="0"/>
        </w:rPr>
      </w:pPr>
      <w:bookmarkStart w:name="（3）可供出售权益工具期末公允价值严重下跌或非暂时性下跌但未计提减值准备的相关说" w:id="250"/>
      <w:bookmarkEnd w:id="250"/>
      <w:r>
        <w:rPr>
          <w:b w:val="0"/>
          <w:bCs w:val="0"/>
        </w:rPr>
      </w:r>
      <w:r>
        <w:rPr/>
        <w:t>（</w:t>
      </w:r>
      <w:r>
        <w:rPr>
          <w:rFonts w:ascii="Times New Roman" w:hAnsi="Times New Roman" w:cs="Times New Roman" w:eastAsia="Times New Roman" w:hint="default"/>
        </w:rPr>
        <w:t>3</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6"/>
          <w:szCs w:val="26"/>
        </w:rPr>
      </w:pPr>
    </w:p>
    <w:p>
      <w:pPr>
        <w:spacing w:before="0"/>
        <w:ind w:left="514"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12"/>
          <w:szCs w:val="12"/>
        </w:rPr>
      </w:pPr>
    </w:p>
    <w:p>
      <w:pPr>
        <w:pStyle w:val="Heading4"/>
        <w:spacing w:line="240" w:lineRule="auto"/>
        <w:ind w:left="577" w:right="1024"/>
        <w:jc w:val="left"/>
        <w:rPr>
          <w:b w:val="0"/>
          <w:bCs w:val="0"/>
        </w:rPr>
      </w:pPr>
      <w:r>
        <w:rPr/>
        <w:t>其他说明</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4"/>
        <w:ind w:right="1131" w:firstLine="421"/>
        <w:jc w:val="both"/>
      </w:pPr>
      <w:r>
        <w:rPr/>
        <w:t>大连鼎金企业管理中心（有限合伙）公司投资</w:t>
      </w:r>
      <w:r>
        <w:rPr>
          <w:rFonts w:ascii="宋体" w:hAnsi="宋体" w:cs="宋体" w:eastAsia="宋体" w:hint="default"/>
        </w:rPr>
        <w:t>573.68</w:t>
      </w:r>
      <w:r>
        <w:rPr/>
        <w:t>万元，持股比例</w:t>
      </w:r>
      <w:r>
        <w:rPr>
          <w:rFonts w:ascii="宋体" w:hAnsi="宋体" w:cs="宋体" w:eastAsia="宋体" w:hint="default"/>
        </w:rPr>
        <w:t>50.5%</w:t>
      </w:r>
      <w:r>
        <w:rPr/>
        <w:t>，</w:t>
      </w:r>
      <w:r>
        <w:rPr>
          <w:spacing w:val="-25"/>
        </w:rPr>
        <w:t> </w:t>
      </w:r>
      <w:r>
        <w:rPr/>
        <w:t>根据章程约定，合伙人</w:t>
      </w:r>
      <w:r>
        <w:rPr/>
        <w:t> </w:t>
      </w:r>
      <w:r>
        <w:rPr>
          <w:spacing w:val="-1"/>
        </w:rPr>
        <w:t>将在大金所经营业绩达到大金所董事会设定的目标后，无条件按照大金所董事会确定的股权激励方案将所</w:t>
      </w:r>
      <w:r>
        <w:rPr>
          <w:spacing w:val="-81"/>
        </w:rPr>
        <w:t> </w:t>
      </w:r>
      <w:r>
        <w:rPr>
          <w:spacing w:val="-81"/>
        </w:rPr>
      </w:r>
      <w:r>
        <w:rPr>
          <w:spacing w:val="-1"/>
        </w:rPr>
        <w:t>持合伙企业全部出资以合伙企业设立时的原始价格转让给大金所经营管理团队。公司对此投资不控制、无</w:t>
      </w:r>
      <w:r>
        <w:rPr>
          <w:spacing w:val="-81"/>
        </w:rPr>
        <w:t> </w:t>
      </w:r>
      <w:r>
        <w:rPr>
          <w:spacing w:val="-81"/>
        </w:rPr>
      </w:r>
      <w:r>
        <w:rPr/>
        <w:t>重大影响。</w:t>
      </w:r>
    </w:p>
    <w:p>
      <w:pPr>
        <w:spacing w:line="240" w:lineRule="auto" w:before="8"/>
        <w:rPr>
          <w:rFonts w:ascii="宋体" w:hAnsi="宋体" w:cs="宋体" w:eastAsia="宋体" w:hint="default"/>
          <w:sz w:val="20"/>
          <w:szCs w:val="20"/>
        </w:rPr>
      </w:pPr>
    </w:p>
    <w:p>
      <w:pPr>
        <w:pStyle w:val="Heading4"/>
        <w:spacing w:line="240" w:lineRule="auto"/>
        <w:ind w:left="153" w:right="1024"/>
        <w:jc w:val="left"/>
        <w:rPr>
          <w:b w:val="0"/>
          <w:bCs w:val="0"/>
        </w:rPr>
      </w:pPr>
      <w:bookmarkStart w:name="9、长期股权投资" w:id="251"/>
      <w:bookmarkEnd w:id="251"/>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北京中科 金财电子 产品有限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21,587,25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2,886,266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2,023,847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22,449,67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2.41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1"/>
              <w:jc w:val="both"/>
              <w:rPr>
                <w:rFonts w:ascii="宋体" w:hAnsi="宋体" w:cs="宋体" w:eastAsia="宋体" w:hint="default"/>
                <w:sz w:val="18"/>
                <w:szCs w:val="18"/>
              </w:rPr>
            </w:pPr>
            <w:r>
              <w:rPr>
                <w:rFonts w:ascii="宋体" w:hAnsi="宋体" w:cs="宋体" w:eastAsia="宋体" w:hint="default"/>
                <w:sz w:val="18"/>
                <w:szCs w:val="18"/>
              </w:rPr>
              <w:t>中科环嘉 电子商务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4,967,710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-2,694,75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2,272,950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深圳中金 财富互联 网金融服 务有限公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564,876.0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17,070,00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-323,812.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17,311,06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北京中关 村互联网 金融信息 服务中心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150,056.1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750,056.1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大连金融 资产交易 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25,023,60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-2,784,09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22,239,50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1"/>
              <w:jc w:val="left"/>
              <w:rPr>
                <w:rFonts w:ascii="宋体" w:hAnsi="宋体" w:cs="宋体" w:eastAsia="宋体" w:hint="default"/>
                <w:sz w:val="18"/>
                <w:szCs w:val="18"/>
              </w:rPr>
            </w:pPr>
            <w:r>
              <w:rPr>
                <w:rFonts w:ascii="宋体" w:hAnsi="宋体" w:cs="宋体" w:eastAsia="宋体" w:hint="default"/>
                <w:sz w:val="18"/>
                <w:szCs w:val="18"/>
              </w:rPr>
              <w:t>安粮期货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255,366,2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1,196,809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256,563,0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09.60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金网络</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-2,100,09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17,899,90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7.84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电子商务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27,119,83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318,059,8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-3,669,62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2,023,847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339,486,1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66.39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27,119,83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318,059,8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-3,669,62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2,023,847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339,486,1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66.39</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before="63"/>
        <w:ind w:left="580" w:right="1024"/>
        <w:jc w:val="left"/>
        <w:rPr>
          <w:b w:val="0"/>
          <w:bCs w:val="0"/>
        </w:rPr>
      </w:pPr>
      <w:r>
        <w:rPr/>
        <w:t>其他说明</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133" w:firstLine="423"/>
        <w:jc w:val="both"/>
      </w:pPr>
      <w:r>
        <w:rPr>
          <w:spacing w:val="3"/>
        </w:rPr>
        <w:t>（</w:t>
      </w:r>
      <w:r>
        <w:rPr>
          <w:rFonts w:ascii="宋体" w:hAnsi="宋体" w:cs="宋体" w:eastAsia="宋体" w:hint="default"/>
          <w:spacing w:val="3"/>
        </w:rPr>
        <w:t>1</w:t>
      </w:r>
      <w:r>
        <w:rPr>
          <w:spacing w:val="3"/>
        </w:rPr>
        <w:t>）</w:t>
      </w:r>
      <w:r>
        <w:rPr>
          <w:rFonts w:ascii="宋体" w:hAnsi="宋体" w:cs="宋体" w:eastAsia="宋体" w:hint="default"/>
          <w:spacing w:val="3"/>
        </w:rPr>
        <w:t>2015</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16</w:t>
      </w:r>
      <w:r>
        <w:rPr>
          <w:spacing w:val="3"/>
        </w:rPr>
        <w:t>日，根据中科电子第</w:t>
      </w:r>
      <w:r>
        <w:rPr>
          <w:rFonts w:ascii="宋体" w:hAnsi="宋体" w:cs="宋体" w:eastAsia="宋体" w:hint="default"/>
          <w:spacing w:val="3"/>
        </w:rPr>
        <w:t>1</w:t>
      </w:r>
      <w:r>
        <w:rPr>
          <w:spacing w:val="3"/>
        </w:rPr>
        <w:t>届第</w:t>
      </w:r>
      <w:r>
        <w:rPr>
          <w:rFonts w:ascii="宋体" w:hAnsi="宋体" w:cs="宋体" w:eastAsia="宋体" w:hint="default"/>
          <w:spacing w:val="3"/>
        </w:rPr>
        <w:t>3</w:t>
      </w:r>
      <w:r>
        <w:rPr>
          <w:spacing w:val="3"/>
        </w:rPr>
        <w:t>次股东会决议，中科电子对</w:t>
      </w:r>
      <w:r>
        <w:rPr>
          <w:rFonts w:ascii="宋体" w:hAnsi="宋体" w:cs="宋体" w:eastAsia="宋体" w:hint="default"/>
          <w:spacing w:val="3"/>
        </w:rPr>
        <w:t>2014</w:t>
      </w:r>
      <w:r>
        <w:rPr>
          <w:spacing w:val="3"/>
        </w:rPr>
        <w:t>年全部可供分配利润</w:t>
      </w:r>
      <w:r>
        <w:rPr/>
        <w:t> </w:t>
      </w:r>
      <w:r>
        <w:rPr>
          <w:rFonts w:ascii="宋体" w:hAnsi="宋体" w:cs="宋体" w:eastAsia="宋体" w:hint="default"/>
        </w:rPr>
        <w:t>4,097,349.36</w:t>
      </w:r>
      <w:r>
        <w:rPr/>
        <w:t>元以持股比例进行分配，本公司取得现金分红金额</w:t>
      </w:r>
      <w:r>
        <w:rPr>
          <w:rFonts w:ascii="宋体" w:hAnsi="宋体" w:cs="宋体" w:eastAsia="宋体" w:hint="default"/>
        </w:rPr>
        <w:t>2,023,847.04</w:t>
      </w:r>
      <w:r>
        <w:rPr/>
        <w:t>元；</w:t>
      </w:r>
    </w:p>
    <w:p>
      <w:pPr>
        <w:pStyle w:val="BodyText"/>
        <w:spacing w:line="408" w:lineRule="auto"/>
        <w:ind w:left="154" w:right="1139" w:firstLine="423"/>
        <w:jc w:val="both"/>
      </w:pPr>
      <w:r>
        <w:rPr/>
        <w:t>（</w:t>
      </w:r>
      <w:r>
        <w:rPr>
          <w:rFonts w:ascii="宋体" w:hAnsi="宋体" w:cs="宋体" w:eastAsia="宋体" w:hint="default"/>
        </w:rPr>
        <w:t>2</w:t>
      </w:r>
      <w:r>
        <w:rPr/>
        <w:t>）</w:t>
      </w:r>
      <w:r>
        <w:rPr>
          <w:rFonts w:ascii="宋体" w:hAnsi="宋体" w:cs="宋体" w:eastAsia="宋体" w:hint="default"/>
        </w:rPr>
        <w:t>2014</w:t>
      </w:r>
      <w:r>
        <w:rPr/>
        <w:t>年</w:t>
      </w:r>
      <w:r>
        <w:rPr>
          <w:rFonts w:ascii="宋体" w:hAnsi="宋体" w:cs="宋体" w:eastAsia="宋体" w:hint="default"/>
        </w:rPr>
        <w:t>12</w:t>
      </w:r>
      <w:r>
        <w:rPr/>
        <w:t>月子公司中科商务与参股公司中科环嘉电子商务有限公司发生关联方采购，按进度本 期中科商务确认技术收入</w:t>
      </w:r>
      <w:r>
        <w:rPr>
          <w:rFonts w:ascii="宋体" w:hAnsi="宋体" w:cs="宋体" w:eastAsia="宋体" w:hint="default"/>
        </w:rPr>
        <w:t>10,342,263.97</w:t>
      </w:r>
      <w:r>
        <w:rPr/>
        <w:t>元。在合并层面抵消该笔交易未实现损益</w:t>
      </w:r>
      <w:r>
        <w:rPr>
          <w:rFonts w:ascii="宋体" w:hAnsi="宋体" w:cs="宋体" w:eastAsia="宋体" w:hint="default"/>
        </w:rPr>
        <w:t>-2,078,795.06</w:t>
      </w:r>
      <w:r>
        <w:rPr/>
        <w:t>元；</w:t>
      </w:r>
    </w:p>
    <w:p>
      <w:pPr>
        <w:pStyle w:val="BodyText"/>
        <w:spacing w:line="408" w:lineRule="auto"/>
        <w:ind w:left="154" w:right="1134" w:firstLine="423"/>
        <w:jc w:val="both"/>
      </w:pPr>
      <w:r>
        <w:rPr/>
        <w:t>（</w:t>
      </w:r>
      <w:r>
        <w:rPr>
          <w:rFonts w:ascii="宋体" w:hAnsi="宋体" w:cs="宋体" w:eastAsia="宋体" w:hint="default"/>
        </w:rPr>
        <w:t>3</w:t>
      </w:r>
      <w:r>
        <w:rPr/>
        <w:t>）公司本报告期初持有深圳中金财富互联网金融服务有限公司</w:t>
      </w:r>
      <w:r>
        <w:rPr>
          <w:rFonts w:ascii="宋体" w:hAnsi="宋体" w:cs="宋体" w:eastAsia="宋体" w:hint="default"/>
        </w:rPr>
        <w:t>19.00%</w:t>
      </w:r>
      <w:r>
        <w:rPr/>
        <w:t>的股份。本期中金财富注册 资本增至</w:t>
      </w:r>
      <w:r>
        <w:rPr>
          <w:rFonts w:ascii="宋体" w:hAnsi="宋体" w:cs="宋体" w:eastAsia="宋体" w:hint="default"/>
        </w:rPr>
        <w:t>5000</w:t>
      </w:r>
      <w:r>
        <w:rPr/>
        <w:t>万元后，公司认缴出资为</w:t>
      </w:r>
      <w:r>
        <w:rPr>
          <w:rFonts w:ascii="宋体" w:hAnsi="宋体" w:cs="宋体" w:eastAsia="宋体" w:hint="default"/>
        </w:rPr>
        <w:t>2450</w:t>
      </w:r>
      <w:r>
        <w:rPr/>
        <w:t>万元，持股比例增至</w:t>
      </w:r>
      <w:r>
        <w:rPr>
          <w:rFonts w:ascii="宋体" w:hAnsi="宋体" w:cs="宋体" w:eastAsia="宋体" w:hint="default"/>
        </w:rPr>
        <w:t>49%</w:t>
      </w:r>
      <w:r>
        <w:rPr/>
        <w:t>，报告期内公司实际出资</w:t>
      </w:r>
      <w:r>
        <w:rPr>
          <w:rFonts w:ascii="宋体" w:hAnsi="宋体" w:cs="宋体" w:eastAsia="宋体" w:hint="default"/>
        </w:rPr>
        <w:t>1707</w:t>
      </w:r>
      <w:r>
        <w:rPr/>
        <w:t>万元；</w:t>
      </w:r>
    </w:p>
    <w:p>
      <w:pPr>
        <w:pStyle w:val="BodyText"/>
        <w:spacing w:line="408" w:lineRule="auto"/>
        <w:ind w:left="154" w:right="1132" w:firstLine="423"/>
        <w:jc w:val="both"/>
      </w:pPr>
      <w:r>
        <w:rPr/>
        <w:t>（</w:t>
      </w:r>
      <w:r>
        <w:rPr>
          <w:rFonts w:ascii="宋体" w:hAnsi="宋体" w:cs="宋体" w:eastAsia="宋体" w:hint="default"/>
        </w:rPr>
        <w:t>4</w:t>
      </w:r>
      <w:r>
        <w:rPr/>
        <w:t>）北京中关村互联网金融信息服务中心有限公司成立于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15</w:t>
      </w:r>
      <w:r>
        <w:rPr/>
        <w:t>日，注册资本</w:t>
      </w:r>
      <w:r>
        <w:rPr>
          <w:rFonts w:ascii="宋体" w:hAnsi="宋体" w:cs="宋体" w:eastAsia="宋体" w:hint="default"/>
        </w:rPr>
        <w:t>2000</w:t>
      </w:r>
      <w:r>
        <w:rPr/>
        <w:t>万元，本 公司认缴出资</w:t>
      </w:r>
      <w:r>
        <w:rPr>
          <w:rFonts w:ascii="宋体" w:hAnsi="宋体" w:cs="宋体" w:eastAsia="宋体" w:hint="default"/>
        </w:rPr>
        <w:t>300</w:t>
      </w:r>
      <w:r>
        <w:rPr/>
        <w:t>万元，持股比例</w:t>
      </w:r>
      <w:r>
        <w:rPr>
          <w:rFonts w:ascii="宋体" w:hAnsi="宋体" w:cs="宋体" w:eastAsia="宋体" w:hint="default"/>
        </w:rPr>
        <w:t>15%</w:t>
      </w:r>
      <w:r>
        <w:rPr/>
        <w:t>，本期实缴出资额</w:t>
      </w:r>
      <w:r>
        <w:rPr>
          <w:rFonts w:ascii="宋体" w:hAnsi="宋体" w:cs="宋体" w:eastAsia="宋体" w:hint="default"/>
        </w:rPr>
        <w:t>600,000</w:t>
      </w:r>
      <w:r>
        <w:rPr/>
        <w:t>元；</w:t>
      </w:r>
    </w:p>
    <w:p>
      <w:pPr>
        <w:pStyle w:val="BodyText"/>
        <w:spacing w:line="408" w:lineRule="auto"/>
        <w:ind w:right="1132" w:firstLine="423"/>
        <w:jc w:val="both"/>
      </w:pPr>
      <w:r>
        <w:rPr>
          <w:spacing w:val="-1"/>
        </w:rPr>
        <w:t>（</w:t>
      </w:r>
      <w:r>
        <w:rPr>
          <w:rFonts w:ascii="宋体" w:hAnsi="宋体" w:cs="宋体" w:eastAsia="宋体" w:hint="default"/>
          <w:spacing w:val="-1"/>
        </w:rPr>
        <w:t>5</w:t>
      </w:r>
      <w:r>
        <w:rPr>
          <w:spacing w:val="-1"/>
        </w:rPr>
        <w:t>）根据</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30</w:t>
      </w:r>
      <w:r>
        <w:rPr>
          <w:spacing w:val="-1"/>
        </w:rPr>
        <w:t>日大连金融资产交易所有限公司的增资扩股协议，本公司以</w:t>
      </w:r>
      <w:r>
        <w:rPr>
          <w:rFonts w:ascii="宋体" w:hAnsi="宋体" w:cs="宋体" w:eastAsia="宋体" w:hint="default"/>
          <w:spacing w:val="-1"/>
        </w:rPr>
        <w:t>2,502.36</w:t>
      </w:r>
      <w:r>
        <w:rPr>
          <w:spacing w:val="-1"/>
        </w:rPr>
        <w:t>万元认缴</w:t>
      </w:r>
      <w:r>
        <w:rPr/>
        <w:t> 大连金融资产交易所有限公司新增注册资本</w:t>
      </w:r>
      <w:r>
        <w:rPr>
          <w:rFonts w:ascii="宋体" w:hAnsi="宋体" w:cs="宋体" w:eastAsia="宋体" w:hint="default"/>
        </w:rPr>
        <w:t>2,000</w:t>
      </w:r>
      <w:r>
        <w:rPr/>
        <w:t>万元，占增资后注册资本</w:t>
      </w:r>
      <w:r>
        <w:rPr>
          <w:rFonts w:ascii="宋体" w:hAnsi="宋体" w:cs="宋体" w:eastAsia="宋体" w:hint="default"/>
        </w:rPr>
        <w:t>10,000</w:t>
      </w:r>
      <w:r>
        <w:rPr/>
        <w:t>万元的</w:t>
      </w:r>
      <w:r>
        <w:rPr>
          <w:rFonts w:ascii="宋体" w:hAnsi="宋体" w:cs="宋体" w:eastAsia="宋体" w:hint="default"/>
        </w:rPr>
        <w:t>20%</w:t>
      </w:r>
      <w:r>
        <w:rPr/>
        <w:t>；</w:t>
      </w:r>
    </w:p>
    <w:p>
      <w:pPr>
        <w:pStyle w:val="BodyText"/>
        <w:spacing w:line="408" w:lineRule="auto"/>
        <w:ind w:left="154" w:right="1109" w:firstLine="423"/>
        <w:jc w:val="both"/>
      </w:pPr>
      <w:r>
        <w:rPr/>
        <w:t>（</w:t>
      </w:r>
      <w:r>
        <w:rPr>
          <w:rFonts w:ascii="宋体" w:hAnsi="宋体" w:cs="宋体" w:eastAsia="宋体" w:hint="default"/>
        </w:rPr>
        <w:t>6</w:t>
      </w:r>
      <w:r>
        <w:rPr/>
        <w:t>）</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24</w:t>
      </w:r>
      <w:r>
        <w:rPr/>
        <w:t>日，经安徽省国资委皖国资产权函（</w:t>
      </w:r>
      <w:r>
        <w:rPr>
          <w:rFonts w:ascii="宋体" w:hAnsi="宋体" w:cs="宋体" w:eastAsia="宋体" w:hint="default"/>
        </w:rPr>
        <w:t>2015</w:t>
      </w:r>
      <w:r>
        <w:rPr/>
        <w:t>）</w:t>
      </w:r>
      <w:r>
        <w:rPr>
          <w:rFonts w:ascii="宋体" w:hAnsi="宋体" w:cs="宋体" w:eastAsia="宋体" w:hint="default"/>
        </w:rPr>
        <w:t>160</w:t>
      </w:r>
      <w:r>
        <w:rPr/>
        <w:t>号文《国资委关于安粮期货有限公 </w:t>
      </w:r>
      <w:r>
        <w:rPr>
          <w:spacing w:val="20"/>
        </w:rPr>
        <w:t>司增资扩股有关事项的批复》</w:t>
      </w:r>
      <w:r>
        <w:rPr>
          <w:spacing w:val="-82"/>
        </w:rPr>
        <w:t> </w:t>
      </w:r>
      <w:r>
        <w:rPr>
          <w:spacing w:val="15"/>
        </w:rPr>
        <w:t>批准，</w:t>
      </w:r>
      <w:r>
        <w:rPr>
          <w:spacing w:val="-82"/>
        </w:rPr>
        <w:t> </w:t>
      </w:r>
      <w:r>
        <w:rPr>
          <w:spacing w:val="20"/>
        </w:rPr>
        <w:t>公司向安粮期货有限公司进行增资，</w:t>
      </w:r>
      <w:r>
        <w:rPr>
          <w:spacing w:val="-82"/>
        </w:rPr>
        <w:t> </w:t>
      </w:r>
      <w:r>
        <w:rPr/>
        <w:t>于</w:t>
      </w:r>
      <w:r>
        <w:rPr>
          <w:spacing w:val="-75"/>
        </w:rPr>
        <w:t> </w:t>
      </w:r>
      <w:r>
        <w:rPr>
          <w:rFonts w:ascii="宋体" w:hAnsi="宋体" w:cs="宋体" w:eastAsia="宋体" w:hint="default"/>
        </w:rPr>
        <w:t>2015</w:t>
      </w:r>
      <w:r>
        <w:rPr>
          <w:rFonts w:ascii="宋体" w:hAnsi="宋体" w:cs="宋体" w:eastAsia="宋体" w:hint="default"/>
          <w:spacing w:val="-82"/>
        </w:rPr>
        <w:t> </w:t>
      </w:r>
      <w:r>
        <w:rPr/>
        <w:t>年</w:t>
      </w:r>
      <w:r>
        <w:rPr>
          <w:spacing w:val="-82"/>
        </w:rPr>
        <w:t> </w:t>
      </w:r>
      <w:r>
        <w:rPr>
          <w:rFonts w:ascii="宋体" w:hAnsi="宋体" w:cs="宋体" w:eastAsia="宋体" w:hint="default"/>
        </w:rPr>
        <w:t>5</w:t>
      </w:r>
      <w:r>
        <w:rPr>
          <w:rFonts w:ascii="宋体" w:hAnsi="宋体" w:cs="宋体" w:eastAsia="宋体" w:hint="default"/>
          <w:spacing w:val="-81"/>
        </w:rPr>
        <w:t> </w:t>
      </w:r>
      <w:r>
        <w:rPr/>
        <w:t>月</w:t>
      </w:r>
      <w:r>
        <w:rPr>
          <w:spacing w:val="-82"/>
        </w:rPr>
        <w:t> </w:t>
      </w:r>
      <w:r>
        <w:rPr>
          <w:rFonts w:ascii="宋体" w:hAnsi="宋体" w:cs="宋体" w:eastAsia="宋体" w:hint="default"/>
        </w:rPr>
        <w:t>25</w:t>
      </w:r>
      <w:r>
        <w:rPr>
          <w:rFonts w:ascii="宋体" w:hAnsi="宋体" w:cs="宋体" w:eastAsia="宋体" w:hint="default"/>
          <w:spacing w:val="-81"/>
        </w:rPr>
        <w:t> </w:t>
      </w:r>
      <w:r>
        <w:rPr>
          <w:spacing w:val="14"/>
        </w:rPr>
        <w:t>日出资</w:t>
      </w:r>
      <w:r>
        <w:rPr>
          <w:spacing w:val="-101"/>
        </w:rPr>
        <w:t> </w:t>
      </w:r>
      <w:r>
        <w:rPr>
          <w:rFonts w:ascii="宋体" w:hAnsi="宋体" w:cs="宋体" w:eastAsia="宋体" w:hint="default"/>
        </w:rPr>
        <w:t>255,366,200.00</w:t>
      </w:r>
      <w:r>
        <w:rPr/>
        <w:t>元，取得安粮期货有限公司</w:t>
      </w:r>
      <w:r>
        <w:rPr>
          <w:rFonts w:ascii="宋体" w:hAnsi="宋体" w:cs="宋体" w:eastAsia="宋体" w:hint="default"/>
        </w:rPr>
        <w:t>40%</w:t>
      </w:r>
      <w:r>
        <w:rPr/>
        <w:t>股权；</w:t>
      </w:r>
    </w:p>
    <w:p>
      <w:pPr>
        <w:pStyle w:val="BodyText"/>
        <w:spacing w:line="408" w:lineRule="auto"/>
        <w:ind w:right="1133" w:firstLine="423"/>
        <w:jc w:val="both"/>
      </w:pPr>
      <w:r>
        <w:rPr/>
        <w:t>（</w:t>
      </w:r>
      <w:r>
        <w:rPr>
          <w:rFonts w:ascii="宋体" w:hAnsi="宋体" w:cs="宋体" w:eastAsia="宋体" w:hint="default"/>
        </w:rPr>
        <w:t>7</w:t>
      </w:r>
      <w:r>
        <w:rPr/>
        <w:t>）金网络（北京）电子商务有限公司成立于</w:t>
      </w:r>
      <w:r>
        <w:rPr>
          <w:rFonts w:ascii="宋体" w:hAnsi="宋体" w:cs="宋体" w:eastAsia="宋体" w:hint="default"/>
        </w:rPr>
        <w:t>2015</w:t>
      </w:r>
      <w:r>
        <w:rPr/>
        <w:t>年</w:t>
      </w:r>
      <w:r>
        <w:rPr>
          <w:rFonts w:ascii="宋体" w:hAnsi="宋体" w:cs="宋体" w:eastAsia="宋体" w:hint="default"/>
        </w:rPr>
        <w:t>11</w:t>
      </w:r>
      <w:r>
        <w:rPr/>
        <w:t>月</w:t>
      </w:r>
      <w:r>
        <w:rPr>
          <w:rFonts w:ascii="宋体" w:hAnsi="宋体" w:cs="宋体" w:eastAsia="宋体" w:hint="default"/>
        </w:rPr>
        <w:t>19</w:t>
      </w:r>
      <w:r>
        <w:rPr/>
        <w:t>日，注册资本</w:t>
      </w:r>
      <w:r>
        <w:rPr>
          <w:rFonts w:ascii="宋体" w:hAnsi="宋体" w:cs="宋体" w:eastAsia="宋体" w:hint="default"/>
        </w:rPr>
        <w:t>8000</w:t>
      </w:r>
      <w:r>
        <w:rPr/>
        <w:t>万元，其中本公司出 资</w:t>
      </w:r>
      <w:r>
        <w:rPr>
          <w:rFonts w:ascii="宋体" w:hAnsi="宋体" w:cs="宋体" w:eastAsia="宋体" w:hint="default"/>
        </w:rPr>
        <w:t>2000</w:t>
      </w:r>
      <w:r>
        <w:rPr/>
        <w:t>万元，持股比例</w:t>
      </w:r>
      <w:r>
        <w:rPr>
          <w:rFonts w:ascii="宋体" w:hAnsi="宋体" w:cs="宋体" w:eastAsia="宋体" w:hint="default"/>
        </w:rPr>
        <w:t>25%</w:t>
      </w:r>
      <w:r>
        <w:rPr/>
        <w:t>。</w:t>
      </w:r>
    </w:p>
    <w:p>
      <w:pPr>
        <w:spacing w:line="240" w:lineRule="auto" w:before="8"/>
        <w:rPr>
          <w:rFonts w:ascii="宋体" w:hAnsi="宋体" w:cs="宋体" w:eastAsia="宋体" w:hint="default"/>
          <w:sz w:val="20"/>
          <w:szCs w:val="20"/>
        </w:rPr>
      </w:pPr>
    </w:p>
    <w:p>
      <w:pPr>
        <w:pStyle w:val="Heading4"/>
        <w:spacing w:line="240" w:lineRule="auto"/>
        <w:ind w:left="153" w:right="1024"/>
        <w:jc w:val="left"/>
        <w:rPr>
          <w:b w:val="0"/>
          <w:bCs w:val="0"/>
        </w:rPr>
      </w:pPr>
      <w:bookmarkStart w:name="10、固定资产" w:id="252"/>
      <w:bookmarkEnd w:id="252"/>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固定资产情况" w:id="253"/>
      <w:bookmarkEnd w:id="25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34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22" w:right="0"/>
              <w:jc w:val="left"/>
              <w:rPr>
                <w:rFonts w:ascii="Times New Roman" w:hAnsi="Times New Roman" w:cs="Times New Roman" w:eastAsia="Times New Roman" w:hint="default"/>
                <w:sz w:val="18"/>
                <w:szCs w:val="18"/>
              </w:rPr>
            </w:pPr>
            <w:r>
              <w:rPr>
                <w:rFonts w:ascii="Times New Roman"/>
                <w:sz w:val="18"/>
              </w:rPr>
              <w:t>2,660,086.25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105,257,316.24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147,281,143.08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11,728,192.38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266,926,737.95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5,082,336.19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357,815.80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1,743,559.94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7,183,711.93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123,290.60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357,815.80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1,743,559.94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2,224,666.34</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4,959,045.59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4,959,045.59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36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22,957,410.26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2,871,395.68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558,629.38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26,387,435.32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22,957,410.26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2,871,395.68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558,629.38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26,387,435.32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2,660,086.25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87,382,242.17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144,767,563.20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12,913,122.94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247,723,014.56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381,464.70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77,259,725.80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79,009,402.93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6,993,433.97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163,644,027.40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145,611.24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14,334,939.03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27,018,938.57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2,143,951.41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43,643,440.25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145,611.24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14,334,939.03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27,018,938.57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2,143,951.41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43,643,440.25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20,918,927.27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2,705,505.00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530,697.91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24,155,130.18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20,918,927.27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2,705,505.00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530,697.91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24,155,130.18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527,075.94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70,675,737.56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103,322,836.50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8,606,687.47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183,132,337.47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2,133,010.31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16,706,504.61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41,444,726.70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4,306,435.47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64,590,677.09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2,278,621.55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27,997,590.44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68,271,740.15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4,734,758.41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103,282,710.55</w:t>
            </w:r>
          </w:p>
        </w:tc>
      </w:tr>
    </w:tbl>
    <w:p>
      <w:pPr>
        <w:spacing w:line="240" w:lineRule="auto" w:before="3"/>
        <w:rPr>
          <w:rFonts w:ascii="宋体" w:hAnsi="宋体" w:cs="宋体" w:eastAsia="宋体" w:hint="default"/>
          <w:sz w:val="19"/>
          <w:szCs w:val="19"/>
        </w:rPr>
      </w:pPr>
    </w:p>
    <w:p>
      <w:pPr>
        <w:pStyle w:val="Heading4"/>
        <w:spacing w:line="240" w:lineRule="auto" w:before="35"/>
        <w:ind w:right="1024"/>
        <w:jc w:val="left"/>
        <w:rPr>
          <w:b w:val="0"/>
          <w:bCs w:val="0"/>
        </w:rPr>
      </w:pPr>
      <w:bookmarkStart w:name="（2）未办妥产权证书的固定资产情况" w:id="254"/>
      <w:bookmarkEnd w:id="254"/>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8"/>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5"/>
        <w:ind w:left="153" w:right="1024"/>
        <w:jc w:val="left"/>
        <w:rPr>
          <w:b w:val="0"/>
          <w:bCs w:val="0"/>
        </w:rPr>
      </w:pPr>
      <w:r>
        <w:rPr/>
        <w:t>其他说明</w:t>
      </w:r>
      <w:r>
        <w:rPr>
          <w:b w:val="0"/>
          <w:bCs w:val="0"/>
        </w:rPr>
      </w:r>
    </w:p>
    <w:p>
      <w:pPr>
        <w:spacing w:line="240" w:lineRule="auto" w:before="9"/>
        <w:rPr>
          <w:rFonts w:ascii="宋体" w:hAnsi="宋体" w:cs="宋体" w:eastAsia="宋体" w:hint="default"/>
          <w:b/>
          <w:bCs/>
          <w:sz w:val="17"/>
          <w:szCs w:val="17"/>
        </w:rPr>
      </w:pPr>
    </w:p>
    <w:p>
      <w:pPr>
        <w:pStyle w:val="BodyText"/>
        <w:spacing w:line="240" w:lineRule="auto" w:before="0"/>
        <w:ind w:left="575" w:right="1024"/>
        <w:jc w:val="left"/>
      </w:pPr>
      <w:r>
        <w:rPr/>
        <w:t>本期折旧额</w:t>
      </w:r>
      <w:r>
        <w:rPr>
          <w:rFonts w:ascii="宋体" w:hAnsi="宋体" w:cs="宋体" w:eastAsia="宋体" w:hint="default"/>
        </w:rPr>
        <w:t>43,643,440.25</w:t>
      </w:r>
      <w:r>
        <w:rPr/>
        <w:t>元。期末无用于抵押或担保的固定资产。</w:t>
      </w:r>
    </w:p>
    <w:p>
      <w:pPr>
        <w:spacing w:line="240" w:lineRule="auto" w:before="0"/>
        <w:rPr>
          <w:rFonts w:ascii="宋体" w:hAnsi="宋体" w:cs="宋体" w:eastAsia="宋体" w:hint="default"/>
          <w:sz w:val="20"/>
          <w:szCs w:val="20"/>
        </w:rPr>
      </w:pPr>
    </w:p>
    <w:p>
      <w:pPr>
        <w:pStyle w:val="Heading4"/>
        <w:spacing w:line="240" w:lineRule="auto" w:before="155"/>
        <w:ind w:left="153" w:right="1024"/>
        <w:jc w:val="left"/>
        <w:rPr>
          <w:b w:val="0"/>
          <w:bCs w:val="0"/>
        </w:rPr>
      </w:pPr>
      <w:bookmarkStart w:name="11、在建工程" w:id="255"/>
      <w:bookmarkEnd w:id="255"/>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在建工程情况" w:id="256"/>
      <w:bookmarkEnd w:id="25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未上线的</w:t>
            </w:r>
            <w:r>
              <w:rPr>
                <w:rFonts w:ascii="宋体" w:hAnsi="宋体" w:cs="宋体" w:eastAsia="宋体" w:hint="default"/>
                <w:spacing w:val="-47"/>
                <w:sz w:val="18"/>
                <w:szCs w:val="18"/>
              </w:rPr>
              <w:t> </w:t>
            </w:r>
            <w:r>
              <w:rPr>
                <w:rFonts w:ascii="Times New Roman" w:hAnsi="Times New Roman" w:cs="Times New Roman" w:eastAsia="Times New Roman" w:hint="default"/>
                <w:spacing w:val="-7"/>
                <w:sz w:val="18"/>
                <w:szCs w:val="18"/>
              </w:rPr>
              <w:t>ATM</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367,735.02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367,735.02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3,557,649.54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3,557,649.54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金融外包服务产 业园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5,105,647.74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5,105,647.74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2,330,179.27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2,330,179.27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5,473,382.76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5,473,382.76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5,887,828.81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5,887,828.81</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重要在建工程项目本期变动情况" w:id="257"/>
      <w:bookmarkEnd w:id="25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Times New Roman" w:hAnsi="Times New Roman" w:cs="Times New Roman" w:eastAsia="Times New Roman" w:hint="default"/>
                <w:sz w:val="18"/>
                <w:szCs w:val="18"/>
              </w:rPr>
            </w:pPr>
            <w:r>
              <w:rPr>
                <w:rFonts w:ascii="宋体" w:hAnsi="宋体" w:cs="宋体" w:eastAsia="宋体" w:hint="default"/>
                <w:sz w:val="18"/>
                <w:szCs w:val="18"/>
              </w:rPr>
              <w:t>未上线 的</w:t>
            </w:r>
            <w:r>
              <w:rPr>
                <w:rFonts w:ascii="宋体" w:hAnsi="宋体" w:cs="宋体" w:eastAsia="宋体" w:hint="default"/>
                <w:spacing w:val="-47"/>
                <w:sz w:val="18"/>
                <w:szCs w:val="18"/>
              </w:rPr>
              <w:t> </w:t>
            </w:r>
            <w:r>
              <w:rPr>
                <w:rFonts w:ascii="Times New Roman" w:hAnsi="Times New Roman" w:cs="Times New Roman" w:eastAsia="Times New Roman" w:hint="default"/>
                <w:spacing w:val="-7"/>
                <w:sz w:val="18"/>
                <w:szCs w:val="18"/>
              </w:rPr>
              <w:t>ATM</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3,557,64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1,859,11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4,959,04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89,985.7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367,735.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金融外 包服务 产业园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380,000,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2,330,17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2,775,46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5,105,64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前期准 备</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380,000,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5,887,82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4,634,58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4,959,04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89,985.7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5,473,38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3）本期计提在建工程减值准备情况" w:id="258"/>
      <w:bookmarkEnd w:id="25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12、无形资产" w:id="259"/>
      <w:bookmarkEnd w:id="259"/>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无形资产情况" w:id="260"/>
      <w:bookmarkEnd w:id="26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23,591,468.11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179,046,715.58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202,638,183.69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53,919,652.70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53,919,652.70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75,897.42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75,897.42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53,843,755.28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53,843,755.28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17,496,436.40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17,496,436.40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17,496,436.40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17,496,436.40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23,591,468.11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215,469,931.88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239,061,399.99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782,432.57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58,719,227.03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59,501,659.60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570,225.96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39,007,558.14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39,577,784.10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570,225.96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39,007,558.14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39,577,784.10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15,594,299.72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15,594,299.72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15,594,299.72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15,594,299.72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1,352,658.53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82,132,485.45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83,485,143.98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22,238,809.58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133,337,446.43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155,576,256.01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22,809,035.54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120,327,488.55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143,136,524.09</w:t>
            </w:r>
          </w:p>
        </w:tc>
      </w:tr>
    </w:tbl>
    <w:p>
      <w:pPr>
        <w:pStyle w:val="BodyText"/>
        <w:spacing w:line="240" w:lineRule="auto" w:before="26"/>
        <w:ind w:left="154" w:right="1024"/>
        <w:jc w:val="left"/>
      </w:pPr>
      <w:r>
        <w:rPr/>
        <w:t>本期末通过公司内部研发形成的无形资产占无形资产余额的比例</w:t>
      </w:r>
      <w:r>
        <w:rPr>
          <w:spacing w:val="-54"/>
        </w:rPr>
        <w:t> </w:t>
      </w:r>
      <w:r>
        <w:rPr>
          <w:rFonts w:ascii="Times New Roman" w:hAnsi="Times New Roman" w:cs="Times New Roman" w:eastAsia="Times New Roman" w:hint="default"/>
        </w:rPr>
        <w:t>58.33%</w:t>
      </w:r>
      <w:r>
        <w:rPr/>
        <w:t>。</w:t>
      </w:r>
    </w:p>
    <w:p>
      <w:pPr>
        <w:spacing w:line="240" w:lineRule="auto" w:before="7"/>
        <w:rPr>
          <w:rFonts w:ascii="宋体" w:hAnsi="宋体" w:cs="宋体" w:eastAsia="宋体" w:hint="default"/>
          <w:sz w:val="24"/>
          <w:szCs w:val="24"/>
        </w:rPr>
      </w:pPr>
    </w:p>
    <w:p>
      <w:pPr>
        <w:pStyle w:val="Heading4"/>
        <w:spacing w:line="240" w:lineRule="auto"/>
        <w:ind w:right="1024"/>
        <w:jc w:val="left"/>
        <w:rPr>
          <w:b w:val="0"/>
          <w:bCs w:val="0"/>
        </w:rPr>
      </w:pPr>
      <w:bookmarkStart w:name="（2）未办妥产权证书的土地使用权情况" w:id="261"/>
      <w:bookmarkEnd w:id="26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12"/>
          <w:szCs w:val="12"/>
        </w:rPr>
      </w:pPr>
    </w:p>
    <w:p>
      <w:pPr>
        <w:pStyle w:val="Heading4"/>
        <w:spacing w:line="240" w:lineRule="auto"/>
        <w:ind w:right="1024"/>
        <w:jc w:val="left"/>
        <w:rPr>
          <w:b w:val="0"/>
          <w:bCs w:val="0"/>
        </w:rPr>
      </w:pPr>
      <w:r>
        <w:rPr/>
        <w:t>其他说明：</w:t>
      </w:r>
      <w:r>
        <w:rPr>
          <w:b w:val="0"/>
          <w:bCs w:val="0"/>
        </w:rPr>
      </w:r>
    </w:p>
    <w:p>
      <w:pPr>
        <w:spacing w:line="240" w:lineRule="auto" w:before="9"/>
        <w:rPr>
          <w:rFonts w:ascii="宋体" w:hAnsi="宋体" w:cs="宋体" w:eastAsia="宋体" w:hint="default"/>
          <w:b/>
          <w:bCs/>
          <w:sz w:val="17"/>
          <w:szCs w:val="17"/>
        </w:rPr>
      </w:pPr>
    </w:p>
    <w:p>
      <w:pPr>
        <w:pStyle w:val="BodyText"/>
        <w:spacing w:line="240" w:lineRule="auto" w:before="0"/>
        <w:ind w:left="575" w:right="1024"/>
        <w:jc w:val="left"/>
      </w:pPr>
      <w:r>
        <w:rPr/>
        <w:t>本期摊销额</w:t>
      </w:r>
      <w:r>
        <w:rPr>
          <w:rFonts w:ascii="宋体" w:hAnsi="宋体" w:cs="宋体" w:eastAsia="宋体" w:hint="default"/>
        </w:rPr>
        <w:t>39,577,784.10</w:t>
      </w:r>
      <w:r>
        <w:rPr/>
        <w:t>元。期末无用于抵押或担保的无形资产。</w:t>
      </w:r>
    </w:p>
    <w:p>
      <w:pPr>
        <w:spacing w:line="240" w:lineRule="auto" w:before="0"/>
        <w:rPr>
          <w:rFonts w:ascii="宋体" w:hAnsi="宋体" w:cs="宋体" w:eastAsia="宋体" w:hint="default"/>
          <w:sz w:val="20"/>
          <w:szCs w:val="20"/>
        </w:rPr>
      </w:pPr>
    </w:p>
    <w:p>
      <w:pPr>
        <w:pStyle w:val="Heading4"/>
        <w:spacing w:line="240" w:lineRule="auto" w:before="154"/>
        <w:ind w:right="1024"/>
        <w:jc w:val="left"/>
        <w:rPr>
          <w:b w:val="0"/>
          <w:bCs w:val="0"/>
        </w:rPr>
      </w:pPr>
      <w:bookmarkStart w:name="13、开发支出" w:id="262"/>
      <w:bookmarkEnd w:id="262"/>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205"/>
        <w:gridCol w:w="1276"/>
        <w:gridCol w:w="708"/>
        <w:gridCol w:w="1063"/>
        <w:gridCol w:w="1349"/>
        <w:gridCol w:w="1275"/>
        <w:gridCol w:w="566"/>
        <w:gridCol w:w="1135"/>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0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39" w:firstLine="90"/>
              <w:jc w:val="left"/>
              <w:rPr>
                <w:rFonts w:ascii="宋体" w:hAnsi="宋体" w:cs="宋体" w:eastAsia="宋体" w:hint="default"/>
                <w:sz w:val="18"/>
                <w:szCs w:val="18"/>
              </w:rPr>
            </w:pPr>
            <w:r>
              <w:rPr>
                <w:rFonts w:ascii="宋体" w:hAnsi="宋体" w:cs="宋体" w:eastAsia="宋体" w:hint="default"/>
                <w:sz w:val="18"/>
                <w:szCs w:val="18"/>
              </w:rPr>
              <w:t>票据自助受 理系统项目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12,109,403.79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65,062.92</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12,174,466.71</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智能银行渠 道整合</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10,932,972.66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13,928,432.71</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24,861,405.37</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银行网点优 化</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5,085,724.21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7,737,661.43</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12,823,385.64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E-HR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系统平 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3,094,248.12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1,870,901.86</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4,965,149.98</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51"/>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BPM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业务流 程平台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3,364,222.12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4,702,791.61</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8,067,013.73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商业银行精 准平台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4,079,220.34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1,933,565.10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6,012,785.44</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移动营销平 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3,807,177.96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2,022,769.82</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5,829,947.78</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42,472,969.20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32,261,185.45</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53,843,755.28</w:t>
            </w:r>
          </w:p>
        </w:tc>
        <w:tc>
          <w:tcPr>
            <w:tcW w:w="127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20,890,399.37</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b/>
          <w:bCs/>
          <w:sz w:val="18"/>
          <w:szCs w:val="18"/>
        </w:rPr>
        <w:t>其他说明</w:t>
      </w:r>
      <w:r>
        <w:rPr>
          <w:rFonts w:ascii="宋体" w:hAnsi="宋体" w:cs="宋体" w:eastAsia="宋体" w:hint="default"/>
          <w:sz w:val="18"/>
          <w:szCs w:val="18"/>
        </w:rPr>
      </w:r>
    </w:p>
    <w:p>
      <w:pPr>
        <w:spacing w:line="240" w:lineRule="auto" w:before="1"/>
        <w:rPr>
          <w:rFonts w:ascii="宋体" w:hAnsi="宋体" w:cs="宋体" w:eastAsia="宋体" w:hint="default"/>
          <w:b/>
          <w:bCs/>
          <w:sz w:val="8"/>
          <w:szCs w:val="8"/>
        </w:rPr>
      </w:pPr>
    </w:p>
    <w:tbl>
      <w:tblPr>
        <w:tblW w:w="0" w:type="auto"/>
        <w:jc w:val="left"/>
        <w:tblInd w:w="858" w:type="dxa"/>
        <w:tblLayout w:type="fixed"/>
        <w:tblCellMar>
          <w:top w:w="0" w:type="dxa"/>
          <w:left w:w="0" w:type="dxa"/>
          <w:bottom w:w="0" w:type="dxa"/>
          <w:right w:w="0" w:type="dxa"/>
        </w:tblCellMar>
        <w:tblLook w:val="01E0"/>
      </w:tblPr>
      <w:tblGrid>
        <w:gridCol w:w="2126"/>
        <w:gridCol w:w="1701"/>
        <w:gridCol w:w="2410"/>
        <w:gridCol w:w="1986"/>
      </w:tblGrid>
      <w:tr>
        <w:trPr>
          <w:trHeight w:val="68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资本化开始时点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资本化具体依据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期末研发进度（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票据自助受理系统项目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本节</w:t>
            </w:r>
            <w:r>
              <w:rPr>
                <w:rFonts w:ascii="宋体" w:hAnsi="宋体" w:cs="宋体" w:eastAsia="宋体" w:hint="default"/>
                <w:spacing w:val="-8"/>
                <w:sz w:val="18"/>
                <w:szCs w:val="18"/>
              </w:rPr>
              <w:t> </w:t>
            </w:r>
            <w:r>
              <w:rPr>
                <w:rFonts w:ascii="宋体" w:hAnsi="宋体" w:cs="宋体" w:eastAsia="宋体" w:hint="default"/>
                <w:spacing w:val="-3"/>
                <w:sz w:val="18"/>
                <w:szCs w:val="18"/>
              </w:rPr>
              <w:t>五、重要会计政策及会计</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858" w:type="dxa"/>
        <w:tblLayout w:type="fixed"/>
        <w:tblCellMar>
          <w:top w:w="0" w:type="dxa"/>
          <w:left w:w="0" w:type="dxa"/>
          <w:bottom w:w="0" w:type="dxa"/>
          <w:right w:w="0" w:type="dxa"/>
        </w:tblCellMar>
        <w:tblLook w:val="01E0"/>
      </w:tblPr>
      <w:tblGrid>
        <w:gridCol w:w="2126"/>
        <w:gridCol w:w="1701"/>
        <w:gridCol w:w="2410"/>
        <w:gridCol w:w="1986"/>
      </w:tblGrid>
      <w:tr>
        <w:trPr>
          <w:trHeight w:val="342" w:hRule="exact"/>
        </w:trPr>
        <w:tc>
          <w:tcPr>
            <w:tcW w:w="2126"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估计</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86"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智能银行渠道整合</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2"/>
              <w:jc w:val="left"/>
              <w:rPr>
                <w:rFonts w:ascii="宋体" w:hAnsi="宋体" w:cs="宋体" w:eastAsia="宋体" w:hint="default"/>
                <w:sz w:val="18"/>
                <w:szCs w:val="18"/>
              </w:rPr>
            </w:pPr>
            <w:r>
              <w:rPr>
                <w:rFonts w:ascii="宋体" w:hAnsi="宋体" w:cs="宋体" w:eastAsia="宋体" w:hint="default"/>
                <w:sz w:val="18"/>
                <w:szCs w:val="18"/>
              </w:rPr>
              <w:t>本节</w:t>
            </w:r>
            <w:r>
              <w:rPr>
                <w:rFonts w:ascii="宋体" w:hAnsi="宋体" w:cs="宋体" w:eastAsia="宋体" w:hint="default"/>
                <w:spacing w:val="-10"/>
                <w:sz w:val="18"/>
                <w:szCs w:val="18"/>
              </w:rPr>
              <w:t> </w:t>
            </w:r>
            <w:r>
              <w:rPr>
                <w:rFonts w:ascii="宋体" w:hAnsi="宋体" w:cs="宋体" w:eastAsia="宋体" w:hint="default"/>
                <w:spacing w:val="-3"/>
                <w:sz w:val="18"/>
                <w:szCs w:val="18"/>
              </w:rPr>
              <w:t>五、重要会计政策及会计</w:t>
            </w:r>
            <w:r>
              <w:rPr>
                <w:rFonts w:ascii="宋体" w:hAnsi="宋体" w:cs="宋体" w:eastAsia="宋体" w:hint="default"/>
                <w:sz w:val="18"/>
                <w:szCs w:val="18"/>
              </w:rPr>
              <w:t> 估计</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r>
      <w:tr>
        <w:trPr>
          <w:trHeight w:val="65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银行网点优化</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2"/>
              <w:jc w:val="left"/>
              <w:rPr>
                <w:rFonts w:ascii="宋体" w:hAnsi="宋体" w:cs="宋体" w:eastAsia="宋体" w:hint="default"/>
                <w:sz w:val="18"/>
                <w:szCs w:val="18"/>
              </w:rPr>
            </w:pPr>
            <w:r>
              <w:rPr>
                <w:rFonts w:ascii="宋体" w:hAnsi="宋体" w:cs="宋体" w:eastAsia="宋体" w:hint="default"/>
                <w:sz w:val="18"/>
                <w:szCs w:val="18"/>
              </w:rPr>
              <w:t>本节</w:t>
            </w:r>
            <w:r>
              <w:rPr>
                <w:rFonts w:ascii="宋体" w:hAnsi="宋体" w:cs="宋体" w:eastAsia="宋体" w:hint="default"/>
                <w:spacing w:val="-10"/>
                <w:sz w:val="18"/>
                <w:szCs w:val="18"/>
              </w:rPr>
              <w:t> </w:t>
            </w:r>
            <w:r>
              <w:rPr>
                <w:rFonts w:ascii="宋体" w:hAnsi="宋体" w:cs="宋体" w:eastAsia="宋体" w:hint="default"/>
                <w:spacing w:val="-3"/>
                <w:sz w:val="18"/>
                <w:szCs w:val="18"/>
              </w:rPr>
              <w:t>五、重要会计政策及会计</w:t>
            </w:r>
            <w:r>
              <w:rPr>
                <w:rFonts w:ascii="宋体" w:hAnsi="宋体" w:cs="宋体" w:eastAsia="宋体" w:hint="default"/>
                <w:sz w:val="18"/>
                <w:szCs w:val="18"/>
              </w:rPr>
              <w:t> 估计</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95.00</w:t>
            </w:r>
          </w:p>
        </w:tc>
      </w:tr>
      <w:tr>
        <w:trPr>
          <w:trHeight w:val="65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E-HR</w:t>
            </w:r>
            <w:r>
              <w:rPr>
                <w:rFonts w:ascii="宋体" w:hAnsi="宋体" w:cs="宋体" w:eastAsia="宋体" w:hint="default"/>
                <w:sz w:val="18"/>
                <w:szCs w:val="18"/>
              </w:rPr>
              <w:t>系统平台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2"/>
              <w:jc w:val="left"/>
              <w:rPr>
                <w:rFonts w:ascii="宋体" w:hAnsi="宋体" w:cs="宋体" w:eastAsia="宋体" w:hint="default"/>
                <w:sz w:val="18"/>
                <w:szCs w:val="18"/>
              </w:rPr>
            </w:pPr>
            <w:r>
              <w:rPr>
                <w:rFonts w:ascii="宋体" w:hAnsi="宋体" w:cs="宋体" w:eastAsia="宋体" w:hint="default"/>
                <w:sz w:val="18"/>
                <w:szCs w:val="18"/>
              </w:rPr>
              <w:t>本节</w:t>
            </w:r>
            <w:r>
              <w:rPr>
                <w:rFonts w:ascii="宋体" w:hAnsi="宋体" w:cs="宋体" w:eastAsia="宋体" w:hint="default"/>
                <w:spacing w:val="-10"/>
                <w:sz w:val="18"/>
                <w:szCs w:val="18"/>
              </w:rPr>
              <w:t> </w:t>
            </w:r>
            <w:r>
              <w:rPr>
                <w:rFonts w:ascii="宋体" w:hAnsi="宋体" w:cs="宋体" w:eastAsia="宋体" w:hint="default"/>
                <w:spacing w:val="-3"/>
                <w:sz w:val="18"/>
                <w:szCs w:val="18"/>
              </w:rPr>
              <w:t>五、重要会计政策及会计</w:t>
            </w:r>
            <w:r>
              <w:rPr>
                <w:rFonts w:ascii="宋体" w:hAnsi="宋体" w:cs="宋体" w:eastAsia="宋体" w:hint="default"/>
                <w:sz w:val="18"/>
                <w:szCs w:val="18"/>
              </w:rPr>
              <w:t> 估计</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r>
      <w:tr>
        <w:trPr>
          <w:trHeight w:val="65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BPM</w:t>
            </w:r>
            <w:r>
              <w:rPr>
                <w:rFonts w:ascii="宋体" w:hAnsi="宋体" w:cs="宋体" w:eastAsia="宋体" w:hint="default"/>
                <w:sz w:val="18"/>
                <w:szCs w:val="18"/>
              </w:rPr>
              <w:t>业务流程平台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2"/>
              <w:jc w:val="left"/>
              <w:rPr>
                <w:rFonts w:ascii="宋体" w:hAnsi="宋体" w:cs="宋体" w:eastAsia="宋体" w:hint="default"/>
                <w:sz w:val="18"/>
                <w:szCs w:val="18"/>
              </w:rPr>
            </w:pPr>
            <w:r>
              <w:rPr>
                <w:rFonts w:ascii="宋体" w:hAnsi="宋体" w:cs="宋体" w:eastAsia="宋体" w:hint="default"/>
                <w:sz w:val="18"/>
                <w:szCs w:val="18"/>
              </w:rPr>
              <w:t>本节</w:t>
            </w:r>
            <w:r>
              <w:rPr>
                <w:rFonts w:ascii="宋体" w:hAnsi="宋体" w:cs="宋体" w:eastAsia="宋体" w:hint="default"/>
                <w:spacing w:val="-10"/>
                <w:sz w:val="18"/>
                <w:szCs w:val="18"/>
              </w:rPr>
              <w:t> </w:t>
            </w:r>
            <w:r>
              <w:rPr>
                <w:rFonts w:ascii="宋体" w:hAnsi="宋体" w:cs="宋体" w:eastAsia="宋体" w:hint="default"/>
                <w:spacing w:val="-3"/>
                <w:sz w:val="18"/>
                <w:szCs w:val="18"/>
              </w:rPr>
              <w:t>五、重要会计政策及会计</w:t>
            </w:r>
            <w:r>
              <w:rPr>
                <w:rFonts w:ascii="宋体" w:hAnsi="宋体" w:cs="宋体" w:eastAsia="宋体" w:hint="default"/>
                <w:sz w:val="18"/>
                <w:szCs w:val="18"/>
              </w:rPr>
              <w:t> 估计</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87.50</w:t>
            </w:r>
          </w:p>
        </w:tc>
      </w:tr>
      <w:tr>
        <w:trPr>
          <w:trHeight w:val="65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商业银行精准平台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2"/>
              <w:jc w:val="left"/>
              <w:rPr>
                <w:rFonts w:ascii="宋体" w:hAnsi="宋体" w:cs="宋体" w:eastAsia="宋体" w:hint="default"/>
                <w:sz w:val="18"/>
                <w:szCs w:val="18"/>
              </w:rPr>
            </w:pPr>
            <w:r>
              <w:rPr>
                <w:rFonts w:ascii="宋体" w:hAnsi="宋体" w:cs="宋体" w:eastAsia="宋体" w:hint="default"/>
                <w:sz w:val="18"/>
                <w:szCs w:val="18"/>
              </w:rPr>
              <w:t>本节</w:t>
            </w:r>
            <w:r>
              <w:rPr>
                <w:rFonts w:ascii="宋体" w:hAnsi="宋体" w:cs="宋体" w:eastAsia="宋体" w:hint="default"/>
                <w:spacing w:val="-10"/>
                <w:sz w:val="18"/>
                <w:szCs w:val="18"/>
              </w:rPr>
              <w:t> </w:t>
            </w:r>
            <w:r>
              <w:rPr>
                <w:rFonts w:ascii="宋体" w:hAnsi="宋体" w:cs="宋体" w:eastAsia="宋体" w:hint="default"/>
                <w:spacing w:val="-3"/>
                <w:sz w:val="18"/>
                <w:szCs w:val="18"/>
              </w:rPr>
              <w:t>五、重要会计政策及会计</w:t>
            </w:r>
            <w:r>
              <w:rPr>
                <w:rFonts w:ascii="宋体" w:hAnsi="宋体" w:cs="宋体" w:eastAsia="宋体" w:hint="default"/>
                <w:sz w:val="18"/>
                <w:szCs w:val="18"/>
              </w:rPr>
              <w:t> 估计</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r>
      <w:tr>
        <w:trPr>
          <w:trHeight w:val="654"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移动营销平台</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2"/>
              <w:jc w:val="left"/>
              <w:rPr>
                <w:rFonts w:ascii="宋体" w:hAnsi="宋体" w:cs="宋体" w:eastAsia="宋体" w:hint="default"/>
                <w:sz w:val="18"/>
                <w:szCs w:val="18"/>
              </w:rPr>
            </w:pPr>
            <w:r>
              <w:rPr>
                <w:rFonts w:ascii="宋体" w:hAnsi="宋体" w:cs="宋体" w:eastAsia="宋体" w:hint="default"/>
                <w:sz w:val="18"/>
                <w:szCs w:val="18"/>
              </w:rPr>
              <w:t>本节</w:t>
            </w:r>
            <w:r>
              <w:rPr>
                <w:rFonts w:ascii="宋体" w:hAnsi="宋体" w:cs="宋体" w:eastAsia="宋体" w:hint="default"/>
                <w:spacing w:val="-10"/>
                <w:sz w:val="18"/>
                <w:szCs w:val="18"/>
              </w:rPr>
              <w:t> </w:t>
            </w:r>
            <w:r>
              <w:rPr>
                <w:rFonts w:ascii="宋体" w:hAnsi="宋体" w:cs="宋体" w:eastAsia="宋体" w:hint="default"/>
                <w:spacing w:val="-3"/>
                <w:sz w:val="18"/>
                <w:szCs w:val="18"/>
              </w:rPr>
              <w:t>五、重要会计政策及会计</w:t>
            </w:r>
            <w:r>
              <w:rPr>
                <w:rFonts w:ascii="宋体" w:hAnsi="宋体" w:cs="宋体" w:eastAsia="宋体" w:hint="default"/>
                <w:sz w:val="18"/>
                <w:szCs w:val="18"/>
              </w:rPr>
              <w:t> 估计</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b/>
          <w:bCs/>
          <w:sz w:val="19"/>
          <w:szCs w:val="19"/>
        </w:rPr>
      </w:pPr>
    </w:p>
    <w:p>
      <w:pPr>
        <w:pStyle w:val="Heading4"/>
        <w:spacing w:line="240" w:lineRule="auto" w:before="35"/>
        <w:ind w:right="1024"/>
        <w:jc w:val="left"/>
        <w:rPr>
          <w:b w:val="0"/>
          <w:bCs w:val="0"/>
        </w:rPr>
      </w:pPr>
      <w:bookmarkStart w:name="14、商誉" w:id="263"/>
      <w:bookmarkEnd w:id="263"/>
      <w:r>
        <w:rPr>
          <w:b w:val="0"/>
          <w:bCs w:val="0"/>
        </w:rPr>
      </w:r>
      <w:r>
        <w:rPr>
          <w:rFonts w:ascii="Times New Roman" w:hAnsi="Times New Roman" w:cs="Times New Roman" w:eastAsia="Times New Roman" w:hint="default"/>
        </w:rPr>
        <w:t>14</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商誉账面原值" w:id="264"/>
      <w:bookmarkEnd w:id="26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520"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20"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1"/>
              <w:ind w:left="49"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11"/>
              <w:ind w:right="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6"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天津滨河创新科 技有限公司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624,031,391.94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624,031,391.94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624,031,391.94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624,031,391.94</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商誉减值准备" w:id="265"/>
      <w:bookmarkEnd w:id="26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154" w:right="1024"/>
        <w:jc w:val="left"/>
      </w:pPr>
      <w:r>
        <w:rPr/>
        <w:t>说明商誉减值测试过程、参数及商誉减值损失的确认方法：</w:t>
      </w:r>
    </w:p>
    <w:p>
      <w:pPr>
        <w:spacing w:line="240" w:lineRule="auto" w:before="9"/>
        <w:rPr>
          <w:rFonts w:ascii="宋体" w:hAnsi="宋体" w:cs="宋体" w:eastAsia="宋体" w:hint="default"/>
          <w:sz w:val="17"/>
          <w:szCs w:val="17"/>
        </w:rPr>
      </w:pPr>
    </w:p>
    <w:p>
      <w:pPr>
        <w:pStyle w:val="BodyText"/>
        <w:spacing w:line="408" w:lineRule="auto" w:before="0"/>
        <w:ind w:right="1024" w:firstLine="421"/>
        <w:jc w:val="left"/>
      </w:pPr>
      <w:r>
        <w:rPr/>
        <w:t>①</w:t>
      </w:r>
      <w:r>
        <w:rPr>
          <w:spacing w:val="33"/>
        </w:rPr>
        <w:t> </w:t>
      </w:r>
      <w:r>
        <w:rPr/>
        <w:t>商誉的减值测试方法和减值准备计提方法：企业合并形成的商誉测试时首先对不包含商誉的子公</w:t>
      </w:r>
      <w:r>
        <w:rPr/>
        <w:t> </w:t>
      </w:r>
      <w:r>
        <w:rPr>
          <w:spacing w:val="-3"/>
        </w:rPr>
        <w:t>司单独作为一个资产组进行减值测试，计算可回收金额，并与相关账面价值相比较，确认相应的减值损失。</w:t>
      </w:r>
    </w:p>
    <w:p>
      <w:pPr>
        <w:pStyle w:val="BodyText"/>
        <w:spacing w:line="240" w:lineRule="auto"/>
        <w:ind w:left="575" w:right="1024"/>
        <w:jc w:val="left"/>
      </w:pPr>
      <w:r>
        <w:rPr/>
        <w:t>②</w:t>
      </w:r>
      <w:r>
        <w:rPr>
          <w:spacing w:val="-3"/>
        </w:rPr>
        <w:t> </w:t>
      </w:r>
      <w:r>
        <w:rPr/>
        <w:t>报告期商誉减值测试无需计提减值准备。</w:t>
      </w:r>
    </w:p>
    <w:p>
      <w:pPr>
        <w:spacing w:line="240" w:lineRule="auto" w:before="0"/>
        <w:rPr>
          <w:rFonts w:ascii="宋体" w:hAnsi="宋体" w:cs="宋体" w:eastAsia="宋体" w:hint="default"/>
          <w:sz w:val="20"/>
          <w:szCs w:val="20"/>
        </w:rPr>
      </w:pPr>
    </w:p>
    <w:p>
      <w:pPr>
        <w:pStyle w:val="Heading4"/>
        <w:spacing w:line="240" w:lineRule="auto" w:before="154"/>
        <w:ind w:right="1024"/>
        <w:jc w:val="left"/>
        <w:rPr>
          <w:b w:val="0"/>
          <w:bCs w:val="0"/>
        </w:rPr>
      </w:pPr>
      <w:bookmarkStart w:name="15、长期待摊费用" w:id="266"/>
      <w:bookmarkEnd w:id="266"/>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办公楼装修费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1,406,799.84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1,376,799.84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1,406,799.84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1,376,799.84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16、递延所得税资产/递延所得税负债" w:id="267"/>
      <w:bookmarkEnd w:id="267"/>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未经抵销的递延所得税资产" w:id="268"/>
      <w:bookmarkEnd w:id="26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11,898,355.04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1,797,756.78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8,199,822.69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868,469.36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1,736,355.33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434,088.84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21,508,166.66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3,226,225.00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32,242,266.66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3,224,226.67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8,019,697.53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883,985.65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47,088,650.29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7,063,297.54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34,314,504.44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4,111,066.22</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82,231,527.32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12,521,368.16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82,776,291.32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9,087,747.90</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未确认递延所得税资产明细" w:id="269"/>
      <w:bookmarkEnd w:id="269"/>
      <w:r>
        <w:rPr>
          <w:b w:val="0"/>
          <w:bCs w:val="0"/>
        </w:rPr>
      </w: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27,098,936.85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28,310,897.16</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27,098,936.85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28,310,897.16</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3）未确认递延所得税资产的可抵扣亏损将于以下年度到期" w:id="270"/>
      <w:bookmarkEnd w:id="270"/>
      <w:r>
        <w:rPr>
          <w:b w:val="0"/>
          <w:bCs w:val="0"/>
        </w:rPr>
      </w: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34,836.62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2,524,688.02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4,405,316.95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23,870,743.60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23,870,743.59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127,179.90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576,325.33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27,098,936.85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28,310,897.16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17、其他非流动资产" w:id="271"/>
      <w:bookmarkEnd w:id="271"/>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长期资产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年以后到期的履约保证金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3,510,538.33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2,455,334.25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12,468,538.33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3,413,334.25</w:t>
            </w:r>
          </w:p>
        </w:tc>
      </w:tr>
    </w:tbl>
    <w:p>
      <w:pPr>
        <w:spacing w:line="240" w:lineRule="auto" w:before="3"/>
        <w:rPr>
          <w:rFonts w:ascii="宋体" w:hAnsi="宋体" w:cs="宋体" w:eastAsia="宋体" w:hint="default"/>
          <w:sz w:val="5"/>
          <w:szCs w:val="5"/>
        </w:rPr>
      </w:pPr>
    </w:p>
    <w:p>
      <w:pPr>
        <w:pStyle w:val="Heading4"/>
        <w:spacing w:line="240" w:lineRule="auto" w:before="35"/>
        <w:ind w:right="1024"/>
        <w:jc w:val="left"/>
        <w:rPr>
          <w:b w:val="0"/>
          <w:bCs w:val="0"/>
        </w:rPr>
      </w:pPr>
      <w:r>
        <w:rPr/>
        <w:t>其他说明：</w:t>
      </w:r>
      <w:r>
        <w:rPr>
          <w:b w:val="0"/>
          <w:bCs w:val="0"/>
        </w:rPr>
      </w:r>
    </w:p>
    <w:p>
      <w:pPr>
        <w:spacing w:line="240" w:lineRule="auto" w:before="12"/>
        <w:rPr>
          <w:rFonts w:ascii="宋体" w:hAnsi="宋体" w:cs="宋体" w:eastAsia="宋体" w:hint="default"/>
          <w:b/>
          <w:bCs/>
          <w:sz w:val="17"/>
          <w:szCs w:val="17"/>
        </w:rPr>
      </w:pPr>
    </w:p>
    <w:p>
      <w:pPr>
        <w:pStyle w:val="BodyText"/>
        <w:spacing w:line="240" w:lineRule="auto" w:before="0"/>
        <w:ind w:left="577" w:right="1024"/>
        <w:jc w:val="left"/>
      </w:pPr>
      <w:r>
        <w:rPr/>
        <w:t>（</w:t>
      </w:r>
      <w:r>
        <w:rPr>
          <w:rFonts w:ascii="宋体" w:hAnsi="宋体" w:cs="宋体" w:eastAsia="宋体" w:hint="default"/>
        </w:rPr>
        <w:t>1</w:t>
      </w:r>
      <w:r>
        <w:rPr/>
        <w:t>）股权投资款：</w:t>
      </w:r>
    </w:p>
    <w:p>
      <w:pPr>
        <w:spacing w:line="240" w:lineRule="auto" w:before="9"/>
        <w:rPr>
          <w:rFonts w:ascii="宋体" w:hAnsi="宋体" w:cs="宋体" w:eastAsia="宋体" w:hint="default"/>
          <w:sz w:val="17"/>
          <w:szCs w:val="17"/>
        </w:rPr>
      </w:pPr>
    </w:p>
    <w:p>
      <w:pPr>
        <w:pStyle w:val="BodyText"/>
        <w:spacing w:line="240" w:lineRule="auto" w:before="0"/>
        <w:ind w:left="577" w:right="1024"/>
        <w:jc w:val="left"/>
      </w:pP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5"/>
        </w:rPr>
        <w:t> </w:t>
      </w:r>
      <w:r>
        <w:rPr>
          <w:rFonts w:ascii="宋体" w:hAnsi="宋体" w:cs="宋体" w:eastAsia="宋体" w:hint="default"/>
        </w:rPr>
        <w:t>17</w:t>
      </w:r>
      <w:r>
        <w:rPr>
          <w:rFonts w:ascii="宋体" w:hAnsi="宋体" w:cs="宋体" w:eastAsia="宋体" w:hint="default"/>
          <w:spacing w:val="-53"/>
        </w:rPr>
        <w:t> </w:t>
      </w:r>
      <w:r>
        <w:rPr/>
        <w:t>日，公司、中国支付清算协会、宜信惠民投资管理（北京）有限公司、联动优势电子</w:t>
      </w:r>
    </w:p>
    <w:p>
      <w:pPr>
        <w:spacing w:line="240" w:lineRule="auto" w:before="10"/>
        <w:rPr>
          <w:rFonts w:ascii="宋体" w:hAnsi="宋体" w:cs="宋体" w:eastAsia="宋体" w:hint="default"/>
          <w:sz w:val="14"/>
          <w:szCs w:val="14"/>
        </w:rPr>
      </w:pPr>
    </w:p>
    <w:p>
      <w:pPr>
        <w:pStyle w:val="BodyText"/>
        <w:spacing w:line="410" w:lineRule="auto" w:before="0"/>
        <w:ind w:left="154" w:right="1113"/>
        <w:jc w:val="left"/>
      </w:pPr>
      <w:r>
        <w:rPr/>
        <w:t>商务有限公司签订合作协议书，约定共同出资成立普诚征信有限公司，协议约定公司出资</w:t>
      </w:r>
      <w:r>
        <w:rPr>
          <w:spacing w:val="-63"/>
        </w:rPr>
        <w:t> </w:t>
      </w:r>
      <w:r>
        <w:rPr>
          <w:rFonts w:ascii="宋体" w:hAnsi="宋体" w:cs="宋体" w:eastAsia="宋体" w:hint="default"/>
        </w:rPr>
        <w:t>800</w:t>
      </w:r>
      <w:r>
        <w:rPr>
          <w:rFonts w:ascii="宋体" w:hAnsi="宋体" w:cs="宋体" w:eastAsia="宋体" w:hint="default"/>
          <w:spacing w:val="-63"/>
        </w:rPr>
        <w:t> </w:t>
      </w:r>
      <w:r>
        <w:rPr/>
        <w:t>万元，持股 比例</w:t>
      </w:r>
      <w:r>
        <w:rPr>
          <w:spacing w:val="-54"/>
        </w:rPr>
        <w:t> </w:t>
      </w:r>
      <w:r>
        <w:rPr>
          <w:rFonts w:ascii="宋体" w:hAnsi="宋体" w:cs="宋体" w:eastAsia="宋体" w:hint="default"/>
        </w:rPr>
        <w:t>16%</w:t>
      </w:r>
      <w:r>
        <w:rPr/>
        <w:t>。截至本报告报出日，公司工商注册登记手续尚未办理完毕。</w:t>
      </w:r>
    </w:p>
    <w:p>
      <w:pPr>
        <w:pStyle w:val="BodyText"/>
        <w:spacing w:line="240" w:lineRule="auto" w:before="85"/>
        <w:ind w:left="577" w:right="1024"/>
        <w:jc w:val="left"/>
      </w:pPr>
      <w:r>
        <w:rPr/>
        <w:t>（</w:t>
      </w:r>
      <w:r>
        <w:rPr>
          <w:rFonts w:ascii="宋体" w:hAnsi="宋体" w:cs="宋体" w:eastAsia="宋体" w:hint="default"/>
        </w:rPr>
        <w:t>2</w:t>
      </w:r>
      <w:r>
        <w:rPr/>
        <w:t>）将于</w:t>
      </w:r>
      <w:r>
        <w:rPr>
          <w:spacing w:val="-54"/>
        </w:rPr>
        <w:t> </w:t>
      </w:r>
      <w:r>
        <w:rPr>
          <w:rFonts w:ascii="宋体" w:hAnsi="宋体" w:cs="宋体" w:eastAsia="宋体" w:hint="default"/>
        </w:rPr>
        <w:t>1</w:t>
      </w:r>
      <w:r>
        <w:rPr>
          <w:rFonts w:ascii="宋体" w:hAnsi="宋体" w:cs="宋体" w:eastAsia="宋体" w:hint="default"/>
          <w:spacing w:val="-53"/>
        </w:rPr>
        <w:t> </w:t>
      </w:r>
      <w:r>
        <w:rPr/>
        <w:t>年以后到期的履约保证金按账龄披露：</w:t>
      </w:r>
    </w:p>
    <w:p>
      <w:pPr>
        <w:spacing w:line="240" w:lineRule="auto" w:before="11"/>
        <w:rPr>
          <w:rFonts w:ascii="宋体" w:hAnsi="宋体" w:cs="宋体" w:eastAsia="宋体" w:hint="default"/>
          <w:sz w:val="12"/>
          <w:szCs w:val="12"/>
        </w:rPr>
      </w:pPr>
    </w:p>
    <w:tbl>
      <w:tblPr>
        <w:tblW w:w="0" w:type="auto"/>
        <w:jc w:val="left"/>
        <w:tblInd w:w="897" w:type="dxa"/>
        <w:tblLayout w:type="fixed"/>
        <w:tblCellMar>
          <w:top w:w="0" w:type="dxa"/>
          <w:left w:w="0" w:type="dxa"/>
          <w:bottom w:w="0" w:type="dxa"/>
          <w:right w:w="0" w:type="dxa"/>
        </w:tblCellMar>
        <w:tblLook w:val="01E0"/>
      </w:tblPr>
      <w:tblGrid>
        <w:gridCol w:w="1009"/>
        <w:gridCol w:w="1607"/>
        <w:gridCol w:w="1608"/>
        <w:gridCol w:w="1607"/>
        <w:gridCol w:w="1610"/>
        <w:gridCol w:w="1313"/>
      </w:tblGrid>
      <w:tr>
        <w:trPr>
          <w:trHeight w:val="407" w:hRule="exact"/>
        </w:trPr>
        <w:tc>
          <w:tcPr>
            <w:tcW w:w="10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20"/>
                <w:szCs w:val="20"/>
              </w:rPr>
            </w:pPr>
            <w:r>
              <w:rPr>
                <w:rFonts w:ascii="宋体" w:hAnsi="宋体" w:cs="宋体" w:eastAsia="宋体" w:hint="default"/>
                <w:sz w:val="20"/>
                <w:szCs w:val="20"/>
              </w:rPr>
              <w:t>账 龄</w:t>
            </w:r>
          </w:p>
        </w:tc>
        <w:tc>
          <w:tcPr>
            <w:tcW w:w="64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0"/>
                <w:szCs w:val="20"/>
              </w:rPr>
            </w:pPr>
            <w:r>
              <w:rPr>
                <w:rFonts w:ascii="宋体" w:hAnsi="宋体" w:cs="宋体" w:eastAsia="宋体" w:hint="default"/>
                <w:sz w:val="20"/>
                <w:szCs w:val="20"/>
              </w:rPr>
              <w:t>到期日</w:t>
            </w:r>
          </w:p>
        </w:tc>
      </w:tr>
      <w:tr>
        <w:trPr>
          <w:trHeight w:val="407" w:hRule="exact"/>
        </w:trPr>
        <w:tc>
          <w:tcPr>
            <w:tcW w:w="1009" w:type="dxa"/>
            <w:vMerge/>
            <w:tcBorders>
              <w:left w:val="single" w:sz="4" w:space="0" w:color="000000"/>
              <w:right w:val="single" w:sz="4" w:space="0" w:color="000000"/>
            </w:tcBorders>
          </w:tcPr>
          <w:p>
            <w:pPr/>
          </w:p>
        </w:tc>
        <w:tc>
          <w:tcPr>
            <w:tcW w:w="3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32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0"/>
                <w:szCs w:val="20"/>
              </w:rPr>
            </w:pPr>
            <w:r>
              <w:rPr>
                <w:rFonts w:ascii="宋体" w:hAnsi="宋体" w:cs="宋体" w:eastAsia="宋体" w:hint="default"/>
                <w:sz w:val="20"/>
                <w:szCs w:val="20"/>
              </w:rPr>
              <w:t>坏账准备</w:t>
            </w:r>
          </w:p>
        </w:tc>
        <w:tc>
          <w:tcPr>
            <w:tcW w:w="1313" w:type="dxa"/>
            <w:vMerge/>
            <w:tcBorders>
              <w:left w:val="single" w:sz="4" w:space="0" w:color="000000"/>
              <w:right w:val="single" w:sz="4" w:space="0" w:color="000000"/>
            </w:tcBorders>
          </w:tcPr>
          <w:p>
            <w:pPr/>
          </w:p>
        </w:tc>
      </w:tr>
      <w:tr>
        <w:trPr>
          <w:trHeight w:val="407" w:hRule="exact"/>
        </w:trPr>
        <w:tc>
          <w:tcPr>
            <w:tcW w:w="1009" w:type="dxa"/>
            <w:vMerge/>
            <w:tcBorders>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 w:right="0"/>
              <w:jc w:val="center"/>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313" w:type="dxa"/>
            <w:vMerge/>
            <w:tcBorders>
              <w:left w:val="single" w:sz="4" w:space="0" w:color="000000"/>
              <w:bottom w:val="single" w:sz="4" w:space="0" w:color="000000"/>
              <w:right w:val="single" w:sz="4" w:space="0" w:color="000000"/>
            </w:tcBorders>
          </w:tcPr>
          <w:p>
            <w:pPr/>
          </w:p>
        </w:tc>
      </w:tr>
      <w:tr>
        <w:trPr>
          <w:trHeight w:val="408"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 </w:t>
            </w:r>
            <w:r>
              <w:rPr>
                <w:rFonts w:ascii="宋体" w:hAnsi="宋体" w:cs="宋体" w:eastAsia="宋体" w:hint="default"/>
                <w:sz w:val="20"/>
                <w:szCs w:val="20"/>
              </w:rPr>
              <w:t>年以内</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20"/>
                <w:szCs w:val="20"/>
              </w:rPr>
            </w:pPr>
            <w:r>
              <w:rPr>
                <w:rFonts w:ascii="Times New Roman"/>
                <w:spacing w:val="-1"/>
                <w:sz w:val="20"/>
              </w:rPr>
              <w:t>3,251,200.35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0"/>
                <w:szCs w:val="20"/>
              </w:rPr>
            </w:pPr>
            <w:r>
              <w:rPr>
                <w:rFonts w:ascii="Times New Roman"/>
                <w:sz w:val="20"/>
              </w:rPr>
              <w:t>87.24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20"/>
                <w:szCs w:val="20"/>
              </w:rPr>
            </w:pPr>
            <w:r>
              <w:rPr>
                <w:rFonts w:ascii="Times New Roman"/>
                <w:spacing w:val="-1"/>
                <w:sz w:val="20"/>
              </w:rPr>
              <w:t>162,560.02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Times New Roman" w:hAnsi="Times New Roman" w:cs="Times New Roman" w:eastAsia="Times New Roman" w:hint="default"/>
                <w:sz w:val="20"/>
                <w:szCs w:val="20"/>
              </w:rPr>
            </w:pPr>
            <w:r>
              <w:rPr>
                <w:rFonts w:ascii="Times New Roman"/>
                <w:sz w:val="20"/>
              </w:rPr>
              <w:t>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7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 </w:t>
            </w:r>
            <w:r>
              <w:rPr>
                <w:rFonts w:ascii="宋体" w:hAnsi="宋体" w:cs="宋体" w:eastAsia="宋体" w:hint="default"/>
                <w:sz w:val="20"/>
                <w:szCs w:val="20"/>
              </w:rPr>
              <w:t>年以内</w:t>
            </w:r>
          </w:p>
        </w:tc>
      </w:tr>
      <w:tr>
        <w:trPr>
          <w:trHeight w:val="407"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20"/>
                <w:szCs w:val="20"/>
              </w:rPr>
            </w:pPr>
            <w:r>
              <w:rPr>
                <w:rFonts w:ascii="Times New Roman"/>
                <w:spacing w:val="-1"/>
                <w:sz w:val="20"/>
              </w:rPr>
              <w:t>414,480.00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0"/>
                <w:szCs w:val="20"/>
              </w:rPr>
            </w:pPr>
            <w:r>
              <w:rPr>
                <w:rFonts w:ascii="Times New Roman"/>
                <w:sz w:val="20"/>
              </w:rPr>
              <w:t>11.12</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41,448.00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 w:right="0"/>
              <w:jc w:val="center"/>
              <w:rPr>
                <w:rFonts w:ascii="Times New Roman" w:hAnsi="Times New Roman" w:cs="Times New Roman" w:eastAsia="Times New Roman" w:hint="default"/>
                <w:sz w:val="20"/>
                <w:szCs w:val="20"/>
              </w:rPr>
            </w:pPr>
            <w:r>
              <w:rPr>
                <w:rFonts w:ascii="Times New Roman"/>
                <w:sz w:val="20"/>
              </w:rPr>
              <w:t>10.00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7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 </w:t>
            </w:r>
            <w:r>
              <w:rPr>
                <w:rFonts w:ascii="宋体" w:hAnsi="宋体" w:cs="宋体" w:eastAsia="宋体" w:hint="default"/>
                <w:sz w:val="20"/>
                <w:szCs w:val="20"/>
              </w:rPr>
              <w:t>年以内</w:t>
            </w:r>
          </w:p>
        </w:tc>
      </w:tr>
      <w:tr>
        <w:trPr>
          <w:trHeight w:val="407"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20"/>
                <w:szCs w:val="20"/>
              </w:rPr>
            </w:pPr>
            <w:r>
              <w:rPr>
                <w:rFonts w:ascii="Times New Roman"/>
                <w:spacing w:val="-1"/>
                <w:sz w:val="20"/>
              </w:rPr>
              <w:t>61,082.50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Times New Roman" w:hAnsi="Times New Roman" w:cs="Times New Roman" w:eastAsia="Times New Roman" w:hint="default"/>
                <w:sz w:val="20"/>
                <w:szCs w:val="20"/>
              </w:rPr>
            </w:pPr>
            <w:r>
              <w:rPr>
                <w:rFonts w:ascii="Times New Roman"/>
                <w:sz w:val="20"/>
              </w:rPr>
              <w:t>1.64</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0"/>
                <w:szCs w:val="20"/>
              </w:rPr>
            </w:pPr>
            <w:r>
              <w:rPr>
                <w:rFonts w:ascii="Times New Roman"/>
                <w:spacing w:val="-1"/>
                <w:sz w:val="20"/>
              </w:rPr>
              <w:t>12,216.50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 w:right="0"/>
              <w:jc w:val="center"/>
              <w:rPr>
                <w:rFonts w:ascii="Times New Roman" w:hAnsi="Times New Roman" w:cs="Times New Roman" w:eastAsia="Times New Roman" w:hint="default"/>
                <w:sz w:val="20"/>
                <w:szCs w:val="20"/>
              </w:rPr>
            </w:pPr>
            <w:r>
              <w:rPr>
                <w:rFonts w:ascii="Times New Roman"/>
                <w:sz w:val="20"/>
              </w:rPr>
              <w:t>20.00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7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 </w:t>
            </w:r>
            <w:r>
              <w:rPr>
                <w:rFonts w:ascii="宋体" w:hAnsi="宋体" w:cs="宋体" w:eastAsia="宋体" w:hint="default"/>
                <w:sz w:val="20"/>
                <w:szCs w:val="20"/>
              </w:rPr>
              <w:t>年以内</w:t>
            </w:r>
          </w:p>
        </w:tc>
      </w:tr>
      <w:tr>
        <w:trPr>
          <w:trHeight w:val="407" w:hRule="exact"/>
        </w:trPr>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49" w:right="0"/>
              <w:jc w:val="left"/>
              <w:rPr>
                <w:rFonts w:ascii="宋体" w:hAnsi="宋体" w:cs="宋体" w:eastAsia="宋体" w:hint="default"/>
                <w:sz w:val="20"/>
                <w:szCs w:val="20"/>
              </w:rPr>
            </w:pPr>
            <w:r>
              <w:rPr>
                <w:rFonts w:ascii="宋体" w:hAnsi="宋体" w:cs="宋体" w:eastAsia="宋体" w:hint="default"/>
                <w:sz w:val="20"/>
                <w:szCs w:val="20"/>
              </w:rPr>
              <w:t>合 计</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20"/>
                <w:szCs w:val="20"/>
              </w:rPr>
            </w:pPr>
            <w:r>
              <w:rPr>
                <w:rFonts w:ascii="Times New Roman"/>
                <w:spacing w:val="-1"/>
                <w:sz w:val="20"/>
              </w:rPr>
              <w:t>3,726,762.85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Times New Roman" w:hAnsi="Times New Roman" w:cs="Times New Roman" w:eastAsia="Times New Roman" w:hint="default"/>
                <w:sz w:val="20"/>
                <w:szCs w:val="20"/>
              </w:rPr>
            </w:pPr>
            <w:r>
              <w:rPr>
                <w:rFonts w:ascii="Times New Roman"/>
                <w:sz w:val="20"/>
              </w:rPr>
              <w:t>100.00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20"/>
                <w:szCs w:val="20"/>
              </w:rPr>
            </w:pPr>
            <w:r>
              <w:rPr>
                <w:rFonts w:ascii="Times New Roman"/>
                <w:spacing w:val="-1"/>
                <w:sz w:val="20"/>
              </w:rPr>
              <w:t>216,224.52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Times New Roman" w:hAnsi="Times New Roman" w:cs="Times New Roman" w:eastAsia="Times New Roman" w:hint="default"/>
                <w:sz w:val="20"/>
                <w:szCs w:val="20"/>
              </w:rPr>
            </w:pPr>
            <w:r>
              <w:rPr>
                <w:rFonts w:ascii="Times New Roman"/>
                <w:sz w:val="20"/>
              </w:rPr>
              <w:t>5.80</w:t>
            </w:r>
          </w:p>
        </w:tc>
        <w:tc>
          <w:tcPr>
            <w:tcW w:w="13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1024"/>
        <w:jc w:val="left"/>
        <w:rPr>
          <w:b w:val="0"/>
          <w:bCs w:val="0"/>
        </w:rPr>
      </w:pPr>
      <w:bookmarkStart w:name="18、短期借款" w:id="272"/>
      <w:bookmarkEnd w:id="272"/>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短期借款分类" w:id="273"/>
      <w:bookmarkEnd w:id="27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1,821,078.05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1,821,078.05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19、应付票据" w:id="274"/>
      <w:bookmarkEnd w:id="274"/>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12,415,000.00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35"/>
        <w:ind w:left="154" w:right="1024" w:firstLine="0"/>
        <w:jc w:val="left"/>
        <w:rPr>
          <w:rFonts w:ascii="宋体" w:hAnsi="宋体" w:cs="宋体" w:eastAsia="宋体" w:hint="default"/>
          <w:sz w:val="20"/>
          <w:szCs w:val="20"/>
        </w:rPr>
      </w:pPr>
      <w:r>
        <w:rPr>
          <w:rFonts w:ascii="宋体" w:hAnsi="宋体" w:cs="宋体" w:eastAsia="宋体" w:hint="default"/>
          <w:sz w:val="20"/>
          <w:szCs w:val="20"/>
        </w:rPr>
        <w:t>本期末已到期未支付的应付票据总额为</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元。</w:t>
      </w:r>
    </w:p>
    <w:p>
      <w:pPr>
        <w:spacing w:after="0"/>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20、应付账款" w:id="275"/>
      <w:bookmarkEnd w:id="275"/>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应付账款列示" w:id="276"/>
      <w:bookmarkEnd w:id="27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185,661,472.05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96,671,620.17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13,539,988.08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7,128,175.37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3,627,466.15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4,572,169.90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4,534,222.01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4,482,630.26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207,363,148.29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112,854,595.70</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账龄超过1年的重要应付账款" w:id="277"/>
      <w:bookmarkEnd w:id="27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2,004,273.49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上海爱谱华顿电子科技（集团）有限公 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1,658,576.40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北京健行天下信息咨询有限公司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1,566,520.12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北京信合创联科技有限公司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1,467,089.60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北京知鹏汇仁科技有限公司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1,113,384.57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7,809,844.18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1、预收款项" w:id="278"/>
      <w:bookmarkEnd w:id="278"/>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预收款项列示" w:id="279"/>
      <w:bookmarkEnd w:id="27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298,952,621.54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297,039,630.96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27,120,736.96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12,353,585.92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2,603,849.31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1,267,480.60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401,827.60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329,079,035.41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310,660,697.48</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账龄超过1年的重要预收款项" w:id="280"/>
      <w:bookmarkEnd w:id="28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北京财贸职业学院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3,454,440.18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北京工业职业技术学院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3,444,076.89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深圳直接捞电子商务有限公司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c>
          <w:tcPr>
            <w:tcW w:w="3194" w:type="dxa"/>
            <w:tcBorders>
              <w:top w:val="single" w:sz="4" w:space="0" w:color="000000"/>
              <w:left w:val="single" w:sz="13" w:space="0" w:color="FFFFFF"/>
              <w:bottom w:val="single" w:sz="4" w:space="0" w:color="000000"/>
              <w:right w:val="single" w:sz="4" w:space="0" w:color="000000"/>
            </w:tcBorders>
          </w:tcPr>
          <w:p>
            <w:pPr>
              <w:pStyle w:val="TableParagraph"/>
              <w:tabs>
                <w:tab w:pos="2204" w:val="left" w:leader="none"/>
              </w:tabs>
              <w:spacing w:line="240" w:lineRule="auto" w:before="51"/>
              <w:ind w:left="-136"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2,566,608.51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首都医科大学</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2,556,051.27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14,805,176.85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r>
        <w:rPr/>
        <w:pict>
          <v:group style="position:absolute;margin-left:217.460007pt;margin-top:-72.86631pt;width:156.9pt;height:19.650pt;mso-position-horizontal-relative:page;mso-position-vertical-relative:paragraph;z-index:-1212472" coordorigin="4349,-1457" coordsize="3138,393">
            <v:shape style="position:absolute;left:4349;top:-1457;width:3138;height:393" coordorigin="4349,-1457" coordsize="3138,393" path="m4349,-1065l7486,-1065,7486,-1457,4349,-1457,4349,-1065xe" filled="true" fillcolor="#ffffff" stroked="false">
              <v:path arrowok="t"/>
              <v:fill type="solid"/>
            </v:shape>
            <w10:wrap type="none"/>
          </v:group>
        </w:pict>
      </w:r>
      <w:bookmarkStart w:name="22、应付职工薪酬" w:id="281"/>
      <w:bookmarkEnd w:id="281"/>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应付职工薪酬列示" w:id="282"/>
      <w:bookmarkEnd w:id="28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8,462,798.18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116,964,468.75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115,615,102.28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9,812,164.65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9,095,955.37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9,095,955.37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8,462,798.18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126,060,424.12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124,711,057.65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9,812,164.65</w:t>
            </w:r>
          </w:p>
        </w:tc>
      </w:tr>
    </w:tbl>
    <w:p>
      <w:pPr>
        <w:spacing w:line="240" w:lineRule="auto" w:before="3"/>
        <w:rPr>
          <w:rFonts w:ascii="宋体" w:hAnsi="宋体" w:cs="宋体" w:eastAsia="宋体" w:hint="default"/>
          <w:sz w:val="19"/>
          <w:szCs w:val="19"/>
        </w:rPr>
      </w:pPr>
    </w:p>
    <w:p>
      <w:pPr>
        <w:pStyle w:val="Heading4"/>
        <w:spacing w:line="240" w:lineRule="auto" w:before="35"/>
        <w:ind w:right="1024"/>
        <w:jc w:val="left"/>
        <w:rPr>
          <w:b w:val="0"/>
          <w:bCs w:val="0"/>
        </w:rPr>
      </w:pPr>
      <w:bookmarkStart w:name="（2）短期薪酬列示" w:id="283"/>
      <w:bookmarkEnd w:id="28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7,389,985.88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94,300,730.88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92,763,888.24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8,926,828.52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874,725.37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874,725.37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5,004,508.50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5,004,508.50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4,363,608.51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4,363,608.51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315,176.83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315,176.83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325,723.16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325,723.16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4,856,738.00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4,856,738.00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443,100.65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1,767,330.30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1,707,807.23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502,623.72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629,711.65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10,160,435.70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10,407,434.94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382,712.41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8,462,798.18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116,964,468.75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115,615,102.28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9,812,164.65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3）设定提存计划列示" w:id="284"/>
      <w:bookmarkEnd w:id="28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8,688,777.15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8,688,777.15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407,178.22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407,178.22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9,095,955.37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9,095,955.37</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3、应交税费" w:id="285"/>
      <w:bookmarkEnd w:id="285"/>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16,559,872.30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1,660,871.89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194,180.59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204,520.26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5,316,654.09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7,301,335.58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1,790,808.84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528,227.59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1,363,472.38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477,998.47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973,006.08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314,325.92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39,031.87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39,654.50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26,237,026.15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10,526,934.21</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4、应付利息" w:id="286"/>
      <w:bookmarkEnd w:id="286"/>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12,060,000.00</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5、其他应付款" w:id="287"/>
      <w:bookmarkEnd w:id="287"/>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按款项性质列示其他应付款" w:id="288"/>
      <w:bookmarkEnd w:id="28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47,880,029.93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79,800,033.26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23,635,389.89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26,202,155.77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1,366,861.28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986,746.70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72,882,281.10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106,988,935.73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2）账龄超过1年的重要其他应付款" w:id="289"/>
      <w:bookmarkEnd w:id="28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29,811,648.63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未到支付期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董书倩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6,137,512.93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未到支付期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刘运龙</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3,040,074.98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未到支付期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天津滨河数据信息技术有限公司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8,890,793.39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未到支付期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北京泓澳峰科技发展有限公司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4,162,904.80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52,042,934.73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6、应付债券" w:id="290"/>
      <w:bookmarkEnd w:id="290"/>
      <w:r>
        <w:rPr>
          <w:b w:val="0"/>
          <w:bCs w:val="0"/>
        </w:rPr>
      </w:r>
      <w:r>
        <w:rPr>
          <w:rFonts w:ascii="Times New Roman" w:hAnsi="Times New Roman" w:cs="Times New Roman" w:eastAsia="Times New Roman" w:hint="default"/>
        </w:rPr>
        <w:t>26</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应付债券" w:id="291"/>
      <w:bookmarkEnd w:id="29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中财债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238,920,000.00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238,440,000.00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238,920,000.00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238,440,000.00</w:t>
            </w:r>
          </w:p>
        </w:tc>
      </w:tr>
    </w:tbl>
    <w:p>
      <w:pPr>
        <w:spacing w:line="240" w:lineRule="auto" w:before="3"/>
        <w:rPr>
          <w:rFonts w:ascii="宋体" w:hAnsi="宋体" w:cs="宋体" w:eastAsia="宋体" w:hint="default"/>
          <w:sz w:val="19"/>
          <w:szCs w:val="19"/>
        </w:rPr>
      </w:pPr>
    </w:p>
    <w:p>
      <w:pPr>
        <w:pStyle w:val="Heading4"/>
        <w:spacing w:line="240" w:lineRule="auto" w:before="35"/>
        <w:ind w:right="1024"/>
        <w:jc w:val="left"/>
        <w:rPr>
          <w:b w:val="0"/>
          <w:bCs w:val="0"/>
        </w:rPr>
      </w:pPr>
      <w:bookmarkStart w:name="（2）应付债券的增减变动（不包括划分为金融负债的优先股、永续债等其他金融工具）" w:id="292"/>
      <w:bookmarkEnd w:id="29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68"/>
        <w:gridCol w:w="566"/>
        <w:gridCol w:w="851"/>
        <w:gridCol w:w="568"/>
        <w:gridCol w:w="1276"/>
        <w:gridCol w:w="1276"/>
        <w:gridCol w:w="482"/>
        <w:gridCol w:w="798"/>
        <w:gridCol w:w="1130"/>
        <w:gridCol w:w="709"/>
        <w:gridCol w:w="1276"/>
      </w:tblGrid>
      <w:tr>
        <w:trPr>
          <w:trHeight w:val="714" w:hRule="exact"/>
        </w:trPr>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51"/>
              <w:ind w:left="98" w:right="99"/>
              <w:jc w:val="left"/>
              <w:rPr>
                <w:rFonts w:ascii="宋体" w:hAnsi="宋体" w:cs="宋体" w:eastAsia="宋体" w:hint="default"/>
                <w:sz w:val="18"/>
                <w:szCs w:val="18"/>
              </w:rPr>
            </w:pPr>
            <w:r>
              <w:rPr>
                <w:rFonts w:ascii="宋体" w:hAnsi="宋体" w:cs="宋体" w:eastAsia="宋体" w:hint="default"/>
                <w:sz w:val="18"/>
                <w:szCs w:val="18"/>
              </w:rPr>
              <w:t>债券 名称</w:t>
            </w:r>
          </w:p>
        </w:tc>
        <w:tc>
          <w:tcPr>
            <w:tcW w:w="56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8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5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4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51"/>
              <w:ind w:left="56" w:right="54"/>
              <w:jc w:val="left"/>
              <w:rPr>
                <w:rFonts w:ascii="宋体" w:hAnsi="宋体" w:cs="宋体" w:eastAsia="宋体" w:hint="default"/>
                <w:sz w:val="18"/>
                <w:szCs w:val="18"/>
              </w:rPr>
            </w:pPr>
            <w:r>
              <w:rPr>
                <w:rFonts w:ascii="宋体" w:hAnsi="宋体" w:cs="宋体" w:eastAsia="宋体" w:hint="default"/>
                <w:sz w:val="18"/>
                <w:szCs w:val="18"/>
              </w:rPr>
              <w:t>本期 发行</w:t>
            </w:r>
          </w:p>
        </w:tc>
        <w:tc>
          <w:tcPr>
            <w:tcW w:w="79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113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溢折价摊销</w:t>
            </w:r>
          </w:p>
        </w:tc>
        <w:tc>
          <w:tcPr>
            <w:tcW w:w="70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本期偿 还</w:t>
            </w:r>
          </w:p>
        </w:tc>
        <w:tc>
          <w:tcPr>
            <w:tcW w:w="12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714" w:hRule="exact"/>
        </w:trPr>
        <w:tc>
          <w:tcPr>
            <w:tcW w:w="5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 财债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2013-4-3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240,000,000.00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238,440,000.00</w:t>
            </w:r>
          </w:p>
        </w:tc>
        <w:tc>
          <w:tcPr>
            <w:tcW w:w="48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16,080,00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480,000.00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238,920,000.00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bookmarkStart w:name="（3）划分为金融负债的其他金融工具说明" w:id="293"/>
      <w:bookmarkEnd w:id="293"/>
      <w:r>
        <w:rPr>
          <w:b w:val="0"/>
          <w:bCs w:val="0"/>
        </w:rPr>
      </w:r>
      <w:r>
        <w:rPr/>
        <w:t>（</w:t>
      </w:r>
      <w:r>
        <w:rPr>
          <w:rFonts w:ascii="Times New Roman" w:hAnsi="Times New Roman" w:cs="Times New Roman" w:eastAsia="Times New Roman" w:hint="default"/>
        </w:rPr>
        <w:t>3</w:t>
      </w:r>
      <w:r>
        <w:rPr/>
        <w:t>）划分为金融负债的其他金融工具说明</w:t>
      </w:r>
      <w:r>
        <w:rPr>
          <w:b w:val="0"/>
          <w:bCs w:val="0"/>
        </w:rPr>
      </w:r>
    </w:p>
    <w:p>
      <w:pPr>
        <w:spacing w:line="240" w:lineRule="auto" w:before="8"/>
        <w:rPr>
          <w:rFonts w:ascii="宋体" w:hAnsi="宋体" w:cs="宋体" w:eastAsia="宋体" w:hint="default"/>
          <w:b/>
          <w:bCs/>
          <w:sz w:val="26"/>
          <w:szCs w:val="26"/>
        </w:rPr>
      </w:pPr>
    </w:p>
    <w:p>
      <w:pPr>
        <w:spacing w:before="0"/>
        <w:ind w:left="578"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3"/>
        <w:rPr>
          <w:rFonts w:ascii="宋体" w:hAnsi="宋体" w:cs="宋体" w:eastAsia="宋体" w:hint="default"/>
          <w:sz w:val="12"/>
          <w:szCs w:val="12"/>
        </w:rPr>
      </w:pPr>
    </w:p>
    <w:p>
      <w:pPr>
        <w:pStyle w:val="BodyText"/>
        <w:spacing w:line="441" w:lineRule="auto" w:before="0"/>
        <w:ind w:left="577" w:right="1024" w:firstLine="2"/>
        <w:jc w:val="left"/>
      </w:pPr>
      <w:r>
        <w:rPr>
          <w:rFonts w:ascii="宋体" w:hAnsi="宋体" w:cs="宋体" w:eastAsia="宋体" w:hint="default"/>
          <w:b/>
          <w:bCs/>
        </w:rPr>
        <w:t>其他说明</w:t>
      </w:r>
      <w:r>
        <w:rPr>
          <w:rFonts w:ascii="宋体" w:hAnsi="宋体" w:cs="宋体" w:eastAsia="宋体" w:hint="default"/>
          <w:b/>
          <w:bCs/>
          <w:spacing w:val="1"/>
          <w:w w:val="99"/>
        </w:rPr>
        <w:t> </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16</w:t>
      </w:r>
      <w:r>
        <w:rPr/>
        <w:t>日经中国证券监督管理委员会“证监许可</w:t>
      </w:r>
      <w:r>
        <w:rPr>
          <w:rFonts w:ascii="宋体" w:hAnsi="宋体" w:cs="宋体" w:eastAsia="宋体" w:hint="default"/>
        </w:rPr>
        <w:t>[2013]39</w:t>
      </w:r>
      <w:r>
        <w:rPr/>
        <w:t>号”文件批复，核准公司向社会公开</w:t>
      </w:r>
    </w:p>
    <w:p>
      <w:pPr>
        <w:pStyle w:val="BodyText"/>
        <w:spacing w:line="408" w:lineRule="auto" w:before="16"/>
        <w:ind w:right="1131"/>
        <w:jc w:val="both"/>
      </w:pPr>
      <w:r>
        <w:rPr/>
        <w:t>发行面值不超过人民币</w:t>
      </w:r>
      <w:r>
        <w:rPr>
          <w:rFonts w:ascii="宋体" w:hAnsi="宋体" w:cs="宋体" w:eastAsia="宋体" w:hint="default"/>
        </w:rPr>
        <w:t>24,000</w:t>
      </w:r>
      <w:r>
        <w:rPr/>
        <w:t>万元的公司债券。债券每张面值为人民币</w:t>
      </w:r>
      <w:r>
        <w:rPr>
          <w:rFonts w:ascii="宋体" w:hAnsi="宋体" w:cs="宋体" w:eastAsia="宋体" w:hint="default"/>
        </w:rPr>
        <w:t>100</w:t>
      </w:r>
      <w:r>
        <w:rPr/>
        <w:t>元，期限为</w:t>
      </w:r>
      <w:r>
        <w:rPr>
          <w:rFonts w:ascii="宋体" w:hAnsi="宋体" w:cs="宋体" w:eastAsia="宋体" w:hint="default"/>
        </w:rPr>
        <w:t>5</w:t>
      </w:r>
      <w:r>
        <w:rPr/>
        <w:t>年，附第</w:t>
      </w:r>
      <w:r>
        <w:rPr>
          <w:rFonts w:ascii="宋体" w:hAnsi="宋体" w:cs="宋体" w:eastAsia="宋体" w:hint="default"/>
        </w:rPr>
        <w:t>3</w:t>
      </w:r>
      <w:r>
        <w:rPr/>
        <w:t>年末发</w:t>
      </w:r>
      <w:r>
        <w:rPr>
          <w:spacing w:val="-29"/>
        </w:rPr>
        <w:t> </w:t>
      </w:r>
      <w:r>
        <w:rPr>
          <w:spacing w:val="-29"/>
        </w:rPr>
      </w:r>
      <w:r>
        <w:rPr>
          <w:spacing w:val="-1"/>
        </w:rPr>
        <w:t>行人上调票面利率选择权和债券持有人回售选择权。债券票面利率为</w:t>
      </w:r>
      <w:r>
        <w:rPr>
          <w:rFonts w:ascii="宋体" w:hAnsi="宋体" w:cs="宋体" w:eastAsia="宋体" w:hint="default"/>
          <w:spacing w:val="-1"/>
        </w:rPr>
        <w:t>6.7%</w:t>
      </w:r>
      <w:r>
        <w:rPr>
          <w:spacing w:val="-1"/>
        </w:rPr>
        <w:t>，采取单利方式按年计息，按年</w:t>
      </w:r>
      <w:r>
        <w:rPr>
          <w:spacing w:val="-83"/>
        </w:rPr>
        <w:t> </w:t>
      </w:r>
      <w:r>
        <w:rPr>
          <w:spacing w:val="-83"/>
        </w:rPr>
      </w:r>
      <w:r>
        <w:rPr/>
        <w:t>付息，到期一次还本。利息每年支付一次，最后一次利息随本金一起支付。</w:t>
      </w:r>
    </w:p>
    <w:p>
      <w:pPr>
        <w:pStyle w:val="BodyText"/>
        <w:spacing w:line="240" w:lineRule="auto"/>
        <w:ind w:left="577" w:right="1024"/>
        <w:jc w:val="left"/>
      </w:pP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10</w:t>
      </w:r>
      <w:r>
        <w:rPr/>
        <w:t>日，公司与北京中关村科技融资担保有限公司签定</w:t>
      </w:r>
      <w:r>
        <w:rPr>
          <w:rFonts w:ascii="宋体" w:hAnsi="宋体" w:cs="宋体" w:eastAsia="宋体" w:hint="default"/>
        </w:rPr>
        <w:t>2012</w:t>
      </w:r>
      <w:r>
        <w:rPr/>
        <w:t>年</w:t>
      </w:r>
      <w:r>
        <w:rPr>
          <w:rFonts w:ascii="宋体" w:hAnsi="宋体" w:cs="宋体" w:eastAsia="宋体" w:hint="default"/>
        </w:rPr>
        <w:t>WT0736</w:t>
      </w:r>
      <w:r>
        <w:rPr/>
        <w:t>号《委托保证合同》，</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spacing w:val="-1"/>
        </w:rPr>
        <w:t>由北京中关村科技融资担保有限公司为本次债券募集提供保证担保，担保金额为</w:t>
      </w:r>
      <w:r>
        <w:rPr>
          <w:rFonts w:ascii="宋体" w:hAnsi="宋体" w:cs="宋体" w:eastAsia="宋体" w:hint="default"/>
          <w:spacing w:val="-1"/>
        </w:rPr>
        <w:t>24,000</w:t>
      </w:r>
      <w:r>
        <w:rPr>
          <w:spacing w:val="-1"/>
        </w:rPr>
        <w:t>万元。公司实际控</w:t>
      </w:r>
      <w:r>
        <w:rPr>
          <w:spacing w:val="-78"/>
        </w:rPr>
        <w:t> </w:t>
      </w:r>
      <w:r>
        <w:rPr>
          <w:spacing w:val="-78"/>
        </w:rPr>
      </w:r>
      <w:r>
        <w:rPr>
          <w:spacing w:val="-1"/>
        </w:rPr>
        <w:t>制人沈飒、朱烨东夫妇为本次发债提供连带责任保证反担保，沈飒以其持有的公司股份</w:t>
      </w:r>
      <w:r>
        <w:rPr>
          <w:rFonts w:ascii="宋体" w:hAnsi="宋体" w:cs="宋体" w:eastAsia="宋体" w:hint="default"/>
          <w:spacing w:val="-1"/>
        </w:rPr>
        <w:t>200.00</w:t>
      </w:r>
      <w:r>
        <w:rPr>
          <w:spacing w:val="-1"/>
        </w:rPr>
        <w:t>万股为本次</w:t>
      </w:r>
      <w:r>
        <w:rPr>
          <w:spacing w:val="-77"/>
        </w:rPr>
        <w:t> </w:t>
      </w:r>
      <w:r>
        <w:rPr/>
        <w:t>发债提供质押反担保；本公司以公司全部应收账款为本次发债提供应收账款质押反担保。</w:t>
      </w:r>
    </w:p>
    <w:p>
      <w:pPr>
        <w:spacing w:line="240" w:lineRule="auto" w:before="8"/>
        <w:rPr>
          <w:rFonts w:ascii="宋体" w:hAnsi="宋体" w:cs="宋体" w:eastAsia="宋体" w:hint="default"/>
          <w:sz w:val="20"/>
          <w:szCs w:val="20"/>
        </w:rPr>
      </w:pPr>
    </w:p>
    <w:p>
      <w:pPr>
        <w:pStyle w:val="Heading4"/>
        <w:spacing w:line="240" w:lineRule="auto"/>
        <w:ind w:left="153" w:right="0"/>
        <w:jc w:val="both"/>
        <w:rPr>
          <w:b w:val="0"/>
          <w:bCs w:val="0"/>
        </w:rPr>
      </w:pPr>
      <w:bookmarkStart w:name="27、递延收益" w:id="294"/>
      <w:bookmarkEnd w:id="294"/>
      <w:r>
        <w:rPr>
          <w:b w:val="0"/>
          <w:bCs w:val="0"/>
        </w:rPr>
      </w:r>
      <w:r>
        <w:rPr>
          <w:rFonts w:ascii="Times New Roman" w:hAnsi="Times New Roman" w:cs="Times New Roman" w:eastAsia="Times New Roman" w:hint="default"/>
        </w:rPr>
        <w:t>27</w:t>
      </w:r>
      <w:r>
        <w:rPr/>
        <w:t>、递延收益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32,242,266.66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10,734,100.00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21,508,166.66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32,242,266.66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10,734,100.00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21,508,166.66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移动电子商务公 共服务平台项目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年北京市科 技计划项目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1,276,100.00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364,600.00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面向云计算基于 虚拟化技术的分 布式计算管理系 统平台项目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1,133,333.33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733,333.33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金融行业海量数 据处理北京市工 程实验室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14,742,833.33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3,338,000.00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11,404,833.33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移动金融云安全 服务项目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6,266,666.67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4,666,666.67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电子发展基金</w:t>
            </w:r>
            <w:r>
              <w:rPr>
                <w:rFonts w:ascii="Times New Roman" w:hAnsi="Times New Roman" w:cs="Times New Roman" w:eastAsia="Times New Roman" w:hint="default"/>
                <w:sz w:val="18"/>
                <w:szCs w:val="18"/>
              </w:rPr>
              <w:t>- </w:t>
            </w:r>
            <w:r>
              <w:rPr>
                <w:rFonts w:ascii="宋体" w:hAnsi="宋体" w:cs="宋体" w:eastAsia="宋体" w:hint="default"/>
                <w:sz w:val="18"/>
                <w:szCs w:val="18"/>
              </w:rPr>
              <w:t>移动支付清算平 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3,753,500.00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1,246,500.00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移动支付安全中 间件产业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语言的移 动应用软件开发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181,333.33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企业技术中心自 主创新能力建设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32,242,266.66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10,734,100.00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21,508,166.66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28、股本" w:id="295"/>
      <w:bookmarkEnd w:id="295"/>
      <w:r>
        <w:rPr>
          <w:b w:val="0"/>
          <w:bCs w:val="0"/>
        </w:rPr>
      </w:r>
      <w:r>
        <w:rPr>
          <w:rFonts w:ascii="Times New Roman" w:hAnsi="Times New Roman" w:cs="Times New Roman" w:eastAsia="Times New Roman" w:hint="default"/>
        </w:rPr>
        <w:t>28</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158,489,551.00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158,489,551.00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158,489,551.00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316,979,102.00</w:t>
            </w:r>
          </w:p>
        </w:tc>
      </w:tr>
    </w:tbl>
    <w:p>
      <w:pPr>
        <w:spacing w:before="35"/>
        <w:ind w:left="154" w:right="1024" w:firstLine="0"/>
        <w:jc w:val="left"/>
        <w:rPr>
          <w:rFonts w:ascii="宋体" w:hAnsi="宋体" w:cs="宋体" w:eastAsia="宋体" w:hint="default"/>
          <w:sz w:val="20"/>
          <w:szCs w:val="20"/>
        </w:rPr>
      </w:pPr>
      <w:r>
        <w:rPr>
          <w:rFonts w:ascii="宋体" w:hAnsi="宋体" w:cs="宋体" w:eastAsia="宋体" w:hint="default"/>
          <w:b/>
          <w:bCs/>
          <w:sz w:val="20"/>
          <w:szCs w:val="20"/>
        </w:rPr>
        <w:t>其他说明：</w:t>
      </w:r>
      <w:r>
        <w:rPr>
          <w:rFonts w:ascii="宋体" w:hAnsi="宋体" w:cs="宋体" w:eastAsia="宋体" w:hint="default"/>
          <w:sz w:val="20"/>
          <w:szCs w:val="20"/>
        </w:rPr>
      </w:r>
    </w:p>
    <w:p>
      <w:pPr>
        <w:pStyle w:val="BodyText"/>
        <w:spacing w:line="408" w:lineRule="auto" w:before="157"/>
        <w:ind w:right="1123" w:firstLine="421"/>
        <w:jc w:val="left"/>
      </w:pPr>
      <w:r>
        <w:rPr/>
        <w:t>公司第三届董事会第十三次会议于</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15</w:t>
      </w:r>
      <w:r>
        <w:rPr/>
        <w:t>日通过</w:t>
      </w:r>
      <w:r>
        <w:rPr>
          <w:rFonts w:ascii="宋体" w:hAnsi="宋体" w:cs="宋体" w:eastAsia="宋体" w:hint="default"/>
        </w:rPr>
        <w:t>2014</w:t>
      </w:r>
      <w:r>
        <w:rPr/>
        <w:t>年度利润分配方案：以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 司总股本</w:t>
      </w:r>
      <w:r>
        <w:rPr>
          <w:rFonts w:ascii="宋体" w:hAnsi="宋体" w:cs="宋体" w:eastAsia="宋体" w:hint="default"/>
        </w:rPr>
        <w:t>158,489,551</w:t>
      </w:r>
      <w:r>
        <w:rPr/>
        <w:t>股为基数，向全体股东按每</w:t>
      </w:r>
      <w:r>
        <w:rPr>
          <w:rFonts w:ascii="宋体" w:hAnsi="宋体" w:cs="宋体" w:eastAsia="宋体" w:hint="default"/>
        </w:rPr>
        <w:t>10</w:t>
      </w:r>
      <w:r>
        <w:rPr/>
        <w:t>股派发现金红利</w:t>
      </w:r>
      <w:r>
        <w:rPr>
          <w:rFonts w:ascii="宋体" w:hAnsi="宋体" w:cs="宋体" w:eastAsia="宋体" w:hint="default"/>
        </w:rPr>
        <w:t>0.60</w:t>
      </w:r>
      <w:r>
        <w:rPr/>
        <w:t>元（含税），同时进行资本公积 </w:t>
      </w:r>
      <w:r>
        <w:rPr>
          <w:spacing w:val="-4"/>
        </w:rPr>
        <w:t>金转增股本，向全体股东每</w:t>
      </w:r>
      <w:r>
        <w:rPr>
          <w:rFonts w:ascii="宋体" w:hAnsi="宋体" w:cs="宋体" w:eastAsia="宋体" w:hint="default"/>
          <w:spacing w:val="-4"/>
        </w:rPr>
        <w:t>10</w:t>
      </w:r>
      <w:r>
        <w:rPr>
          <w:spacing w:val="-4"/>
        </w:rPr>
        <w:t>股转增</w:t>
      </w:r>
      <w:r>
        <w:rPr>
          <w:rFonts w:ascii="宋体" w:hAnsi="宋体" w:cs="宋体" w:eastAsia="宋体" w:hint="default"/>
          <w:spacing w:val="-4"/>
        </w:rPr>
        <w:t>10</w:t>
      </w:r>
      <w:r>
        <w:rPr>
          <w:spacing w:val="-4"/>
        </w:rPr>
        <w:t>股，共计转增</w:t>
      </w:r>
      <w:r>
        <w:rPr>
          <w:rFonts w:ascii="宋体" w:hAnsi="宋体" w:cs="宋体" w:eastAsia="宋体" w:hint="default"/>
          <w:spacing w:val="-4"/>
        </w:rPr>
        <w:t>158,489,551</w:t>
      </w:r>
      <w:r>
        <w:rPr>
          <w:spacing w:val="-4"/>
        </w:rPr>
        <w:t>股，转增后公司总股本增加至</w:t>
      </w:r>
      <w:r>
        <w:rPr>
          <w:rFonts w:ascii="宋体" w:hAnsi="宋体" w:cs="宋体" w:eastAsia="宋体" w:hint="default"/>
          <w:spacing w:val="-4"/>
        </w:rPr>
        <w:t>316,979,102</w:t>
      </w:r>
      <w:r>
        <w:rPr>
          <w:rFonts w:ascii="宋体" w:hAnsi="宋体" w:cs="宋体" w:eastAsia="宋体" w:hint="default"/>
          <w:spacing w:val="-103"/>
        </w:rPr>
        <w:t> </w:t>
      </w:r>
      <w:r>
        <w:rPr/>
        <w:t>股。本次股利分配后剩余未分配利润滚存至下一年度。</w:t>
      </w:r>
    </w:p>
    <w:p>
      <w:pPr>
        <w:spacing w:line="240" w:lineRule="auto" w:before="8"/>
        <w:rPr>
          <w:rFonts w:ascii="宋体" w:hAnsi="宋体" w:cs="宋体" w:eastAsia="宋体" w:hint="default"/>
          <w:sz w:val="20"/>
          <w:szCs w:val="20"/>
        </w:rPr>
      </w:pPr>
    </w:p>
    <w:p>
      <w:pPr>
        <w:pStyle w:val="Heading4"/>
        <w:spacing w:line="240" w:lineRule="auto"/>
        <w:ind w:right="1024"/>
        <w:jc w:val="left"/>
        <w:rPr>
          <w:b w:val="0"/>
          <w:bCs w:val="0"/>
        </w:rPr>
      </w:pPr>
      <w:bookmarkStart w:name="29、资本公积" w:id="296"/>
      <w:bookmarkEnd w:id="296"/>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997,623,258.03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158,489,551.00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839,133,707.03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997,623,258.03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158,489,551.00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839,133,707.03</w:t>
            </w:r>
          </w:p>
        </w:tc>
      </w:tr>
    </w:tbl>
    <w:p>
      <w:pPr>
        <w:spacing w:line="240" w:lineRule="auto" w:before="4"/>
        <w:rPr>
          <w:rFonts w:ascii="宋体" w:hAnsi="宋体" w:cs="宋体" w:eastAsia="宋体" w:hint="default"/>
          <w:sz w:val="5"/>
          <w:szCs w:val="5"/>
        </w:rPr>
      </w:pPr>
    </w:p>
    <w:p>
      <w:pPr>
        <w:pStyle w:val="BodyText"/>
        <w:spacing w:line="444" w:lineRule="auto" w:before="35"/>
        <w:ind w:left="575" w:right="5923" w:hanging="422"/>
        <w:jc w:val="left"/>
      </w:pPr>
      <w:r>
        <w:rPr/>
        <w:t>其他说明，包括本期增减变动情况、变动原因说明： 资本公积本期减少原因详见“本节</w:t>
      </w:r>
      <w:r>
        <w:rPr>
          <w:spacing w:val="-4"/>
        </w:rPr>
        <w:t> </w:t>
      </w:r>
      <w:r>
        <w:rPr>
          <w:rFonts w:ascii="宋体" w:hAnsi="宋体" w:cs="宋体" w:eastAsia="宋体" w:hint="default"/>
        </w:rPr>
        <w:t>28.</w:t>
      </w:r>
      <w:r>
        <w:rPr/>
        <w:t>股本”。</w:t>
      </w:r>
    </w:p>
    <w:p>
      <w:pPr>
        <w:spacing w:line="240" w:lineRule="auto" w:before="2"/>
        <w:rPr>
          <w:rFonts w:ascii="宋体" w:hAnsi="宋体" w:cs="宋体" w:eastAsia="宋体" w:hint="default"/>
          <w:sz w:val="18"/>
          <w:szCs w:val="18"/>
        </w:rPr>
      </w:pPr>
    </w:p>
    <w:p>
      <w:pPr>
        <w:pStyle w:val="Heading4"/>
        <w:spacing w:line="240" w:lineRule="auto"/>
        <w:ind w:right="1024"/>
        <w:jc w:val="left"/>
        <w:rPr>
          <w:b w:val="0"/>
          <w:bCs w:val="0"/>
        </w:rPr>
      </w:pPr>
      <w:bookmarkStart w:name="30、其他综合收益" w:id="297"/>
      <w:bookmarkEnd w:id="297"/>
      <w:r>
        <w:rPr>
          <w:b w:val="0"/>
          <w:bCs w:val="0"/>
        </w:rPr>
      </w:r>
      <w:r>
        <w:rPr>
          <w:rFonts w:ascii="Times New Roman" w:hAnsi="Times New Roman" w:cs="Times New Roman" w:eastAsia="Times New Roman" w:hint="default"/>
        </w:rPr>
        <w:t>30</w:t>
      </w:r>
      <w:r>
        <w:rPr/>
        <w:t>、其他综合收益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897.61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79,559.67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55,691.77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23,867.90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56,589.38</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897.61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79,559.67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55,691.77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23,867.90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56,589.38</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897.61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79,559.67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55,691.77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23,867.90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56,589.38</w:t>
            </w:r>
          </w:p>
        </w:tc>
      </w:tr>
    </w:tbl>
    <w:p>
      <w:pPr>
        <w:spacing w:line="240" w:lineRule="auto" w:before="3"/>
        <w:rPr>
          <w:rFonts w:ascii="宋体" w:hAnsi="宋体" w:cs="宋体" w:eastAsia="宋体" w:hint="default"/>
          <w:sz w:val="19"/>
          <w:szCs w:val="19"/>
        </w:rPr>
      </w:pPr>
    </w:p>
    <w:p>
      <w:pPr>
        <w:pStyle w:val="Heading4"/>
        <w:spacing w:line="240" w:lineRule="auto" w:before="35"/>
        <w:ind w:right="1024"/>
        <w:jc w:val="left"/>
        <w:rPr>
          <w:b w:val="0"/>
          <w:bCs w:val="0"/>
        </w:rPr>
      </w:pPr>
      <w:bookmarkStart w:name="31、盈余公积" w:id="298"/>
      <w:bookmarkEnd w:id="298"/>
      <w:r>
        <w:rPr>
          <w:b w:val="0"/>
          <w:bCs w:val="0"/>
        </w:rPr>
      </w:r>
      <w:r>
        <w:rPr>
          <w:rFonts w:ascii="Times New Roman" w:hAnsi="Times New Roman" w:cs="Times New Roman" w:eastAsia="Times New Roman" w:hint="default"/>
        </w:rPr>
        <w:t>31</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36,778,236.69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8,646,098.96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45,424,335.65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36,778,236.69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8,646,098.96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45,424,335.65</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32、未分配利润" w:id="299"/>
      <w:bookmarkEnd w:id="299"/>
      <w:r>
        <w:rPr>
          <w:b w:val="0"/>
          <w:bCs w:val="0"/>
        </w:rPr>
      </w:r>
      <w:r>
        <w:rPr>
          <w:rFonts w:ascii="Times New Roman" w:hAnsi="Times New Roman" w:cs="Times New Roman" w:eastAsia="Times New Roman" w:hint="default"/>
        </w:rPr>
        <w:t>32</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308,215,956.06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244,709,200.13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308,215,956.06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244,709,200.13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160,334,370.22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77,702,908.86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8,646,098.96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6,867,411.86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9,509,373.06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7,328,741.07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450,394,854.26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308,215,956.06</w:t>
            </w:r>
          </w:p>
        </w:tc>
      </w:tr>
    </w:tbl>
    <w:p>
      <w:pPr>
        <w:spacing w:before="35"/>
        <w:ind w:left="154" w:right="1024" w:firstLine="0"/>
        <w:jc w:val="left"/>
        <w:rPr>
          <w:rFonts w:ascii="宋体" w:hAnsi="宋体" w:cs="宋体" w:eastAsia="宋体" w:hint="default"/>
          <w:sz w:val="20"/>
          <w:szCs w:val="20"/>
        </w:rPr>
      </w:pPr>
      <w:r>
        <w:rPr>
          <w:rFonts w:ascii="宋体" w:hAnsi="宋体" w:cs="宋体" w:eastAsia="宋体" w:hint="default"/>
          <w:sz w:val="20"/>
          <w:szCs w:val="20"/>
        </w:rPr>
        <w:t>调整期初未分配利润明细：</w:t>
      </w:r>
    </w:p>
    <w:p>
      <w:pPr>
        <w:spacing w:before="91"/>
        <w:ind w:left="154" w:right="102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、由于《企业会计准则》及其相关新规定进行追溯调整，影响期初未分配利润</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0.00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元。</w:t>
      </w:r>
    </w:p>
    <w:p>
      <w:pPr>
        <w:spacing w:before="74"/>
        <w:ind w:left="154" w:right="102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、由于会计政策变更，影响期初未分配利润</w:t>
      </w:r>
      <w:r>
        <w:rPr>
          <w:rFonts w:ascii="宋体" w:hAnsi="宋体" w:cs="宋体" w:eastAsia="宋体" w:hint="default"/>
          <w:spacing w:val="-55"/>
          <w:sz w:val="20"/>
          <w:szCs w:val="20"/>
        </w:rPr>
        <w:t> </w:t>
      </w:r>
      <w:r>
        <w:rPr>
          <w:rFonts w:ascii="Times New Roman" w:hAnsi="Times New Roman" w:cs="Times New Roman" w:eastAsia="Times New Roman" w:hint="default"/>
          <w:sz w:val="20"/>
          <w:szCs w:val="20"/>
        </w:rPr>
        <w:t>0.00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元。</w:t>
      </w:r>
    </w:p>
    <w:p>
      <w:pPr>
        <w:spacing w:before="74"/>
        <w:ind w:left="154" w:right="102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、由于重大会计差错更正，影响期初未分配利润</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0.00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元。</w:t>
      </w:r>
    </w:p>
    <w:p>
      <w:pPr>
        <w:spacing w:before="76"/>
        <w:ind w:left="154" w:right="102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、由于同一控制导致的合并范围变更，影响期初未分配利润</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0.00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元。</w:t>
      </w:r>
    </w:p>
    <w:p>
      <w:pPr>
        <w:spacing w:before="74"/>
        <w:ind w:left="154" w:right="1024"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、其他调整合计影响期初未分配利润</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0.00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元。</w:t>
      </w:r>
    </w:p>
    <w:p>
      <w:pPr>
        <w:spacing w:line="240" w:lineRule="auto" w:before="11"/>
        <w:rPr>
          <w:rFonts w:ascii="宋体" w:hAnsi="宋体" w:cs="宋体" w:eastAsia="宋体" w:hint="default"/>
          <w:sz w:val="24"/>
          <w:szCs w:val="24"/>
        </w:rPr>
      </w:pPr>
    </w:p>
    <w:p>
      <w:pPr>
        <w:pStyle w:val="Heading4"/>
        <w:spacing w:line="240" w:lineRule="auto"/>
        <w:ind w:right="1024"/>
        <w:jc w:val="left"/>
        <w:rPr>
          <w:b w:val="0"/>
          <w:bCs w:val="0"/>
        </w:rPr>
      </w:pPr>
      <w:bookmarkStart w:name="33、营业收入和营业成本" w:id="300"/>
      <w:bookmarkEnd w:id="300"/>
      <w:r>
        <w:rPr>
          <w:b w:val="0"/>
          <w:bCs w:val="0"/>
        </w:rPr>
      </w:r>
      <w:r>
        <w:rPr>
          <w:rFonts w:ascii="Times New Roman" w:hAnsi="Times New Roman" w:cs="Times New Roman" w:eastAsia="Times New Roman" w:hint="default"/>
        </w:rPr>
        <w:t>33</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1,318,844,959.48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937,730,503.95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1,088,993,032.74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825,828,672.43</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8,709,397.10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7,076,701.87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9,374,193.64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5,405,739.21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1,327,554,356.58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944,807,205.82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1,098,367,226.38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831,234,411.64</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34、营业税金及附加" w:id="301"/>
      <w:bookmarkEnd w:id="301"/>
      <w:r>
        <w:rPr>
          <w:b w:val="0"/>
          <w:bCs w:val="0"/>
        </w:rPr>
      </w:r>
      <w:r>
        <w:rPr>
          <w:rFonts w:ascii="Times New Roman" w:hAnsi="Times New Roman" w:cs="Times New Roman" w:eastAsia="Times New Roman" w:hint="default"/>
        </w:rPr>
        <w:t>34</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345,289.74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399,863.47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4,437,263.46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1,693,354.42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2,783,367.25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1,185,402.67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386,906.67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26,436.33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7,952,827.12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3,305,056.89</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35、销售费用" w:id="302"/>
      <w:bookmarkEnd w:id="302"/>
      <w:r>
        <w:rPr>
          <w:b w:val="0"/>
          <w:bCs w:val="0"/>
        </w:rPr>
      </w:r>
      <w:r>
        <w:rPr>
          <w:rFonts w:ascii="Times New Roman" w:hAnsi="Times New Roman" w:cs="Times New Roman" w:eastAsia="Times New Roman" w:hint="default"/>
        </w:rPr>
        <w:t>35</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25,503,767.58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16,068,836.83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1,114,378.28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2,097,996.26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1,127,686.63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555,058.67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966,289.05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731,614.91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975,353.83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2,931,356.28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2,195,895.46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实施费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3,071,165.63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1,151,834.18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1,687,871.60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423,422.10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1,019,368.56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37,180,153.03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24,619,642.82</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36、管理费用" w:id="303"/>
      <w:bookmarkEnd w:id="303"/>
      <w:r>
        <w:rPr>
          <w:b w:val="0"/>
          <w:bCs w:val="0"/>
        </w:rPr>
      </w:r>
      <w:r>
        <w:rPr>
          <w:rFonts w:ascii="Times New Roman" w:hAnsi="Times New Roman" w:cs="Times New Roman" w:eastAsia="Times New Roman" w:hint="default"/>
        </w:rPr>
        <w:t>36</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76,868,915.33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72,832,620.63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39,526,322.90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29,437,767.76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5,106,795.27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6,977,356.95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3,322,310.28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2,026,409.94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3,461,035.63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8,107,177.43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29,282,206.02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27,902,388.58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4,682,757.97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4,619,734.09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1,106,207.22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5,318,255.43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6,191,368.88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3,618,214.90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2,309,909.92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2,386,156.99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594,469.49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2,468,846.55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3,066,138.88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4,238,569.36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175,518,437.79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169,933,498.61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37、财务费用" w:id="304"/>
      <w:bookmarkEnd w:id="304"/>
      <w:r>
        <w:rPr>
          <w:b w:val="0"/>
          <w:bCs w:val="0"/>
        </w:rPr>
      </w:r>
      <w:r>
        <w:rPr>
          <w:rFonts w:ascii="Times New Roman" w:hAnsi="Times New Roman" w:cs="Times New Roman" w:eastAsia="Times New Roman" w:hint="default"/>
        </w:rPr>
        <w:t>37</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17,650,885.04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18,508,166.67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8,424,548.62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4,449,113.82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230,790.80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-336,520.22</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公司债券担保费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917,586.72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801,514.44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12,774,713.94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16,924,047.07</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38、资产减值损失" w:id="305"/>
      <w:bookmarkEnd w:id="305"/>
      <w:r>
        <w:rPr>
          <w:b w:val="0"/>
          <w:bCs w:val="0"/>
        </w:rPr>
      </w:r>
      <w:r>
        <w:rPr>
          <w:rFonts w:ascii="Times New Roman" w:hAnsi="Times New Roman" w:cs="Times New Roman" w:eastAsia="Times New Roman" w:hint="default"/>
        </w:rPr>
        <w:t>38</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3,699,572.93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-251,539.22</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3,699,572.93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-251,539.22</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39、投资收益" w:id="306"/>
      <w:bookmarkEnd w:id="306"/>
      <w:r>
        <w:rPr>
          <w:b w:val="0"/>
          <w:bCs w:val="0"/>
        </w:rPr>
      </w:r>
      <w:r>
        <w:rPr>
          <w:rFonts w:ascii="Times New Roman" w:hAnsi="Times New Roman" w:cs="Times New Roman" w:eastAsia="Times New Roman" w:hint="default"/>
        </w:rPr>
        <w:t>39</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-1,018,685.87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1,774,481.65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-297,258.22</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9,379,206.57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3,221,645.29</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9,860,520.70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4,698,868.72</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40、营业外收入" w:id="307"/>
      <w:bookmarkEnd w:id="307"/>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261,910.18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73,196.24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261,910.18</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181,140.88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181,140.88</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80,769.30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73,196.24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80,769.30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22,311,883.30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27,536,981.76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10,811,100.00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3,008.63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3" w:right="0"/>
              <w:jc w:val="left"/>
              <w:rPr>
                <w:rFonts w:ascii="Times New Roman" w:hAnsi="Times New Roman" w:cs="Times New Roman" w:eastAsia="Times New Roman" w:hint="default"/>
                <w:sz w:val="18"/>
                <w:szCs w:val="18"/>
              </w:rPr>
            </w:pPr>
            <w:r>
              <w:rPr>
                <w:rFonts w:ascii="Times New Roman"/>
                <w:sz w:val="18"/>
              </w:rPr>
              <w:t>22,576,802.11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0" w:right="0"/>
              <w:jc w:val="left"/>
              <w:rPr>
                <w:rFonts w:ascii="Times New Roman" w:hAnsi="Times New Roman" w:cs="Times New Roman" w:eastAsia="Times New Roman" w:hint="default"/>
                <w:sz w:val="18"/>
                <w:szCs w:val="18"/>
              </w:rPr>
            </w:pPr>
            <w:r>
              <w:rPr>
                <w:rFonts w:ascii="Times New Roman"/>
                <w:sz w:val="18"/>
              </w:rPr>
              <w:t>27,611,158.54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0" w:right="0"/>
              <w:jc w:val="left"/>
              <w:rPr>
                <w:rFonts w:ascii="Times New Roman" w:hAnsi="Times New Roman" w:cs="Times New Roman" w:eastAsia="Times New Roman" w:hint="default"/>
                <w:sz w:val="18"/>
                <w:szCs w:val="18"/>
              </w:rPr>
            </w:pPr>
            <w:r>
              <w:rPr>
                <w:rFonts w:ascii="Times New Roman"/>
                <w:sz w:val="18"/>
              </w:rPr>
              <w:t>11,076,018.81</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北京市海淀 区国家税务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11,500,783.3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14,457,215.0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政府中介服 务支持资金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中关村企业 信用促进会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政府中介服 务支持资金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中关村知识 产权促进局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政府中介服 务支持资金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both"/>
              <w:rPr>
                <w:rFonts w:ascii="宋体" w:hAnsi="宋体" w:cs="宋体" w:eastAsia="宋体" w:hint="default"/>
                <w:sz w:val="18"/>
                <w:szCs w:val="18"/>
              </w:rPr>
            </w:pPr>
            <w:r>
              <w:rPr>
                <w:rFonts w:ascii="宋体" w:hAnsi="宋体" w:cs="宋体" w:eastAsia="宋体" w:hint="default"/>
                <w:sz w:val="18"/>
                <w:szCs w:val="18"/>
              </w:rPr>
              <w:t>首都知识产 权服务业协 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both"/>
              <w:rPr>
                <w:rFonts w:ascii="宋体" w:hAnsi="宋体" w:cs="宋体" w:eastAsia="宋体" w:hint="default"/>
                <w:sz w:val="18"/>
                <w:szCs w:val="18"/>
              </w:rPr>
            </w:pPr>
            <w:r>
              <w:rPr>
                <w:rFonts w:ascii="宋体" w:hAnsi="宋体" w:cs="宋体" w:eastAsia="宋体" w:hint="default"/>
                <w:sz w:val="18"/>
                <w:szCs w:val="18"/>
              </w:rPr>
              <w:t>政府中介服 务支持资金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both"/>
              <w:rPr>
                <w:rFonts w:ascii="宋体" w:hAnsi="宋体" w:cs="宋体" w:eastAsia="宋体" w:hint="default"/>
                <w:sz w:val="18"/>
                <w:szCs w:val="18"/>
              </w:rPr>
            </w:pPr>
            <w:r>
              <w:rPr>
                <w:rFonts w:ascii="宋体" w:hAnsi="宋体" w:cs="宋体" w:eastAsia="宋体" w:hint="default"/>
                <w:sz w:val="18"/>
                <w:szCs w:val="18"/>
              </w:rPr>
              <w:t>天津市滨海 新区科学技 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31"/>
              <w:jc w:val="both"/>
              <w:rPr>
                <w:rFonts w:ascii="宋体" w:hAnsi="宋体" w:cs="宋体" w:eastAsia="宋体" w:hint="default"/>
                <w:sz w:val="18"/>
                <w:szCs w:val="18"/>
              </w:rPr>
            </w:pPr>
            <w:r>
              <w:rPr>
                <w:rFonts w:ascii="宋体" w:hAnsi="宋体" w:cs="宋体" w:eastAsia="宋体" w:hint="default"/>
                <w:sz w:val="18"/>
                <w:szCs w:val="18"/>
              </w:rPr>
              <w:t>金融行业海 量数据处理 北京市工程 实验室</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left"/>
              <w:rPr>
                <w:rFonts w:ascii="宋体" w:hAnsi="宋体" w:cs="宋体" w:eastAsia="宋体" w:hint="default"/>
                <w:sz w:val="18"/>
                <w:szCs w:val="18"/>
              </w:rPr>
            </w:pPr>
            <w:r>
              <w:rPr>
                <w:rFonts w:ascii="宋体" w:hAnsi="宋体" w:cs="宋体" w:eastAsia="宋体" w:hint="default"/>
                <w:sz w:val="18"/>
                <w:szCs w:val="18"/>
              </w:rPr>
              <w:t>北京市海淀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3,338,000.00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1,947,166.67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北京商委老 字号项目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北京市海淀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移动金融云 安全服务项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北京市海淀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移动支付安 全中间件产 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中华人民共 和国财政部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102"/>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语言 的移动应用 软件开发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中国联合网 络通信有限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64,000.00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移动电子商 务公共服务 平台项目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北京市海淀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884,000.00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884,000.00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 市科技计划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北京科学技 术委员会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364,600.00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 应用示范项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面向云计算 基于虚拟化 技术的分布 式计算管理 系统平台项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北京市海淀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71"/>
              <w:jc w:val="both"/>
              <w:rPr>
                <w:rFonts w:ascii="宋体" w:hAnsi="宋体" w:cs="宋体" w:eastAsia="宋体" w:hint="default"/>
                <w:sz w:val="18"/>
                <w:szCs w:val="18"/>
              </w:rPr>
            </w:pPr>
            <w:r>
              <w:rPr>
                <w:rFonts w:ascii="宋体" w:hAnsi="宋体" w:cs="宋体" w:eastAsia="宋体" w:hint="default"/>
                <w:sz w:val="18"/>
                <w:szCs w:val="18"/>
              </w:rPr>
              <w:t>电子发展基 金</w:t>
            </w:r>
            <w:r>
              <w:rPr>
                <w:rFonts w:ascii="Times New Roman" w:hAnsi="Times New Roman" w:cs="Times New Roman" w:eastAsia="Times New Roman" w:hint="default"/>
                <w:sz w:val="18"/>
                <w:szCs w:val="18"/>
              </w:rPr>
              <w:t>-</w:t>
            </w:r>
            <w:r>
              <w:rPr>
                <w:rFonts w:ascii="宋体" w:hAnsi="宋体" w:cs="宋体" w:eastAsia="宋体" w:hint="default"/>
                <w:sz w:val="18"/>
                <w:szCs w:val="18"/>
              </w:rPr>
              <w:t>移动支付 清算平台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中华人民共 和国财政部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3,753,500.00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十百千工程</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北京市中关</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因符合地方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left"/>
              <w:rPr>
                <w:rFonts w:ascii="宋体" w:hAnsi="宋体" w:cs="宋体" w:eastAsia="宋体" w:hint="default"/>
                <w:sz w:val="18"/>
                <w:szCs w:val="18"/>
              </w:rPr>
            </w:pPr>
            <w:r>
              <w:rPr>
                <w:rFonts w:ascii="宋体" w:hAnsi="宋体" w:cs="宋体" w:eastAsia="宋体" w:hint="default"/>
                <w:sz w:val="18"/>
                <w:szCs w:val="18"/>
              </w:rPr>
              <w:t>培育企业资 金项目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both"/>
              <w:rPr>
                <w:rFonts w:ascii="宋体" w:hAnsi="宋体" w:cs="宋体" w:eastAsia="宋体" w:hint="default"/>
                <w:sz w:val="18"/>
                <w:szCs w:val="18"/>
              </w:rPr>
            </w:pPr>
            <w:r>
              <w:rPr>
                <w:rFonts w:ascii="宋体" w:hAnsi="宋体" w:cs="宋体" w:eastAsia="宋体" w:hint="default"/>
                <w:sz w:val="18"/>
                <w:szCs w:val="18"/>
              </w:rPr>
              <w:t>村科技园区 海淀园管理 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综合运维管 理软件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中关村开放 实验室共建 企业技术中 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中关村科技 企业家协会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情报信息系 统软件研发 专项资金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北京市工业 促进局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重点培育企 业资金项目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北京市企业 技术中心研 发投入项目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园区海淀园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企业技术中 心自主创新 能力建设项 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北京市经济 和信息化委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19" w:right="0"/>
              <w:jc w:val="lef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基于影像可 配置的金融 集中作业系 统项目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北京市海淀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22,311,883.3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27,536,981.7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1024"/>
        <w:jc w:val="left"/>
        <w:rPr>
          <w:b w:val="0"/>
          <w:bCs w:val="0"/>
        </w:rPr>
      </w:pPr>
      <w:bookmarkStart w:name="41、营业外支出" w:id="308"/>
      <w:bookmarkEnd w:id="308"/>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137,143.03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318,265.88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137,143.03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137,143.03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318,265.88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137,143.03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78,289.02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12,787.15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78,289.02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215,432.05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331,053.03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215,432.05</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42、所得税费用" w:id="309"/>
      <w:bookmarkEnd w:id="309"/>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所得税费用表" w:id="310"/>
      <w:bookmarkEnd w:id="31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19,858,845.88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6,427,587.02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-3,433,620.26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-721,901.53</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16,425,225.62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5,705,685.49</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会计利润与所得税费用调整过程" w:id="311"/>
      <w:bookmarkEnd w:id="31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177,843,336.71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26,676,500.48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-636,383.11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-1,438,723.44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225,000.00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-3,369,040.75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1,406,809.42</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138,498.68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-3,313,816.82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16,425,225.62</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43、现金流量表项目" w:id="312"/>
      <w:bookmarkEnd w:id="312"/>
      <w:r>
        <w:rPr>
          <w:b w:val="0"/>
          <w:bCs w:val="0"/>
        </w:rPr>
      </w:r>
      <w:r>
        <w:rPr>
          <w:rFonts w:ascii="Times New Roman" w:hAnsi="Times New Roman" w:cs="Times New Roman" w:eastAsia="Times New Roman" w:hint="default"/>
        </w:rPr>
        <w:t>43</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收到的其他与经营活动有关的现金" w:id="313"/>
      <w:bookmarkEnd w:id="31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政府及其他奖励资金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收取保证金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191,253,737.04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92,691,755.39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收回的往来款、代垫款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12,407,507.20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43,760,415.30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8,378,245.72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3,467,500.76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597,403.70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1,295,698.44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212,713,893.66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145,605,369.89</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支付的其他与经营活动有关的现金" w:id="314"/>
      <w:bookmarkEnd w:id="31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198,410,069.29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108,032,863.15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6,264,794.62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15,111,274.53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5,109,818.24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6,977,356.95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5,031,530.03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5,606,023.14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4,708,419.43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8,107,177.43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8,576,249.34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4,745,901.53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4,684,107.22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6,432,633.71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21,398,188.79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13,891,542.61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254,183,176.96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168,904,773.05</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3）收到的其他与筹资活动有关的现金" w:id="315"/>
      <w:bookmarkEnd w:id="315"/>
      <w:r>
        <w:rPr>
          <w:b w:val="0"/>
          <w:bCs w:val="0"/>
        </w:rPr>
      </w: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46,301.06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981,613.06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46,301.06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981,613.06</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4）支付的其他与筹资活动有关的现金" w:id="316"/>
      <w:bookmarkEnd w:id="316"/>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债券相关费用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发行股票相关费用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625,965.40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1,302,765.99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3,025,965.40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3,702,765.99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223.339996pt;margin-top:383.089996pt;width:151.25pt;height:20.7pt;mso-position-horizontal-relative:page;mso-position-vertical-relative:page;z-index:-1212112" coordorigin="4467,7662" coordsize="3025,414">
            <v:group style="position:absolute;left:4478;top:7673;width:2;height:392" coordorigin="4478,7673" coordsize="2,392">
              <v:shape style="position:absolute;left:4478;top:7673;width:2;height:392" coordorigin="4478,7673" coordsize="0,392" path="m4478,7673l4478,8064e" filled="false" stroked="true" strokeweight="1.140pt" strokecolor="#ffffff">
                <v:path arrowok="t"/>
              </v:shape>
            </v:group>
            <v:group style="position:absolute;left:4490;top:7673;width:3002;height:392" coordorigin="4490,7673" coordsize="3002,392">
              <v:shape style="position:absolute;left:4490;top:7673;width:3002;height:392" coordorigin="4490,7673" coordsize="3002,392" path="m4490,8064l7491,8064,7491,7673,4490,7673,4490,8064xe" filled="true" fillcolor="#ffffff" stroked="false">
                <v:path arrowok="t"/>
                <v:fill type="solid"/>
              </v:shape>
            </v:group>
            <w10:wrap type="none"/>
          </v:group>
        </w:pict>
      </w:r>
    </w:p>
    <w:p>
      <w:pPr>
        <w:pStyle w:val="Heading4"/>
        <w:spacing w:line="240" w:lineRule="auto" w:before="35"/>
        <w:ind w:left="153" w:right="1024"/>
        <w:jc w:val="left"/>
        <w:rPr>
          <w:b w:val="0"/>
          <w:bCs w:val="0"/>
        </w:rPr>
      </w:pPr>
      <w:bookmarkStart w:name="44、现金流量表补充资料" w:id="317"/>
      <w:bookmarkEnd w:id="317"/>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现金流量表补充资料" w:id="318"/>
      <w:bookmarkEnd w:id="31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13" w:right="0"/>
              <w:jc w:val="left"/>
              <w:rPr>
                <w:rFonts w:ascii="Times New Roman" w:hAnsi="Times New Roman" w:cs="Times New Roman" w:eastAsia="Times New Roman" w:hint="default"/>
                <w:sz w:val="18"/>
                <w:szCs w:val="18"/>
              </w:rPr>
            </w:pPr>
            <w:r>
              <w:rPr>
                <w:rFonts w:ascii="Times New Roman"/>
                <w:sz w:val="18"/>
              </w:rPr>
              <w:t>161,418,111.09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78,875,397.31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3,699,572.93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-251,539.22</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43,643,440.25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29,247,220.22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39,577,784.10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29,437,767.76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1,376,799.84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2,397,112.99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-124,767.15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245,069.64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20,593,736.53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20,468,793.27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-7,209,580.49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-3,648,226.58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81" w:right="0"/>
              <w:jc w:val="left"/>
              <w:rPr>
                <w:rFonts w:ascii="Times New Roman" w:hAnsi="Times New Roman" w:cs="Times New Roman" w:eastAsia="Times New Roman" w:hint="default"/>
                <w:sz w:val="18"/>
                <w:szCs w:val="18"/>
              </w:rPr>
            </w:pPr>
            <w:r>
              <w:rPr>
                <w:rFonts w:ascii="Times New Roman"/>
                <w:sz w:val="18"/>
              </w:rPr>
              <w:t>-3,433,620.26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-721,901.53</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43,276,954.07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-59,687,065.31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35" w:right="0"/>
              <w:jc w:val="left"/>
              <w:rPr>
                <w:rFonts w:ascii="Times New Roman" w:hAnsi="Times New Roman" w:cs="Times New Roman" w:eastAsia="Times New Roman" w:hint="default"/>
                <w:sz w:val="18"/>
                <w:szCs w:val="18"/>
              </w:rPr>
            </w:pPr>
            <w:r>
              <w:rPr>
                <w:rFonts w:ascii="Times New Roman"/>
                <w:sz w:val="18"/>
              </w:rPr>
              <w:t>-70,837,311.26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24,793,368.29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05" w:right="0"/>
              <w:jc w:val="left"/>
              <w:rPr>
                <w:rFonts w:ascii="Times New Roman" w:hAnsi="Times New Roman" w:cs="Times New Roman" w:eastAsia="Times New Roman" w:hint="default"/>
                <w:sz w:val="18"/>
                <w:szCs w:val="18"/>
              </w:rPr>
            </w:pPr>
            <w:r>
              <w:rPr>
                <w:rFonts w:ascii="Times New Roman"/>
                <w:sz w:val="18"/>
              </w:rPr>
              <w:t>140,724,011.73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121,264,415.46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372,705,131.38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242,420,412.30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550,474,000.63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677,579,838.82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677,579,838.82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526,342,128.37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-127,105,838.19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151,237,710.45</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现金和现金等价物的构成" w:id="319"/>
      <w:bookmarkEnd w:id="319"/>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550,474,000.63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677,579,838.82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225,624.60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241,462.53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550,143,629.39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677,338,376.29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104,746.64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550,474,000.63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677,579,838.82</w:t>
            </w:r>
          </w:p>
        </w:tc>
      </w:tr>
    </w:tbl>
    <w:p>
      <w:pPr>
        <w:spacing w:line="240" w:lineRule="auto" w:before="3"/>
        <w:rPr>
          <w:rFonts w:ascii="宋体" w:hAnsi="宋体" w:cs="宋体" w:eastAsia="宋体" w:hint="default"/>
          <w:sz w:val="19"/>
          <w:szCs w:val="19"/>
        </w:rPr>
      </w:pPr>
    </w:p>
    <w:p>
      <w:pPr>
        <w:pStyle w:val="Heading4"/>
        <w:spacing w:line="240" w:lineRule="auto" w:before="35"/>
        <w:ind w:right="1024"/>
        <w:jc w:val="left"/>
        <w:rPr>
          <w:b w:val="0"/>
          <w:bCs w:val="0"/>
        </w:rPr>
      </w:pPr>
      <w:bookmarkStart w:name="45、所有权或使用权受到限制的资产" w:id="320"/>
      <w:bookmarkEnd w:id="320"/>
      <w:r>
        <w:rPr>
          <w:b w:val="0"/>
          <w:bCs w:val="0"/>
        </w:rPr>
      </w:r>
      <w:r>
        <w:rPr>
          <w:rFonts w:ascii="Times New Roman" w:hAnsi="Times New Roman" w:cs="Times New Roman" w:eastAsia="Times New Roman" w:hint="default"/>
        </w:rPr>
        <w:t>45</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20,574,628.12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保函保证金未到期</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78,790,644.45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99,365,272.57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46、外币货币性项目" w:id="321"/>
      <w:bookmarkEnd w:id="321"/>
      <w:r>
        <w:rPr>
          <w:b w:val="0"/>
          <w:bCs w:val="0"/>
        </w:rPr>
      </w:r>
      <w:r>
        <w:rPr>
          <w:rFonts w:ascii="Times New Roman" w:hAnsi="Times New Roman" w:cs="Times New Roman" w:eastAsia="Times New Roman" w:hint="default"/>
        </w:rPr>
        <w:t>46</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外币货币性项目" w:id="322"/>
      <w:bookmarkEnd w:id="32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1,236,399.36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190,316.01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1,235,836.04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563.32</w:t>
            </w:r>
          </w:p>
        </w:tc>
      </w:tr>
    </w:tbl>
    <w:p>
      <w:pPr>
        <w:spacing w:line="240" w:lineRule="auto" w:before="2"/>
        <w:rPr>
          <w:rFonts w:ascii="宋体" w:hAnsi="宋体" w:cs="宋体" w:eastAsia="宋体" w:hint="default"/>
          <w:sz w:val="19"/>
          <w:szCs w:val="19"/>
        </w:rPr>
      </w:pPr>
    </w:p>
    <w:p>
      <w:pPr>
        <w:pStyle w:val="Heading4"/>
        <w:spacing w:line="259" w:lineRule="auto" w:before="35"/>
        <w:ind w:right="1024"/>
        <w:jc w:val="left"/>
        <w:rPr>
          <w:b w:val="0"/>
          <w:bCs w:val="0"/>
        </w:rPr>
      </w:pPr>
      <w:bookmarkStart w:name="（2）境外经营实体说明，包括对于重要的境外经营实体，应披露其境外主要经营地、记账" w:id="323"/>
      <w:bookmarkEnd w:id="32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77" w:firstLine="336"/>
        <w:jc w:val="left"/>
      </w:pPr>
      <w:r>
        <w:rPr/>
        <w:t>中科金财信息技术（香港）有限公司系子公司北京中科金财信息技术有限公司组建的在中国香港成立 的有限公司，注册资本美元</w:t>
      </w:r>
      <w:r>
        <w:rPr>
          <w:rFonts w:ascii="Times New Roman" w:hAnsi="Times New Roman" w:cs="Times New Roman" w:eastAsia="Times New Roman" w:hint="default"/>
        </w:rPr>
        <w:t>81,290.24</w:t>
      </w:r>
      <w:r>
        <w:rPr/>
        <w:t>元。境外主要经营地在中国香港，记账本位币美元。</w:t>
      </w:r>
    </w:p>
    <w:p>
      <w:pPr>
        <w:spacing w:line="240" w:lineRule="auto" w:before="5"/>
        <w:rPr>
          <w:rFonts w:ascii="宋体" w:hAnsi="宋体" w:cs="宋体" w:eastAsia="宋体" w:hint="default"/>
          <w:sz w:val="16"/>
          <w:szCs w:val="16"/>
        </w:rPr>
      </w:pPr>
    </w:p>
    <w:p>
      <w:pPr>
        <w:pStyle w:val="Heading2"/>
        <w:spacing w:line="240" w:lineRule="auto"/>
        <w:ind w:right="1024"/>
        <w:jc w:val="left"/>
        <w:rPr>
          <w:b w:val="0"/>
          <w:bCs w:val="0"/>
        </w:rPr>
      </w:pPr>
      <w:bookmarkStart w:name="八、合并范围的变更" w:id="324"/>
      <w:bookmarkEnd w:id="324"/>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非同一控制下企业合并" w:id="325"/>
      <w:bookmarkEnd w:id="325"/>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1024"/>
        <w:jc w:val="left"/>
        <w:rPr>
          <w:b w:val="0"/>
          <w:bCs w:val="0"/>
        </w:rPr>
      </w:pPr>
      <w:bookmarkStart w:name="（1）其他说明" w:id="326"/>
      <w:bookmarkEnd w:id="326"/>
      <w:r>
        <w:rPr>
          <w:b w:val="0"/>
          <w:bCs w:val="0"/>
        </w:rPr>
      </w:r>
      <w:r>
        <w:rPr/>
        <w:t>（</w:t>
      </w:r>
      <w:r>
        <w:rPr>
          <w:rFonts w:ascii="Times New Roman" w:hAnsi="Times New Roman" w:cs="Times New Roman" w:eastAsia="Times New Roman" w:hint="default"/>
        </w:rPr>
        <w:t>1</w:t>
      </w:r>
      <w:r>
        <w:rPr/>
        <w:t>）其他说明</w:t>
      </w:r>
      <w:r>
        <w:rPr>
          <w:b w:val="0"/>
          <w:bCs w:val="0"/>
        </w:rPr>
      </w:r>
    </w:p>
    <w:p>
      <w:pPr>
        <w:spacing w:line="240" w:lineRule="auto" w:before="7"/>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2、同一控制下企业合并" w:id="327"/>
      <w:bookmarkEnd w:id="32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本期发生的同一控制下企业合并" w:id="328"/>
      <w:bookmarkEnd w:id="328"/>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26"/>
          <w:szCs w:val="26"/>
        </w:rPr>
      </w:pPr>
    </w:p>
    <w:p>
      <w:pPr>
        <w:spacing w:before="0"/>
        <w:ind w:left="334"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1024"/>
        <w:jc w:val="left"/>
        <w:rPr>
          <w:b w:val="0"/>
          <w:bCs w:val="0"/>
        </w:rPr>
      </w:pPr>
      <w:bookmarkStart w:name="3、处置子公司" w:id="329"/>
      <w:bookmarkEnd w:id="329"/>
      <w:r>
        <w:rPr>
          <w:b w:val="0"/>
          <w:bCs w:val="0"/>
        </w:rPr>
      </w:r>
      <w:r>
        <w:rPr>
          <w:rFonts w:ascii="Times New Roman" w:hAnsi="Times New Roman" w:cs="Times New Roman" w:eastAsia="Times New Roman" w:hint="default"/>
        </w:rPr>
        <w:t>3</w:t>
      </w:r>
      <w:r>
        <w:rPr/>
        <w:t>、处置子公司</w:t>
      </w:r>
      <w:r>
        <w:rPr>
          <w:b w:val="0"/>
          <w:bCs w:val="0"/>
        </w:rPr>
      </w:r>
    </w:p>
    <w:p>
      <w:pPr>
        <w:spacing w:line="240" w:lineRule="auto" w:before="8"/>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7"/>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2"/>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692" w:lineRule="exact" w:before="29"/>
        <w:ind w:left="154" w:right="2772" w:firstLine="0"/>
        <w:jc w:val="left"/>
        <w:rPr>
          <w:rFonts w:ascii="宋体" w:hAnsi="宋体" w:cs="宋体" w:eastAsia="宋体" w:hint="default"/>
          <w:sz w:val="21"/>
          <w:szCs w:val="21"/>
        </w:rPr>
      </w:pPr>
      <w:bookmarkStart w:name="4、其他原因的合并范围变动" w:id="330"/>
      <w:bookmarkEnd w:id="33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p>
    <w:p>
      <w:pPr>
        <w:pStyle w:val="Heading3"/>
        <w:spacing w:line="379" w:lineRule="auto"/>
        <w:ind w:right="1024" w:firstLine="421"/>
        <w:jc w:val="left"/>
      </w:pPr>
      <w:r>
        <w:rPr/>
        <w:t>本年与上年比较新增加合并单位</w:t>
      </w:r>
      <w:r>
        <w:rPr>
          <w:rFonts w:ascii="Times New Roman" w:hAnsi="Times New Roman" w:cs="Times New Roman" w:eastAsia="Times New Roman" w:hint="default"/>
        </w:rPr>
        <w:t>4</w:t>
      </w:r>
      <w:r>
        <w:rPr/>
        <w:t>家，原因为公司出资设立全资子公司北京中科金财互联网服务</w:t>
      </w:r>
      <w:r>
        <w:rPr>
          <w:w w:val="99"/>
        </w:rPr>
        <w:t> </w:t>
      </w:r>
      <w:r>
        <w:rPr>
          <w:spacing w:val="-2"/>
        </w:rPr>
        <w:t>有限公司，出资组建中科金财（上海）互联网金融信息服务有限公司、北京国信金泽投资中心（有限</w:t>
      </w:r>
      <w:r>
        <w:rPr>
          <w:spacing w:val="-86"/>
        </w:rPr>
        <w:t> </w:t>
      </w:r>
      <w:r>
        <w:rPr>
          <w:spacing w:val="-86"/>
        </w:rPr>
      </w:r>
      <w:r>
        <w:rPr>
          <w:spacing w:val="-1"/>
          <w:w w:val="95"/>
        </w:rPr>
        <w:t>合伙）等二家控股子公司。子公司北京中科金财投资管理有限公司出资设立控股子公司上海中科金财</w:t>
      </w:r>
      <w:r>
        <w:rPr>
          <w:spacing w:val="49"/>
          <w:w w:val="95"/>
        </w:rPr>
        <w:t> </w:t>
      </w:r>
      <w:r>
        <w:rPr>
          <w:spacing w:val="49"/>
          <w:w w:val="95"/>
        </w:rPr>
      </w:r>
      <w:r>
        <w:rPr>
          <w:spacing w:val="-3"/>
          <w:w w:val="99"/>
        </w:rPr>
        <w:t>资产管理中心（有限合伙）。截至</w:t>
      </w:r>
      <w:r>
        <w:rPr>
          <w:rFonts w:ascii="Times New Roman" w:hAnsi="Times New Roman" w:cs="Times New Roman" w:eastAsia="Times New Roman" w:hint="default"/>
          <w:spacing w:val="-3"/>
          <w:w w:val="99"/>
        </w:rPr>
        <w:t>2015</w:t>
      </w:r>
      <w:r>
        <w:rPr>
          <w:spacing w:val="-3"/>
          <w:w w:val="99"/>
        </w:rPr>
        <w:t>年</w:t>
      </w:r>
      <w:r>
        <w:rPr>
          <w:rFonts w:ascii="Times New Roman" w:hAnsi="Times New Roman" w:cs="Times New Roman" w:eastAsia="Times New Roman" w:hint="default"/>
          <w:spacing w:val="-3"/>
          <w:w w:val="99"/>
        </w:rPr>
        <w:t>12</w:t>
      </w:r>
      <w:r>
        <w:rPr>
          <w:spacing w:val="-3"/>
          <w:w w:val="99"/>
        </w:rPr>
        <w:t>月</w:t>
      </w:r>
      <w:r>
        <w:rPr>
          <w:rFonts w:ascii="Times New Roman" w:hAnsi="Times New Roman" w:cs="Times New Roman" w:eastAsia="Times New Roman" w:hint="default"/>
          <w:spacing w:val="-3"/>
          <w:w w:val="99"/>
        </w:rPr>
        <w:t>31</w:t>
      </w:r>
      <w:r>
        <w:rPr>
          <w:spacing w:val="-3"/>
          <w:w w:val="99"/>
        </w:rPr>
        <w:t>日，上述新投资子公司的投资款尚未支付，公司未正</w:t>
      </w:r>
      <w:r>
        <w:rPr>
          <w:spacing w:val="-76"/>
          <w:w w:val="99"/>
        </w:rPr>
        <w:t> </w:t>
      </w:r>
      <w:r>
        <w:rPr/>
        <w:t>式经营。</w:t>
      </w:r>
    </w:p>
    <w:p>
      <w:pPr>
        <w:spacing w:line="240" w:lineRule="auto" w:before="12"/>
        <w:rPr>
          <w:rFonts w:ascii="宋体" w:hAnsi="宋体" w:cs="宋体" w:eastAsia="宋体" w:hint="default"/>
          <w:sz w:val="19"/>
          <w:szCs w:val="19"/>
        </w:rPr>
      </w:pPr>
    </w:p>
    <w:p>
      <w:pPr>
        <w:pStyle w:val="Heading2"/>
        <w:spacing w:line="240" w:lineRule="auto"/>
        <w:ind w:right="1024"/>
        <w:jc w:val="left"/>
        <w:rPr>
          <w:b w:val="0"/>
          <w:bCs w:val="0"/>
        </w:rPr>
      </w:pPr>
      <w:bookmarkStart w:name="九、在其他主体中的权益" w:id="331"/>
      <w:bookmarkEnd w:id="331"/>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在子公司中的权益" w:id="332"/>
      <w:bookmarkEnd w:id="33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企业集团的构成" w:id="333"/>
      <w:bookmarkEnd w:id="33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天津滨河创新科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技术开发服务、 电子产品销售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北京中科金财电 子商务有限公司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移动支付、移动 电子商务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北京中科金财信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技术开发及服 务，计算机软、 硬件及电子产品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北京中科金财软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技术开发及服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r>
        <w:rPr/>
        <w:pict>
          <v:shape style="position:absolute;margin-left:324.399994pt;margin-top:121.79998pt;width:74.05pt;height:31.25pt;mso-position-horizontal-relative:page;mso-position-vertical-relative:page;z-index:-1212064" type="#_x0000_t202" filled="false" stroked="false">
            <v:textbox inset="0,0,0,0">
              <w:txbxContent>
                <w:p>
                  <w:pPr>
                    <w:spacing w:line="240" w:lineRule="auto" w:before="0"/>
                    <w:rPr>
                      <w:rFonts w:ascii="宋体" w:hAnsi="宋体" w:cs="宋体" w:eastAsia="宋体" w:hint="default"/>
                      <w:sz w:val="18"/>
                      <w:szCs w:val="18"/>
                    </w:rPr>
                  </w:pPr>
                </w:p>
                <w:p>
                  <w:pPr>
                    <w:spacing w:before="127"/>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172.639984pt;width:74.05pt;height:31.2pt;mso-position-horizontal-relative:page;mso-position-vertical-relative:page;z-index:-1212040"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92.343002pt;margin-top:516.639954pt;width:101.1pt;height:15.6pt;mso-position-horizontal-relative:page;mso-position-vertical-relative:page;z-index:-121201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（上海）</w:t>
                  </w:r>
                </w:p>
              </w:txbxContent>
            </v:textbox>
            <w10:wrap type="none"/>
          </v:shape>
        </w:pict>
      </w:r>
      <w:r>
        <w:rPr/>
        <w:pict>
          <v:group style="position:absolute;margin-left:330.579987pt;margin-top:121.79998pt;width:67.9pt;height:31.25pt;mso-position-horizontal-relative:page;mso-position-vertical-relative:page;z-index:-1211992" coordorigin="6612,2436" coordsize="1358,625">
            <v:shape style="position:absolute;left:6612;top:2436;width:1358;height:625" coordorigin="6612,2436" coordsize="1358,625" path="m6612,3060l7969,3060,7969,2436,6612,2436,6612,3060xe" filled="true" fillcolor="#ffffff" stroked="false">
              <v:path arrowok="t"/>
              <v:fill type="solid"/>
            </v:shape>
            <w10:wrap type="none"/>
          </v:group>
        </w:pict>
      </w:r>
      <w:r>
        <w:rPr/>
        <w:pict>
          <v:group style="position:absolute;margin-left:330.579987pt;margin-top:172.639984pt;width:67.9pt;height:31.2pt;mso-position-horizontal-relative:page;mso-position-vertical-relative:page;z-index:-1211968" coordorigin="6612,3453" coordsize="1358,624">
            <v:shape style="position:absolute;left:6612;top:3453;width:1358;height:624" coordorigin="6612,3453" coordsize="1358,624" path="m6612,4077l7969,4077,7969,3453,6612,3453,6612,4077xe" filled="true" fillcolor="#ffffff" stroked="false">
              <v:path arrowok="t"/>
              <v:fill type="solid"/>
            </v:shape>
            <w10:wrap type="none"/>
          </v:group>
        </w:pict>
      </w:r>
      <w:r>
        <w:rPr/>
        <w:pict>
          <v:group style="position:absolute;margin-left:330.579987pt;margin-top:465.339996pt;width:67.9pt;height:35.8pt;mso-position-horizontal-relative:page;mso-position-vertical-relative:page;z-index:-1211944" coordorigin="6612,9307" coordsize="1358,716">
            <v:group style="position:absolute;left:6612;top:9307;width:1358;height:312" coordorigin="6612,9307" coordsize="1358,312">
              <v:shape style="position:absolute;left:6612;top:9307;width:1358;height:312" coordorigin="6612,9307" coordsize="1358,312" path="m6612,9619l7969,9619,7969,9307,6612,9307,6612,9619xe" filled="true" fillcolor="#ffffff" stroked="false">
                <v:path arrowok="t"/>
                <v:fill type="solid"/>
              </v:shape>
            </v:group>
            <v:group style="position:absolute;left:6623;top:9619;width:2;height:393" coordorigin="6623,9619" coordsize="2,393">
              <v:shape style="position:absolute;left:6623;top:9619;width:2;height:393" coordorigin="6623,9619" coordsize="0,393" path="m6623,9619l6623,10011e" filled="false" stroked="true" strokeweight="1.140pt" strokecolor="#ffffff">
                <v:path arrowok="t"/>
              </v:shape>
            </v:group>
            <v:group style="position:absolute;left:6634;top:9619;width:1312;height:393" coordorigin="6634,9619" coordsize="1312,393">
              <v:shape style="position:absolute;left:6634;top:9619;width:1312;height:393" coordorigin="6634,9619" coordsize="1312,393" path="m6634,10011l7946,10011,7946,9619,6634,9619,6634,1001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件技术有限公司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务，计算机软、 硬件及电子产品 销售</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投资管理；资产</w:t>
            </w:r>
          </w:p>
        </w:tc>
        <w:tc>
          <w:tcPr>
            <w:tcW w:w="378" w:type="dxa"/>
            <w:vMerge w:val="restart"/>
            <w:tcBorders>
              <w:top w:val="single" w:sz="4" w:space="0" w:color="000000"/>
              <w:left w:val="single" w:sz="4" w:space="0" w:color="000000"/>
              <w:right w:val="nil" w:sz="6" w:space="0" w:color="auto"/>
            </w:tcBorders>
          </w:tcPr>
          <w:p>
            <w:pPr/>
          </w:p>
        </w:tc>
        <w:tc>
          <w:tcPr>
            <w:tcW w:w="989" w:type="dxa"/>
            <w:tcBorders>
              <w:top w:val="single" w:sz="4" w:space="0" w:color="000000"/>
              <w:left w:val="nil" w:sz="6" w:space="0" w:color="auto"/>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北京中科金财投 资管理有限公司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pacing w:val="-6"/>
                <w:sz w:val="18"/>
                <w:szCs w:val="18"/>
              </w:rPr>
              <w:t>管理；项目投资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技术转让、技术 </w:t>
            </w:r>
            <w:r>
              <w:rPr>
                <w:rFonts w:ascii="宋体" w:hAnsi="宋体" w:cs="宋体" w:eastAsia="宋体" w:hint="default"/>
                <w:spacing w:val="-6"/>
                <w:sz w:val="18"/>
                <w:szCs w:val="18"/>
              </w:rPr>
              <w:t>服务、技术咨询</w:t>
            </w:r>
          </w:p>
        </w:tc>
        <w:tc>
          <w:tcPr>
            <w:tcW w:w="378" w:type="dxa"/>
            <w:vMerge/>
            <w:tcBorders>
              <w:left w:val="single" w:sz="4" w:space="0" w:color="000000"/>
              <w:right w:val="nil" w:sz="6" w:space="0" w:color="auto"/>
            </w:tcBorders>
          </w:tcPr>
          <w:p>
            <w:pPr/>
          </w:p>
        </w:tc>
        <w:tc>
          <w:tcPr>
            <w:tcW w:w="989"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计算机技术培训</w:t>
            </w:r>
          </w:p>
        </w:tc>
        <w:tc>
          <w:tcPr>
            <w:tcW w:w="378" w:type="dxa"/>
            <w:vMerge/>
            <w:tcBorders>
              <w:left w:val="single" w:sz="4" w:space="0" w:color="000000"/>
              <w:bottom w:val="single" w:sz="4" w:space="0" w:color="000000"/>
              <w:right w:val="nil" w:sz="6" w:space="0" w:color="auto"/>
            </w:tcBorders>
          </w:tcPr>
          <w:p>
            <w:pPr/>
          </w:p>
        </w:tc>
        <w:tc>
          <w:tcPr>
            <w:tcW w:w="989" w:type="dxa"/>
            <w:tcBorders>
              <w:top w:val="nil" w:sz="6" w:space="0" w:color="auto"/>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北京中科金财互 联网服务有限公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互联网信息服 务、技术开发、 技术转让、技术 咨询等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天津滨河顺通科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技术开发服务、 电子产品销售</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天津壬辰软件开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技术开发服务、 电子产品销售</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天津滨河创新电 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技术开发服务、 电子产品销售</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中科金财信息技</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术（香港）有限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电脑产品贸易</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353"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大连鼎运企业管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企业管理及咨询 服务</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上海中科金财资 产管理中心（有 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pacing w:val="-6"/>
                <w:sz w:val="18"/>
                <w:szCs w:val="18"/>
              </w:rPr>
              <w:t>资产管理、投资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咨询</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中科金财</w:t>
            </w: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金融信息服务、</w:t>
            </w:r>
          </w:p>
        </w:tc>
        <w:tc>
          <w:tcPr>
            <w:tcW w:w="1367" w:type="dxa"/>
            <w:gridSpan w:val="2"/>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互联网金融信息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金融产品相关业</w:t>
            </w:r>
          </w:p>
        </w:tc>
        <w:tc>
          <w:tcPr>
            <w:tcW w:w="1367"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79" w:right="0"/>
              <w:jc w:val="left"/>
              <w:rPr>
                <w:rFonts w:ascii="Times New Roman" w:hAnsi="Times New Roman" w:cs="Times New Roman" w:eastAsia="Times New Roman" w:hint="default"/>
                <w:sz w:val="18"/>
                <w:szCs w:val="18"/>
              </w:rPr>
            </w:pPr>
            <w:r>
              <w:rPr>
                <w:rFonts w:ascii="Times New Roman"/>
                <w:sz w:val="18"/>
              </w:rPr>
              <w:t>80.00%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3"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服务有限公司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务等</w:t>
            </w:r>
          </w:p>
        </w:tc>
        <w:tc>
          <w:tcPr>
            <w:tcW w:w="1367" w:type="dxa"/>
            <w:gridSpan w:val="2"/>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北京国信金泽投</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gridSpan w:val="2"/>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资中心（有限合</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资产管理</w:t>
            </w:r>
          </w:p>
        </w:tc>
        <w:tc>
          <w:tcPr>
            <w:tcW w:w="1367"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79" w:right="0"/>
              <w:jc w:val="left"/>
              <w:rPr>
                <w:rFonts w:ascii="Times New Roman" w:hAnsi="Times New Roman" w:cs="Times New Roman" w:eastAsia="Times New Roman" w:hint="default"/>
                <w:sz w:val="18"/>
                <w:szCs w:val="18"/>
              </w:rPr>
            </w:pPr>
            <w:r>
              <w:rPr>
                <w:rFonts w:ascii="Times New Roman"/>
                <w:sz w:val="18"/>
              </w:rPr>
              <w:t>64.35%</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353" w:hRule="exact"/>
        </w:trPr>
        <w:tc>
          <w:tcPr>
            <w:tcW w:w="13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gridSpan w:val="2"/>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1024"/>
        <w:jc w:val="left"/>
        <w:rPr>
          <w:b w:val="0"/>
          <w:bCs w:val="0"/>
        </w:rPr>
      </w:pPr>
      <w:bookmarkStart w:name="（2）重要的非全资子公司" w:id="334"/>
      <w:bookmarkEnd w:id="33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北京中科金财电子商务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136,964.34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-129,501.48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北京中科金财信息技术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971,112.53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4,906,402.71</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大连鼎运企业管理有限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99,531.90</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1,107,608.77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4,876,433.13</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3）重要非全资子公司的主要财务信息" w:id="335"/>
      <w:bookmarkEnd w:id="33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北京中 科金财 电子商 务有限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74,790,3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25.69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30,817,2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52.76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105,607,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578.45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863,818.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863,818.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64,103,1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38,796,3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68.82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102,899,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499.89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2,721,21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7.91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2,721,21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7.91</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北京中 科金财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19,194,7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94.93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76,613.6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19,271,4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2,197,18</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6.06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2,197,18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15,931,5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25,246.0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15,956,7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2,119,57</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1.23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2,119,57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1.23</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北京中科金 财电子商务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27,753,095.2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4,565,478.05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4,565,478.05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13,998,895.8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21,739,812.4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2,026,845.83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2,026,845.83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16,440,159.6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北京中科金 财信息技术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14,714,639.8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3,157,482.09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3,237,041.76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1,265,648.50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13,533,621.7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2,343,000.38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2,342,709.21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-2,980,856.17</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4）使用企业集团资产和清偿企业集团债务的重大限制" w:id="336"/>
      <w:bookmarkEnd w:id="33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1024"/>
        <w:jc w:val="left"/>
        <w:rPr>
          <w:b w:val="0"/>
          <w:bCs w:val="0"/>
        </w:rPr>
      </w:pPr>
      <w:bookmarkStart w:name="（5）向纳入合并财务报表范围的结构化主体提供的财务支持或其他支持" w:id="337"/>
      <w:bookmarkEnd w:id="33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2、在子公司的所有者权益份额发生变化且仍控制子公司的交易" w:id="338"/>
      <w:bookmarkEnd w:id="33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在子公司所有者权益份额发生变化的情况说明" w:id="339"/>
      <w:bookmarkEnd w:id="33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1024"/>
        <w:jc w:val="left"/>
        <w:rPr>
          <w:b w:val="0"/>
          <w:bCs w:val="0"/>
        </w:rPr>
      </w:pPr>
      <w:bookmarkStart w:name="3、在合营安排或联营企业中的权益" w:id="340"/>
      <w:bookmarkEnd w:id="34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重要的合营企业或联营企业" w:id="341"/>
      <w:bookmarkEnd w:id="34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中科环嘉电子商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辽宁省大连市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网上贸易代理等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北京中科金财电 子产品有限公司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北京海淀区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北京海淀区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安粮期货有限公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安徽省合肥市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安徽省合肥市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商品、金融期货 经纪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大连金融资产交 易所有限公司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辽宁省大连市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辽宁省大连市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金融企业国有资 产交易服务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both"/>
              <w:rPr>
                <w:rFonts w:ascii="宋体" w:hAnsi="宋体" w:cs="宋体" w:eastAsia="宋体" w:hint="default"/>
                <w:sz w:val="18"/>
                <w:szCs w:val="18"/>
              </w:rPr>
            </w:pPr>
            <w:r>
              <w:rPr>
                <w:rFonts w:ascii="宋体" w:hAnsi="宋体" w:cs="宋体" w:eastAsia="宋体" w:hint="default"/>
                <w:sz w:val="18"/>
                <w:szCs w:val="18"/>
              </w:rPr>
              <w:t>金网络（北京） 电子商务有限公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金融信息服务、 资产管理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深圳中金财富互 联网金融服务有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深圳市前海深港 合作区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投资管理；资产 管理；项目投资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北京中关村互联 网金融信息服务 中心有限公司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金融信息服务等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嘉兴中融兴华资 产管理有限公司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浙江省嘉兴市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浙江省嘉兴市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资产管理、项目 投资等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4"/>
        <w:spacing w:line="240" w:lineRule="auto" w:before="35"/>
        <w:ind w:right="1024"/>
        <w:jc w:val="left"/>
        <w:rPr>
          <w:b w:val="0"/>
          <w:bCs w:val="0"/>
        </w:rPr>
      </w:pPr>
      <w:bookmarkStart w:name="（2）重要合营企业的主要财务信息" w:id="342"/>
      <w:bookmarkEnd w:id="34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6"/>
          <w:szCs w:val="26"/>
        </w:rPr>
      </w:pPr>
    </w:p>
    <w:p>
      <w:pPr>
        <w:spacing w:before="0"/>
        <w:ind w:left="154"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1024"/>
        <w:jc w:val="left"/>
        <w:rPr>
          <w:b w:val="0"/>
          <w:bCs w:val="0"/>
        </w:rPr>
      </w:pPr>
      <w:bookmarkStart w:name="（3）重要联营企业的主要财务信息" w:id="343"/>
      <w:bookmarkEnd w:id="34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4782"/>
        <w:gridCol w:w="3177"/>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安粮期货有限公司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341" w:right="70" w:hanging="270"/>
              <w:jc w:val="left"/>
              <w:rPr>
                <w:rFonts w:ascii="宋体" w:hAnsi="宋体" w:cs="宋体" w:eastAsia="宋体" w:hint="default"/>
                <w:sz w:val="18"/>
                <w:szCs w:val="18"/>
              </w:rPr>
            </w:pPr>
            <w:r>
              <w:rPr>
                <w:rFonts w:ascii="宋体" w:hAnsi="宋体" w:cs="宋体" w:eastAsia="宋体" w:hint="default"/>
                <w:sz w:val="18"/>
                <w:szCs w:val="18"/>
              </w:rPr>
              <w:t>大连金融资产交易 所有限公司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51" w:right="71" w:hanging="180"/>
              <w:jc w:val="left"/>
              <w:rPr>
                <w:rFonts w:ascii="宋体" w:hAnsi="宋体" w:cs="宋体" w:eastAsia="宋体" w:hint="default"/>
                <w:sz w:val="18"/>
                <w:szCs w:val="18"/>
              </w:rPr>
            </w:pPr>
            <w:r>
              <w:rPr>
                <w:rFonts w:ascii="宋体" w:hAnsi="宋体" w:cs="宋体" w:eastAsia="宋体" w:hint="default"/>
                <w:sz w:val="18"/>
                <w:szCs w:val="18"/>
              </w:rPr>
              <w:t>北京中科金财电子 产品有限公司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433" w:right="70" w:hanging="360"/>
              <w:jc w:val="left"/>
              <w:rPr>
                <w:rFonts w:ascii="宋体" w:hAnsi="宋体" w:cs="宋体" w:eastAsia="宋体" w:hint="default"/>
                <w:sz w:val="18"/>
                <w:szCs w:val="18"/>
              </w:rPr>
            </w:pPr>
            <w:r>
              <w:rPr>
                <w:rFonts w:ascii="宋体" w:hAnsi="宋体" w:cs="宋体" w:eastAsia="宋体" w:hint="default"/>
                <w:sz w:val="18"/>
                <w:szCs w:val="18"/>
              </w:rPr>
              <w:t>中科环嘉电子商务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51" w:right="71" w:hanging="180"/>
              <w:jc w:val="left"/>
              <w:rPr>
                <w:rFonts w:ascii="宋体" w:hAnsi="宋体" w:cs="宋体" w:eastAsia="宋体" w:hint="default"/>
                <w:sz w:val="18"/>
                <w:szCs w:val="18"/>
              </w:rPr>
            </w:pPr>
            <w:r>
              <w:rPr>
                <w:rFonts w:ascii="宋体" w:hAnsi="宋体" w:cs="宋体" w:eastAsia="宋体" w:hint="default"/>
                <w:sz w:val="18"/>
                <w:szCs w:val="18"/>
              </w:rPr>
              <w:t>北京中科金财电子 产品有限公司</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1,427,885,629.11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97,780,891.63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59,438,738.52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23,885,530.91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45,901,959.06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108,810,497.57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17,735,304.29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68,557.36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6,056,521.47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64,736.32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1,536,696,126.68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115,516,195.92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59,507,295.88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29,942,052.38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45,966,695.38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926,227,846.16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6,601,543.76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13,075,827.93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1,328,217.59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244,796.39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926,472,642.55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6,601,543.76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13,075,827.93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1,328,217.59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归属于母公司股东 权益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610,223,484.13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108,914,652.16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46,431,467.95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29,942,052.38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44,638,477.79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按持股比例计算的 净资产份额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256,717,104.58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22,397,963.88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22,735,273.44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6,018,352.53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21,872,854.12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w:t>
            </w:r>
            <w:r>
              <w:rPr>
                <w:rFonts w:ascii="宋体" w:hAnsi="宋体" w:cs="宋体" w:eastAsia="宋体" w:hint="default"/>
                <w:w w:val="99"/>
                <w:sz w:val="18"/>
                <w:szCs w:val="18"/>
              </w:rPr>
              <w:t> </w:t>
            </w:r>
            <w:r>
              <w:rPr>
                <w:rFonts w:ascii="宋体" w:hAnsi="宋体" w:cs="宋体" w:eastAsia="宋体" w:hint="default"/>
                <w:sz w:val="18"/>
                <w:szCs w:val="18"/>
              </w:rPr>
              <w:t>利润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-154,094.98</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-158,457.86</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-1,050,642.14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对联营企业权益投 资的账面价值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256,563,009.60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22,239,506.02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22,735,273.44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4,967,710.39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21,872,854.12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92,133,821.37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6,098,035.82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406,182,373.08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299,174,242.05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13,376,621.41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-13,761,589.05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5,890,339.52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-57,947.62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4,552,610.40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13,376,621.41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-13,761,589.05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5,890,339.52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-57,947.62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4,552,610.40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本年度收到的来自 联营企业的股利</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2,023,847.04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4）不重要的合营企业和联营企业的汇总财务信息" w:id="344"/>
      <w:bookmarkEnd w:id="34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38,233,978.36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564,876.03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-11,156,503.54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-26,968.24</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-11,156,503.54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-26,968.24</w:t>
            </w:r>
            <w:r>
              <w:rPr>
                <w:rFonts w:ascii="Times New Roman"/>
                <w:sz w:val="18"/>
              </w:rPr>
            </w:r>
          </w:p>
        </w:tc>
      </w:tr>
    </w:tbl>
    <w:p>
      <w:pPr>
        <w:spacing w:line="240" w:lineRule="auto" w:before="4"/>
        <w:rPr>
          <w:rFonts w:ascii="宋体" w:hAnsi="宋体" w:cs="宋体" w:eastAsia="宋体" w:hint="default"/>
          <w:sz w:val="5"/>
          <w:szCs w:val="5"/>
        </w:rPr>
      </w:pPr>
    </w:p>
    <w:p>
      <w:pPr>
        <w:pStyle w:val="Heading4"/>
        <w:spacing w:line="240" w:lineRule="auto" w:before="35"/>
        <w:ind w:right="1024"/>
        <w:jc w:val="left"/>
        <w:rPr>
          <w:b w:val="0"/>
          <w:bCs w:val="0"/>
        </w:rPr>
      </w:pPr>
      <w:r>
        <w:rPr/>
        <w:t>其他说明</w:t>
      </w:r>
      <w:r>
        <w:rPr>
          <w:b w:val="0"/>
          <w:bCs w:val="0"/>
        </w:rPr>
      </w:r>
    </w:p>
    <w:p>
      <w:pPr>
        <w:spacing w:line="240" w:lineRule="auto" w:before="10"/>
        <w:rPr>
          <w:rFonts w:ascii="宋体" w:hAnsi="宋体" w:cs="宋体" w:eastAsia="宋体" w:hint="default"/>
          <w:b/>
          <w:bCs/>
          <w:sz w:val="17"/>
          <w:szCs w:val="17"/>
        </w:rPr>
      </w:pPr>
    </w:p>
    <w:p>
      <w:pPr>
        <w:pStyle w:val="BodyText"/>
        <w:spacing w:line="408" w:lineRule="auto" w:before="0"/>
        <w:ind w:left="154" w:right="1024" w:firstLine="420"/>
        <w:jc w:val="left"/>
      </w:pPr>
      <w:r>
        <w:rPr>
          <w:rFonts w:ascii="宋体" w:hAnsi="宋体" w:cs="宋体" w:eastAsia="宋体" w:hint="default"/>
        </w:rPr>
        <w:t>2014</w:t>
      </w:r>
      <w:r>
        <w:rPr/>
        <w:t>年公司持有中金财富</w:t>
      </w:r>
      <w:r>
        <w:rPr>
          <w:rFonts w:ascii="宋体" w:hAnsi="宋体" w:cs="宋体" w:eastAsia="宋体" w:hint="default"/>
        </w:rPr>
        <w:t>20%</w:t>
      </w:r>
      <w:r>
        <w:rPr/>
        <w:t>以下表决权，但对中金财富有重大影响，并且不构成控制。本年公司对 中金财富进行增资，增资后公司最终持股比例为</w:t>
      </w:r>
      <w:r>
        <w:rPr>
          <w:rFonts w:ascii="宋体" w:hAnsi="宋体" w:cs="宋体" w:eastAsia="宋体" w:hint="default"/>
        </w:rPr>
        <w:t>49%</w:t>
      </w:r>
      <w:r>
        <w:rPr/>
        <w:t>。</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1"/>
        <w:jc w:val="both"/>
      </w:pPr>
      <w:r>
        <w:rPr/>
        <w:t>本报告期，公司持有北京中关村互联网金融信息服务中心有限公司</w:t>
      </w:r>
      <w:r>
        <w:rPr>
          <w:rFonts w:ascii="宋体" w:hAnsi="宋体" w:cs="宋体" w:eastAsia="宋体" w:hint="default"/>
        </w:rPr>
        <w:t>20%</w:t>
      </w:r>
      <w:r>
        <w:rPr/>
        <w:t>以下表决权，在董事会有一名 </w:t>
      </w:r>
      <w:r>
        <w:rPr>
          <w:spacing w:val="-1"/>
        </w:rPr>
        <w:t>董事，根据章程规定对融资、投资事项须经全体董事一致通过方为有效，因此公司对北京中关村互联网金</w:t>
      </w:r>
      <w:r>
        <w:rPr>
          <w:spacing w:val="-83"/>
        </w:rPr>
        <w:t> </w:t>
      </w:r>
      <w:r>
        <w:rPr>
          <w:spacing w:val="-83"/>
        </w:rPr>
      </w:r>
      <w:r>
        <w:rPr/>
        <w:t>融信息服务中心有限公司有重大影响，并且不构成控制。</w:t>
      </w:r>
    </w:p>
    <w:p>
      <w:pPr>
        <w:spacing w:line="240" w:lineRule="auto" w:before="8"/>
        <w:rPr>
          <w:rFonts w:ascii="宋体" w:hAnsi="宋体" w:cs="宋体" w:eastAsia="宋体" w:hint="default"/>
          <w:sz w:val="20"/>
          <w:szCs w:val="20"/>
        </w:rPr>
      </w:pPr>
    </w:p>
    <w:p>
      <w:pPr>
        <w:pStyle w:val="Heading4"/>
        <w:spacing w:line="240" w:lineRule="auto"/>
        <w:ind w:left="153" w:right="0"/>
        <w:jc w:val="both"/>
        <w:rPr>
          <w:b w:val="0"/>
          <w:bCs w:val="0"/>
        </w:rPr>
      </w:pPr>
      <w:bookmarkStart w:name="（5）合营企业或联营企业向本公司转移资金的能力存在重大限制的说明" w:id="345"/>
      <w:bookmarkEnd w:id="34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54" w:right="0"/>
        <w:jc w:val="both"/>
        <w:rPr>
          <w:b w:val="0"/>
          <w:bCs w:val="0"/>
        </w:rPr>
      </w:pPr>
      <w:bookmarkStart w:name="十、与金融工具相关的风险" w:id="346"/>
      <w:bookmarkEnd w:id="346"/>
      <w:r>
        <w:rPr>
          <w:b w:val="0"/>
          <w:bCs w:val="0"/>
        </w:rPr>
      </w:r>
      <w:r>
        <w:rPr/>
        <w:t>十、与金融工具相关的风险</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1" w:firstLine="336"/>
        <w:jc w:val="both"/>
      </w:pPr>
      <w:r>
        <w:rPr/>
        <w:t>本公司的主要金融工具包括应收款项、应付款项、可供出售金融资产等，各项金融工具的详细情况说 </w:t>
      </w:r>
      <w:r>
        <w:rPr>
          <w:spacing w:val="-1"/>
        </w:rPr>
        <w:t>明见本附注五。与这些金融工具有关的风险，以及本公司为降低这些风险所采取的的风险管理政策如下所</w:t>
      </w:r>
      <w:r>
        <w:rPr>
          <w:spacing w:val="-81"/>
        </w:rPr>
        <w:t> </w:t>
      </w:r>
      <w:r>
        <w:rPr>
          <w:spacing w:val="-81"/>
        </w:rPr>
      </w:r>
      <w:r>
        <w:rPr/>
        <w:t>述。本公司管理层对这些风险敞口进行管理和监控以确保将上述风险控制在限定的范围之内。</w:t>
      </w:r>
    </w:p>
    <w:p>
      <w:pPr>
        <w:pStyle w:val="BodyText"/>
        <w:spacing w:line="408" w:lineRule="auto"/>
        <w:ind w:left="575" w:right="1024"/>
        <w:jc w:val="left"/>
      </w:pPr>
      <w:r>
        <w:rPr/>
        <w:t>各类风险的管理目标和政策</w:t>
      </w:r>
      <w:r>
        <w:rPr>
          <w:rFonts w:ascii="宋体" w:hAnsi="宋体" w:cs="宋体" w:eastAsia="宋体" w:hint="default"/>
        </w:rPr>
        <w:t>: </w:t>
      </w:r>
      <w:r>
        <w:rPr>
          <w:spacing w:val="-1"/>
        </w:rPr>
        <w:t>本公司从事风险管理的目标是在风险和收益之间取得适当的平衡，将风险对本公司经营业绩的负面影</w:t>
      </w:r>
    </w:p>
    <w:p>
      <w:pPr>
        <w:pStyle w:val="BodyText"/>
        <w:spacing w:line="408" w:lineRule="auto"/>
        <w:ind w:right="1131"/>
        <w:jc w:val="both"/>
      </w:pPr>
      <w:r>
        <w:rPr>
          <w:spacing w:val="-1"/>
        </w:rPr>
        <w:t>响减低到最低水平，使股东及其他权益投资者的利益最大化。基于该风险管理目标，本公司风险管理的基</w:t>
      </w:r>
      <w:r>
        <w:rPr>
          <w:spacing w:val="-83"/>
        </w:rPr>
        <w:t> </w:t>
      </w:r>
      <w:r>
        <w:rPr>
          <w:spacing w:val="-83"/>
        </w:rPr>
      </w:r>
      <w:r>
        <w:rPr>
          <w:spacing w:val="-1"/>
        </w:rPr>
        <w:t>本政策是确定和分析本公司所面临的各种风险，建立适当的风险承受底线并进行风险管理，并及时可靠地</w:t>
      </w:r>
      <w:r>
        <w:rPr>
          <w:spacing w:val="-81"/>
        </w:rPr>
        <w:t> </w:t>
      </w:r>
      <w:r>
        <w:rPr>
          <w:spacing w:val="-81"/>
        </w:rPr>
      </w:r>
      <w:r>
        <w:rPr/>
        <w:t>对各种风险进行监督，将风险控制在限定的范围之内。</w:t>
      </w:r>
    </w:p>
    <w:p>
      <w:pPr>
        <w:pStyle w:val="BodyText"/>
        <w:spacing w:line="408" w:lineRule="auto"/>
        <w:ind w:left="576" w:right="4242" w:hanging="2"/>
        <w:jc w:val="left"/>
        <w:rPr>
          <w:rFonts w:ascii="宋体" w:hAnsi="宋体" w:cs="宋体" w:eastAsia="宋体" w:hint="default"/>
        </w:rPr>
      </w:pPr>
      <w:r>
        <w:rPr/>
        <w:t>本公司金融工具的风险主要是信用风险、市场风险、流动性风险。 </w:t>
      </w:r>
      <w:r>
        <w:rPr>
          <w:rFonts w:ascii="宋体" w:hAnsi="宋体" w:cs="宋体" w:eastAsia="宋体" w:hint="default"/>
          <w:b/>
          <w:bCs/>
        </w:rPr>
        <w:t>(</w:t>
      </w:r>
      <w:r>
        <w:rPr>
          <w:rFonts w:ascii="宋体" w:hAnsi="宋体" w:cs="宋体" w:eastAsia="宋体" w:hint="default"/>
          <w:b/>
          <w:bCs/>
        </w:rPr>
        <w:t>一</w:t>
      </w:r>
      <w:r>
        <w:rPr>
          <w:rFonts w:ascii="宋体" w:hAnsi="宋体" w:cs="宋体" w:eastAsia="宋体" w:hint="default"/>
          <w:b/>
          <w:bCs/>
        </w:rPr>
        <w:t>)</w:t>
      </w:r>
      <w:r>
        <w:rPr>
          <w:rFonts w:ascii="宋体" w:hAnsi="宋体" w:cs="宋体" w:eastAsia="宋体" w:hint="default"/>
          <w:b/>
          <w:bCs/>
        </w:rPr>
        <w:t>信用风险</w:t>
      </w:r>
      <w:r>
        <w:rPr>
          <w:rFonts w:ascii="宋体" w:hAnsi="宋体" w:cs="宋体" w:eastAsia="宋体" w:hint="default"/>
        </w:rPr>
      </w:r>
    </w:p>
    <w:p>
      <w:pPr>
        <w:pStyle w:val="BodyText"/>
        <w:spacing w:line="408" w:lineRule="auto"/>
        <w:ind w:left="154" w:right="1131" w:firstLine="421"/>
        <w:jc w:val="both"/>
      </w:pPr>
      <w:r>
        <w:rPr>
          <w:spacing w:val="-1"/>
        </w:rPr>
        <w:t>信用风险是指金融工具的一方不履行义务，造成另一方发生财务损失的风险。本公司主要面临赊销导</w:t>
      </w:r>
      <w:r>
        <w:rPr/>
        <w:t> </w:t>
      </w:r>
      <w:r>
        <w:rPr>
          <w:spacing w:val="-1"/>
        </w:rPr>
        <w:t>致的客户信用风险。在签订新合同之前，本公司会对新客户的信用风险进行评估，包括外部信用评级和在</w:t>
      </w:r>
      <w:r>
        <w:rPr>
          <w:spacing w:val="-83"/>
        </w:rPr>
        <w:t> </w:t>
      </w:r>
      <w:r>
        <w:rPr>
          <w:spacing w:val="-83"/>
        </w:rPr>
      </w:r>
      <w:r>
        <w:rPr>
          <w:spacing w:val="-1"/>
        </w:rPr>
        <w:t>某些情况下的银行资信证明（当此信息可获取时）。公司对每一客户均设置了赊销限额，该限额为无需获</w:t>
      </w:r>
      <w:r>
        <w:rPr>
          <w:spacing w:val="-86"/>
        </w:rPr>
        <w:t> </w:t>
      </w:r>
      <w:r>
        <w:rPr>
          <w:spacing w:val="-86"/>
        </w:rPr>
      </w:r>
      <w:r>
        <w:rPr/>
        <w:t>得额外批准的最大额度。</w:t>
      </w:r>
    </w:p>
    <w:p>
      <w:pPr>
        <w:pStyle w:val="BodyText"/>
        <w:spacing w:line="408" w:lineRule="auto"/>
        <w:ind w:right="1129" w:firstLine="421"/>
        <w:jc w:val="both"/>
      </w:pPr>
      <w:r>
        <w:rPr>
          <w:spacing w:val="3"/>
        </w:rPr>
        <w:t>公司通过对已有客户信用评级的季度监控以及应收账款账龄分析的月度审核来确保公司的整体信用</w:t>
      </w:r>
      <w:r>
        <w:rPr/>
        <w:t> </w:t>
      </w:r>
      <w:r>
        <w:rPr>
          <w:spacing w:val="-1"/>
        </w:rPr>
        <w:t>风险在可控的范围内。在监控客户的信用风险时，按照客户的信用特征对其分组。被评为“高风险”级别</w:t>
      </w:r>
      <w:r>
        <w:rPr>
          <w:spacing w:val="-83"/>
        </w:rPr>
        <w:t> </w:t>
      </w:r>
      <w:r>
        <w:rPr>
          <w:spacing w:val="-83"/>
        </w:rPr>
      </w:r>
      <w:r>
        <w:rPr>
          <w:spacing w:val="-1"/>
        </w:rPr>
        <w:t>的客户会放在受限制客户名单里，并且只有在额外批准的前提下，公司才可在未来期间内对其赊销，否则</w:t>
      </w:r>
      <w:r>
        <w:rPr>
          <w:spacing w:val="-83"/>
        </w:rPr>
        <w:t> </w:t>
      </w:r>
      <w:r>
        <w:rPr>
          <w:spacing w:val="-83"/>
        </w:rPr>
      </w:r>
      <w:r>
        <w:rPr/>
        <w:t>必须要求其提前支付相应款项。</w:t>
      </w:r>
    </w:p>
    <w:p>
      <w:pPr>
        <w:pStyle w:val="BodyText"/>
        <w:spacing w:line="408" w:lineRule="auto"/>
        <w:ind w:left="575" w:right="1091" w:firstLine="1"/>
        <w:jc w:val="left"/>
      </w:pPr>
      <w:r>
        <w:rPr>
          <w:rFonts w:ascii="宋体" w:hAnsi="宋体" w:cs="宋体" w:eastAsia="宋体" w:hint="default"/>
          <w:b/>
          <w:bCs/>
        </w:rPr>
        <w:t>(</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rPr>
        <w:t>市场风险</w:t>
      </w:r>
      <w:r>
        <w:rPr>
          <w:rFonts w:ascii="宋体" w:hAnsi="宋体" w:cs="宋体" w:eastAsia="宋体" w:hint="default"/>
          <w:b/>
          <w:bCs/>
          <w:w w:val="99"/>
        </w:rPr>
        <w:t> </w:t>
      </w:r>
      <w:r>
        <w:rPr/>
        <w:t>金融工具的市场风险，是指金融工具的公允价值或未来现金流量因市场价格变动而发生波动的风险，</w:t>
      </w:r>
    </w:p>
    <w:p>
      <w:pPr>
        <w:pStyle w:val="BodyText"/>
        <w:spacing w:line="240" w:lineRule="auto"/>
        <w:ind w:left="154" w:right="0"/>
        <w:jc w:val="both"/>
      </w:pPr>
      <w:r>
        <w:rPr/>
        <w:t>包括汇率风险、利率风险和其他价格风险。</w:t>
      </w:r>
    </w:p>
    <w:p>
      <w:pPr>
        <w:spacing w:line="240" w:lineRule="auto" w:before="10"/>
        <w:rPr>
          <w:rFonts w:ascii="宋体" w:hAnsi="宋体" w:cs="宋体" w:eastAsia="宋体" w:hint="default"/>
          <w:sz w:val="14"/>
          <w:szCs w:val="14"/>
        </w:rPr>
      </w:pPr>
    </w:p>
    <w:p>
      <w:pPr>
        <w:pStyle w:val="BodyText"/>
        <w:spacing w:line="240" w:lineRule="auto" w:before="0"/>
        <w:ind w:left="575" w:right="1024"/>
        <w:jc w:val="left"/>
      </w:pPr>
      <w:r>
        <w:rPr/>
        <w:t>（</w:t>
      </w:r>
      <w:r>
        <w:rPr>
          <w:rFonts w:ascii="宋体" w:hAnsi="宋体" w:cs="宋体" w:eastAsia="宋体" w:hint="default"/>
        </w:rPr>
        <w:t>1</w:t>
      </w:r>
      <w:r>
        <w:rPr/>
        <w:t>）利率风险</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5" w:right="2141"/>
        <w:jc w:val="left"/>
      </w:pPr>
      <w:r>
        <w:rPr/>
        <w:t>利率风险，是指金融工具的公允价值或未来现金流量因市场利率变动而发生波动的风险。 本公司</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3</w:t>
      </w:r>
      <w:r>
        <w:rPr/>
        <w:t>日发行的</w:t>
      </w:r>
      <w:r>
        <w:rPr>
          <w:rFonts w:ascii="宋体" w:hAnsi="宋体" w:cs="宋体" w:eastAsia="宋体" w:hint="default"/>
        </w:rPr>
        <w:t>2012</w:t>
      </w:r>
      <w:r>
        <w:rPr/>
        <w:t>中财债，按固定利率支付，无利率风险。</w:t>
      </w:r>
    </w:p>
    <w:p>
      <w:pPr>
        <w:pStyle w:val="BodyText"/>
        <w:spacing w:line="408" w:lineRule="auto"/>
        <w:ind w:left="575" w:right="2141"/>
        <w:jc w:val="left"/>
      </w:pPr>
      <w:r>
        <w:rPr/>
        <w:t>（</w:t>
      </w:r>
      <w:r>
        <w:rPr>
          <w:rFonts w:ascii="宋体" w:hAnsi="宋体" w:cs="宋体" w:eastAsia="宋体" w:hint="default"/>
        </w:rPr>
        <w:t>2</w:t>
      </w:r>
      <w:r>
        <w:rPr/>
        <w:t>）汇率风险 汇率风险，是指金融工具的公允价值或未来现金流量因外汇汇率变动而发生波动的风险。 本公司本期以美元计价的金融资产和金融负债金额较小，无汇率风险。</w:t>
      </w:r>
    </w:p>
    <w:p>
      <w:pPr>
        <w:pStyle w:val="BodyText"/>
        <w:spacing w:line="408" w:lineRule="auto"/>
        <w:ind w:left="575" w:right="8652" w:hanging="106"/>
        <w:jc w:val="left"/>
      </w:pPr>
      <w:r>
        <w:rPr/>
        <w:t>（</w:t>
      </w:r>
      <w:r>
        <w:rPr>
          <w:rFonts w:ascii="宋体" w:hAnsi="宋体" w:cs="宋体" w:eastAsia="宋体" w:hint="default"/>
        </w:rPr>
        <w:t>3</w:t>
      </w:r>
      <w:r>
        <w:rPr/>
        <w:t>）其他价格风险 无</w:t>
      </w:r>
    </w:p>
    <w:p>
      <w:pPr>
        <w:pStyle w:val="BodyText"/>
        <w:spacing w:line="408" w:lineRule="auto"/>
        <w:ind w:left="575" w:right="1024" w:hanging="105"/>
        <w:jc w:val="left"/>
      </w:pPr>
      <w:r>
        <w:rPr>
          <w:rFonts w:ascii="宋体" w:hAnsi="宋体" w:cs="宋体" w:eastAsia="宋体" w:hint="default"/>
          <w:b/>
          <w:bCs/>
        </w:rPr>
        <w:t>(</w:t>
      </w:r>
      <w:r>
        <w:rPr>
          <w:rFonts w:ascii="宋体" w:hAnsi="宋体" w:cs="宋体" w:eastAsia="宋体" w:hint="default"/>
          <w:b/>
          <w:bCs/>
        </w:rPr>
        <w:t>三</w:t>
      </w:r>
      <w:r>
        <w:rPr>
          <w:rFonts w:ascii="宋体" w:hAnsi="宋体" w:cs="宋体" w:eastAsia="宋体" w:hint="default"/>
          <w:b/>
          <w:bCs/>
        </w:rPr>
        <w:t>)</w:t>
      </w:r>
      <w:r>
        <w:rPr>
          <w:rFonts w:ascii="宋体" w:hAnsi="宋体" w:cs="宋体" w:eastAsia="宋体" w:hint="default"/>
          <w:b/>
          <w:bCs/>
        </w:rPr>
        <w:t>流动性风险</w:t>
      </w:r>
      <w:r>
        <w:rPr>
          <w:rFonts w:ascii="宋体" w:hAnsi="宋体" w:cs="宋体" w:eastAsia="宋体" w:hint="default"/>
          <w:b/>
          <w:bCs/>
          <w:w w:val="99"/>
        </w:rPr>
        <w:t> </w:t>
      </w:r>
      <w:r>
        <w:rPr>
          <w:spacing w:val="-1"/>
        </w:rPr>
        <w:t>流动风险，是指企业在履行以交付现金或其他金融资产的方式结算的义务时发生资金短缺的风险。本</w:t>
      </w:r>
    </w:p>
    <w:p>
      <w:pPr>
        <w:pStyle w:val="BodyText"/>
        <w:spacing w:line="408" w:lineRule="auto"/>
        <w:ind w:left="154" w:right="1131"/>
        <w:jc w:val="both"/>
      </w:pPr>
      <w:r>
        <w:rPr>
          <w:spacing w:val="-1"/>
        </w:rPr>
        <w:t>公司的政策是确保拥有充足的现金以偿还到期债务。流动性风险由本公司的财务部门集中控制。财务部门</w:t>
      </w:r>
      <w:r>
        <w:rPr>
          <w:spacing w:val="-81"/>
        </w:rPr>
        <w:t> </w:t>
      </w:r>
      <w:r>
        <w:rPr>
          <w:spacing w:val="-81"/>
        </w:rPr>
      </w:r>
      <w:r>
        <w:rPr>
          <w:spacing w:val="-1"/>
        </w:rPr>
        <w:t>通过监控现金余额、可随时变现的有价证券以及对未来</w:t>
      </w:r>
      <w:r>
        <w:rPr>
          <w:rFonts w:ascii="宋体" w:hAnsi="宋体" w:cs="宋体" w:eastAsia="宋体" w:hint="default"/>
          <w:spacing w:val="-1"/>
        </w:rPr>
        <w:t>12</w:t>
      </w:r>
      <w:r>
        <w:rPr>
          <w:spacing w:val="-1"/>
        </w:rPr>
        <w:t>个月现金流量的滚动预测，确保公司在所有合理</w:t>
      </w:r>
      <w:r>
        <w:rPr>
          <w:spacing w:val="-81"/>
        </w:rPr>
        <w:t> </w:t>
      </w:r>
      <w:r>
        <w:rPr>
          <w:spacing w:val="-81"/>
        </w:rPr>
      </w:r>
      <w:r>
        <w:rPr/>
        <w:t>预测的情况下拥有充足的资金偿还债务。</w:t>
      </w:r>
    </w:p>
    <w:p>
      <w:pPr>
        <w:pStyle w:val="BodyText"/>
        <w:spacing w:line="240" w:lineRule="auto"/>
        <w:ind w:left="575" w:right="1024"/>
        <w:jc w:val="left"/>
      </w:pPr>
      <w:r>
        <w:rPr/>
        <w:t>本公司各项金融负债以未折现的合同现金流量按到期日列示如下：</w:t>
      </w:r>
    </w:p>
    <w:p>
      <w:pPr>
        <w:spacing w:line="240" w:lineRule="auto" w:before="12"/>
        <w:rPr>
          <w:rFonts w:ascii="宋体" w:hAnsi="宋体" w:cs="宋体" w:eastAsia="宋体" w:hint="default"/>
          <w:sz w:val="9"/>
          <w:szCs w:val="9"/>
        </w:rPr>
      </w:pPr>
    </w:p>
    <w:tbl>
      <w:tblPr>
        <w:tblW w:w="0" w:type="auto"/>
        <w:jc w:val="left"/>
        <w:tblInd w:w="819" w:type="dxa"/>
        <w:tblLayout w:type="fixed"/>
        <w:tblCellMar>
          <w:top w:w="0" w:type="dxa"/>
          <w:left w:w="0" w:type="dxa"/>
          <w:bottom w:w="0" w:type="dxa"/>
          <w:right w:w="0" w:type="dxa"/>
        </w:tblCellMar>
        <w:tblLook w:val="01E0"/>
      </w:tblPr>
      <w:tblGrid>
        <w:gridCol w:w="890"/>
        <w:gridCol w:w="992"/>
        <w:gridCol w:w="850"/>
        <w:gridCol w:w="1276"/>
        <w:gridCol w:w="1418"/>
        <w:gridCol w:w="850"/>
        <w:gridCol w:w="1384"/>
      </w:tblGrid>
      <w:tr>
        <w:trPr>
          <w:trHeight w:val="342" w:hRule="exact"/>
        </w:trPr>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67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890"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5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170" w:right="0"/>
              <w:jc w:val="left"/>
              <w:rPr>
                <w:rFonts w:ascii="宋体" w:hAnsi="宋体" w:cs="宋体" w:eastAsia="宋体" w:hint="default"/>
                <w:sz w:val="18"/>
                <w:szCs w:val="18"/>
              </w:rPr>
            </w:pPr>
            <w:r>
              <w:rPr>
                <w:rFonts w:ascii="宋体" w:hAnsi="宋体" w:cs="宋体" w:eastAsia="宋体" w:hint="default"/>
                <w:sz w:val="18"/>
                <w:szCs w:val="18"/>
              </w:rPr>
              <w:t>中财债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6" w:right="0"/>
              <w:jc w:val="left"/>
              <w:rPr>
                <w:rFonts w:ascii="Times New Roman" w:hAnsi="Times New Roman" w:cs="Times New Roman" w:eastAsia="Times New Roman" w:hint="default"/>
                <w:sz w:val="18"/>
                <w:szCs w:val="18"/>
              </w:rPr>
            </w:pPr>
            <w:r>
              <w:rPr>
                <w:rFonts w:ascii="Times New Roman"/>
                <w:sz w:val="18"/>
              </w:rPr>
              <w:t>16,080,000.00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272,160,000.00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288,240,000.00</w:t>
            </w:r>
          </w:p>
        </w:tc>
      </w:tr>
      <w:tr>
        <w:trPr>
          <w:trHeight w:val="342"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6" w:right="0"/>
              <w:jc w:val="left"/>
              <w:rPr>
                <w:rFonts w:ascii="Times New Roman" w:hAnsi="Times New Roman" w:cs="Times New Roman" w:eastAsia="Times New Roman" w:hint="default"/>
                <w:sz w:val="18"/>
                <w:szCs w:val="18"/>
              </w:rPr>
            </w:pPr>
            <w:r>
              <w:rPr>
                <w:rFonts w:ascii="Times New Roman"/>
                <w:sz w:val="18"/>
              </w:rPr>
              <w:t>16,080,000.00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272,160,000.00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288,240,000.00</w:t>
            </w:r>
          </w:p>
        </w:tc>
      </w:tr>
    </w:tbl>
    <w:p>
      <w:pPr>
        <w:spacing w:line="240" w:lineRule="auto" w:before="11"/>
        <w:rPr>
          <w:rFonts w:ascii="宋体" w:hAnsi="宋体" w:cs="宋体" w:eastAsia="宋体" w:hint="default"/>
          <w:sz w:val="23"/>
          <w:szCs w:val="23"/>
        </w:rPr>
      </w:pPr>
    </w:p>
    <w:tbl>
      <w:tblPr>
        <w:tblW w:w="0" w:type="auto"/>
        <w:jc w:val="left"/>
        <w:tblInd w:w="819" w:type="dxa"/>
        <w:tblLayout w:type="fixed"/>
        <w:tblCellMar>
          <w:top w:w="0" w:type="dxa"/>
          <w:left w:w="0" w:type="dxa"/>
          <w:bottom w:w="0" w:type="dxa"/>
          <w:right w:w="0" w:type="dxa"/>
        </w:tblCellMar>
        <w:tblLook w:val="01E0"/>
      </w:tblPr>
      <w:tblGrid>
        <w:gridCol w:w="890"/>
        <w:gridCol w:w="992"/>
        <w:gridCol w:w="850"/>
        <w:gridCol w:w="1276"/>
        <w:gridCol w:w="1418"/>
        <w:gridCol w:w="850"/>
        <w:gridCol w:w="1419"/>
      </w:tblGrid>
      <w:tr>
        <w:trPr>
          <w:trHeight w:val="342" w:hRule="exact"/>
        </w:trPr>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68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890"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5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0"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5"/>
              <w:ind w:left="170" w:right="0"/>
              <w:jc w:val="left"/>
              <w:rPr>
                <w:rFonts w:ascii="宋体" w:hAnsi="宋体" w:cs="宋体" w:eastAsia="宋体" w:hint="default"/>
                <w:sz w:val="18"/>
                <w:szCs w:val="18"/>
              </w:rPr>
            </w:pPr>
            <w:r>
              <w:rPr>
                <w:rFonts w:ascii="宋体" w:hAnsi="宋体" w:cs="宋体" w:eastAsia="宋体" w:hint="default"/>
                <w:sz w:val="18"/>
                <w:szCs w:val="18"/>
              </w:rPr>
              <w:t>中财债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6" w:right="0"/>
              <w:jc w:val="left"/>
              <w:rPr>
                <w:rFonts w:ascii="Times New Roman" w:hAnsi="Times New Roman" w:cs="Times New Roman" w:eastAsia="Times New Roman" w:hint="default"/>
                <w:sz w:val="18"/>
                <w:szCs w:val="18"/>
              </w:rPr>
            </w:pPr>
            <w:r>
              <w:rPr>
                <w:rFonts w:ascii="Times New Roman"/>
                <w:sz w:val="18"/>
              </w:rPr>
              <w:t>16,080,000.00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288,240,000.00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304,320,000.00</w:t>
            </w:r>
          </w:p>
        </w:tc>
      </w:tr>
      <w:tr>
        <w:trPr>
          <w:trHeight w:val="343"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6" w:right="0"/>
              <w:jc w:val="left"/>
              <w:rPr>
                <w:rFonts w:ascii="Times New Roman" w:hAnsi="Times New Roman" w:cs="Times New Roman" w:eastAsia="Times New Roman" w:hint="default"/>
                <w:sz w:val="18"/>
                <w:szCs w:val="18"/>
              </w:rPr>
            </w:pPr>
            <w:r>
              <w:rPr>
                <w:rFonts w:ascii="Times New Roman"/>
                <w:sz w:val="18"/>
              </w:rPr>
              <w:t>16,080,000.00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288,240,000.00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304,320,000.00</w:t>
            </w:r>
          </w:p>
        </w:tc>
      </w:tr>
    </w:tbl>
    <w:p>
      <w:pPr>
        <w:spacing w:line="240" w:lineRule="auto" w:before="2"/>
        <w:rPr>
          <w:rFonts w:ascii="宋体" w:hAnsi="宋体" w:cs="宋体" w:eastAsia="宋体" w:hint="default"/>
          <w:sz w:val="18"/>
          <w:szCs w:val="18"/>
        </w:rPr>
      </w:pPr>
    </w:p>
    <w:p>
      <w:pPr>
        <w:pStyle w:val="Heading2"/>
        <w:spacing w:line="240" w:lineRule="auto" w:before="26"/>
        <w:ind w:left="154" w:right="1024"/>
        <w:jc w:val="left"/>
        <w:rPr>
          <w:b w:val="0"/>
          <w:bCs w:val="0"/>
        </w:rPr>
      </w:pPr>
      <w:bookmarkStart w:name="十一、关联方及关联交易" w:id="347"/>
      <w:bookmarkEnd w:id="347"/>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本企业的母公司情况" w:id="348"/>
      <w:bookmarkEnd w:id="34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30"/>
          <w:szCs w:val="30"/>
        </w:rPr>
      </w:pPr>
    </w:p>
    <w:p>
      <w:pPr>
        <w:spacing w:line="444" w:lineRule="auto" w:before="0"/>
        <w:ind w:left="153" w:right="6973" w:firstLine="0"/>
        <w:jc w:val="left"/>
        <w:rPr>
          <w:rFonts w:ascii="宋体" w:hAnsi="宋体" w:cs="宋体" w:eastAsia="宋体" w:hint="default"/>
          <w:sz w:val="21"/>
          <w:szCs w:val="21"/>
        </w:rPr>
      </w:pPr>
      <w:r>
        <w:rPr>
          <w:rFonts w:ascii="宋体" w:hAnsi="宋体" w:cs="宋体" w:eastAsia="宋体" w:hint="default"/>
          <w:sz w:val="21"/>
          <w:szCs w:val="21"/>
        </w:rPr>
        <w:t>本企业最终控制方是沈飒、朱烨东夫妇。 </w:t>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spacing w:line="408" w:lineRule="auto" w:before="53"/>
        <w:ind w:right="1131" w:firstLine="421"/>
        <w:jc w:val="both"/>
      </w:pPr>
      <w:r>
        <w:rPr>
          <w:spacing w:val="-1"/>
        </w:rPr>
        <w:t>公司实际控制人为沈飒、朱烨东夫妇，本公司第一大股东为自然人沈飒，沈飒、朱烨东夫妇直接持有</w:t>
      </w:r>
      <w:r>
        <w:rPr/>
        <w:t> </w:t>
      </w:r>
      <w:r>
        <w:rPr>
          <w:spacing w:val="-1"/>
        </w:rPr>
        <w:t>公司</w:t>
      </w:r>
      <w:r>
        <w:rPr>
          <w:rFonts w:ascii="宋体" w:hAnsi="宋体" w:cs="宋体" w:eastAsia="宋体" w:hint="default"/>
          <w:spacing w:val="-1"/>
        </w:rPr>
        <w:t>18.20%</w:t>
      </w:r>
      <w:r>
        <w:rPr>
          <w:spacing w:val="-1"/>
        </w:rPr>
        <w:t>的股份。第二大股东蔡迦持有公司</w:t>
      </w:r>
      <w:r>
        <w:rPr>
          <w:rFonts w:ascii="宋体" w:hAnsi="宋体" w:cs="宋体" w:eastAsia="宋体" w:hint="default"/>
          <w:spacing w:val="-1"/>
        </w:rPr>
        <w:t>9.66%</w:t>
      </w:r>
      <w:r>
        <w:rPr>
          <w:spacing w:val="-1"/>
        </w:rPr>
        <w:t>的股份，第四大股东陈绪华持有公司</w:t>
      </w:r>
      <w:r>
        <w:rPr>
          <w:rFonts w:ascii="宋体" w:hAnsi="宋体" w:cs="宋体" w:eastAsia="宋体" w:hint="default"/>
          <w:spacing w:val="-1"/>
        </w:rPr>
        <w:t>6.34%</w:t>
      </w:r>
      <w:r>
        <w:rPr>
          <w:spacing w:val="-1"/>
        </w:rPr>
        <w:t>的股份，沈</w:t>
      </w:r>
      <w:r>
        <w:rPr>
          <w:spacing w:val="-78"/>
        </w:rPr>
        <w:t> </w:t>
      </w:r>
      <w:r>
        <w:rPr>
          <w:spacing w:val="-78"/>
        </w:rPr>
      </w:r>
      <w:r>
        <w:rPr>
          <w:spacing w:val="-1"/>
        </w:rPr>
        <w:t>飒、陈绪华、蔡迦为公司一致行动人。杨承宏、赫喆分别作为陈绪华、蔡迦的一致行动人，分别持有公司</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rFonts w:ascii="宋体" w:hAnsi="宋体" w:cs="宋体" w:eastAsia="宋体" w:hint="default"/>
          <w:spacing w:val="-1"/>
        </w:rPr>
        <w:t>1.99%</w:t>
      </w:r>
      <w:r>
        <w:rPr>
          <w:spacing w:val="-1"/>
        </w:rPr>
        <w:t>和</w:t>
      </w:r>
      <w:r>
        <w:rPr>
          <w:rFonts w:ascii="宋体" w:hAnsi="宋体" w:cs="宋体" w:eastAsia="宋体" w:hint="default"/>
          <w:spacing w:val="-1"/>
        </w:rPr>
        <w:t>1.33%</w:t>
      </w:r>
      <w:r>
        <w:rPr>
          <w:spacing w:val="-1"/>
        </w:rPr>
        <w:t>的股权。通过直接持股和一致行动安排，沈飒、朱烨东夫妇合计可支配公司</w:t>
      </w:r>
      <w:r>
        <w:rPr>
          <w:rFonts w:ascii="宋体" w:hAnsi="宋体" w:cs="宋体" w:eastAsia="宋体" w:hint="default"/>
          <w:spacing w:val="-1"/>
        </w:rPr>
        <w:t>37.52%</w:t>
      </w:r>
      <w:r>
        <w:rPr>
          <w:spacing w:val="-1"/>
        </w:rPr>
        <w:t>表决权的</w:t>
      </w:r>
      <w:r>
        <w:rPr>
          <w:spacing w:val="-77"/>
        </w:rPr>
        <w:t> </w:t>
      </w:r>
      <w:r>
        <w:rPr>
          <w:spacing w:val="-77"/>
        </w:rPr>
      </w:r>
      <w:r>
        <w:rPr/>
        <w:t>股份，为公司的实际控制人。</w:t>
      </w:r>
    </w:p>
    <w:p>
      <w:pPr>
        <w:spacing w:line="240" w:lineRule="auto" w:before="8"/>
        <w:rPr>
          <w:rFonts w:ascii="宋体" w:hAnsi="宋体" w:cs="宋体" w:eastAsia="宋体" w:hint="default"/>
          <w:sz w:val="20"/>
          <w:szCs w:val="20"/>
        </w:rPr>
      </w:pPr>
    </w:p>
    <w:p>
      <w:pPr>
        <w:spacing w:line="513" w:lineRule="auto" w:before="0"/>
        <w:ind w:left="153" w:right="4477" w:firstLine="0"/>
        <w:jc w:val="left"/>
        <w:rPr>
          <w:rFonts w:ascii="宋体" w:hAnsi="宋体" w:cs="宋体" w:eastAsia="宋体" w:hint="default"/>
          <w:sz w:val="21"/>
          <w:szCs w:val="21"/>
        </w:rPr>
      </w:pPr>
      <w:bookmarkStart w:name="2、本企业的子公司情况" w:id="349"/>
      <w:bookmarkEnd w:id="34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本企业子公司的情况详见附注“九、在其他主体中的权益”。 </w:t>
      </w:r>
      <w:bookmarkStart w:name="3、本企业合营和联营企业情况" w:id="350"/>
      <w:bookmarkEnd w:id="350"/>
      <w:r>
        <w:rPr>
          <w:rFonts w:ascii="宋体" w:hAnsi="宋体" w:cs="宋体" w:eastAsia="宋体" w:hint="default"/>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本企业重要的合营或联营企业详见附注</w:t>
      </w:r>
      <w:r>
        <w:rPr>
          <w:rFonts w:ascii="Times New Roman" w:hAnsi="Times New Roman" w:cs="Times New Roman" w:eastAsia="Times New Roman" w:hint="default"/>
          <w:sz w:val="21"/>
          <w:szCs w:val="21"/>
        </w:rPr>
        <w:t>“</w:t>
      </w:r>
      <w:r>
        <w:rPr>
          <w:rFonts w:ascii="宋体" w:hAnsi="宋体" w:cs="宋体" w:eastAsia="宋体" w:hint="default"/>
          <w:sz w:val="21"/>
          <w:szCs w:val="21"/>
        </w:rPr>
        <w:t>九、在其他主体中的权益</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bookmarkStart w:name="4、关联交易情况" w:id="351"/>
      <w:bookmarkEnd w:id="351"/>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、关联交易情况</w:t>
      </w:r>
      <w:r>
        <w:rPr>
          <w:rFonts w:ascii="宋体" w:hAnsi="宋体" w:cs="宋体" w:eastAsia="宋体" w:hint="default"/>
          <w:sz w:val="21"/>
          <w:szCs w:val="21"/>
        </w:rPr>
      </w:r>
    </w:p>
    <w:p>
      <w:pPr>
        <w:pStyle w:val="Heading4"/>
        <w:spacing w:line="240" w:lineRule="auto" w:before="58"/>
        <w:ind w:right="1024"/>
        <w:jc w:val="left"/>
        <w:rPr>
          <w:b w:val="0"/>
          <w:bCs w:val="0"/>
        </w:rPr>
      </w:pPr>
      <w:bookmarkStart w:name="（1）购销商品、提供和接受劳务的关联交易" w:id="352"/>
      <w:bookmarkEnd w:id="35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1024"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北京中关村互联网 金融信息服务中心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3"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年国际金融 展场租</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362,264.14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中科环嘉电子商务有限公司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4"/>
              <w:jc w:val="left"/>
              <w:rPr>
                <w:rFonts w:ascii="宋体" w:hAnsi="宋体" w:cs="宋体" w:eastAsia="宋体" w:hint="default"/>
                <w:sz w:val="18"/>
                <w:szCs w:val="18"/>
              </w:rPr>
            </w:pPr>
            <w:r>
              <w:rPr>
                <w:rFonts w:ascii="宋体" w:hAnsi="宋体" w:cs="宋体" w:eastAsia="宋体" w:hint="default"/>
                <w:sz w:val="18"/>
                <w:szCs w:val="18"/>
              </w:rPr>
              <w:t>中科环嘉再生资源电子商务 平台技术开发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10,342,263.87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5,227,075.33</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中科环嘉电子商务有限公司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4"/>
              <w:jc w:val="left"/>
              <w:rPr>
                <w:rFonts w:ascii="宋体" w:hAnsi="宋体" w:cs="宋体" w:eastAsia="宋体" w:hint="default"/>
                <w:sz w:val="18"/>
                <w:szCs w:val="18"/>
              </w:rPr>
            </w:pPr>
            <w:r>
              <w:rPr>
                <w:rFonts w:ascii="宋体" w:hAnsi="宋体" w:cs="宋体" w:eastAsia="宋体" w:hint="default"/>
                <w:sz w:val="18"/>
                <w:szCs w:val="18"/>
              </w:rPr>
              <w:t>中科环嘉再生资源电子商务 平台项目硬件采购</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1,184,923.08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深圳中金财富互联网金融服务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4"/>
              <w:jc w:val="left"/>
              <w:rPr>
                <w:rFonts w:ascii="宋体" w:hAnsi="宋体" w:cs="宋体" w:eastAsia="宋体" w:hint="default"/>
                <w:sz w:val="18"/>
                <w:szCs w:val="18"/>
              </w:rPr>
            </w:pPr>
            <w:r>
              <w:rPr>
                <w:rFonts w:ascii="宋体" w:hAnsi="宋体" w:cs="宋体" w:eastAsia="宋体" w:hint="default"/>
                <w:sz w:val="18"/>
                <w:szCs w:val="18"/>
              </w:rPr>
              <w:t>爱金财互联网融资服务平台 技术开发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深圳中金财富互联网金融服务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4"/>
              <w:jc w:val="left"/>
              <w:rPr>
                <w:rFonts w:ascii="宋体" w:hAnsi="宋体" w:cs="宋体" w:eastAsia="宋体" w:hint="default"/>
                <w:sz w:val="18"/>
                <w:szCs w:val="18"/>
              </w:rPr>
            </w:pPr>
            <w:r>
              <w:rPr>
                <w:rFonts w:ascii="宋体" w:hAnsi="宋体" w:cs="宋体" w:eastAsia="宋体" w:hint="default"/>
                <w:sz w:val="18"/>
                <w:szCs w:val="18"/>
              </w:rPr>
              <w:t>爱金财融资服务平台运营硬 件租赁合同</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231,282.05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安粮期货有限公司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4"/>
              <w:jc w:val="left"/>
              <w:rPr>
                <w:rFonts w:ascii="宋体" w:hAnsi="宋体" w:cs="宋体" w:eastAsia="宋体" w:hint="default"/>
                <w:sz w:val="18"/>
                <w:szCs w:val="18"/>
              </w:rPr>
            </w:pPr>
            <w:r>
              <w:rPr>
                <w:rFonts w:ascii="宋体" w:hAnsi="宋体" w:cs="宋体" w:eastAsia="宋体" w:hint="default"/>
                <w:sz w:val="18"/>
                <w:szCs w:val="18"/>
              </w:rPr>
              <w:t>安粮期货官网及营业厅项目 一期技术开发合同</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436,675.48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安粮期货有限公司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4"/>
              <w:jc w:val="left"/>
              <w:rPr>
                <w:rFonts w:ascii="宋体" w:hAnsi="宋体" w:cs="宋体" w:eastAsia="宋体" w:hint="default"/>
                <w:sz w:val="18"/>
                <w:szCs w:val="18"/>
              </w:rPr>
            </w:pPr>
            <w:r>
              <w:rPr>
                <w:rFonts w:ascii="宋体" w:hAnsi="宋体" w:cs="宋体" w:eastAsia="宋体" w:hint="default"/>
                <w:sz w:val="18"/>
                <w:szCs w:val="18"/>
              </w:rPr>
              <w:t>安粮期货委托代发工资代缴 个税及社保公积金函及复函</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9,967.92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大连金融资产交易所有限公司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64"/>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金融资产交易系统设备采购 合同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5,008,547.01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2）关联担保情况" w:id="353"/>
      <w:bookmarkEnd w:id="353"/>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53" w:right="1024"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6,746,736.00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3,891,938.58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992,078.05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5"/>
          <w:szCs w:val="5"/>
        </w:rPr>
      </w:pPr>
    </w:p>
    <w:p>
      <w:pPr>
        <w:pStyle w:val="BodyText"/>
        <w:spacing w:line="444" w:lineRule="auto" w:before="35"/>
        <w:ind w:left="575" w:right="1301" w:hanging="422"/>
        <w:jc w:val="left"/>
        <w:rPr>
          <w:rFonts w:ascii="宋体" w:hAnsi="宋体" w:cs="宋体" w:eastAsia="宋体" w:hint="default"/>
        </w:rPr>
      </w:pPr>
      <w:r>
        <w:rPr/>
        <w:t>关联担保情况说明 担保方提供的保证期间均为依照主合同而确定的债务履行期限届满之日起两年，截止</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p>
    <w:p>
      <w:pPr>
        <w:pStyle w:val="BodyText"/>
        <w:spacing w:line="408" w:lineRule="auto" w:before="14"/>
        <w:ind w:right="1214"/>
        <w:jc w:val="both"/>
      </w:pPr>
      <w:r>
        <w:rPr/>
        <w:t>日，尚有</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26</w:t>
      </w:r>
      <w:r>
        <w:rPr/>
        <w:t>日的</w:t>
      </w:r>
      <w:r>
        <w:rPr>
          <w:rFonts w:ascii="宋体" w:hAnsi="宋体" w:cs="宋体" w:eastAsia="宋体" w:hint="default"/>
        </w:rPr>
        <w:t>0.90</w:t>
      </w:r>
      <w:r>
        <w:rPr/>
        <w:t>万元、</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23</w:t>
      </w:r>
      <w:r>
        <w:rPr/>
        <w:t>日的</w:t>
      </w:r>
      <w:r>
        <w:rPr>
          <w:rFonts w:ascii="宋体" w:hAnsi="宋体" w:cs="宋体" w:eastAsia="宋体" w:hint="default"/>
        </w:rPr>
        <w:t>2.00</w:t>
      </w:r>
      <w:r>
        <w:rPr/>
        <w:t>万元、</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23</w:t>
      </w:r>
      <w:r>
        <w:rPr/>
        <w:t>日的</w:t>
      </w:r>
      <w:r>
        <w:rPr>
          <w:rFonts w:ascii="宋体" w:hAnsi="宋体" w:cs="宋体" w:eastAsia="宋体" w:hint="default"/>
        </w:rPr>
        <w:t>80.00</w:t>
      </w:r>
      <w:r>
        <w:rPr/>
        <w:t>万元、</w:t>
      </w:r>
      <w:r>
        <w:rPr>
          <w:rFonts w:ascii="宋体" w:hAnsi="宋体" w:cs="宋体" w:eastAsia="宋体" w:hint="default"/>
        </w:rPr>
        <w:t>2015</w:t>
      </w:r>
      <w:r>
        <w:rPr/>
        <w:t>年 </w:t>
      </w:r>
      <w:r>
        <w:rPr>
          <w:rFonts w:ascii="宋体" w:hAnsi="宋体" w:cs="宋体" w:eastAsia="宋体" w:hint="default"/>
        </w:rPr>
        <w:t>11</w:t>
      </w:r>
      <w:r>
        <w:rPr/>
        <w:t>月</w:t>
      </w:r>
      <w:r>
        <w:rPr>
          <w:rFonts w:ascii="宋体" w:hAnsi="宋体" w:cs="宋体" w:eastAsia="宋体" w:hint="default"/>
        </w:rPr>
        <w:t>30</w:t>
      </w:r>
      <w:r>
        <w:rPr/>
        <w:t>日的</w:t>
      </w:r>
      <w:r>
        <w:rPr>
          <w:rFonts w:ascii="宋体" w:hAnsi="宋体" w:cs="宋体" w:eastAsia="宋体" w:hint="default"/>
        </w:rPr>
        <w:t>$15.28</w:t>
      </w:r>
      <w:r>
        <w:rPr/>
        <w:t>万元、</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10</w:t>
      </w:r>
      <w:r>
        <w:rPr/>
        <w:t>日的</w:t>
      </w:r>
      <w:r>
        <w:rPr>
          <w:rFonts w:ascii="宋体" w:hAnsi="宋体" w:cs="宋体" w:eastAsia="宋体" w:hint="default"/>
        </w:rPr>
        <w:t>24,000</w:t>
      </w:r>
      <w:r>
        <w:rPr/>
        <w:t>万元担保的主债务未归还，其他被担保的主债务均已归 还。</w:t>
      </w:r>
    </w:p>
    <w:p>
      <w:pPr>
        <w:pStyle w:val="BodyText"/>
        <w:spacing w:line="240" w:lineRule="auto"/>
        <w:ind w:left="575" w:right="1024"/>
        <w:jc w:val="left"/>
      </w:pPr>
      <w:r>
        <w:rPr/>
        <w:t>最后两笔担保金额分别为</w:t>
      </w:r>
      <w:r>
        <w:rPr>
          <w:rFonts w:ascii="宋体" w:hAnsi="宋体" w:cs="宋体" w:eastAsia="宋体" w:hint="default"/>
        </w:rPr>
        <w:t>599,349.91</w:t>
      </w:r>
      <w:r>
        <w:rPr/>
        <w:t>美元和</w:t>
      </w:r>
      <w:r>
        <w:rPr>
          <w:rFonts w:ascii="宋体" w:hAnsi="宋体" w:cs="宋体" w:eastAsia="宋体" w:hint="default"/>
        </w:rPr>
        <w:t>152,777.82</w:t>
      </w:r>
      <w:r>
        <w:rPr/>
        <w:t>美元，按</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日即期汇率</w:t>
      </w:r>
      <w:r>
        <w:rPr>
          <w:rFonts w:ascii="宋体" w:hAnsi="宋体" w:cs="宋体" w:eastAsia="宋体" w:hint="default"/>
        </w:rPr>
        <w:t>1</w:t>
      </w:r>
      <w:r>
        <w:rPr/>
        <w:t>美元</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rFonts w:ascii="宋体" w:hAnsi="宋体" w:cs="宋体" w:eastAsia="宋体" w:hint="default"/>
        </w:rPr>
        <w:t>=6.4936</w:t>
      </w:r>
      <w:r>
        <w:rPr/>
        <w:t>元人民币，换算为人民币</w:t>
      </w:r>
      <w:r>
        <w:rPr>
          <w:rFonts w:ascii="宋体" w:hAnsi="宋体" w:cs="宋体" w:eastAsia="宋体" w:hint="default"/>
        </w:rPr>
        <w:t>3,891,938.58</w:t>
      </w:r>
      <w:r>
        <w:rPr/>
        <w:t>元和</w:t>
      </w:r>
      <w:r>
        <w:rPr>
          <w:rFonts w:ascii="宋体" w:hAnsi="宋体" w:cs="宋体" w:eastAsia="宋体" w:hint="default"/>
        </w:rPr>
        <w:t>992,078.05</w:t>
      </w:r>
      <w:r>
        <w:rPr/>
        <w:t>元。</w:t>
      </w:r>
    </w:p>
    <w:p>
      <w:pPr>
        <w:spacing w:line="240" w:lineRule="auto" w:before="0"/>
        <w:rPr>
          <w:rFonts w:ascii="宋体" w:hAnsi="宋体" w:cs="宋体" w:eastAsia="宋体" w:hint="default"/>
          <w:sz w:val="20"/>
          <w:szCs w:val="20"/>
        </w:rPr>
      </w:pPr>
    </w:p>
    <w:p>
      <w:pPr>
        <w:pStyle w:val="Heading4"/>
        <w:spacing w:line="240" w:lineRule="auto" w:before="154"/>
        <w:ind w:left="153" w:right="0"/>
        <w:jc w:val="both"/>
        <w:rPr>
          <w:b w:val="0"/>
          <w:bCs w:val="0"/>
        </w:rPr>
      </w:pPr>
      <w:bookmarkStart w:name="（3）关键管理人员报酬" w:id="354"/>
      <w:bookmarkEnd w:id="354"/>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4,143,459.00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4,605,125.22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5、关联方应收应付款项" w:id="355"/>
      <w:bookmarkEnd w:id="355"/>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应收项目" w:id="356"/>
      <w:bookmarkEnd w:id="35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中科环嘉电子商务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730,630.00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应付项目" w:id="357"/>
      <w:bookmarkEnd w:id="35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中科环嘉电子商务有限公司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829,446.14</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6、关联方承诺" w:id="358"/>
      <w:bookmarkEnd w:id="358"/>
      <w:r>
        <w:rPr>
          <w:b w:val="0"/>
          <w:bCs w:val="0"/>
        </w:rPr>
      </w:r>
      <w:r>
        <w:rPr>
          <w:rFonts w:ascii="Times New Roman" w:hAnsi="Times New Roman" w:cs="Times New Roman" w:eastAsia="Times New Roman" w:hint="default"/>
        </w:rPr>
        <w:t>6</w:t>
      </w:r>
      <w:r>
        <w:rPr/>
        <w:t>、关联方承诺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024" w:firstLine="420"/>
        <w:jc w:val="left"/>
      </w:pPr>
      <w:r>
        <w:rPr>
          <w:rFonts w:ascii="宋体" w:hAnsi="宋体" w:cs="宋体" w:eastAsia="宋体" w:hint="default"/>
        </w:rPr>
        <w:t>2014</w:t>
      </w:r>
      <w:r>
        <w:rPr/>
        <w:t>年</w:t>
      </w:r>
      <w:r>
        <w:rPr>
          <w:rFonts w:ascii="宋体" w:hAnsi="宋体" w:cs="宋体" w:eastAsia="宋体" w:hint="default"/>
        </w:rPr>
        <w:t>11</w:t>
      </w:r>
      <w:r>
        <w:rPr/>
        <w:t>月，经中国证券监督管理委员会证监许可</w:t>
      </w:r>
      <w:r>
        <w:rPr>
          <w:rFonts w:ascii="宋体" w:hAnsi="宋体" w:cs="宋体" w:eastAsia="宋体" w:hint="default"/>
        </w:rPr>
        <w:t>[2014]</w:t>
      </w:r>
      <w:r>
        <w:rPr/>
        <w:t>号</w:t>
      </w:r>
      <w:r>
        <w:rPr>
          <w:rFonts w:ascii="宋体" w:hAnsi="宋体" w:cs="宋体" w:eastAsia="宋体" w:hint="default"/>
        </w:rPr>
        <w:t>1218</w:t>
      </w:r>
      <w:r>
        <w:rPr/>
        <w:t>号文《关于核准北京中科金财科技股 </w:t>
      </w:r>
      <w:r>
        <w:rPr>
          <w:spacing w:val="-3"/>
        </w:rPr>
        <w:t>份有限公司向刘开同等发行股份购买资产并募集配套资金的批复》核准，公司向刘开同、董书倩、刘运龙、</w:t>
      </w:r>
      <w:r>
        <w:rPr>
          <w:spacing w:val="-96"/>
        </w:rPr>
        <w:t> </w:t>
      </w:r>
      <w:r>
        <w:rPr>
          <w:spacing w:val="-96"/>
        </w:rPr>
      </w:r>
      <w:r>
        <w:rPr/>
        <w:t>天津滨河数据信息技术有限公司（以下简称“交易对方”）发行</w:t>
      </w:r>
      <w:r>
        <w:rPr>
          <w:rFonts w:ascii="宋体" w:hAnsi="宋体" w:cs="宋体" w:eastAsia="宋体" w:hint="default"/>
        </w:rPr>
        <w:t>21,120,422</w:t>
      </w:r>
      <w:r>
        <w:rPr/>
        <w:t>股人民币普通股购买其持有滨 河创新</w:t>
      </w:r>
      <w:r>
        <w:rPr>
          <w:rFonts w:ascii="宋体" w:hAnsi="宋体" w:cs="宋体" w:eastAsia="宋体" w:hint="default"/>
        </w:rPr>
        <w:t>100%</w:t>
      </w:r>
      <w:r>
        <w:rPr/>
        <w:t>股权。</w:t>
      </w:r>
    </w:p>
    <w:p>
      <w:pPr>
        <w:pStyle w:val="BodyText"/>
        <w:spacing w:line="408" w:lineRule="auto"/>
        <w:ind w:right="1131" w:firstLine="421"/>
        <w:jc w:val="both"/>
      </w:pPr>
      <w:r>
        <w:rPr>
          <w:spacing w:val="-1"/>
        </w:rPr>
        <w:t>交易对方向上市公司承诺：如标的资产交割日为</w:t>
      </w:r>
      <w:r>
        <w:rPr>
          <w:rFonts w:ascii="宋体" w:hAnsi="宋体" w:cs="宋体" w:eastAsia="宋体" w:hint="default"/>
          <w:spacing w:val="-1"/>
        </w:rPr>
        <w:t>2014</w:t>
      </w:r>
      <w:r>
        <w:rPr>
          <w:spacing w:val="-1"/>
        </w:rPr>
        <w:t>年，则标的公司</w:t>
      </w:r>
      <w:r>
        <w:rPr>
          <w:rFonts w:ascii="宋体" w:hAnsi="宋体" w:cs="宋体" w:eastAsia="宋体" w:hint="default"/>
          <w:spacing w:val="-1"/>
        </w:rPr>
        <w:t>2014</w:t>
      </w:r>
      <w:r>
        <w:rPr>
          <w:spacing w:val="-1"/>
        </w:rPr>
        <w:t>年度、</w:t>
      </w:r>
      <w:r>
        <w:rPr>
          <w:rFonts w:ascii="宋体" w:hAnsi="宋体" w:cs="宋体" w:eastAsia="宋体" w:hint="default"/>
          <w:spacing w:val="-1"/>
        </w:rPr>
        <w:t>2015</w:t>
      </w:r>
      <w:r>
        <w:rPr>
          <w:spacing w:val="-1"/>
        </w:rPr>
        <w:t>年度和</w:t>
      </w:r>
      <w:r>
        <w:rPr>
          <w:rFonts w:ascii="宋体" w:hAnsi="宋体" w:cs="宋体" w:eastAsia="宋体" w:hint="default"/>
          <w:spacing w:val="-1"/>
        </w:rPr>
        <w:t>2016</w:t>
      </w:r>
      <w:r>
        <w:rPr>
          <w:spacing w:val="-1"/>
        </w:rPr>
        <w:t>年度</w:t>
      </w:r>
      <w:r>
        <w:rPr>
          <w:spacing w:val="-2"/>
        </w:rPr>
        <w:t> </w:t>
      </w:r>
      <w:r>
        <w:rPr>
          <w:spacing w:val="7"/>
        </w:rPr>
        <w:t>实现的合并报表扣除非经常性损益后归属于母公司股东的净利润分别不低于</w:t>
      </w:r>
      <w:r>
        <w:rPr>
          <w:rFonts w:ascii="宋体" w:hAnsi="宋体" w:cs="宋体" w:eastAsia="宋体" w:hint="default"/>
          <w:spacing w:val="7"/>
        </w:rPr>
        <w:t>6,100</w:t>
      </w:r>
      <w:r>
        <w:rPr>
          <w:spacing w:val="7"/>
        </w:rPr>
        <w:t>万元、</w:t>
      </w:r>
      <w:r>
        <w:rPr>
          <w:rFonts w:ascii="宋体" w:hAnsi="宋体" w:cs="宋体" w:eastAsia="宋体" w:hint="default"/>
          <w:spacing w:val="7"/>
        </w:rPr>
        <w:t>7,250</w:t>
      </w:r>
      <w:r>
        <w:rPr>
          <w:spacing w:val="7"/>
        </w:rPr>
        <w:t>万元和</w:t>
      </w:r>
      <w:r>
        <w:rPr>
          <w:spacing w:val="-75"/>
        </w:rPr>
        <w:t> </w:t>
      </w:r>
      <w:r>
        <w:rPr>
          <w:spacing w:val="-75"/>
        </w:rPr>
      </w:r>
      <w:r>
        <w:rPr>
          <w:rFonts w:ascii="宋体" w:hAnsi="宋体" w:cs="宋体" w:eastAsia="宋体" w:hint="default"/>
        </w:rPr>
        <w:t>8,650</w:t>
      </w:r>
      <w:r>
        <w:rPr/>
        <w:t>万元。本次发行股份及支付现金购买资产完成后，在利润补偿期内任一会计年度，如滨河创新截至</w:t>
      </w:r>
      <w:r>
        <w:rPr>
          <w:spacing w:val="-36"/>
        </w:rPr>
        <w:t> </w:t>
      </w:r>
      <w:r>
        <w:rPr>
          <w:spacing w:val="-36"/>
        </w:rPr>
      </w:r>
      <w:r>
        <w:rPr>
          <w:spacing w:val="-1"/>
        </w:rPr>
        <w:t>当期期末累积实现净利润数小于截至当期期末累积承诺净利润数，则交易对方应向上市公司进行补偿。如</w:t>
      </w:r>
      <w:r>
        <w:rPr>
          <w:spacing w:val="-81"/>
        </w:rPr>
        <w:t> </w:t>
      </w:r>
      <w:r>
        <w:rPr>
          <w:spacing w:val="-81"/>
        </w:rPr>
      </w:r>
      <w:r>
        <w:rPr>
          <w:spacing w:val="-1"/>
        </w:rPr>
        <w:t>果标的资产在承诺年度实际净利润总额大于或等于承诺的预测净利润总额，则交易对方无需向上市公司进</w:t>
      </w:r>
      <w:r>
        <w:rPr>
          <w:spacing w:val="-81"/>
        </w:rPr>
        <w:t> </w:t>
      </w:r>
      <w:r>
        <w:rPr>
          <w:spacing w:val="-81"/>
        </w:rPr>
      </w:r>
      <w:r>
        <w:rPr/>
        <w:t>行补偿。</w:t>
      </w:r>
    </w:p>
    <w:p>
      <w:pPr>
        <w:spacing w:line="240" w:lineRule="auto" w:before="11"/>
        <w:rPr>
          <w:rFonts w:ascii="宋体" w:hAnsi="宋体" w:cs="宋体" w:eastAsia="宋体" w:hint="default"/>
          <w:sz w:val="18"/>
          <w:szCs w:val="18"/>
        </w:rPr>
      </w:pPr>
    </w:p>
    <w:p>
      <w:pPr>
        <w:pStyle w:val="Heading2"/>
        <w:spacing w:line="240" w:lineRule="auto"/>
        <w:ind w:right="1024"/>
        <w:jc w:val="left"/>
        <w:rPr>
          <w:b w:val="0"/>
          <w:bCs w:val="0"/>
        </w:rPr>
      </w:pPr>
      <w:bookmarkStart w:name="十二、承诺及或有事项" w:id="359"/>
      <w:bookmarkEnd w:id="359"/>
      <w:r>
        <w:rPr>
          <w:b w:val="0"/>
          <w:bCs w:val="0"/>
        </w:rPr>
      </w:r>
      <w:r>
        <w:rPr/>
        <w:t>十二、承诺及或有事项</w:t>
      </w:r>
      <w:r>
        <w:rPr>
          <w:b w:val="0"/>
          <w:bCs w:val="0"/>
        </w:rPr>
      </w:r>
    </w:p>
    <w:p>
      <w:pPr>
        <w:pStyle w:val="Heading4"/>
        <w:spacing w:line="692" w:lineRule="exact" w:before="14"/>
        <w:ind w:right="8011"/>
        <w:jc w:val="left"/>
        <w:rPr>
          <w:b w:val="0"/>
          <w:bCs w:val="0"/>
        </w:rPr>
      </w:pPr>
      <w:bookmarkStart w:name="1、重要承诺事项" w:id="360"/>
      <w:bookmarkEnd w:id="360"/>
      <w:r>
        <w:rPr>
          <w:b w:val="0"/>
          <w:bCs w:val="0"/>
        </w:rPr>
      </w:r>
      <w:r>
        <w:rPr>
          <w:rFonts w:ascii="Times New Roman" w:hAnsi="Times New Roman" w:cs="Times New Roman" w:eastAsia="Times New Roman" w:hint="default"/>
        </w:rPr>
        <w:t>1</w:t>
      </w:r>
      <w:r>
        <w:rPr/>
        <w:t>、重要承诺事项</w:t>
      </w:r>
      <w:r>
        <w:rPr>
          <w:w w:val="99"/>
        </w:rPr>
        <w:t> </w:t>
      </w:r>
      <w:r>
        <w:rPr/>
        <w:t>资产负债表日存在的重要承诺</w:t>
      </w:r>
      <w:r>
        <w:rPr>
          <w:b w:val="0"/>
          <w:bCs w:val="0"/>
        </w:rPr>
      </w:r>
    </w:p>
    <w:p>
      <w:pPr>
        <w:pStyle w:val="BodyText"/>
        <w:spacing w:line="444" w:lineRule="auto" w:before="122"/>
        <w:ind w:left="574" w:right="1721" w:firstLine="1"/>
        <w:jc w:val="left"/>
      </w:pPr>
      <w:r>
        <w:rPr/>
        <w:t>其中，与关联方相关的未确认承诺事项详见本节“十一、关联方及关联交易”部分相应内容； </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w:t>
      </w:r>
      <w:r>
        <w:rPr/>
        <w:t>日，公司与北京唯实酒店管理有限公司（以下简称：“唯实酒店”）对原编号</w:t>
      </w:r>
    </w:p>
    <w:p>
      <w:pPr>
        <w:spacing w:after="0" w:line="44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rFonts w:ascii="宋体" w:hAnsi="宋体" w:cs="宋体" w:eastAsia="宋体" w:hint="default"/>
        </w:rPr>
        <w:t>BUAA-WSHT-2012001</w:t>
      </w:r>
      <w:r>
        <w:rPr/>
        <w:t>号房屋租赁合同进行续签，续租唯实酒店拥有的北京市海淀区学院路</w:t>
      </w:r>
      <w:r>
        <w:rPr>
          <w:rFonts w:ascii="宋体" w:hAnsi="宋体" w:cs="宋体" w:eastAsia="宋体" w:hint="default"/>
        </w:rPr>
        <w:t>39</w:t>
      </w:r>
      <w:r>
        <w:rPr/>
        <w:t>号“唯实大 厦”十层的物业为公司总部办公场所。租期自</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w:t>
      </w:r>
      <w:r>
        <w:rPr/>
        <w:t>日起至</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30</w:t>
      </w:r>
      <w:r>
        <w:rPr/>
        <w:t>日止，租赁建筑面积为 </w:t>
      </w:r>
      <w:r>
        <w:rPr>
          <w:rFonts w:ascii="宋体" w:hAnsi="宋体" w:cs="宋体" w:eastAsia="宋体" w:hint="default"/>
          <w:spacing w:val="-1"/>
        </w:rPr>
        <w:t>2,655.41</w:t>
      </w:r>
      <w:r>
        <w:rPr>
          <w:spacing w:val="-1"/>
        </w:rPr>
        <w:t>平方米，租金标准为</w:t>
      </w:r>
      <w:r>
        <w:rPr>
          <w:rFonts w:ascii="宋体" w:hAnsi="宋体" w:cs="宋体" w:eastAsia="宋体" w:hint="default"/>
          <w:spacing w:val="-1"/>
        </w:rPr>
        <w:t>6</w:t>
      </w:r>
      <w:r>
        <w:rPr>
          <w:spacing w:val="-1"/>
        </w:rPr>
        <w:t>元人民币</w:t>
      </w:r>
      <w:r>
        <w:rPr>
          <w:rFonts w:ascii="宋体" w:hAnsi="宋体" w:cs="宋体" w:eastAsia="宋体" w:hint="default"/>
          <w:spacing w:val="-1"/>
        </w:rPr>
        <w:t>/</w:t>
      </w:r>
      <w:r>
        <w:rPr>
          <w:spacing w:val="-1"/>
        </w:rPr>
        <w:t>建筑平方米</w:t>
      </w:r>
      <w:r>
        <w:rPr>
          <w:rFonts w:ascii="宋体" w:hAnsi="宋体" w:cs="宋体" w:eastAsia="宋体" w:hint="default"/>
          <w:spacing w:val="-1"/>
        </w:rPr>
        <w:t>/</w:t>
      </w:r>
      <w:r>
        <w:rPr>
          <w:spacing w:val="-1"/>
        </w:rPr>
        <w:t>日</w:t>
      </w:r>
      <w:r>
        <w:rPr>
          <w:rFonts w:ascii="宋体" w:hAnsi="宋体" w:cs="宋体" w:eastAsia="宋体" w:hint="default"/>
          <w:spacing w:val="-1"/>
        </w:rPr>
        <w:t>,</w:t>
      </w:r>
      <w:r>
        <w:rPr>
          <w:spacing w:val="-1"/>
        </w:rPr>
        <w:t>物业管理费收费标准为</w:t>
      </w:r>
      <w:r>
        <w:rPr>
          <w:rFonts w:ascii="宋体" w:hAnsi="宋体" w:cs="宋体" w:eastAsia="宋体" w:hint="default"/>
          <w:spacing w:val="-1"/>
        </w:rPr>
        <w:t>1.0</w:t>
      </w:r>
      <w:r>
        <w:rPr>
          <w:spacing w:val="-1"/>
        </w:rPr>
        <w:t>元人民币</w:t>
      </w:r>
      <w:r>
        <w:rPr>
          <w:rFonts w:ascii="宋体" w:hAnsi="宋体" w:cs="宋体" w:eastAsia="宋体" w:hint="default"/>
          <w:spacing w:val="-1"/>
        </w:rPr>
        <w:t>/</w:t>
      </w:r>
      <w:r>
        <w:rPr>
          <w:spacing w:val="-1"/>
        </w:rPr>
        <w:t>建筑平方米</w:t>
      </w:r>
    </w:p>
    <w:p>
      <w:pPr>
        <w:pStyle w:val="BodyText"/>
        <w:spacing w:line="240" w:lineRule="auto" w:before="47"/>
        <w:ind w:right="1024"/>
        <w:jc w:val="left"/>
      </w:pPr>
      <w:r>
        <w:rPr>
          <w:rFonts w:ascii="宋体" w:hAnsi="宋体" w:cs="宋体" w:eastAsia="宋体" w:hint="default"/>
        </w:rPr>
        <w:t>/</w:t>
      </w:r>
      <w:r>
        <w:rPr/>
        <w:t>日。</w:t>
      </w:r>
    </w:p>
    <w:p>
      <w:pPr>
        <w:spacing w:line="240" w:lineRule="auto" w:before="0"/>
        <w:rPr>
          <w:rFonts w:ascii="宋体" w:hAnsi="宋体" w:cs="宋体" w:eastAsia="宋体" w:hint="default"/>
          <w:sz w:val="20"/>
          <w:szCs w:val="20"/>
        </w:rPr>
      </w:pPr>
    </w:p>
    <w:p>
      <w:pPr>
        <w:pStyle w:val="Heading4"/>
        <w:spacing w:line="240" w:lineRule="auto" w:before="152"/>
        <w:ind w:left="153" w:right="1024"/>
        <w:jc w:val="left"/>
        <w:rPr>
          <w:b w:val="0"/>
          <w:bCs w:val="0"/>
        </w:rPr>
      </w:pPr>
      <w:bookmarkStart w:name="2、其他" w:id="361"/>
      <w:bookmarkEnd w:id="361"/>
      <w:r>
        <w:rPr>
          <w:b w:val="0"/>
          <w:bCs w:val="0"/>
        </w:rPr>
      </w:r>
      <w:r>
        <w:rPr>
          <w:rFonts w:ascii="Times New Roman" w:hAnsi="Times New Roman" w:cs="Times New Roman" w:eastAsia="Times New Roman" w:hint="default"/>
        </w:rPr>
        <w:t>2</w:t>
      </w:r>
      <w:r>
        <w:rPr/>
        <w:t>、其他</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7" w:right="1024"/>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日，公司尚有未到期的由银行为公司提供的保函担保，明细见下表：</w:t>
      </w:r>
    </w:p>
    <w:p>
      <w:pPr>
        <w:spacing w:before="186"/>
        <w:ind w:left="0" w:right="2072" w:firstLine="0"/>
        <w:jc w:val="right"/>
        <w:rPr>
          <w:rFonts w:ascii="宋体" w:hAnsi="宋体" w:cs="宋体" w:eastAsia="宋体" w:hint="default"/>
          <w:sz w:val="20"/>
          <w:szCs w:val="20"/>
        </w:rPr>
      </w:pPr>
      <w:r>
        <w:rPr>
          <w:rFonts w:ascii="宋体" w:hAnsi="宋体" w:cs="宋体" w:eastAsia="宋体" w:hint="default"/>
          <w:spacing w:val="-1"/>
          <w:sz w:val="20"/>
          <w:szCs w:val="20"/>
        </w:rPr>
        <w:t>单位：元</w:t>
      </w:r>
    </w:p>
    <w:p>
      <w:pPr>
        <w:spacing w:line="240" w:lineRule="auto" w:before="3"/>
        <w:rPr>
          <w:rFonts w:ascii="宋体" w:hAnsi="宋体" w:cs="宋体" w:eastAsia="宋体" w:hint="default"/>
          <w:sz w:val="10"/>
          <w:szCs w:val="10"/>
        </w:rPr>
      </w:pPr>
    </w:p>
    <w:tbl>
      <w:tblPr>
        <w:tblW w:w="0" w:type="auto"/>
        <w:jc w:val="left"/>
        <w:tblInd w:w="711" w:type="dxa"/>
        <w:tblLayout w:type="fixed"/>
        <w:tblCellMar>
          <w:top w:w="0" w:type="dxa"/>
          <w:left w:w="0" w:type="dxa"/>
          <w:bottom w:w="0" w:type="dxa"/>
          <w:right w:w="0" w:type="dxa"/>
        </w:tblCellMar>
        <w:tblLook w:val="01E0"/>
      </w:tblPr>
      <w:tblGrid>
        <w:gridCol w:w="2770"/>
        <w:gridCol w:w="777"/>
        <w:gridCol w:w="1237"/>
        <w:gridCol w:w="1072"/>
        <w:gridCol w:w="974"/>
        <w:gridCol w:w="1687"/>
      </w:tblGrid>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担保银行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2"/>
              <w:jc w:val="right"/>
              <w:rPr>
                <w:rFonts w:ascii="宋体" w:hAnsi="宋体" w:cs="宋体" w:eastAsia="宋体" w:hint="default"/>
                <w:sz w:val="18"/>
                <w:szCs w:val="18"/>
              </w:rPr>
            </w:pPr>
            <w:r>
              <w:rPr>
                <w:rFonts w:ascii="宋体" w:hAnsi="宋体" w:cs="宋体" w:eastAsia="宋体" w:hint="default"/>
                <w:sz w:val="18"/>
                <w:szCs w:val="18"/>
              </w:rPr>
              <w:t>币种</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1" w:right="0"/>
              <w:jc w:val="left"/>
              <w:rPr>
                <w:rFonts w:ascii="宋体" w:hAnsi="宋体" w:cs="宋体" w:eastAsia="宋体" w:hint="default"/>
                <w:sz w:val="18"/>
                <w:szCs w:val="18"/>
              </w:rPr>
            </w:pPr>
            <w:r>
              <w:rPr>
                <w:rFonts w:ascii="宋体" w:hAnsi="宋体" w:cs="宋体" w:eastAsia="宋体" w:hint="default"/>
                <w:sz w:val="18"/>
                <w:szCs w:val="18"/>
              </w:rPr>
              <w:t>担保事由</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8" w:right="0"/>
              <w:jc w:val="left"/>
              <w:rPr>
                <w:rFonts w:ascii="宋体" w:hAnsi="宋体" w:cs="宋体" w:eastAsia="宋体" w:hint="default"/>
                <w:sz w:val="18"/>
                <w:szCs w:val="18"/>
              </w:rPr>
            </w:pPr>
            <w:r>
              <w:rPr>
                <w:rFonts w:ascii="宋体" w:hAnsi="宋体" w:cs="宋体" w:eastAsia="宋体" w:hint="default"/>
                <w:sz w:val="18"/>
                <w:szCs w:val="18"/>
              </w:rPr>
              <w:t>担保合同编号</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445,000.00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2016/3/25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201210190035</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784,600.00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2017/12/21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201212200192</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102,415.00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2018/4/21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201304180182</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186,800.00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2016/5/20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201305170095</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2,896,484.00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2018/7/14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201307120049</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126,000.00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2016/12/17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201312110120</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64,400.00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2018/12/22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201312240056</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231,884.88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2018/3/16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201401210103</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301,732.44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2018/4/12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201401210087</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190,000.00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2019/2/10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201402120097</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122,670.00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2019/3/1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201403040877</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318,010.00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2018/3/6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201403040992</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85,000.00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2016/3/30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201406241142</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175,000.00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2017/7/11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201407100907</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1,520,767.27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2018/9/14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201408110379</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160,106.60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2018/5/19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201408180152</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31,791.00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2017/9/30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201410080230</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63,850.00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2019/9/29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201410080470</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439,000.00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2018/12/4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DG00023140175</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9,528.00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2016/2/11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质量保函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DG00023150354</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1,478,994.60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2019/4/29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DG00023150581</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48,500.00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2016/6/8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DG00023150863</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21,500.00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2019/5/13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DG00023150706</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108,990.00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2016/7/5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DG00023150974</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120,200.00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2016/7/5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DG00023151006</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165,000.00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2016/7/10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DG00023151084</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164,942.35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2016/8/20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DG00023151028</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20"/>
              <w:jc w:val="righ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198,000.00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2020/8/24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DG00023151378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11" w:type="dxa"/>
        <w:tblLayout w:type="fixed"/>
        <w:tblCellMar>
          <w:top w:w="0" w:type="dxa"/>
          <w:left w:w="0" w:type="dxa"/>
          <w:bottom w:w="0" w:type="dxa"/>
          <w:right w:w="0" w:type="dxa"/>
        </w:tblCellMar>
        <w:tblLook w:val="01E0"/>
      </w:tblPr>
      <w:tblGrid>
        <w:gridCol w:w="2770"/>
        <w:gridCol w:w="777"/>
        <w:gridCol w:w="1237"/>
        <w:gridCol w:w="1072"/>
        <w:gridCol w:w="974"/>
        <w:gridCol w:w="1687"/>
      </w:tblGrid>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7,900,000.00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2016/8/26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DG00023151399</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284,951.10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2018/9/10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DG00023151452</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214,021.40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2018/9/10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DG00023151474</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18,000.00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2017/9/8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DG00023151445</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586,000.00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2018/9/24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DG00023151340</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1,930,223.00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2016/1/14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DG00023151640</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792,132.00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2016/1/14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DG00023151636</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49,500.00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2016/9/30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DG00023151618</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70,135.07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2016/10/30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DG00023151654</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835,042.78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2017/4/26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DG00023151756</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309,000.00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2016/11/18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DG00023151982</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1,300,000.00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2016/2/20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DG00023151981</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520,000.00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2016/7/31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投标保函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DG00023152053</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280,000.00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2016/7/31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投标保函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DG00023152054</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840,000.00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2016/7/31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投标保函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DG00023152057</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2016/7/31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投标保函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DG00023152058</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284,925.00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2018/11/24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DG00023152043</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125,833.00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2016/11/24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DG00023152050</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26,450.00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2016/11/27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DG00023152086</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41,940.00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2016/11/27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DG00023152082</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67,234.00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2016/12/3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DG00023151765</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224,400.00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2018/12/15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DG00023152223</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177,023.20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2018/12/14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DG00023152181</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2,761,000.00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2016/3/22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DG00023152326</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240,000.00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2016/4/2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投标保函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DG00023152396</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宁波银行股份有限公司北京分行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122,028.00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2020/3/24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07701BH20158020</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宁波银行股份有限公司北京分行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1,512,091.00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2020/3/24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07701BH20158021</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宁波银行股份有限公司北京分行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2,225,330.00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2020/3/24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07701BH20158022</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宁波银行股份有限公司北京分行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334,455.00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2020/3/24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07701BH20158023</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宁波银行股份有限公司北京分行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427,289.96</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2016/12/8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07701BH20158143</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宁波银行股份有限公司北京分行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2,147,223.30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2016/3/28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07701BH20158163</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宁波银行股份有限公司北京分行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6,441,669.90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2016/3/28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预付款保函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07701BH20158164</w:t>
            </w:r>
          </w:p>
        </w:tc>
      </w:tr>
      <w:tr>
        <w:trPr>
          <w:trHeight w:val="654"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3"/>
              <w:jc w:val="left"/>
              <w:rPr>
                <w:rFonts w:ascii="宋体" w:hAnsi="宋体" w:cs="宋体" w:eastAsia="宋体" w:hint="default"/>
                <w:sz w:val="18"/>
                <w:szCs w:val="18"/>
              </w:rPr>
            </w:pPr>
            <w:r>
              <w:rPr>
                <w:rFonts w:ascii="宋体" w:hAnsi="宋体" w:cs="宋体" w:eastAsia="宋体" w:hint="default"/>
                <w:sz w:val="18"/>
                <w:szCs w:val="18"/>
              </w:rPr>
              <w:t>中国光大银行股份有限公司西安经 济技术开发区支行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153,131.00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2016/1/20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LG7855150158AH</w:t>
            </w:r>
          </w:p>
        </w:tc>
      </w:tr>
      <w:tr>
        <w:trPr>
          <w:trHeight w:val="654"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3"/>
              <w:jc w:val="left"/>
              <w:rPr>
                <w:rFonts w:ascii="宋体" w:hAnsi="宋体" w:cs="宋体" w:eastAsia="宋体" w:hint="default"/>
                <w:sz w:val="18"/>
                <w:szCs w:val="18"/>
              </w:rPr>
            </w:pPr>
            <w:r>
              <w:rPr>
                <w:rFonts w:ascii="宋体" w:hAnsi="宋体" w:cs="宋体" w:eastAsia="宋体" w:hint="default"/>
                <w:sz w:val="18"/>
                <w:szCs w:val="18"/>
              </w:rPr>
              <w:t>招商银行股份有限公司北京大运村 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1,164,005.80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2017/3/30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年大保字第</w:t>
            </w:r>
            <w:r>
              <w:rPr>
                <w:rFonts w:ascii="Times New Roman" w:hAnsi="Times New Roman" w:cs="Times New Roman" w:eastAsia="Times New Roman" w:hint="default"/>
                <w:sz w:val="18"/>
                <w:szCs w:val="18"/>
              </w:rPr>
              <w:t>008</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77"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45,186,200.65</w:t>
            </w:r>
          </w:p>
        </w:tc>
        <w:tc>
          <w:tcPr>
            <w:tcW w:w="107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607" w:right="1024"/>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日，公司尚有已到期尚未撤销的由银行为公司提供的保函担保，明细见下表：</w:t>
      </w:r>
    </w:p>
    <w:p>
      <w:pPr>
        <w:spacing w:before="30"/>
        <w:ind w:left="0" w:right="2340" w:firstLine="0"/>
        <w:jc w:val="right"/>
        <w:rPr>
          <w:rFonts w:ascii="宋体" w:hAnsi="宋体" w:cs="宋体" w:eastAsia="宋体" w:hint="default"/>
          <w:sz w:val="20"/>
          <w:szCs w:val="20"/>
        </w:rPr>
      </w:pPr>
      <w:r>
        <w:rPr>
          <w:rFonts w:ascii="宋体" w:hAnsi="宋体" w:cs="宋体" w:eastAsia="宋体" w:hint="default"/>
          <w:spacing w:val="-1"/>
          <w:sz w:val="20"/>
          <w:szCs w:val="20"/>
        </w:rPr>
        <w:t>单位：元</w:t>
      </w:r>
    </w:p>
    <w:p>
      <w:pPr>
        <w:spacing w:line="240" w:lineRule="auto" w:before="4"/>
        <w:rPr>
          <w:rFonts w:ascii="宋体" w:hAnsi="宋体" w:cs="宋体" w:eastAsia="宋体" w:hint="default"/>
          <w:sz w:val="4"/>
          <w:szCs w:val="4"/>
        </w:rPr>
      </w:pPr>
    </w:p>
    <w:tbl>
      <w:tblPr>
        <w:tblW w:w="0" w:type="auto"/>
        <w:jc w:val="left"/>
        <w:tblInd w:w="711" w:type="dxa"/>
        <w:tblLayout w:type="fixed"/>
        <w:tblCellMar>
          <w:top w:w="0" w:type="dxa"/>
          <w:left w:w="0" w:type="dxa"/>
          <w:bottom w:w="0" w:type="dxa"/>
          <w:right w:w="0" w:type="dxa"/>
        </w:tblCellMar>
        <w:tblLook w:val="01E0"/>
      </w:tblPr>
      <w:tblGrid>
        <w:gridCol w:w="2770"/>
        <w:gridCol w:w="777"/>
        <w:gridCol w:w="1237"/>
        <w:gridCol w:w="1072"/>
        <w:gridCol w:w="974"/>
        <w:gridCol w:w="1687"/>
      </w:tblGrid>
      <w:tr>
        <w:trPr>
          <w:trHeight w:val="34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担保银行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1" w:right="0"/>
              <w:jc w:val="left"/>
              <w:rPr>
                <w:rFonts w:ascii="宋体" w:hAnsi="宋体" w:cs="宋体" w:eastAsia="宋体" w:hint="default"/>
                <w:sz w:val="18"/>
                <w:szCs w:val="18"/>
              </w:rPr>
            </w:pPr>
            <w:r>
              <w:rPr>
                <w:rFonts w:ascii="宋体" w:hAnsi="宋体" w:cs="宋体" w:eastAsia="宋体" w:hint="default"/>
                <w:sz w:val="18"/>
                <w:szCs w:val="18"/>
              </w:rPr>
              <w:t>担保事由</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8" w:right="0"/>
              <w:jc w:val="left"/>
              <w:rPr>
                <w:rFonts w:ascii="宋体" w:hAnsi="宋体" w:cs="宋体" w:eastAsia="宋体" w:hint="default"/>
                <w:sz w:val="18"/>
                <w:szCs w:val="18"/>
              </w:rPr>
            </w:pPr>
            <w:r>
              <w:rPr>
                <w:rFonts w:ascii="宋体" w:hAnsi="宋体" w:cs="宋体" w:eastAsia="宋体" w:hint="default"/>
                <w:sz w:val="18"/>
                <w:szCs w:val="18"/>
              </w:rPr>
              <w:t>担保合同编号</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11" w:type="dxa"/>
        <w:tblLayout w:type="fixed"/>
        <w:tblCellMar>
          <w:top w:w="0" w:type="dxa"/>
          <w:left w:w="0" w:type="dxa"/>
          <w:bottom w:w="0" w:type="dxa"/>
          <w:right w:w="0" w:type="dxa"/>
        </w:tblCellMar>
        <w:tblLook w:val="01E0"/>
      </w:tblPr>
      <w:tblGrid>
        <w:gridCol w:w="2770"/>
        <w:gridCol w:w="777"/>
        <w:gridCol w:w="1237"/>
        <w:gridCol w:w="1072"/>
        <w:gridCol w:w="974"/>
        <w:gridCol w:w="1687"/>
      </w:tblGrid>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宁波银行股份有限公司北京分行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534,112.45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5" w:right="0"/>
              <w:jc w:val="left"/>
              <w:rPr>
                <w:rFonts w:ascii="Times New Roman" w:hAnsi="Times New Roman" w:cs="Times New Roman" w:eastAsia="Times New Roman" w:hint="default"/>
                <w:sz w:val="18"/>
                <w:szCs w:val="18"/>
              </w:rPr>
            </w:pPr>
            <w:r>
              <w:rPr>
                <w:rFonts w:ascii="Times New Roman"/>
                <w:sz w:val="18"/>
              </w:rPr>
              <w:t>2015/12/8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1"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8" w:right="0"/>
              <w:jc w:val="left"/>
              <w:rPr>
                <w:rFonts w:ascii="Times New Roman" w:hAnsi="Times New Roman" w:cs="Times New Roman" w:eastAsia="Times New Roman" w:hint="default"/>
                <w:sz w:val="18"/>
                <w:szCs w:val="18"/>
              </w:rPr>
            </w:pPr>
            <w:r>
              <w:rPr>
                <w:rFonts w:ascii="Times New Roman"/>
                <w:sz w:val="18"/>
              </w:rPr>
              <w:t>07701BH20148054</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2,000,000.00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2015/12/31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投标保函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DG00023150250</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209,417.30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2015/12/31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履约保函</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DG00023151477</w:t>
            </w:r>
          </w:p>
        </w:tc>
      </w:tr>
      <w:tr>
        <w:trPr>
          <w:trHeight w:val="34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77"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2,743,529.75</w:t>
            </w:r>
          </w:p>
        </w:tc>
        <w:tc>
          <w:tcPr>
            <w:tcW w:w="107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1024"/>
        <w:jc w:val="left"/>
        <w:rPr>
          <w:b w:val="0"/>
          <w:bCs w:val="0"/>
        </w:rPr>
      </w:pPr>
      <w:bookmarkStart w:name="十三、资产负债表日后事项" w:id="362"/>
      <w:bookmarkEnd w:id="362"/>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重要的非调整事项" w:id="363"/>
      <w:bookmarkEnd w:id="363"/>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8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根据公司第三届董事会第十 四次会议、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312" w:lineRule="auto" w:before="5"/>
              <w:ind w:left="16"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日中国证券监督 管理委员会证监许可 </w:t>
            </w:r>
            <w:r>
              <w:rPr>
                <w:rFonts w:ascii="Times New Roman" w:hAnsi="Times New Roman" w:cs="Times New Roman" w:eastAsia="Times New Roman" w:hint="default"/>
                <w:spacing w:val="-1"/>
                <w:sz w:val="18"/>
                <w:szCs w:val="18"/>
              </w:rPr>
              <w:t>[2015]3136</w:t>
            </w:r>
            <w:r>
              <w:rPr>
                <w:rFonts w:ascii="Times New Roman" w:hAnsi="Times New Roman" w:cs="Times New Roman" w:eastAsia="Times New Roman" w:hint="default"/>
                <w:sz w:val="18"/>
                <w:szCs w:val="18"/>
              </w:rPr>
              <w:t> </w:t>
            </w:r>
            <w:r>
              <w:rPr>
                <w:rFonts w:ascii="宋体" w:hAnsi="宋体" w:cs="宋体" w:eastAsia="宋体" w:hint="default"/>
                <w:spacing w:val="-11"/>
                <w:sz w:val="18"/>
                <w:szCs w:val="18"/>
              </w:rPr>
              <w:t>号文《关于核准北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京中科金财科技股份有限公 司非公开发行股票的批复》 核准，本公司于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309" w:lineRule="auto" w:before="3"/>
              <w:ind w:left="16" w:right="57"/>
              <w:jc w:val="both"/>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日非公开发行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20,597,584 </w:t>
            </w:r>
            <w:r>
              <w:rPr>
                <w:rFonts w:ascii="宋体" w:hAnsi="宋体" w:cs="宋体" w:eastAsia="宋体" w:hint="default"/>
                <w:sz w:val="18"/>
                <w:szCs w:val="18"/>
              </w:rPr>
              <w:t>股新股，股票的每股面值人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元，发行价格为人</w:t>
            </w:r>
          </w:p>
          <w:p>
            <w:pPr>
              <w:pStyle w:val="TableParagraph"/>
              <w:spacing w:line="240" w:lineRule="auto" w:before="5"/>
              <w:ind w:left="16"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w:t>
            </w:r>
          </w:p>
          <w:p>
            <w:pPr>
              <w:pStyle w:val="TableParagraph"/>
              <w:spacing w:line="309" w:lineRule="auto" w:before="63"/>
              <w:ind w:left="16"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总额为人民币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971,999,988.96 </w:t>
            </w:r>
            <w:r>
              <w:rPr>
                <w:rFonts w:ascii="宋体" w:hAnsi="宋体" w:cs="宋体" w:eastAsia="宋体" w:hint="default"/>
                <w:sz w:val="18"/>
                <w:szCs w:val="18"/>
              </w:rPr>
              <w:t>元，发行后公司注册资本变 更为人民币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337,576,686.00</w:t>
            </w:r>
          </w:p>
          <w:p>
            <w:pPr>
              <w:pStyle w:val="TableParagraph"/>
              <w:spacing w:line="312" w:lineRule="auto" w:before="5"/>
              <w:ind w:left="16" w:right="100"/>
              <w:jc w:val="left"/>
              <w:rPr>
                <w:rFonts w:ascii="宋体" w:hAnsi="宋体" w:cs="宋体" w:eastAsia="宋体" w:hint="default"/>
                <w:sz w:val="18"/>
                <w:szCs w:val="18"/>
              </w:rPr>
            </w:pPr>
            <w:r>
              <w:rPr>
                <w:rFonts w:ascii="宋体" w:hAnsi="宋体" w:cs="宋体" w:eastAsia="宋体" w:hint="default"/>
                <w:sz w:val="18"/>
                <w:szCs w:val="18"/>
              </w:rPr>
              <w:t>元。本次发行的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20,597,584 </w:t>
            </w:r>
            <w:r>
              <w:rPr>
                <w:rFonts w:ascii="宋体" w:hAnsi="宋体" w:cs="宋体" w:eastAsia="宋体" w:hint="default"/>
                <w:sz w:val="18"/>
                <w:szCs w:val="18"/>
              </w:rPr>
              <w:t>股新增股份的登记托管及限 售手续于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由中国证券登记结算有限责 任公司深圳分公司办理完 成。</w:t>
            </w:r>
          </w:p>
        </w:tc>
        <w:tc>
          <w:tcPr>
            <w:tcW w:w="2391" w:type="dxa"/>
            <w:vMerge w:val="restart"/>
            <w:tcBorders>
              <w:top w:val="single" w:sz="4" w:space="0" w:color="000000"/>
              <w:left w:val="single" w:sz="4" w:space="0" w:color="000000"/>
              <w:right w:val="single" w:sz="4" w:space="0" w:color="000000"/>
            </w:tcBorders>
          </w:tcPr>
          <w:p>
            <w:pPr/>
          </w:p>
        </w:tc>
        <w:tc>
          <w:tcPr>
            <w:tcW w:w="2389" w:type="dxa"/>
            <w:vMerge w:val="restart"/>
            <w:tcBorders>
              <w:top w:val="single" w:sz="4" w:space="0" w:color="000000"/>
              <w:left w:val="single" w:sz="4" w:space="0" w:color="000000"/>
              <w:right w:val="single" w:sz="4" w:space="0" w:color="000000"/>
            </w:tcBorders>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328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重要的债务重组</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自然灾害</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外汇汇率重要变动</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2、利润分配情况" w:id="364"/>
      <w:bookmarkEnd w:id="36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13,503,067.44</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3、其他资产负债表日后事项说明" w:id="365"/>
      <w:bookmarkEnd w:id="365"/>
      <w:r>
        <w:rPr>
          <w:b w:val="0"/>
          <w:bCs w:val="0"/>
        </w:rPr>
      </w:r>
      <w:r>
        <w:rPr>
          <w:rFonts w:ascii="Times New Roman" w:hAnsi="Times New Roman" w:cs="Times New Roman" w:eastAsia="Times New Roman" w:hint="default"/>
        </w:rPr>
        <w:t>3</w:t>
      </w:r>
      <w:r>
        <w:rPr/>
        <w:t>、其他资产负债表日后事项说明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7" w:right="1024"/>
        <w:jc w:val="left"/>
      </w:pPr>
      <w:r>
        <w:rPr>
          <w:rFonts w:ascii="宋体" w:hAnsi="宋体" w:cs="宋体" w:eastAsia="宋体" w:hint="default"/>
        </w:rPr>
        <w:t>12</w:t>
      </w:r>
      <w:r>
        <w:rPr>
          <w:rFonts w:ascii="宋体" w:hAnsi="宋体" w:cs="宋体" w:eastAsia="宋体" w:hint="default"/>
          <w:spacing w:val="-54"/>
        </w:rPr>
        <w:t> </w:t>
      </w:r>
      <w:r>
        <w:rPr/>
        <w:t>中财债”票面利率不调整暨债券持有人回售事项</w:t>
      </w:r>
    </w:p>
    <w:p>
      <w:pPr>
        <w:spacing w:line="240" w:lineRule="auto" w:before="9"/>
        <w:rPr>
          <w:rFonts w:ascii="宋体" w:hAnsi="宋体" w:cs="宋体" w:eastAsia="宋体" w:hint="default"/>
          <w:sz w:val="17"/>
          <w:szCs w:val="17"/>
        </w:rPr>
      </w:pPr>
    </w:p>
    <w:p>
      <w:pPr>
        <w:pStyle w:val="BodyText"/>
        <w:spacing w:line="240" w:lineRule="auto" w:before="0"/>
        <w:ind w:left="577" w:right="0"/>
        <w:jc w:val="left"/>
      </w:pPr>
      <w:r>
        <w:rPr/>
        <w:t>根</w:t>
      </w:r>
      <w:r>
        <w:rPr>
          <w:spacing w:val="-80"/>
        </w:rPr>
        <w:t>据</w:t>
      </w:r>
      <w:r>
        <w:rPr/>
        <w:t>《北京中科金财科技股份有限公司公开发行</w:t>
      </w:r>
      <w:r>
        <w:rPr>
          <w:spacing w:val="-52"/>
        </w:rPr>
        <w:t> </w:t>
      </w:r>
      <w:r>
        <w:rPr>
          <w:rFonts w:ascii="宋体" w:hAnsi="宋体" w:cs="宋体" w:eastAsia="宋体" w:hint="default"/>
        </w:rPr>
        <w:t>2012</w:t>
      </w:r>
      <w:r>
        <w:rPr>
          <w:rFonts w:ascii="宋体" w:hAnsi="宋体" w:cs="宋体" w:eastAsia="宋体" w:hint="default"/>
          <w:spacing w:val="-53"/>
        </w:rPr>
        <w:t> </w:t>
      </w:r>
      <w:r>
        <w:rPr/>
        <w:t>年公司</w:t>
      </w:r>
      <w:r>
        <w:rPr>
          <w:spacing w:val="-2"/>
        </w:rPr>
        <w:t>债</w:t>
      </w:r>
      <w:r>
        <w:rPr/>
        <w:t>券募集说明书</w:t>
      </w:r>
      <w:r>
        <w:rPr>
          <w:spacing w:val="-184"/>
        </w:rPr>
        <w:t>》</w:t>
      </w:r>
      <w:r>
        <w:rPr/>
        <w:t>（下</w:t>
      </w:r>
      <w:r>
        <w:rPr>
          <w:spacing w:val="-80"/>
        </w:rPr>
        <w:t>称</w:t>
      </w:r>
      <w:r>
        <w:rPr>
          <w:spacing w:val="-105"/>
        </w:rPr>
        <w:t>“</w:t>
      </w:r>
      <w:r>
        <w:rPr/>
        <w:t>《募集说明书</w:t>
      </w:r>
      <w:r>
        <w:rPr>
          <w:spacing w:val="-106"/>
        </w:rPr>
        <w:t>》</w:t>
      </w:r>
      <w:r>
        <w:rPr>
          <w:spacing w:val="-104"/>
        </w:rPr>
        <w:t>”</w:t>
      </w:r>
      <w:r>
        <w:rPr/>
        <w:t>）</w:t>
      </w:r>
    </w:p>
    <w:p>
      <w:pPr>
        <w:spacing w:line="240" w:lineRule="auto" w:before="10"/>
        <w:rPr>
          <w:rFonts w:ascii="宋体" w:hAnsi="宋体" w:cs="宋体" w:eastAsia="宋体" w:hint="default"/>
          <w:sz w:val="14"/>
          <w:szCs w:val="14"/>
        </w:rPr>
      </w:pPr>
    </w:p>
    <w:p>
      <w:pPr>
        <w:pStyle w:val="BodyText"/>
        <w:spacing w:line="240" w:lineRule="auto" w:before="0"/>
        <w:ind w:right="1024"/>
        <w:jc w:val="left"/>
      </w:pPr>
      <w:r>
        <w:rPr/>
        <w:t>的规定，公司本期债券在存续期前</w:t>
      </w:r>
      <w:r>
        <w:rPr>
          <w:spacing w:val="-48"/>
        </w:rPr>
        <w:t> </w:t>
      </w:r>
      <w:r>
        <w:rPr>
          <w:rFonts w:ascii="宋体" w:hAnsi="宋体" w:cs="宋体" w:eastAsia="宋体" w:hint="default"/>
        </w:rPr>
        <w:t>3</w:t>
      </w:r>
      <w:r>
        <w:rPr>
          <w:rFonts w:ascii="宋体" w:hAnsi="宋体" w:cs="宋体" w:eastAsia="宋体" w:hint="default"/>
          <w:spacing w:val="-48"/>
        </w:rPr>
        <w:t> </w:t>
      </w:r>
      <w:r>
        <w:rPr/>
        <w:t>年的票面利率为</w:t>
      </w:r>
      <w:r>
        <w:rPr>
          <w:spacing w:val="-48"/>
        </w:rPr>
        <w:t> </w:t>
      </w:r>
      <w:r>
        <w:rPr>
          <w:rFonts w:ascii="宋体" w:hAnsi="宋体" w:cs="宋体" w:eastAsia="宋体" w:hint="default"/>
        </w:rPr>
        <w:t>6.70%</w:t>
      </w:r>
      <w:r>
        <w:rPr/>
        <w:t>固定不变。在本期债券的第</w:t>
      </w:r>
      <w:r>
        <w:rPr>
          <w:spacing w:val="-48"/>
        </w:rPr>
        <w:t> </w:t>
      </w:r>
      <w:r>
        <w:rPr>
          <w:rFonts w:ascii="宋体" w:hAnsi="宋体" w:cs="宋体" w:eastAsia="宋体" w:hint="default"/>
        </w:rPr>
        <w:t>3</w:t>
      </w:r>
      <w:r>
        <w:rPr>
          <w:rFonts w:ascii="宋体" w:hAnsi="宋体" w:cs="宋体" w:eastAsia="宋体" w:hint="default"/>
          <w:spacing w:val="-48"/>
        </w:rPr>
        <w:t> </w:t>
      </w:r>
      <w:r>
        <w:rPr/>
        <w:t>年末，公司有权</w:t>
      </w:r>
    </w:p>
    <w:p>
      <w:pPr>
        <w:spacing w:line="240" w:lineRule="auto" w:before="10"/>
        <w:rPr>
          <w:rFonts w:ascii="宋体" w:hAnsi="宋体" w:cs="宋体" w:eastAsia="宋体" w:hint="default"/>
          <w:sz w:val="14"/>
          <w:szCs w:val="14"/>
        </w:rPr>
      </w:pPr>
    </w:p>
    <w:p>
      <w:pPr>
        <w:pStyle w:val="BodyText"/>
        <w:spacing w:line="410" w:lineRule="auto" w:before="0"/>
        <w:ind w:right="1119"/>
        <w:jc w:val="left"/>
      </w:pPr>
      <w:r>
        <w:rPr/>
        <w:t>决定是否上调后</w:t>
      </w:r>
      <w:r>
        <w:rPr>
          <w:spacing w:val="-59"/>
        </w:rPr>
        <w:t> </w:t>
      </w:r>
      <w:r>
        <w:rPr>
          <w:rFonts w:ascii="宋体" w:hAnsi="宋体" w:cs="宋体" w:eastAsia="宋体" w:hint="default"/>
        </w:rPr>
        <w:t>2</w:t>
      </w:r>
      <w:r>
        <w:rPr>
          <w:rFonts w:ascii="宋体" w:hAnsi="宋体" w:cs="宋体" w:eastAsia="宋体" w:hint="default"/>
          <w:spacing w:val="-59"/>
        </w:rPr>
        <w:t> </w:t>
      </w:r>
      <w:r>
        <w:rPr/>
        <w:t>年的票面利率，公司选择不上调票面利率，即本期债券存续期后</w:t>
      </w:r>
      <w:r>
        <w:rPr>
          <w:spacing w:val="-59"/>
        </w:rPr>
        <w:t> </w:t>
      </w:r>
      <w:r>
        <w:rPr>
          <w:rFonts w:ascii="宋体" w:hAnsi="宋体" w:cs="宋体" w:eastAsia="宋体" w:hint="default"/>
        </w:rPr>
        <w:t>2</w:t>
      </w:r>
      <w:r>
        <w:rPr>
          <w:rFonts w:ascii="宋体" w:hAnsi="宋体" w:cs="宋体" w:eastAsia="宋体" w:hint="default"/>
          <w:spacing w:val="-59"/>
        </w:rPr>
        <w:t> </w:t>
      </w:r>
      <w:r>
        <w:rPr/>
        <w:t>年的票面年利率仍为 </w:t>
      </w:r>
      <w:r>
        <w:rPr>
          <w:rFonts w:ascii="宋体" w:hAnsi="宋体" w:cs="宋体" w:eastAsia="宋体" w:hint="default"/>
        </w:rPr>
        <w:t>6.70%</w:t>
      </w:r>
      <w:r>
        <w:rPr/>
        <w:t>。</w:t>
      </w:r>
    </w:p>
    <w:p>
      <w:pPr>
        <w:pStyle w:val="BodyText"/>
        <w:spacing w:line="240" w:lineRule="auto" w:before="82"/>
        <w:ind w:left="577" w:right="1024"/>
        <w:jc w:val="left"/>
      </w:pPr>
      <w:r>
        <w:rPr/>
        <w:t>投资者可在回售登记期间（</w:t>
      </w:r>
      <w:r>
        <w:rPr>
          <w:rFonts w:ascii="宋体" w:hAnsi="宋体" w:cs="宋体" w:eastAsia="宋体" w:hint="default"/>
        </w:rPr>
        <w:t>2016</w:t>
      </w:r>
      <w:r>
        <w:rPr>
          <w:rFonts w:ascii="宋体" w:hAnsi="宋体" w:cs="宋体" w:eastAsia="宋体" w:hint="default"/>
          <w:spacing w:val="-51"/>
        </w:rPr>
        <w:t> </w:t>
      </w:r>
      <w:r>
        <w:rPr/>
        <w:t>年</w:t>
      </w:r>
      <w:r>
        <w:rPr>
          <w:spacing w:val="-52"/>
        </w:rPr>
        <w:t> </w:t>
      </w:r>
      <w:r>
        <w:rPr>
          <w:rFonts w:ascii="宋体" w:hAnsi="宋体" w:cs="宋体" w:eastAsia="宋体" w:hint="default"/>
        </w:rPr>
        <w:t>2</w:t>
      </w:r>
      <w:r>
        <w:rPr>
          <w:rFonts w:ascii="宋体" w:hAnsi="宋体" w:cs="宋体" w:eastAsia="宋体" w:hint="default"/>
          <w:spacing w:val="-50"/>
        </w:rPr>
        <w:t> </w:t>
      </w:r>
      <w:r>
        <w:rPr/>
        <w:t>月</w:t>
      </w:r>
      <w:r>
        <w:rPr>
          <w:spacing w:val="-52"/>
        </w:rPr>
        <w:t> </w:t>
      </w:r>
      <w:r>
        <w:rPr>
          <w:rFonts w:ascii="宋体" w:hAnsi="宋体" w:cs="宋体" w:eastAsia="宋体" w:hint="default"/>
        </w:rPr>
        <w:t>22</w:t>
      </w:r>
      <w:r>
        <w:rPr>
          <w:rFonts w:ascii="宋体" w:hAnsi="宋体" w:cs="宋体" w:eastAsia="宋体" w:hint="default"/>
          <w:spacing w:val="-51"/>
        </w:rPr>
        <w:t> </w:t>
      </w:r>
      <w:r>
        <w:rPr/>
        <w:t>日至</w:t>
      </w:r>
      <w:r>
        <w:rPr>
          <w:spacing w:val="-52"/>
        </w:rPr>
        <w:t> </w:t>
      </w:r>
      <w:r>
        <w:rPr>
          <w:rFonts w:ascii="宋体" w:hAnsi="宋体" w:cs="宋体" w:eastAsia="宋体" w:hint="default"/>
        </w:rPr>
        <w:t>2016</w:t>
      </w:r>
      <w:r>
        <w:rPr>
          <w:rFonts w:ascii="宋体" w:hAnsi="宋体" w:cs="宋体" w:eastAsia="宋体" w:hint="default"/>
          <w:spacing w:val="-51"/>
        </w:rPr>
        <w:t> </w:t>
      </w:r>
      <w:r>
        <w:rPr/>
        <w:t>年</w:t>
      </w:r>
      <w:r>
        <w:rPr>
          <w:spacing w:val="-51"/>
        </w:rPr>
        <w:t> </w:t>
      </w:r>
      <w:r>
        <w:rPr>
          <w:rFonts w:ascii="宋体" w:hAnsi="宋体" w:cs="宋体" w:eastAsia="宋体" w:hint="default"/>
        </w:rPr>
        <w:t>2</w:t>
      </w:r>
      <w:r>
        <w:rPr>
          <w:rFonts w:ascii="宋体" w:hAnsi="宋体" w:cs="宋体" w:eastAsia="宋体" w:hint="default"/>
          <w:spacing w:val="-52"/>
        </w:rPr>
        <w:t> </w:t>
      </w:r>
      <w:r>
        <w:rPr/>
        <w:t>月</w:t>
      </w:r>
      <w:r>
        <w:rPr>
          <w:spacing w:val="-52"/>
        </w:rPr>
        <w:t> </w:t>
      </w:r>
      <w:r>
        <w:rPr>
          <w:rFonts w:ascii="宋体" w:hAnsi="宋体" w:cs="宋体" w:eastAsia="宋体" w:hint="default"/>
        </w:rPr>
        <w:t>24</w:t>
      </w:r>
      <w:r>
        <w:rPr>
          <w:rFonts w:ascii="宋体" w:hAnsi="宋体" w:cs="宋体" w:eastAsia="宋体" w:hint="default"/>
          <w:spacing w:val="-51"/>
        </w:rPr>
        <w:t> </w:t>
      </w:r>
      <w:r>
        <w:rPr/>
        <w:t>日）将其持有的公司债券部分或全部</w:t>
      </w:r>
    </w:p>
    <w:p>
      <w:pPr>
        <w:spacing w:line="240" w:lineRule="auto" w:before="10"/>
        <w:rPr>
          <w:rFonts w:ascii="宋体" w:hAnsi="宋体" w:cs="宋体" w:eastAsia="宋体" w:hint="default"/>
          <w:sz w:val="14"/>
          <w:szCs w:val="14"/>
        </w:rPr>
      </w:pPr>
    </w:p>
    <w:p>
      <w:pPr>
        <w:pStyle w:val="BodyText"/>
        <w:spacing w:line="240" w:lineRule="auto" w:before="0"/>
        <w:ind w:right="1024"/>
        <w:jc w:val="left"/>
      </w:pPr>
      <w:r>
        <w:rPr/>
        <w:t>回售给公司</w:t>
      </w:r>
      <w:r>
        <w:rPr>
          <w:spacing w:val="-15"/>
        </w:rPr>
        <w:t>，</w:t>
      </w:r>
      <w:r>
        <w:rPr/>
        <w:t>回售价格为</w:t>
      </w:r>
      <w:r>
        <w:rPr>
          <w:spacing w:val="-52"/>
        </w:rPr>
        <w:t> </w:t>
      </w:r>
      <w:r>
        <w:rPr>
          <w:rFonts w:ascii="宋体" w:hAnsi="宋体" w:cs="宋体" w:eastAsia="宋体" w:hint="default"/>
        </w:rPr>
        <w:t>100.00</w:t>
      </w:r>
      <w:r>
        <w:rPr>
          <w:rFonts w:ascii="宋体" w:hAnsi="宋体" w:cs="宋体" w:eastAsia="宋体" w:hint="default"/>
          <w:spacing w:val="-53"/>
        </w:rPr>
        <w:t> </w:t>
      </w:r>
      <w:r>
        <w:rPr>
          <w:spacing w:val="-2"/>
        </w:rPr>
        <w:t>元</w:t>
      </w:r>
      <w:r>
        <w:rPr>
          <w:rFonts w:ascii="宋体" w:hAnsi="宋体" w:cs="宋体" w:eastAsia="宋体" w:hint="default"/>
        </w:rPr>
        <w:t>/</w:t>
      </w:r>
      <w:r>
        <w:rPr>
          <w:spacing w:val="-15"/>
        </w:rPr>
        <w:t>张</w:t>
      </w:r>
      <w:r>
        <w:rPr/>
        <w:t>（不含</w:t>
      </w:r>
      <w:r>
        <w:rPr>
          <w:spacing w:val="-2"/>
        </w:rPr>
        <w:t>利</w:t>
      </w:r>
      <w:r>
        <w:rPr/>
        <w:t>息</w:t>
      </w:r>
      <w:r>
        <w:rPr>
          <w:spacing w:val="-105"/>
        </w:rPr>
        <w:t>）</w:t>
      </w:r>
      <w:r>
        <w:rPr>
          <w:spacing w:val="-15"/>
        </w:rPr>
        <w:t>。</w:t>
      </w:r>
      <w:r>
        <w:rPr/>
        <w:t>截至</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2</w:t>
      </w:r>
      <w:r>
        <w:rPr>
          <w:rFonts w:ascii="宋体" w:hAnsi="宋体" w:cs="宋体" w:eastAsia="宋体" w:hint="default"/>
          <w:spacing w:val="-53"/>
        </w:rPr>
        <w:t> </w:t>
      </w:r>
      <w:r>
        <w:rPr/>
        <w:t>月</w:t>
      </w:r>
      <w:r>
        <w:rPr>
          <w:spacing w:val="-53"/>
        </w:rPr>
        <w:t> </w:t>
      </w:r>
      <w:r>
        <w:rPr>
          <w:rFonts w:ascii="宋体" w:hAnsi="宋体" w:cs="宋体" w:eastAsia="宋体" w:hint="default"/>
          <w:spacing w:val="-1"/>
        </w:rPr>
        <w:t>2</w:t>
      </w:r>
      <w:r>
        <w:rPr>
          <w:rFonts w:ascii="宋体" w:hAnsi="宋体" w:cs="宋体" w:eastAsia="宋体" w:hint="default"/>
        </w:rPr>
        <w:t>4</w:t>
      </w:r>
      <w:r>
        <w:rPr>
          <w:rFonts w:ascii="宋体" w:hAnsi="宋体" w:cs="宋体" w:eastAsia="宋体" w:hint="default"/>
          <w:spacing w:val="-53"/>
        </w:rPr>
        <w:t> </w:t>
      </w:r>
      <w:r>
        <w:rPr/>
        <w:t>日止</w:t>
      </w:r>
      <w:r>
        <w:rPr>
          <w:spacing w:val="-119"/>
        </w:rPr>
        <w:t>，</w:t>
      </w:r>
      <w:r>
        <w:rPr/>
        <w:t>“</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spacing w:val="-2"/>
        </w:rPr>
        <w:t>中</w:t>
      </w:r>
      <w:r>
        <w:rPr/>
        <w:t>财债</w:t>
      </w:r>
      <w:r>
        <w:rPr>
          <w:spacing w:val="-15"/>
        </w:rPr>
        <w:t>”</w:t>
      </w:r>
      <w:r>
        <w:rPr/>
        <w:t>本次回售申</w:t>
      </w:r>
    </w:p>
    <w:p>
      <w:pPr>
        <w:spacing w:line="240" w:lineRule="auto" w:before="11"/>
        <w:rPr>
          <w:rFonts w:ascii="宋体" w:hAnsi="宋体" w:cs="宋体" w:eastAsia="宋体" w:hint="default"/>
          <w:sz w:val="14"/>
          <w:szCs w:val="14"/>
        </w:rPr>
      </w:pPr>
    </w:p>
    <w:p>
      <w:pPr>
        <w:pStyle w:val="BodyText"/>
        <w:spacing w:line="240" w:lineRule="auto" w:before="0"/>
        <w:ind w:right="1024"/>
        <w:jc w:val="left"/>
      </w:pPr>
      <w:r>
        <w:rPr/>
        <w:t>报数量为：</w:t>
      </w:r>
      <w:r>
        <w:rPr>
          <w:rFonts w:ascii="宋体" w:hAnsi="宋体" w:cs="宋体" w:eastAsia="宋体" w:hint="default"/>
        </w:rPr>
        <w:t>186,180</w:t>
      </w:r>
      <w:r>
        <w:rPr>
          <w:rFonts w:ascii="宋体" w:hAnsi="宋体" w:cs="宋体" w:eastAsia="宋体" w:hint="default"/>
          <w:spacing w:val="-52"/>
        </w:rPr>
        <w:t> </w:t>
      </w:r>
      <w:r>
        <w:rPr/>
        <w:t>张</w:t>
      </w:r>
      <w:r>
        <w:rPr>
          <w:spacing w:val="-2"/>
        </w:rPr>
        <w:t>，</w:t>
      </w:r>
      <w:r>
        <w:rPr/>
        <w:t>回售申报金额为</w:t>
      </w:r>
      <w:r>
        <w:rPr>
          <w:spacing w:val="-52"/>
        </w:rPr>
        <w:t> </w:t>
      </w:r>
      <w:r>
        <w:rPr>
          <w:rFonts w:ascii="宋体" w:hAnsi="宋体" w:cs="宋体" w:eastAsia="宋体" w:hint="default"/>
        </w:rPr>
        <w:t>18,618,000</w:t>
      </w:r>
      <w:r>
        <w:rPr>
          <w:rFonts w:ascii="宋体" w:hAnsi="宋体" w:cs="宋体" w:eastAsia="宋体" w:hint="default"/>
          <w:spacing w:val="-53"/>
        </w:rPr>
        <w:t> </w:t>
      </w:r>
      <w:r>
        <w:rPr/>
        <w:t>元（不</w:t>
      </w:r>
      <w:r>
        <w:rPr>
          <w:spacing w:val="-2"/>
        </w:rPr>
        <w:t>含</w:t>
      </w:r>
      <w:r>
        <w:rPr/>
        <w:t>利息</w:t>
      </w:r>
      <w:r>
        <w:rPr>
          <w:spacing w:val="-105"/>
        </w:rPr>
        <w:t>）</w:t>
      </w:r>
      <w:r>
        <w:rPr/>
        <w:t>，剩</w:t>
      </w:r>
      <w:r>
        <w:rPr>
          <w:spacing w:val="-2"/>
        </w:rPr>
        <w:t>余</w:t>
      </w:r>
      <w:r>
        <w:rPr/>
        <w:t>托管数量为</w:t>
      </w:r>
      <w:r>
        <w:rPr>
          <w:spacing w:val="-52"/>
        </w:rPr>
        <w:t> </w:t>
      </w:r>
      <w:r>
        <w:rPr>
          <w:rFonts w:ascii="宋体" w:hAnsi="宋体" w:cs="宋体" w:eastAsia="宋体" w:hint="default"/>
        </w:rPr>
        <w:t>2,213,820</w:t>
      </w:r>
      <w:r>
        <w:rPr>
          <w:rFonts w:ascii="宋体" w:hAnsi="宋体" w:cs="宋体" w:eastAsia="宋体" w:hint="default"/>
          <w:spacing w:val="-52"/>
        </w:rPr>
        <w:t> </w:t>
      </w:r>
      <w:r>
        <w:rPr>
          <w:spacing w:val="-2"/>
        </w:rPr>
        <w:t>张。</w:t>
      </w:r>
      <w:r>
        <w:rPr/>
      </w:r>
    </w:p>
    <w:p>
      <w:pPr>
        <w:spacing w:line="240" w:lineRule="auto" w:before="13"/>
        <w:rPr>
          <w:rFonts w:ascii="宋体" w:hAnsi="宋体" w:cs="宋体" w:eastAsia="宋体" w:hint="default"/>
          <w:sz w:val="29"/>
          <w:szCs w:val="29"/>
        </w:rPr>
      </w:pPr>
    </w:p>
    <w:p>
      <w:pPr>
        <w:pStyle w:val="Heading2"/>
        <w:spacing w:line="240" w:lineRule="auto"/>
        <w:ind w:right="1024"/>
        <w:jc w:val="left"/>
        <w:rPr>
          <w:b w:val="0"/>
          <w:bCs w:val="0"/>
        </w:rPr>
      </w:pPr>
      <w:bookmarkStart w:name="十四、其他重要事项" w:id="366"/>
      <w:bookmarkEnd w:id="366"/>
      <w:r>
        <w:rPr>
          <w:b w:val="0"/>
          <w:bCs w:val="0"/>
        </w:rPr>
      </w:r>
      <w:r>
        <w:rPr/>
        <w:t>十四、其他重要事项</w:t>
      </w:r>
      <w:r>
        <w:rPr>
          <w:b w:val="0"/>
          <w:bCs w:val="0"/>
        </w:rPr>
      </w:r>
    </w:p>
    <w:p>
      <w:pPr>
        <w:spacing w:line="240" w:lineRule="auto" w:before="10"/>
        <w:rPr>
          <w:rFonts w:ascii="宋体" w:hAnsi="宋体" w:cs="宋体" w:eastAsia="宋体" w:hint="default"/>
          <w:b/>
          <w:bCs/>
          <w:sz w:val="24"/>
          <w:szCs w:val="24"/>
        </w:rPr>
      </w:pPr>
    </w:p>
    <w:p>
      <w:pPr>
        <w:pStyle w:val="Heading4"/>
        <w:spacing w:line="506" w:lineRule="auto"/>
        <w:ind w:left="153" w:right="10015"/>
        <w:jc w:val="left"/>
        <w:rPr>
          <w:rFonts w:ascii="宋体" w:hAnsi="宋体" w:cs="宋体" w:eastAsia="宋体" w:hint="default"/>
          <w:b w:val="0"/>
          <w:bCs w:val="0"/>
        </w:rPr>
      </w:pPr>
      <w:bookmarkStart w:name="1、其他" w:id="367"/>
      <w:bookmarkEnd w:id="367"/>
      <w:r>
        <w:rPr>
          <w:b w:val="0"/>
          <w:bCs w:val="0"/>
        </w:rPr>
      </w:r>
      <w:r>
        <w:rPr>
          <w:rFonts w:ascii="Times New Roman" w:hAnsi="Times New Roman" w:cs="Times New Roman" w:eastAsia="Times New Roman" w:hint="default"/>
        </w:rPr>
        <w:t>1</w:t>
      </w:r>
      <w:r>
        <w:rPr/>
        <w:t>、其他</w:t>
      </w:r>
      <w:r>
        <w:rPr>
          <w:spacing w:val="1"/>
          <w:w w:val="99"/>
        </w:rPr>
        <w:t> </w:t>
      </w:r>
      <w:r>
        <w:rPr>
          <w:rFonts w:ascii="宋体" w:hAnsi="宋体" w:cs="宋体" w:eastAsia="宋体" w:hint="default"/>
          <w:b w:val="0"/>
          <w:bCs w:val="0"/>
        </w:rPr>
        <w:t>无</w:t>
      </w:r>
    </w:p>
    <w:p>
      <w:pPr>
        <w:pStyle w:val="Heading2"/>
        <w:spacing w:line="240" w:lineRule="auto" w:before="82"/>
        <w:ind w:left="154" w:right="1024"/>
        <w:jc w:val="left"/>
        <w:rPr>
          <w:b w:val="0"/>
          <w:bCs w:val="0"/>
        </w:rPr>
      </w:pPr>
      <w:bookmarkStart w:name="十五、母公司财务报表主要项目注释" w:id="368"/>
      <w:bookmarkEnd w:id="368"/>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应收账款" w:id="369"/>
      <w:bookmarkEnd w:id="36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应收账款分类披露" w:id="370"/>
      <w:bookmarkEnd w:id="37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0"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78,790,6</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44.45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5,624,75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73,165,88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5.44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44,618,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606.56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3,773,497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40,845,109.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78,790,6</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44.45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5,624,75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9.01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7.14%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73,165,88</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5.44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44,618,</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606.56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3,773,497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8.46%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40,845,109.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70,648,408.78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3,532,420.44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70,648,408.78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3,532,420.44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6,596,285.67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659,628.57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141,550.00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28,310.00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1,404,400.00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1,404,400.00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78,790,644.45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5,624,759.01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before="117"/>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left="153" w:right="1024"/>
        <w:jc w:val="left"/>
        <w:rPr>
          <w:b w:val="0"/>
          <w:bCs w:val="0"/>
        </w:rPr>
      </w:pPr>
      <w:bookmarkStart w:name="（2）本期计提、收回或转回的坏账准备情况" w:id="371"/>
      <w:bookmarkEnd w:id="37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154" w:right="1024"/>
        <w:jc w:val="left"/>
      </w:pPr>
      <w:r>
        <w:rPr/>
        <w:t>本期计提坏账准备金额</w:t>
      </w:r>
      <w:r>
        <w:rPr>
          <w:spacing w:val="-53"/>
        </w:rPr>
        <w:t> </w:t>
      </w:r>
      <w:r>
        <w:rPr>
          <w:rFonts w:ascii="Times New Roman" w:hAnsi="Times New Roman" w:cs="Times New Roman" w:eastAsia="Times New Roman" w:hint="default"/>
        </w:rPr>
        <w:t>1,851,261.72</w:t>
      </w:r>
      <w:r>
        <w:rPr>
          <w:rFonts w:ascii="Times New Roman" w:hAnsi="Times New Roman" w:cs="Times New Roman" w:eastAsia="Times New Roman" w:hint="default"/>
          <w:spacing w:val="-2"/>
        </w:rPr>
        <w:t> </w:t>
      </w:r>
      <w:r>
        <w:rPr/>
        <w:t>元；本期收回或转回坏账准备金额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4"/>
          <w:szCs w:val="24"/>
        </w:rPr>
      </w:pPr>
    </w:p>
    <w:p>
      <w:pPr>
        <w:pStyle w:val="Heading4"/>
        <w:spacing w:line="240" w:lineRule="auto"/>
        <w:ind w:left="153" w:right="1024"/>
        <w:jc w:val="left"/>
        <w:rPr>
          <w:b w:val="0"/>
          <w:bCs w:val="0"/>
        </w:rPr>
      </w:pPr>
      <w:bookmarkStart w:name="（3）本期实际核销的应收账款情况" w:id="372"/>
      <w:bookmarkEnd w:id="37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8"/>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1024"/>
        <w:jc w:val="left"/>
        <w:rPr>
          <w:b w:val="0"/>
          <w:bCs w:val="0"/>
        </w:rPr>
      </w:pPr>
      <w:bookmarkStart w:name="（4）按欠款方归集的期末余额前五名的应收账款情况" w:id="373"/>
      <w:bookmarkEnd w:id="37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2305"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705" w:type="dxa"/>
        <w:tblLayout w:type="fixed"/>
        <w:tblCellMar>
          <w:top w:w="0" w:type="dxa"/>
          <w:left w:w="0" w:type="dxa"/>
          <w:bottom w:w="0" w:type="dxa"/>
          <w:right w:w="0" w:type="dxa"/>
        </w:tblCellMar>
        <w:tblLook w:val="01E0"/>
      </w:tblPr>
      <w:tblGrid>
        <w:gridCol w:w="3228"/>
        <w:gridCol w:w="1765"/>
        <w:gridCol w:w="1766"/>
        <w:gridCol w:w="1769"/>
      </w:tblGrid>
      <w:tr>
        <w:trPr>
          <w:trHeight w:val="342" w:hRule="exact"/>
        </w:trPr>
        <w:tc>
          <w:tcPr>
            <w:tcW w:w="322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3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3228" w:type="dxa"/>
            <w:vMerge/>
            <w:tcBorders>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61" w:right="66"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河南省卫生厅统计信息中心</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17,704,800.00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22.47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885,240.00</w:t>
            </w:r>
          </w:p>
        </w:tc>
      </w:tr>
      <w:tr>
        <w:trPr>
          <w:trHeight w:val="34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鹰皇金佰仕网络技术有限公司</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12,707,641.51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16.13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635,382.08</w:t>
            </w:r>
          </w:p>
        </w:tc>
      </w:tr>
      <w:tr>
        <w:trPr>
          <w:trHeight w:val="34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成都万达电子科技有限公司</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7,911,115.72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395,555.79</w:t>
            </w:r>
          </w:p>
        </w:tc>
      </w:tr>
      <w:tr>
        <w:trPr>
          <w:trHeight w:val="34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北京市东城区教育研究中心</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6,700,855.60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8.50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335,042.78</w:t>
            </w:r>
          </w:p>
        </w:tc>
      </w:tr>
      <w:tr>
        <w:trPr>
          <w:trHeight w:val="34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审计署计算机技术中心</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3,466,691.04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4.40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173,334.55</w:t>
            </w:r>
          </w:p>
        </w:tc>
      </w:tr>
      <w:tr>
        <w:trPr>
          <w:trHeight w:val="343"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48,491,103.87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61.54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2,424,555.20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3" w:right="1024"/>
        <w:jc w:val="left"/>
        <w:rPr>
          <w:b w:val="0"/>
          <w:bCs w:val="0"/>
        </w:rPr>
      </w:pPr>
      <w:bookmarkStart w:name="2、其他应收款" w:id="374"/>
      <w:bookmarkEnd w:id="37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其他应收款分类披露" w:id="375"/>
      <w:bookmarkEnd w:id="37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45,279,6</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37.72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4,862,81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40,416,81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40,327,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272.60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2,882,633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37,444,638.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2,593,25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5.42%</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2,593,250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47,872,8</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87.72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4,862,81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10.16%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43,010,06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9.41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40,327,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272.60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2,882,633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7.15%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37,444,638.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1"/>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26,470,843.96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1,323,542.20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26,470,843.96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1,323,542.20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9,555,279.12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955,527.91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7,655,405.39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1,531,081.08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1,598,109.25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1,052,667.12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65.87%</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1,090,884.25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545,442.12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507,225.00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507,225.00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45,279,637.72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4,862,818.31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10.74%</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810" w:right="1024"/>
        <w:jc w:val="left"/>
      </w:pPr>
      <w:r>
        <w:rPr/>
        <w:t>单独计提坏账准备的其他应收款</w:t>
      </w:r>
    </w:p>
    <w:p>
      <w:pPr>
        <w:spacing w:line="240" w:lineRule="auto" w:before="10"/>
        <w:rPr>
          <w:rFonts w:ascii="宋体" w:hAnsi="宋体" w:cs="宋体" w:eastAsia="宋体" w:hint="default"/>
          <w:sz w:val="14"/>
          <w:szCs w:val="14"/>
        </w:rPr>
      </w:pPr>
    </w:p>
    <w:p>
      <w:pPr>
        <w:pStyle w:val="BodyText"/>
        <w:spacing w:line="408" w:lineRule="auto" w:before="0"/>
        <w:ind w:left="1114" w:right="4739" w:hanging="300"/>
        <w:jc w:val="left"/>
      </w:pPr>
      <w:r>
        <w:rPr/>
        <w:t>①</w:t>
      </w:r>
      <w:r>
        <w:rPr>
          <w:spacing w:val="-2"/>
        </w:rPr>
        <w:t> </w:t>
      </w:r>
      <w:r>
        <w:rPr/>
        <w:t>期末单项金额重大并单项计提坏账准备的其他应收款：</w:t>
      </w:r>
      <w:r>
        <w:rPr/>
        <w:t> 无</w:t>
      </w:r>
    </w:p>
    <w:p>
      <w:pPr>
        <w:pStyle w:val="BodyText"/>
        <w:spacing w:line="240" w:lineRule="auto"/>
        <w:ind w:left="814" w:right="1024"/>
        <w:jc w:val="left"/>
      </w:pPr>
      <w:r>
        <w:rPr/>
        <w:t>②</w:t>
      </w:r>
      <w:r>
        <w:rPr>
          <w:spacing w:val="-2"/>
        </w:rPr>
        <w:t> </w:t>
      </w:r>
      <w:r>
        <w:rPr/>
        <w:t>组合中不计提坏账准备的其他应收款：</w:t>
      </w:r>
    </w:p>
    <w:p>
      <w:pPr>
        <w:spacing w:line="240" w:lineRule="auto" w:before="12"/>
        <w:rPr>
          <w:rFonts w:ascii="宋体" w:hAnsi="宋体" w:cs="宋体" w:eastAsia="宋体" w:hint="default"/>
          <w:sz w:val="9"/>
          <w:szCs w:val="9"/>
        </w:rPr>
      </w:pPr>
    </w:p>
    <w:tbl>
      <w:tblPr>
        <w:tblW w:w="0" w:type="auto"/>
        <w:jc w:val="left"/>
        <w:tblInd w:w="858" w:type="dxa"/>
        <w:tblLayout w:type="fixed"/>
        <w:tblCellMar>
          <w:top w:w="0" w:type="dxa"/>
          <w:left w:w="0" w:type="dxa"/>
          <w:bottom w:w="0" w:type="dxa"/>
          <w:right w:w="0" w:type="dxa"/>
        </w:tblCellMar>
        <w:tblLook w:val="01E0"/>
      </w:tblPr>
      <w:tblGrid>
        <w:gridCol w:w="2410"/>
        <w:gridCol w:w="1559"/>
        <w:gridCol w:w="1288"/>
        <w:gridCol w:w="2255"/>
      </w:tblGrid>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71"/>
              <w:jc w:val="right"/>
              <w:rPr>
                <w:rFonts w:ascii="宋体" w:hAnsi="宋体" w:cs="宋体" w:eastAsia="宋体" w:hint="default"/>
                <w:sz w:val="18"/>
                <w:szCs w:val="18"/>
              </w:rPr>
            </w:pPr>
            <w:r>
              <w:rPr>
                <w:rFonts w:ascii="宋体" w:hAnsi="宋体" w:cs="宋体" w:eastAsia="宋体" w:hint="default"/>
                <w:sz w:val="18"/>
                <w:szCs w:val="18"/>
              </w:rPr>
              <w:t>不计提理由</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天津滨河顺通科技有限公司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2,593,250.00</w:t>
            </w:r>
          </w:p>
        </w:tc>
        <w:tc>
          <w:tcPr>
            <w:tcW w:w="1288" w:type="dxa"/>
            <w:tcBorders>
              <w:top w:val="single" w:sz="4" w:space="0" w:color="000000"/>
              <w:left w:val="single" w:sz="4" w:space="0" w:color="000000"/>
              <w:bottom w:val="single" w:sz="4" w:space="0" w:color="000000"/>
              <w:right w:val="single" w:sz="4" w:space="0" w:color="000000"/>
            </w:tcBorders>
          </w:tcPr>
          <w:p>
            <w:pPr/>
          </w:p>
        </w:tc>
        <w:tc>
          <w:tcPr>
            <w:tcW w:w="2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72"/>
              <w:jc w:val="right"/>
              <w:rPr>
                <w:rFonts w:ascii="宋体" w:hAnsi="宋体" w:cs="宋体" w:eastAsia="宋体" w:hint="default"/>
                <w:sz w:val="18"/>
                <w:szCs w:val="18"/>
              </w:rPr>
            </w:pPr>
            <w:r>
              <w:rPr>
                <w:rFonts w:ascii="宋体" w:hAnsi="宋体" w:cs="宋体" w:eastAsia="宋体" w:hint="default"/>
                <w:sz w:val="18"/>
                <w:szCs w:val="18"/>
              </w:rPr>
              <w:t>合并范围内往来</w:t>
            </w:r>
          </w:p>
        </w:tc>
      </w:tr>
      <w:tr>
        <w:trPr>
          <w:trHeight w:val="34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2,593,250.00</w:t>
            </w:r>
          </w:p>
        </w:tc>
        <w:tc>
          <w:tcPr>
            <w:tcW w:w="1288" w:type="dxa"/>
            <w:tcBorders>
              <w:top w:val="single" w:sz="4" w:space="0" w:color="000000"/>
              <w:left w:val="single" w:sz="4" w:space="0" w:color="000000"/>
              <w:bottom w:val="single" w:sz="4" w:space="0" w:color="000000"/>
              <w:right w:val="single" w:sz="4" w:space="0" w:color="000000"/>
            </w:tcBorders>
          </w:tcPr>
          <w:p>
            <w:pPr/>
          </w:p>
        </w:tc>
        <w:tc>
          <w:tcPr>
            <w:tcW w:w="22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本期计提、收回或转回的坏账准备情况" w:id="376"/>
      <w:bookmarkEnd w:id="37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154" w:right="1024"/>
        <w:jc w:val="left"/>
      </w:pPr>
      <w:r>
        <w:rPr/>
        <w:t>本期计提坏账准备金额</w:t>
      </w:r>
      <w:r>
        <w:rPr>
          <w:spacing w:val="-53"/>
        </w:rPr>
        <w:t> </w:t>
      </w:r>
      <w:r>
        <w:rPr>
          <w:rFonts w:ascii="Times New Roman" w:hAnsi="Times New Roman" w:cs="Times New Roman" w:eastAsia="Times New Roman" w:hint="default"/>
        </w:rPr>
        <w:t>1,980,184.51</w:t>
      </w:r>
      <w:r>
        <w:rPr>
          <w:rFonts w:ascii="Times New Roman" w:hAnsi="Times New Roman" w:cs="Times New Roman" w:eastAsia="Times New Roman" w:hint="default"/>
          <w:spacing w:val="-2"/>
        </w:rPr>
        <w:t> </w:t>
      </w:r>
      <w:r>
        <w:rPr/>
        <w:t>元；本期收回或转回坏账准备金额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7"/>
        <w:rPr>
          <w:rFonts w:ascii="宋体" w:hAnsi="宋体" w:cs="宋体" w:eastAsia="宋体" w:hint="default"/>
          <w:sz w:val="24"/>
          <w:szCs w:val="24"/>
        </w:rPr>
      </w:pPr>
    </w:p>
    <w:p>
      <w:pPr>
        <w:pStyle w:val="Heading4"/>
        <w:spacing w:line="240" w:lineRule="auto"/>
        <w:ind w:left="153" w:right="1024"/>
        <w:jc w:val="left"/>
        <w:rPr>
          <w:b w:val="0"/>
          <w:bCs w:val="0"/>
        </w:rPr>
      </w:pPr>
      <w:bookmarkStart w:name="（3）本期实际核销的其他应收款情况" w:id="377"/>
      <w:bookmarkEnd w:id="37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7"/>
        <w:rPr>
          <w:rFonts w:ascii="宋体" w:hAnsi="宋体" w:cs="宋体" w:eastAsia="宋体" w:hint="default"/>
          <w:b/>
          <w:bCs/>
          <w:sz w:val="26"/>
          <w:szCs w:val="2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1024"/>
        <w:jc w:val="left"/>
        <w:rPr>
          <w:b w:val="0"/>
          <w:bCs w:val="0"/>
        </w:rPr>
      </w:pPr>
      <w:bookmarkStart w:name="（4）其他应收款按款项性质分类情况" w:id="378"/>
      <w:bookmarkEnd w:id="37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42,940,039.65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38,382,612.22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273,390.94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321,750.94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预付房租物业</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1,832,196.00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1,410,430.00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2,593,250.00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234,011.13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212,479.44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47,872,887.72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40,327,272.60</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5）按欠款方归集的期末余额前五名的其他应收款情况" w:id="379"/>
      <w:bookmarkEnd w:id="37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中科软科技股份有限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11,709,050.84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1,275,539.41</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北京市信息管理学校</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6,291,875.30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314,593.77</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天津滨河顺通科技有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2,593,250.00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
              <w:jc w:val="center"/>
              <w:rPr>
                <w:rFonts w:ascii="宋体" w:hAnsi="宋体" w:cs="宋体" w:eastAsia="宋体" w:hint="default"/>
                <w:sz w:val="18"/>
                <w:szCs w:val="18"/>
              </w:rPr>
            </w:pPr>
            <w:r>
              <w:rPr>
                <w:rFonts w:ascii="宋体" w:hAnsi="宋体" w:cs="宋体" w:eastAsia="宋体" w:hint="default"/>
                <w:sz w:val="18"/>
                <w:szCs w:val="18"/>
              </w:rPr>
              <w:t>北京工业职业技术学</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2,302,957.00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230,295.70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院</w:t>
            </w:r>
          </w:p>
        </w:tc>
        <w:tc>
          <w:tcPr>
            <w:tcW w:w="1552" w:type="dxa"/>
            <w:tcBorders>
              <w:top w:val="single" w:sz="4" w:space="0" w:color="000000"/>
              <w:left w:val="single" w:sz="4" w:space="0" w:color="000000"/>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北京财贸职业学院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1,904,104.00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189,640.40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24,801,237.14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2,010,069.28</w:t>
            </w:r>
          </w:p>
        </w:tc>
      </w:tr>
    </w:tbl>
    <w:p>
      <w:pPr>
        <w:spacing w:line="240" w:lineRule="auto" w:before="3"/>
        <w:rPr>
          <w:rFonts w:ascii="宋体" w:hAnsi="宋体" w:cs="宋体" w:eastAsia="宋体" w:hint="default"/>
          <w:sz w:val="19"/>
          <w:szCs w:val="19"/>
        </w:rPr>
      </w:pPr>
    </w:p>
    <w:p>
      <w:pPr>
        <w:pStyle w:val="Heading4"/>
        <w:spacing w:line="240" w:lineRule="auto" w:before="35"/>
        <w:ind w:right="1024"/>
        <w:jc w:val="left"/>
        <w:rPr>
          <w:b w:val="0"/>
          <w:bCs w:val="0"/>
        </w:rPr>
      </w:pPr>
      <w:bookmarkStart w:name="3、长期股权投资" w:id="380"/>
      <w:bookmarkEnd w:id="38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924,474,410.57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924,474,410.57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918,474,410.57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918,474,410.57</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339,771,767.42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339,771,767.42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27,405,440.54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27,405,440.54</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1,264,246,177.99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1,264,246,177.99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945,879,851.11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945,879,851.11</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1）对子公司投资" w:id="381"/>
      <w:bookmarkEnd w:id="38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北京中科金财电 子商务有限公司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107,474,410.57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107,474,410.57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北京中科金财信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北京中科金财软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北京中科金财投 资管理有限公司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天津滨河创新科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918,474,410.57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6,000,000.00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924,474,410.57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2）对联营、合营企业投资" w:id="382"/>
      <w:bookmarkEnd w:id="38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北京中科 金财电子 产品有限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21,872,85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2,886,266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2,023,847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22,735,27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中科环嘉 电子商务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4,967,710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-2,694,75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2,272,950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深圳中金 财富互联 网金融服 务有限公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564,876.0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17,070,00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-323,812.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17,311,06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3.53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北京中关 村互联网 金融信息 服务中心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150,056.1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750,056.1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大连金融 资产交易 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25,023,60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-2,784,09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22,239,50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安粮期货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255,366,2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1,196,809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256,563,0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09.60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金网络</w:t>
            </w:r>
          </w:p>
          <w:p>
            <w:pPr>
              <w:pStyle w:val="TableParagraph"/>
              <w:spacing w:line="319"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（北京） 电子商务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-2,100,09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17,899,90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27,405,44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318,059,8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-3,669,62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2,023,847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339,771,7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67.42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27,405,44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318,059,8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-3,669,62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2,023,847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339,771,7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67.42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4、营业收入和营业成本" w:id="383"/>
      <w:bookmarkEnd w:id="38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5"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1,105,035,504.74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849,255,057.50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959,881,109.07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729,369,311.91</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8,709,397.10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7,076,701.87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9,374,193.64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5,405,739.21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1" w:right="0"/>
              <w:jc w:val="left"/>
              <w:rPr>
                <w:rFonts w:ascii="Times New Roman" w:hAnsi="Times New Roman" w:cs="Times New Roman" w:eastAsia="Times New Roman" w:hint="default"/>
                <w:sz w:val="18"/>
                <w:szCs w:val="18"/>
              </w:rPr>
            </w:pPr>
            <w:r>
              <w:rPr>
                <w:rFonts w:ascii="Times New Roman"/>
                <w:sz w:val="18"/>
              </w:rPr>
              <w:t>1,113,744,901.84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856,331,759.37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969,255,302.71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734,775,051.12</w:t>
            </w:r>
          </w:p>
        </w:tc>
      </w:tr>
    </w:tbl>
    <w:p>
      <w:pPr>
        <w:spacing w:line="240" w:lineRule="auto" w:before="2"/>
        <w:rPr>
          <w:rFonts w:ascii="宋体" w:hAnsi="宋体" w:cs="宋体" w:eastAsia="宋体" w:hint="default"/>
          <w:sz w:val="19"/>
          <w:szCs w:val="19"/>
        </w:rPr>
      </w:pPr>
    </w:p>
    <w:p>
      <w:pPr>
        <w:pStyle w:val="Heading4"/>
        <w:spacing w:line="240" w:lineRule="auto" w:before="35"/>
        <w:ind w:right="1024"/>
        <w:jc w:val="left"/>
        <w:rPr>
          <w:b w:val="0"/>
          <w:bCs w:val="0"/>
        </w:rPr>
      </w:pPr>
      <w:bookmarkStart w:name="5、投资收益" w:id="384"/>
      <w:bookmarkEnd w:id="38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-3,669,626.08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1,178,821.65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购买理财产品产生的收益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8,495,589.74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3,213,845.29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4,825,963.66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4,400,666.94</w:t>
            </w:r>
          </w:p>
        </w:tc>
      </w:tr>
    </w:tbl>
    <w:p>
      <w:pPr>
        <w:spacing w:line="240" w:lineRule="auto" w:before="2"/>
        <w:rPr>
          <w:rFonts w:ascii="宋体" w:hAnsi="宋体" w:cs="宋体" w:eastAsia="宋体" w:hint="default"/>
          <w:sz w:val="18"/>
          <w:szCs w:val="18"/>
        </w:rPr>
      </w:pPr>
    </w:p>
    <w:p>
      <w:pPr>
        <w:pStyle w:val="Heading2"/>
        <w:spacing w:line="240" w:lineRule="auto" w:before="26"/>
        <w:ind w:left="154" w:right="1024"/>
        <w:jc w:val="left"/>
        <w:rPr>
          <w:b w:val="0"/>
          <w:bCs w:val="0"/>
        </w:rPr>
      </w:pPr>
      <w:bookmarkStart w:name="十六、补充资料" w:id="385"/>
      <w:bookmarkEnd w:id="385"/>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1024"/>
        <w:jc w:val="left"/>
        <w:rPr>
          <w:b w:val="0"/>
          <w:bCs w:val="0"/>
        </w:rPr>
      </w:pPr>
      <w:bookmarkStart w:name="1、当期非经常性损益明细表" w:id="386"/>
      <w:bookmarkEnd w:id="38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124,767.15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10,811,100.00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9,379,206.57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93"/>
              <w:jc w:val="left"/>
              <w:rPr>
                <w:rFonts w:ascii="宋体" w:hAnsi="宋体" w:cs="宋体" w:eastAsia="宋体" w:hint="default"/>
                <w:sz w:val="18"/>
                <w:szCs w:val="18"/>
              </w:rPr>
            </w:pPr>
            <w:r>
              <w:rPr>
                <w:rFonts w:ascii="宋体" w:hAnsi="宋体" w:cs="宋体" w:eastAsia="宋体" w:hint="default"/>
                <w:sz w:val="18"/>
                <w:szCs w:val="18"/>
              </w:rPr>
              <w:t>公司报告期内购买的银行理财产品的投 资收益</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-75,280.39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2,900,247.44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21,834.01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17,317,711.88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24"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10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97" w:right="0"/>
              <w:jc w:val="left"/>
              <w:rPr>
                <w:rFonts w:ascii="Times New Roman" w:hAnsi="Times New Roman" w:cs="Times New Roman" w:eastAsia="Times New Roman" w:hint="default"/>
                <w:sz w:val="18"/>
                <w:szCs w:val="18"/>
              </w:rPr>
            </w:pPr>
            <w:r>
              <w:rPr>
                <w:rFonts w:ascii="Times New Roman"/>
                <w:sz w:val="18"/>
              </w:rPr>
              <w:t>11,500,783.30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1"/>
              <w:jc w:val="both"/>
              <w:rPr>
                <w:rFonts w:ascii="宋体" w:hAnsi="宋体" w:cs="宋体" w:eastAsia="宋体" w:hint="default"/>
                <w:sz w:val="18"/>
                <w:szCs w:val="18"/>
              </w:rPr>
            </w:pPr>
            <w:r>
              <w:rPr>
                <w:rFonts w:ascii="宋体" w:hAnsi="宋体" w:cs="宋体" w:eastAsia="宋体" w:hint="default"/>
                <w:sz w:val="18"/>
                <w:szCs w:val="18"/>
              </w:rPr>
              <w:t>该项政府补助系与公司正常经营业务密 切相关，符合国家政策规定、按照一定 标准定额或定量持续享受的政府补助。</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213" w:right="0"/>
        <w:jc w:val="left"/>
        <w:rPr>
          <w:b w:val="0"/>
          <w:bCs w:val="0"/>
        </w:rPr>
      </w:pPr>
      <w:bookmarkStart w:name="2、净资产收益率及每股收益" w:id="387"/>
      <w:bookmarkEnd w:id="38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22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r>
    </w:tbl>
    <w:p>
      <w:pPr>
        <w:spacing w:line="240" w:lineRule="auto" w:before="2"/>
        <w:rPr>
          <w:rFonts w:ascii="宋体" w:hAnsi="宋体" w:cs="宋体" w:eastAsia="宋体" w:hint="default"/>
          <w:b/>
          <w:bCs/>
          <w:sz w:val="19"/>
          <w:szCs w:val="19"/>
        </w:rPr>
      </w:pPr>
    </w:p>
    <w:p>
      <w:pPr>
        <w:pStyle w:val="Heading4"/>
        <w:spacing w:line="240" w:lineRule="auto" w:before="35"/>
        <w:ind w:left="214" w:right="0"/>
        <w:jc w:val="left"/>
        <w:rPr>
          <w:b w:val="0"/>
          <w:bCs w:val="0"/>
        </w:rPr>
      </w:pPr>
      <w:bookmarkStart w:name="3、其他" w:id="388"/>
      <w:bookmarkEnd w:id="388"/>
      <w:r>
        <w:rPr>
          <w:b w:val="0"/>
          <w:bCs w:val="0"/>
        </w:rPr>
      </w:r>
      <w:r>
        <w:rPr>
          <w:rFonts w:ascii="Times New Roman" w:hAnsi="Times New Roman" w:cs="Times New Roman" w:eastAsia="Times New Roman" w:hint="default"/>
        </w:rPr>
        <w:t>3</w:t>
      </w:r>
      <w:r>
        <w:rPr/>
        <w:t>、其他</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spacing w:before="31"/>
        <w:ind w:left="3910" w:right="4827" w:firstLine="0"/>
        <w:jc w:val="center"/>
        <w:rPr>
          <w:rFonts w:ascii="宋体" w:hAnsi="宋体" w:cs="宋体" w:eastAsia="宋体" w:hint="default"/>
          <w:sz w:val="22"/>
          <w:szCs w:val="22"/>
        </w:rPr>
      </w:pPr>
      <w:r>
        <w:rPr>
          <w:rFonts w:ascii="宋体" w:hAnsi="宋体" w:cs="宋体" w:eastAsia="宋体" w:hint="default"/>
          <w:b/>
          <w:bCs/>
          <w:sz w:val="22"/>
          <w:szCs w:val="22"/>
        </w:rPr>
        <w:t>财务指标变动原因分析</w:t>
      </w:r>
      <w:r>
        <w:rPr>
          <w:rFonts w:ascii="宋体" w:hAnsi="宋体" w:cs="宋体" w:eastAsia="宋体" w:hint="default"/>
          <w:sz w:val="22"/>
          <w:szCs w:val="22"/>
        </w:rPr>
      </w:r>
    </w:p>
    <w:p>
      <w:pPr>
        <w:spacing w:line="240" w:lineRule="auto" w:before="9"/>
        <w:rPr>
          <w:rFonts w:ascii="宋体" w:hAnsi="宋体" w:cs="宋体" w:eastAsia="宋体" w:hint="default"/>
          <w:b/>
          <w:bCs/>
          <w:sz w:val="7"/>
          <w:szCs w:val="7"/>
        </w:rPr>
      </w:pPr>
    </w:p>
    <w:tbl>
      <w:tblPr>
        <w:tblW w:w="0" w:type="auto"/>
        <w:jc w:val="left"/>
        <w:tblInd w:w="101" w:type="dxa"/>
        <w:tblLayout w:type="fixed"/>
        <w:tblCellMar>
          <w:top w:w="0" w:type="dxa"/>
          <w:left w:w="0" w:type="dxa"/>
          <w:bottom w:w="0" w:type="dxa"/>
          <w:right w:w="0" w:type="dxa"/>
        </w:tblCellMar>
        <w:tblLook w:val="01E0"/>
      </w:tblPr>
      <w:tblGrid>
        <w:gridCol w:w="1805"/>
        <w:gridCol w:w="1847"/>
        <w:gridCol w:w="1844"/>
        <w:gridCol w:w="1415"/>
        <w:gridCol w:w="2945"/>
      </w:tblGrid>
      <w:tr>
        <w:trPr>
          <w:trHeight w:val="32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资产负债项目</w:t>
            </w:r>
            <w:r>
              <w:rPr>
                <w:rFonts w:ascii="宋体" w:hAnsi="宋体" w:cs="宋体" w:eastAsia="宋体" w:hint="default"/>
                <w:sz w:val="21"/>
                <w:szCs w:val="21"/>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94"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变动比例</w:t>
            </w:r>
            <w:r>
              <w:rPr>
                <w:rFonts w:ascii="宋体" w:hAnsi="宋体" w:cs="宋体" w:eastAsia="宋体" w:hint="default"/>
                <w:sz w:val="21"/>
                <w:szCs w:val="21"/>
              </w:rPr>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变动原因说明</w:t>
            </w:r>
            <w:r>
              <w:rPr>
                <w:rFonts w:ascii="宋体" w:hAnsi="宋体" w:cs="宋体" w:eastAsia="宋体" w:hint="default"/>
                <w:sz w:val="21"/>
                <w:szCs w:val="21"/>
              </w:rPr>
            </w: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26,647,211.10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11,847,600.00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124.92%</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主要系期初银行承兑汇票本</w:t>
            </w:r>
          </w:p>
          <w:p>
            <w:pPr>
              <w:pStyle w:val="TableParagraph"/>
              <w:spacing w:line="273" w:lineRule="auto" w:before="37"/>
              <w:ind w:left="103" w:right="310"/>
              <w:jc w:val="left"/>
              <w:rPr>
                <w:rFonts w:ascii="宋体" w:hAnsi="宋体" w:cs="宋体" w:eastAsia="宋体" w:hint="default"/>
                <w:sz w:val="21"/>
                <w:szCs w:val="21"/>
              </w:rPr>
            </w:pPr>
            <w:r>
              <w:rPr>
                <w:rFonts w:ascii="宋体" w:hAnsi="宋体" w:cs="宋体" w:eastAsia="宋体" w:hint="default"/>
                <w:sz w:val="21"/>
                <w:szCs w:val="21"/>
              </w:rPr>
              <w:t>期全部到期承兑及本期收到 银行承兑汇票未到期所致。</w:t>
            </w: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86,037,681.38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58,856,687.46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46.18%</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主要系公司业务规模扩大当</w:t>
            </w:r>
          </w:p>
          <w:p>
            <w:pPr>
              <w:pStyle w:val="TableParagraph"/>
              <w:spacing w:line="273" w:lineRule="auto" w:before="37"/>
              <w:ind w:left="103" w:right="310"/>
              <w:jc w:val="left"/>
              <w:rPr>
                <w:rFonts w:ascii="宋体" w:hAnsi="宋体" w:cs="宋体" w:eastAsia="宋体" w:hint="default"/>
                <w:sz w:val="21"/>
                <w:szCs w:val="21"/>
              </w:rPr>
            </w:pPr>
            <w:r>
              <w:rPr>
                <w:rFonts w:ascii="宋体" w:hAnsi="宋体" w:cs="宋体" w:eastAsia="宋体" w:hint="default"/>
                <w:sz w:val="21"/>
                <w:szCs w:val="21"/>
              </w:rPr>
              <w:t>年新增部分应收账款未到约 定付款期所致。</w:t>
            </w:r>
          </w:p>
        </w:tc>
      </w:tr>
      <w:tr>
        <w:trPr>
          <w:trHeight w:val="947"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16,444,464.94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9,748,571.90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68.69%</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主要系公司销售规模扩大，为</w:t>
            </w:r>
          </w:p>
          <w:p>
            <w:pPr>
              <w:pStyle w:val="TableParagraph"/>
              <w:spacing w:line="273" w:lineRule="auto" w:before="37"/>
              <w:ind w:left="103" w:right="310"/>
              <w:jc w:val="left"/>
              <w:rPr>
                <w:rFonts w:ascii="宋体" w:hAnsi="宋体" w:cs="宋体" w:eastAsia="宋体" w:hint="default"/>
                <w:sz w:val="21"/>
                <w:szCs w:val="21"/>
              </w:rPr>
            </w:pPr>
            <w:r>
              <w:rPr>
                <w:rFonts w:ascii="宋体" w:hAnsi="宋体" w:cs="宋体" w:eastAsia="宋体" w:hint="default"/>
                <w:sz w:val="21"/>
                <w:szCs w:val="21"/>
              </w:rPr>
              <w:t>项目备货而预付采购款增加 所致。</w:t>
            </w: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195,088,374.81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112,514,998.94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73.39%</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主要系公司加强资金管理，将</w:t>
            </w:r>
          </w:p>
          <w:p>
            <w:pPr>
              <w:pStyle w:val="TableParagraph"/>
              <w:spacing w:line="273" w:lineRule="auto" w:before="37"/>
              <w:ind w:left="103" w:right="310"/>
              <w:jc w:val="left"/>
              <w:rPr>
                <w:rFonts w:ascii="宋体" w:hAnsi="宋体" w:cs="宋体" w:eastAsia="宋体" w:hint="default"/>
                <w:sz w:val="21"/>
                <w:szCs w:val="21"/>
              </w:rPr>
            </w:pPr>
            <w:r>
              <w:rPr>
                <w:rFonts w:ascii="宋体" w:hAnsi="宋体" w:cs="宋体" w:eastAsia="宋体" w:hint="default"/>
                <w:sz w:val="21"/>
                <w:szCs w:val="21"/>
              </w:rPr>
              <w:t>暂时闲置资金购买短期保本 型理财产品所致。</w:t>
            </w:r>
          </w:p>
        </w:tc>
      </w:tr>
      <w:tr>
        <w:trPr>
          <w:trHeight w:val="63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339,486,166.39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27,119,839.51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1151.80%</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主要系公司参股安粮期货及</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大金所等所致。</w:t>
            </w:r>
          </w:p>
        </w:tc>
      </w:tr>
      <w:tr>
        <w:trPr>
          <w:trHeight w:val="947"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64,590,677.09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103,282,710.55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-37.46%</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主要系公司提高固定资产使</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z w:val="21"/>
                <w:szCs w:val="21"/>
              </w:rPr>
              <w:t>用效率，原有固定资产计提折 旧后剩余账面价值减小所致。</w:t>
            </w:r>
          </w:p>
        </w:tc>
      </w:tr>
      <w:tr>
        <w:trPr>
          <w:trHeight w:val="63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20,890,399.37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42,472,969.20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-50.81%</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主要系公司部分研发项目完</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成，结转无形资产所致。</w:t>
            </w:r>
          </w:p>
        </w:tc>
      </w:tr>
      <w:tr>
        <w:trPr>
          <w:trHeight w:val="547"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2"/>
              <w:jc w:val="right"/>
              <w:rPr>
                <w:rFonts w:ascii="Times New Roman" w:hAnsi="Times New Roman" w:cs="Times New Roman" w:eastAsia="Times New Roman" w:hint="default"/>
                <w:sz w:val="21"/>
                <w:szCs w:val="21"/>
              </w:rPr>
            </w:pPr>
            <w:r>
              <w:rPr>
                <w:rFonts w:ascii="Times New Roman"/>
                <w:sz w:val="21"/>
              </w:rPr>
              <w:t>84,600.00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
                <w:sz w:val="21"/>
              </w:rPr>
              <w:t>1,406,799.84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宋体" w:hAnsi="宋体" w:cs="宋体" w:eastAsia="宋体" w:hint="default"/>
                <w:sz w:val="21"/>
                <w:szCs w:val="21"/>
              </w:rPr>
            </w:pPr>
            <w:r>
              <w:rPr>
                <w:rFonts w:ascii="宋体"/>
                <w:sz w:val="21"/>
              </w:rPr>
              <w:t>-93.99%</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主要系公司装修费摊销所致。</w:t>
            </w:r>
          </w:p>
        </w:tc>
      </w:tr>
      <w:tr>
        <w:trPr>
          <w:trHeight w:val="219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12,521,368.16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9,087,747.90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right="101"/>
              <w:jc w:val="right"/>
              <w:rPr>
                <w:rFonts w:ascii="宋体" w:hAnsi="宋体" w:cs="宋体" w:eastAsia="宋体" w:hint="default"/>
                <w:sz w:val="21"/>
                <w:szCs w:val="21"/>
              </w:rPr>
            </w:pPr>
            <w:r>
              <w:rPr>
                <w:rFonts w:ascii="宋体"/>
                <w:sz w:val="21"/>
              </w:rPr>
              <w:t>37.78%</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主要系本期公司适用企业所</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z w:val="21"/>
                <w:szCs w:val="21"/>
              </w:rPr>
              <w:t>得税税率从</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变更为</w:t>
            </w:r>
            <w:r>
              <w:rPr>
                <w:rFonts w:ascii="宋体" w:hAnsi="宋体" w:cs="宋体" w:eastAsia="宋体" w:hint="default"/>
                <w:spacing w:val="-55"/>
                <w:sz w:val="21"/>
                <w:szCs w:val="21"/>
              </w:rPr>
              <w:t> </w:t>
            </w:r>
            <w:r>
              <w:rPr>
                <w:rFonts w:ascii="宋体" w:hAnsi="宋体" w:cs="宋体" w:eastAsia="宋体" w:hint="default"/>
                <w:spacing w:val="-21"/>
                <w:sz w:val="21"/>
                <w:szCs w:val="21"/>
              </w:rPr>
              <w:t>15%</w:t>
            </w:r>
            <w:r>
              <w:rPr>
                <w:rFonts w:ascii="宋体" w:hAnsi="宋体" w:cs="宋体" w:eastAsia="宋体" w:hint="default"/>
                <w:spacing w:val="-21"/>
                <w:sz w:val="21"/>
                <w:szCs w:val="21"/>
              </w:rPr>
              <w:t>（上</w:t>
            </w:r>
            <w:r>
              <w:rPr>
                <w:rFonts w:ascii="宋体" w:hAnsi="宋体" w:cs="宋体" w:eastAsia="宋体" w:hint="default"/>
                <w:sz w:val="21"/>
                <w:szCs w:val="21"/>
              </w:rPr>
              <w:t> 期公司享受“国家规划布局内</w:t>
            </w:r>
            <w:r>
              <w:rPr>
                <w:rFonts w:ascii="宋体" w:hAnsi="宋体" w:cs="宋体" w:eastAsia="宋体" w:hint="default"/>
                <w:sz w:val="21"/>
                <w:szCs w:val="21"/>
              </w:rPr>
              <w:t> 重点软件企业和集成电路设 计企业”的</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优惠税率）， 期末确认的递延所得税资产 增加所致。</w:t>
            </w:r>
          </w:p>
        </w:tc>
      </w:tr>
      <w:tr>
        <w:trPr>
          <w:trHeight w:val="63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12,468,538.33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3,413,334.25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265.29%</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主要系公司对外股权投资尚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未完成工商登记及一年以上</w:t>
            </w:r>
          </w:p>
        </w:tc>
      </w:tr>
    </w:tbl>
    <w:p>
      <w:pPr>
        <w:spacing w:after="0" w:line="240" w:lineRule="auto"/>
        <w:jc w:val="left"/>
        <w:rPr>
          <w:rFonts w:ascii="宋体" w:hAnsi="宋体" w:cs="宋体" w:eastAsia="宋体" w:hint="default"/>
          <w:sz w:val="21"/>
          <w:szCs w:val="21"/>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805"/>
        <w:gridCol w:w="1847"/>
        <w:gridCol w:w="1844"/>
        <w:gridCol w:w="1415"/>
        <w:gridCol w:w="2945"/>
      </w:tblGrid>
      <w:tr>
        <w:trPr>
          <w:trHeight w:val="437" w:hRule="exact"/>
        </w:trPr>
        <w:tc>
          <w:tcPr>
            <w:tcW w:w="1805" w:type="dxa"/>
            <w:tcBorders>
              <w:top w:val="nil" w:sz="6" w:space="0" w:color="auto"/>
              <w:left w:val="single" w:sz="4" w:space="0" w:color="000000"/>
              <w:bottom w:val="single" w:sz="4" w:space="0" w:color="000000"/>
              <w:right w:val="single" w:sz="4" w:space="0" w:color="000000"/>
            </w:tcBorders>
          </w:tcPr>
          <w:p>
            <w:pPr/>
          </w:p>
        </w:tc>
        <w:tc>
          <w:tcPr>
            <w:tcW w:w="1847" w:type="dxa"/>
            <w:tcBorders>
              <w:top w:val="nil" w:sz="6" w:space="0" w:color="auto"/>
              <w:left w:val="single" w:sz="4" w:space="0" w:color="000000"/>
              <w:bottom w:val="single" w:sz="4" w:space="0" w:color="000000"/>
              <w:right w:val="single" w:sz="4" w:space="0" w:color="000000"/>
            </w:tcBorders>
          </w:tcPr>
          <w:p>
            <w:pPr/>
          </w:p>
        </w:tc>
        <w:tc>
          <w:tcPr>
            <w:tcW w:w="1844" w:type="dxa"/>
            <w:tcBorders>
              <w:top w:val="nil" w:sz="6" w:space="0" w:color="auto"/>
              <w:left w:val="single" w:sz="4" w:space="0" w:color="000000"/>
              <w:bottom w:val="single" w:sz="4" w:space="0" w:color="000000"/>
              <w:right w:val="single" w:sz="4" w:space="0" w:color="000000"/>
            </w:tcBorders>
          </w:tcPr>
          <w:p>
            <w:pPr/>
          </w:p>
        </w:tc>
        <w:tc>
          <w:tcPr>
            <w:tcW w:w="1415" w:type="dxa"/>
            <w:tcBorders>
              <w:top w:val="nil" w:sz="6" w:space="0" w:color="auto"/>
              <w:left w:val="single" w:sz="4" w:space="0" w:color="000000"/>
              <w:bottom w:val="single" w:sz="4" w:space="0" w:color="000000"/>
              <w:right w:val="single" w:sz="4" w:space="0" w:color="000000"/>
            </w:tcBorders>
          </w:tcPr>
          <w:p>
            <w:pPr/>
          </w:p>
        </w:tc>
        <w:tc>
          <w:tcPr>
            <w:tcW w:w="2945"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未到期的保证金增加所致。</w:t>
            </w:r>
          </w:p>
        </w:tc>
      </w:tr>
      <w:tr>
        <w:trPr>
          <w:trHeight w:val="63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1,821,078.05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主要系公司因业务发展需要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增加银行短期借款所致。</w:t>
            </w:r>
          </w:p>
        </w:tc>
      </w:tr>
      <w:tr>
        <w:trPr>
          <w:trHeight w:val="947"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sz w:val="21"/>
              </w:rPr>
              <w:t>12,415,000.00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主要系加强资金管理，部分业</w:t>
            </w:r>
          </w:p>
          <w:p>
            <w:pPr>
              <w:pStyle w:val="TableParagraph"/>
              <w:spacing w:line="273" w:lineRule="auto" w:before="37"/>
              <w:ind w:left="103" w:right="310"/>
              <w:jc w:val="left"/>
              <w:rPr>
                <w:rFonts w:ascii="宋体" w:hAnsi="宋体" w:cs="宋体" w:eastAsia="宋体" w:hint="default"/>
                <w:sz w:val="21"/>
                <w:szCs w:val="21"/>
              </w:rPr>
            </w:pPr>
            <w:r>
              <w:rPr>
                <w:rFonts w:ascii="宋体" w:hAnsi="宋体" w:cs="宋体" w:eastAsia="宋体" w:hint="default"/>
                <w:sz w:val="21"/>
                <w:szCs w:val="21"/>
              </w:rPr>
              <w:t>务采用银行承兑汇票方式支 付所致。</w:t>
            </w: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207,363,148.29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112,854,595.70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83.74%</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主要系公司业务规模扩大，采</w:t>
            </w:r>
          </w:p>
          <w:p>
            <w:pPr>
              <w:pStyle w:val="TableParagraph"/>
              <w:spacing w:line="273" w:lineRule="auto" w:before="37"/>
              <w:ind w:left="103" w:right="310"/>
              <w:jc w:val="left"/>
              <w:rPr>
                <w:rFonts w:ascii="宋体" w:hAnsi="宋体" w:cs="宋体" w:eastAsia="宋体" w:hint="default"/>
                <w:sz w:val="21"/>
                <w:szCs w:val="21"/>
              </w:rPr>
            </w:pPr>
            <w:r>
              <w:rPr>
                <w:rFonts w:ascii="宋体" w:hAnsi="宋体" w:cs="宋体" w:eastAsia="宋体" w:hint="default"/>
                <w:sz w:val="21"/>
                <w:szCs w:val="21"/>
              </w:rPr>
              <w:t>购存货及商品未到合同约定 付款期所致。</w:t>
            </w:r>
          </w:p>
        </w:tc>
      </w:tr>
      <w:tr>
        <w:trPr>
          <w:trHeight w:val="125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26,237,026.15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10,526,934.21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z w:val="21"/>
              </w:rPr>
              <w:t>149.24%</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主要系本期应纳的增值税额</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z w:val="21"/>
                <w:szCs w:val="21"/>
              </w:rPr>
              <w:t>增加及基于增值税计算应交 纳的城建税、教育费附加等税 金增加所致。</w:t>
            </w:r>
          </w:p>
        </w:tc>
      </w:tr>
      <w:tr>
        <w:trPr>
          <w:trHeight w:val="947"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z w:val="21"/>
              </w:rPr>
              <w:t>72,882,281.10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106,988,935.73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-31.88%</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主要系公司按并购协议约定</w:t>
            </w:r>
          </w:p>
          <w:p>
            <w:pPr>
              <w:pStyle w:val="TableParagraph"/>
              <w:spacing w:line="273" w:lineRule="auto" w:before="37"/>
              <w:ind w:left="103" w:right="310"/>
              <w:jc w:val="left"/>
              <w:rPr>
                <w:rFonts w:ascii="宋体" w:hAnsi="宋体" w:cs="宋体" w:eastAsia="宋体" w:hint="default"/>
                <w:sz w:val="21"/>
                <w:szCs w:val="21"/>
              </w:rPr>
            </w:pPr>
            <w:r>
              <w:rPr>
                <w:rFonts w:ascii="宋体" w:hAnsi="宋体" w:cs="宋体" w:eastAsia="宋体" w:hint="default"/>
                <w:sz w:val="21"/>
                <w:szCs w:val="21"/>
              </w:rPr>
              <w:t>支付收购滨河创新股权对价 的现金部分所致。</w:t>
            </w:r>
          </w:p>
        </w:tc>
      </w:tr>
      <w:tr>
        <w:trPr>
          <w:trHeight w:val="63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21,508,166.66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32,242,266.66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-33.29%</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主要系公司收到政府补助项</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目减少所致。</w:t>
            </w: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316,979,102.00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158,489,551.00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100.00%</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主要系公司进行</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年度权</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益分配，以资本公积每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转增股本</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股所致。</w:t>
            </w:r>
          </w:p>
        </w:tc>
      </w:tr>
      <w:tr>
        <w:trPr>
          <w:trHeight w:val="63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56,589.38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897.61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6204.45%</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主要系报告期外币汇率波动</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63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450,394,854.26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308,215,956.06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46.13%</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主要系本期将滨河创新纳入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合并范围净利润增长所致。</w:t>
            </w: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4,876,433.13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3,668,824.36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32.92%</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主要系信息技术子公司盈利</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z w:val="21"/>
                <w:szCs w:val="21"/>
              </w:rPr>
              <w:t>增长，少数股东按股权比例享 有的权益增加所致。</w:t>
            </w:r>
          </w:p>
        </w:tc>
      </w:tr>
      <w:tr>
        <w:trPr>
          <w:trHeight w:val="32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5" w:right="0"/>
              <w:jc w:val="left"/>
              <w:rPr>
                <w:rFonts w:ascii="宋体" w:hAnsi="宋体" w:cs="宋体" w:eastAsia="宋体" w:hint="default"/>
                <w:sz w:val="21"/>
                <w:szCs w:val="21"/>
              </w:rPr>
            </w:pPr>
            <w:r>
              <w:rPr>
                <w:rFonts w:ascii="宋体" w:hAnsi="宋体" w:cs="宋体" w:eastAsia="宋体" w:hint="default"/>
                <w:b/>
                <w:bCs/>
                <w:sz w:val="21"/>
                <w:szCs w:val="21"/>
              </w:rPr>
              <w:t>损益项目</w:t>
            </w:r>
            <w:r>
              <w:rPr>
                <w:rFonts w:ascii="宋体" w:hAnsi="宋体" w:cs="宋体" w:eastAsia="宋体" w:hint="default"/>
                <w:sz w:val="21"/>
                <w:szCs w:val="21"/>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94"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变动比例</w:t>
            </w:r>
            <w:r>
              <w:rPr>
                <w:rFonts w:ascii="宋体" w:hAnsi="宋体" w:cs="宋体" w:eastAsia="宋体" w:hint="default"/>
                <w:sz w:val="21"/>
                <w:szCs w:val="21"/>
              </w:rPr>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34" w:right="0"/>
              <w:jc w:val="left"/>
              <w:rPr>
                <w:rFonts w:ascii="宋体" w:hAnsi="宋体" w:cs="宋体" w:eastAsia="宋体" w:hint="default"/>
                <w:sz w:val="21"/>
                <w:szCs w:val="21"/>
              </w:rPr>
            </w:pPr>
            <w:r>
              <w:rPr>
                <w:rFonts w:ascii="宋体" w:hAnsi="宋体" w:cs="宋体" w:eastAsia="宋体" w:hint="default"/>
                <w:b/>
                <w:bCs/>
                <w:sz w:val="21"/>
                <w:szCs w:val="21"/>
              </w:rPr>
              <w:t>变动原因说明</w:t>
            </w:r>
            <w:r>
              <w:rPr>
                <w:rFonts w:ascii="宋体" w:hAnsi="宋体" w:cs="宋体" w:eastAsia="宋体" w:hint="default"/>
                <w:sz w:val="21"/>
                <w:szCs w:val="21"/>
              </w:rPr>
            </w: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7,952,827.12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3,305,056.89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140.63%</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主要系本期将滨河创新纳入</w:t>
            </w:r>
          </w:p>
          <w:p>
            <w:pPr>
              <w:pStyle w:val="TableParagraph"/>
              <w:spacing w:line="273" w:lineRule="auto" w:before="37"/>
              <w:ind w:left="103" w:right="100" w:hanging="3"/>
              <w:jc w:val="center"/>
              <w:rPr>
                <w:rFonts w:ascii="宋体" w:hAnsi="宋体" w:cs="宋体" w:eastAsia="宋体" w:hint="default"/>
                <w:sz w:val="21"/>
                <w:szCs w:val="21"/>
              </w:rPr>
            </w:pPr>
            <w:r>
              <w:rPr>
                <w:rFonts w:ascii="宋体" w:hAnsi="宋体" w:cs="宋体" w:eastAsia="宋体" w:hint="default"/>
                <w:sz w:val="21"/>
                <w:szCs w:val="21"/>
              </w:rPr>
              <w:t>合并范围及交纳增值税额、城 建税、教育费附加增加所致。</w:t>
            </w:r>
          </w:p>
        </w:tc>
      </w:tr>
      <w:tr>
        <w:trPr>
          <w:trHeight w:val="63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37,180,153.03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24,619,642.82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51.02%</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主要系本期将滨河创新纳入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合并范围所致。</w:t>
            </w:r>
          </w:p>
        </w:tc>
      </w:tr>
      <w:tr>
        <w:trPr>
          <w:trHeight w:val="63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3,699,572.93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w w:val="95"/>
                <w:sz w:val="21"/>
              </w:rPr>
              <w:t>-251,539.22</w:t>
            </w:r>
            <w:r>
              <w:rPr>
                <w:rFonts w:ascii="Times New Roman"/>
                <w:sz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1570.77%</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主要系本期按会计政策计提</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坏账准备增加所致。</w:t>
            </w:r>
          </w:p>
        </w:tc>
      </w:tr>
      <w:tr>
        <w:trPr>
          <w:trHeight w:val="125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投资收</w:t>
            </w:r>
            <w:r>
              <w:rPr>
                <w:rFonts w:ascii="宋体" w:hAnsi="宋体" w:cs="宋体" w:eastAsia="宋体" w:hint="default"/>
                <w:spacing w:val="-92"/>
                <w:sz w:val="21"/>
                <w:szCs w:val="21"/>
              </w:rPr>
              <w:t>益</w:t>
            </w:r>
            <w:r>
              <w:rPr>
                <w:rFonts w:ascii="宋体" w:hAnsi="宋体" w:cs="宋体" w:eastAsia="宋体" w:hint="default"/>
                <w:sz w:val="21"/>
                <w:szCs w:val="21"/>
              </w:rPr>
              <w:t>（损失以</w:t>
            </w:r>
          </w:p>
          <w:p>
            <w:pPr>
              <w:pStyle w:val="TableParagraph"/>
              <w:spacing w:line="240" w:lineRule="auto" w:before="37"/>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9,860,520.70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4,698,868.72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z w:val="21"/>
              </w:rPr>
              <w:t>109.85%</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主要系滨河创新对外投资本</w:t>
            </w:r>
          </w:p>
          <w:p>
            <w:pPr>
              <w:pStyle w:val="TableParagraph"/>
              <w:spacing w:line="273" w:lineRule="auto" w:before="37"/>
              <w:ind w:left="103" w:right="311"/>
              <w:jc w:val="both"/>
              <w:rPr>
                <w:rFonts w:ascii="宋体" w:hAnsi="宋体" w:cs="宋体" w:eastAsia="宋体" w:hint="default"/>
                <w:sz w:val="21"/>
                <w:szCs w:val="21"/>
              </w:rPr>
            </w:pPr>
            <w:r>
              <w:rPr>
                <w:rFonts w:ascii="宋体" w:hAnsi="宋体" w:cs="宋体" w:eastAsia="宋体" w:hint="default"/>
                <w:sz w:val="21"/>
                <w:szCs w:val="21"/>
              </w:rPr>
              <w:t>期分得现金股利及公司购买 保本型理财产品获得收益增 加所致。</w:t>
            </w:r>
          </w:p>
        </w:tc>
      </w:tr>
      <w:tr>
        <w:trPr>
          <w:trHeight w:val="947"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3"/>
              <w:jc w:val="left"/>
              <w:rPr>
                <w:rFonts w:ascii="宋体" w:hAnsi="宋体" w:cs="宋体" w:eastAsia="宋体" w:hint="default"/>
                <w:sz w:val="21"/>
                <w:szCs w:val="21"/>
              </w:rPr>
            </w:pPr>
            <w:r>
              <w:rPr>
                <w:rFonts w:ascii="宋体" w:hAnsi="宋体" w:cs="宋体" w:eastAsia="宋体" w:hint="default"/>
                <w:b/>
                <w:bCs/>
                <w:spacing w:val="-13"/>
                <w:sz w:val="21"/>
                <w:szCs w:val="21"/>
              </w:rPr>
              <w:t>三、营业利润（亏</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损以</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b/>
                <w:spacing w:val="-1"/>
                <w:sz w:val="21"/>
              </w:rPr>
              <w:t>155,481,966.65</w:t>
            </w:r>
            <w:r>
              <w:rPr>
                <w:rFonts w:ascii="Times New Roman"/>
                <w:spacing w:val="-1"/>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b/>
                <w:sz w:val="21"/>
              </w:rPr>
              <w:t>57,300,977.29</w:t>
            </w:r>
            <w:r>
              <w:rPr>
                <w:rFonts w:ascii="Times New Roman"/>
                <w:sz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171.34%</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主要系本期将滨河创新全年</w:t>
            </w:r>
          </w:p>
          <w:p>
            <w:pPr>
              <w:pStyle w:val="TableParagraph"/>
              <w:spacing w:line="273" w:lineRule="auto" w:before="37"/>
              <w:ind w:left="103" w:right="310"/>
              <w:jc w:val="left"/>
              <w:rPr>
                <w:rFonts w:ascii="宋体" w:hAnsi="宋体" w:cs="宋体" w:eastAsia="宋体" w:hint="default"/>
                <w:sz w:val="21"/>
                <w:szCs w:val="21"/>
              </w:rPr>
            </w:pPr>
            <w:r>
              <w:rPr>
                <w:rFonts w:ascii="宋体" w:hAnsi="宋体" w:cs="宋体" w:eastAsia="宋体" w:hint="default"/>
                <w:sz w:val="21"/>
                <w:szCs w:val="21"/>
              </w:rPr>
              <w:t>数据纳入合并范围及投资收 益增加综合影响所致。</w:t>
            </w:r>
          </w:p>
        </w:tc>
      </w:tr>
    </w:tbl>
    <w:p>
      <w:pPr>
        <w:spacing w:after="0" w:line="273" w:lineRule="auto"/>
        <w:jc w:val="left"/>
        <w:rPr>
          <w:rFonts w:ascii="宋体" w:hAnsi="宋体" w:cs="宋体" w:eastAsia="宋体" w:hint="default"/>
          <w:sz w:val="21"/>
          <w:szCs w:val="21"/>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805"/>
        <w:gridCol w:w="1847"/>
        <w:gridCol w:w="1844"/>
        <w:gridCol w:w="1415"/>
        <w:gridCol w:w="2945"/>
      </w:tblGrid>
      <w:tr>
        <w:trPr>
          <w:trHeight w:val="941" w:hRule="exact"/>
        </w:trPr>
        <w:tc>
          <w:tcPr>
            <w:tcW w:w="18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1"/>
              <w:ind w:left="52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92"/>
                <w:sz w:val="21"/>
                <w:szCs w:val="21"/>
              </w:rPr>
              <w:t>：</w:t>
            </w:r>
            <w:r>
              <w:rPr>
                <w:rFonts w:ascii="宋体" w:hAnsi="宋体" w:cs="宋体" w:eastAsia="宋体" w:hint="default"/>
                <w:sz w:val="21"/>
                <w:szCs w:val="21"/>
              </w:rPr>
              <w:t>营</w:t>
            </w:r>
            <w:r>
              <w:rPr>
                <w:rFonts w:ascii="宋体" w:hAnsi="宋体" w:cs="宋体" w:eastAsia="宋体" w:hint="default"/>
                <w:spacing w:val="-2"/>
                <w:sz w:val="21"/>
                <w:szCs w:val="21"/>
              </w:rPr>
              <w:t>业</w:t>
            </w:r>
            <w:r>
              <w:rPr>
                <w:rFonts w:ascii="宋体" w:hAnsi="宋体" w:cs="宋体" w:eastAsia="宋体" w:hint="default"/>
                <w:sz w:val="21"/>
                <w:szCs w:val="21"/>
              </w:rPr>
              <w:t>外支</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出</w:t>
            </w:r>
          </w:p>
        </w:tc>
        <w:tc>
          <w:tcPr>
            <w:tcW w:w="184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215,432.05</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331,053.03</w:t>
            </w:r>
          </w:p>
        </w:tc>
        <w:tc>
          <w:tcPr>
            <w:tcW w:w="14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-34.93%</w:t>
            </w:r>
          </w:p>
        </w:tc>
        <w:tc>
          <w:tcPr>
            <w:tcW w:w="2945"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103" w:right="0" w:firstLine="106"/>
              <w:jc w:val="left"/>
              <w:rPr>
                <w:rFonts w:ascii="宋体" w:hAnsi="宋体" w:cs="宋体" w:eastAsia="宋体" w:hint="default"/>
                <w:sz w:val="21"/>
                <w:szCs w:val="21"/>
              </w:rPr>
            </w:pPr>
            <w:r>
              <w:rPr>
                <w:rFonts w:ascii="宋体" w:hAnsi="宋体" w:cs="宋体" w:eastAsia="宋体" w:hint="default"/>
                <w:sz w:val="21"/>
                <w:szCs w:val="21"/>
              </w:rPr>
              <w:t>主要系公司提高固定资产使</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z w:val="21"/>
                <w:szCs w:val="21"/>
              </w:rPr>
              <w:t>用效率，减少固定资产处置所 致。</w:t>
            </w:r>
          </w:p>
        </w:tc>
      </w:tr>
      <w:tr>
        <w:trPr>
          <w:trHeight w:val="125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41"/>
              <w:ind w:left="103" w:right="92"/>
              <w:jc w:val="both"/>
              <w:rPr>
                <w:rFonts w:ascii="宋体" w:hAnsi="宋体" w:cs="宋体" w:eastAsia="宋体" w:hint="default"/>
                <w:sz w:val="21"/>
                <w:szCs w:val="21"/>
              </w:rPr>
            </w:pPr>
            <w:r>
              <w:rPr>
                <w:rFonts w:ascii="宋体" w:hAnsi="宋体" w:cs="宋体" w:eastAsia="宋体" w:hint="default"/>
                <w:b/>
                <w:bCs/>
                <w:spacing w:val="-13"/>
                <w:sz w:val="21"/>
                <w:szCs w:val="21"/>
              </w:rPr>
              <w:t>四、利润总额（亏</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pacing w:val="5"/>
                <w:sz w:val="21"/>
                <w:szCs w:val="21"/>
              </w:rPr>
              <w:t>损总额以</w:t>
            </w:r>
            <w:r>
              <w:rPr>
                <w:rFonts w:ascii="Times New Roman" w:hAnsi="Times New Roman" w:cs="Times New Roman" w:eastAsia="Times New Roman" w:hint="default"/>
                <w:b/>
                <w:bCs/>
                <w:spacing w:val="5"/>
                <w:sz w:val="21"/>
                <w:szCs w:val="21"/>
              </w:rPr>
              <w:t>“</w:t>
            </w:r>
            <w:r>
              <w:rPr>
                <w:rFonts w:ascii="Times New Roman" w:hAnsi="Times New Roman" w:cs="Times New Roman" w:eastAsia="Times New Roman" w:hint="default"/>
                <w:b/>
                <w:bCs/>
                <w:spacing w:val="5"/>
                <w:sz w:val="21"/>
                <w:szCs w:val="21"/>
              </w:rPr>
              <w:t>-</w:t>
            </w:r>
            <w:r>
              <w:rPr>
                <w:rFonts w:ascii="Times New Roman" w:hAnsi="Times New Roman" w:cs="Times New Roman" w:eastAsia="Times New Roman" w:hint="default"/>
                <w:b/>
                <w:bCs/>
                <w:spacing w:val="5"/>
                <w:sz w:val="21"/>
                <w:szCs w:val="21"/>
              </w:rPr>
              <w:t>”</w:t>
            </w:r>
            <w:r>
              <w:rPr>
                <w:rFonts w:ascii="宋体" w:hAnsi="宋体" w:cs="宋体" w:eastAsia="宋体" w:hint="default"/>
                <w:b/>
                <w:bCs/>
                <w:spacing w:val="5"/>
                <w:sz w:val="21"/>
                <w:szCs w:val="21"/>
              </w:rPr>
              <w:t>号填</w:t>
            </w:r>
            <w:r>
              <w:rPr>
                <w:rFonts w:ascii="宋体" w:hAnsi="宋体" w:cs="宋体" w:eastAsia="宋体" w:hint="default"/>
                <w:b/>
                <w:bCs/>
                <w:spacing w:val="-103"/>
                <w:sz w:val="21"/>
                <w:szCs w:val="21"/>
              </w:rPr>
              <w:t> </w:t>
            </w:r>
            <w:r>
              <w:rPr>
                <w:rFonts w:ascii="宋体" w:hAnsi="宋体" w:cs="宋体" w:eastAsia="宋体" w:hint="default"/>
                <w:b/>
                <w:bCs/>
                <w:sz w:val="21"/>
                <w:szCs w:val="21"/>
              </w:rPr>
              <w:t>列）</w:t>
            </w:r>
            <w:r>
              <w:rPr>
                <w:rFonts w:ascii="宋体" w:hAnsi="宋体" w:cs="宋体" w:eastAsia="宋体" w:hint="default"/>
                <w:sz w:val="21"/>
                <w:szCs w:val="21"/>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spacing w:val="-1"/>
                <w:sz w:val="21"/>
              </w:rPr>
              <w:t>177,843,336.71</w:t>
            </w:r>
            <w:r>
              <w:rPr>
                <w:rFonts w:ascii="Times New Roman"/>
                <w:spacing w:val="-1"/>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sz w:val="21"/>
              </w:rPr>
              <w:t>84,581,082.80</w:t>
            </w:r>
            <w:r>
              <w:rPr>
                <w:rFonts w:ascii="Times New Roman"/>
                <w:sz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z w:val="21"/>
              </w:rPr>
              <w:t>110.26%</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主要系本期将滨河创新纳入</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z w:val="21"/>
                <w:szCs w:val="21"/>
              </w:rPr>
              <w:t>合并范围及公司扩大业务规 模、提高资产使用效率综合影 响所致。</w:t>
            </w:r>
          </w:p>
        </w:tc>
      </w:tr>
      <w:tr>
        <w:trPr>
          <w:trHeight w:val="219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524"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92"/>
                <w:sz w:val="21"/>
                <w:szCs w:val="21"/>
              </w:rPr>
              <w:t>：</w:t>
            </w:r>
            <w:r>
              <w:rPr>
                <w:rFonts w:ascii="宋体" w:hAnsi="宋体" w:cs="宋体" w:eastAsia="宋体" w:hint="default"/>
                <w:sz w:val="21"/>
                <w:szCs w:val="21"/>
              </w:rPr>
              <w:t>所</w:t>
            </w:r>
            <w:r>
              <w:rPr>
                <w:rFonts w:ascii="宋体" w:hAnsi="宋体" w:cs="宋体" w:eastAsia="宋体" w:hint="default"/>
                <w:spacing w:val="-2"/>
                <w:sz w:val="21"/>
                <w:szCs w:val="21"/>
              </w:rPr>
              <w:t>得</w:t>
            </w:r>
            <w:r>
              <w:rPr>
                <w:rFonts w:ascii="宋体" w:hAnsi="宋体" w:cs="宋体" w:eastAsia="宋体" w:hint="default"/>
                <w:sz w:val="21"/>
                <w:szCs w:val="21"/>
              </w:rPr>
              <w:t>税费</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16,425,225.62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5,705,685.49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z w:val="21"/>
              </w:rPr>
              <w:t>187.87%</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主要系本期将滨河创新全年</w:t>
            </w:r>
          </w:p>
          <w:p>
            <w:pPr>
              <w:pStyle w:val="TableParagraph"/>
              <w:spacing w:line="273" w:lineRule="auto" w:before="37"/>
              <w:ind w:left="103" w:right="151"/>
              <w:jc w:val="left"/>
              <w:rPr>
                <w:rFonts w:ascii="宋体" w:hAnsi="宋体" w:cs="宋体" w:eastAsia="宋体" w:hint="default"/>
                <w:sz w:val="21"/>
                <w:szCs w:val="21"/>
              </w:rPr>
            </w:pPr>
            <w:r>
              <w:rPr>
                <w:rFonts w:ascii="宋体" w:hAnsi="宋体" w:cs="宋体" w:eastAsia="宋体" w:hint="default"/>
                <w:sz w:val="21"/>
                <w:szCs w:val="21"/>
              </w:rPr>
              <w:t>数据纳入合并范围及母公司 适用企业所得税税率从</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z w:val="21"/>
                <w:szCs w:val="21"/>
              </w:rPr>
              <w:t>变 更为</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z w:val="21"/>
                <w:szCs w:val="21"/>
              </w:rPr>
              <w:t>（上期公司享受“国 家规划布局内重点软件企业 和集成电路设计企业”的</w:t>
            </w:r>
            <w:r>
              <w:rPr>
                <w:rFonts w:ascii="宋体" w:hAnsi="宋体" w:cs="宋体" w:eastAsia="宋体" w:hint="default"/>
                <w:spacing w:val="-52"/>
                <w:sz w:val="21"/>
                <w:szCs w:val="21"/>
              </w:rPr>
              <w:t> </w:t>
            </w:r>
            <w:r>
              <w:rPr>
                <w:rFonts w:ascii="宋体" w:hAnsi="宋体" w:cs="宋体" w:eastAsia="宋体" w:hint="default"/>
                <w:sz w:val="21"/>
                <w:szCs w:val="21"/>
              </w:rPr>
              <w:t>10% </w:t>
            </w:r>
            <w:r>
              <w:rPr>
                <w:rFonts w:ascii="宋体" w:hAnsi="宋体" w:cs="宋体" w:eastAsia="宋体" w:hint="default"/>
                <w:sz w:val="21"/>
                <w:szCs w:val="21"/>
              </w:rPr>
              <w:t>优惠税率）所致。</w:t>
            </w:r>
          </w:p>
        </w:tc>
      </w:tr>
      <w:tr>
        <w:trPr>
          <w:trHeight w:val="63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pacing w:val="-12"/>
                <w:sz w:val="21"/>
                <w:szCs w:val="21"/>
              </w:rPr>
              <w:t>五、净利润（净亏</w:t>
            </w:r>
            <w:r>
              <w:rPr>
                <w:rFonts w:ascii="宋体" w:hAnsi="宋体" w:cs="宋体" w:eastAsia="宋体" w:hint="default"/>
                <w:spacing w:val="-12"/>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b/>
                <w:bCs/>
                <w:sz w:val="21"/>
                <w:szCs w:val="21"/>
              </w:rPr>
              <w:t>损以</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spacing w:val="-1"/>
                <w:sz w:val="21"/>
              </w:rPr>
              <w:t>161,418,111.09</w:t>
            </w:r>
            <w:r>
              <w:rPr>
                <w:rFonts w:ascii="Times New Roman"/>
                <w:spacing w:val="-1"/>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sz w:val="21"/>
              </w:rPr>
              <w:t>78,875,397.31</w:t>
            </w:r>
            <w:r>
              <w:rPr>
                <w:rFonts w:ascii="Times New Roman"/>
                <w:sz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104.65%</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09" w:right="0"/>
              <w:jc w:val="left"/>
              <w:rPr>
                <w:rFonts w:ascii="宋体" w:hAnsi="宋体" w:cs="宋体" w:eastAsia="宋体" w:hint="default"/>
                <w:sz w:val="21"/>
                <w:szCs w:val="21"/>
              </w:rPr>
            </w:pPr>
            <w:r>
              <w:rPr>
                <w:rFonts w:ascii="宋体" w:hAnsi="宋体" w:cs="宋体" w:eastAsia="宋体" w:hint="default"/>
                <w:sz w:val="21"/>
                <w:szCs w:val="21"/>
              </w:rPr>
              <w:t>以上因素综合影响所致。</w:t>
            </w: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firstLine="421"/>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6"/>
                <w:sz w:val="21"/>
                <w:szCs w:val="21"/>
              </w:rPr>
              <w:t> </w:t>
            </w:r>
            <w:r>
              <w:rPr>
                <w:rFonts w:ascii="宋体" w:hAnsi="宋体" w:cs="宋体" w:eastAsia="宋体" w:hint="default"/>
                <w:sz w:val="21"/>
                <w:szCs w:val="21"/>
              </w:rPr>
              <w:t>属</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母</w:t>
            </w:r>
            <w:r>
              <w:rPr>
                <w:rFonts w:ascii="宋体" w:hAnsi="宋体" w:cs="宋体" w:eastAsia="宋体" w:hint="default"/>
                <w:spacing w:val="-76"/>
                <w:sz w:val="21"/>
                <w:szCs w:val="21"/>
              </w:rPr>
              <w:t> </w:t>
            </w:r>
            <w:r>
              <w:rPr>
                <w:rFonts w:ascii="宋体" w:hAnsi="宋体" w:cs="宋体" w:eastAsia="宋体" w:hint="default"/>
                <w:sz w:val="21"/>
                <w:szCs w:val="21"/>
              </w:rPr>
              <w:t>公</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pacing w:val="16"/>
                <w:sz w:val="21"/>
                <w:szCs w:val="21"/>
              </w:rPr>
              <w:t>司所有者的净利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润</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160,334,370.22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z w:val="21"/>
              </w:rPr>
              <w:t>77,702,908.86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106.34%</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sz w:val="21"/>
                <w:szCs w:val="21"/>
              </w:rPr>
              <w:t>以上因素综合影响所致。</w:t>
            </w:r>
          </w:p>
        </w:tc>
      </w:tr>
      <w:tr>
        <w:trPr>
          <w:trHeight w:val="323"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现金流量指标</w:t>
            </w:r>
            <w:r>
              <w:rPr>
                <w:rFonts w:ascii="宋体" w:hAnsi="宋体" w:cs="宋体" w:eastAsia="宋体" w:hint="default"/>
                <w:sz w:val="21"/>
                <w:szCs w:val="21"/>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94"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变动比例</w:t>
            </w:r>
            <w:r>
              <w:rPr>
                <w:rFonts w:ascii="宋体" w:hAnsi="宋体" w:cs="宋体" w:eastAsia="宋体" w:hint="default"/>
                <w:sz w:val="21"/>
                <w:szCs w:val="21"/>
              </w:rPr>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34" w:right="0"/>
              <w:jc w:val="left"/>
              <w:rPr>
                <w:rFonts w:ascii="宋体" w:hAnsi="宋体" w:cs="宋体" w:eastAsia="宋体" w:hint="default"/>
                <w:sz w:val="21"/>
                <w:szCs w:val="21"/>
              </w:rPr>
            </w:pPr>
            <w:r>
              <w:rPr>
                <w:rFonts w:ascii="宋体" w:hAnsi="宋体" w:cs="宋体" w:eastAsia="宋体" w:hint="default"/>
                <w:b/>
                <w:bCs/>
                <w:sz w:val="21"/>
                <w:szCs w:val="21"/>
              </w:rPr>
              <w:t>变动原因说明</w:t>
            </w:r>
            <w:r>
              <w:rPr>
                <w:rFonts w:ascii="宋体" w:hAnsi="宋体" w:cs="宋体" w:eastAsia="宋体" w:hint="default"/>
                <w:sz w:val="21"/>
                <w:szCs w:val="21"/>
              </w:rPr>
            </w: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1"/>
              <w:jc w:val="left"/>
              <w:rPr>
                <w:rFonts w:ascii="宋体" w:hAnsi="宋体" w:cs="宋体" w:eastAsia="宋体" w:hint="default"/>
                <w:sz w:val="21"/>
                <w:szCs w:val="21"/>
              </w:rPr>
            </w:pPr>
            <w:r>
              <w:rPr>
                <w:rFonts w:ascii="宋体" w:hAnsi="宋体" w:cs="宋体" w:eastAsia="宋体" w:hint="default"/>
                <w:spacing w:val="16"/>
                <w:sz w:val="21"/>
                <w:szCs w:val="21"/>
              </w:rPr>
              <w:t>收到其他与经营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活动有关的现金</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212,713,893.66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145,605,369.89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46.09%</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主要系本期将滨河创新纳入</w:t>
            </w:r>
          </w:p>
          <w:p>
            <w:pPr>
              <w:pStyle w:val="TableParagraph"/>
              <w:spacing w:line="273" w:lineRule="auto" w:before="37"/>
              <w:ind w:left="103" w:right="310"/>
              <w:jc w:val="left"/>
              <w:rPr>
                <w:rFonts w:ascii="宋体" w:hAnsi="宋体" w:cs="宋体" w:eastAsia="宋体" w:hint="default"/>
                <w:sz w:val="21"/>
                <w:szCs w:val="21"/>
              </w:rPr>
            </w:pPr>
            <w:r>
              <w:rPr>
                <w:rFonts w:ascii="宋体" w:hAnsi="宋体" w:cs="宋体" w:eastAsia="宋体" w:hint="default"/>
                <w:sz w:val="21"/>
                <w:szCs w:val="21"/>
              </w:rPr>
              <w:t>合并范围及公司收回和收取 的项目保证金增加所致。</w:t>
            </w:r>
          </w:p>
        </w:tc>
      </w:tr>
      <w:tr>
        <w:trPr>
          <w:trHeight w:val="125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79,852,814.89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31,361,550.64</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z w:val="21"/>
              </w:rPr>
              <w:t>154.62%</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firstLine="106"/>
              <w:jc w:val="left"/>
              <w:rPr>
                <w:rFonts w:ascii="宋体" w:hAnsi="宋体" w:cs="宋体" w:eastAsia="宋体" w:hint="default"/>
                <w:sz w:val="21"/>
                <w:szCs w:val="21"/>
              </w:rPr>
            </w:pPr>
            <w:r>
              <w:rPr>
                <w:rFonts w:ascii="宋体" w:hAnsi="宋体" w:cs="宋体" w:eastAsia="宋体" w:hint="default"/>
                <w:sz w:val="21"/>
                <w:szCs w:val="21"/>
              </w:rPr>
              <w:t>主要系本期将滨河创新纳入</w:t>
            </w:r>
          </w:p>
          <w:p>
            <w:pPr>
              <w:pStyle w:val="TableParagraph"/>
              <w:spacing w:line="273" w:lineRule="auto" w:before="37"/>
              <w:ind w:left="103" w:right="102"/>
              <w:jc w:val="both"/>
              <w:rPr>
                <w:rFonts w:ascii="宋体" w:hAnsi="宋体" w:cs="宋体" w:eastAsia="宋体" w:hint="default"/>
                <w:sz w:val="21"/>
                <w:szCs w:val="21"/>
              </w:rPr>
            </w:pPr>
            <w:r>
              <w:rPr>
                <w:rFonts w:ascii="宋体" w:hAnsi="宋体" w:cs="宋体" w:eastAsia="宋体" w:hint="default"/>
                <w:sz w:val="21"/>
                <w:szCs w:val="21"/>
              </w:rPr>
              <w:t>合并范围及收入规模扩大、利 润增加，缴纳的增值税和所得 税增加所致。</w:t>
            </w:r>
          </w:p>
        </w:tc>
      </w:tr>
      <w:tr>
        <w:trPr>
          <w:trHeight w:val="947"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101"/>
              <w:jc w:val="left"/>
              <w:rPr>
                <w:rFonts w:ascii="宋体" w:hAnsi="宋体" w:cs="宋体" w:eastAsia="宋体" w:hint="default"/>
                <w:sz w:val="21"/>
                <w:szCs w:val="21"/>
              </w:rPr>
            </w:pPr>
            <w:r>
              <w:rPr>
                <w:rFonts w:ascii="宋体" w:hAnsi="宋体" w:cs="宋体" w:eastAsia="宋体" w:hint="default"/>
                <w:spacing w:val="16"/>
                <w:sz w:val="21"/>
                <w:szCs w:val="21"/>
              </w:rPr>
              <w:t>支付其他与经营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活动有关的现金</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254,183,176.96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168,904,773.05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50.49%</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主要系本期将滨河创新纳入</w:t>
            </w:r>
          </w:p>
          <w:p>
            <w:pPr>
              <w:pStyle w:val="TableParagraph"/>
              <w:spacing w:line="273" w:lineRule="auto" w:before="37"/>
              <w:ind w:left="103" w:right="310"/>
              <w:jc w:val="left"/>
              <w:rPr>
                <w:rFonts w:ascii="宋体" w:hAnsi="宋体" w:cs="宋体" w:eastAsia="宋体" w:hint="default"/>
                <w:sz w:val="21"/>
                <w:szCs w:val="21"/>
              </w:rPr>
            </w:pPr>
            <w:r>
              <w:rPr>
                <w:rFonts w:ascii="宋体" w:hAnsi="宋体" w:cs="宋体" w:eastAsia="宋体" w:hint="default"/>
                <w:sz w:val="21"/>
                <w:szCs w:val="21"/>
              </w:rPr>
              <w:t>合并范围及公司支付和退还 的项目保证金增加所致。</w:t>
            </w:r>
          </w:p>
        </w:tc>
      </w:tr>
      <w:tr>
        <w:trPr>
          <w:trHeight w:val="125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b/>
                <w:bCs/>
                <w:spacing w:val="16"/>
                <w:sz w:val="21"/>
                <w:szCs w:val="21"/>
              </w:rPr>
              <w:t>经营活动产生的</w:t>
            </w:r>
            <w:r>
              <w:rPr>
                <w:rFonts w:ascii="宋体" w:hAnsi="宋体" w:cs="宋体" w:eastAsia="宋体" w:hint="default"/>
                <w:b/>
                <w:bCs/>
                <w:w w:val="99"/>
                <w:sz w:val="21"/>
                <w:szCs w:val="21"/>
              </w:rPr>
              <w:t> </w:t>
            </w:r>
            <w:r>
              <w:rPr>
                <w:rFonts w:ascii="宋体" w:hAnsi="宋体" w:cs="宋体" w:eastAsia="宋体" w:hint="default"/>
                <w:b/>
                <w:bCs/>
                <w:sz w:val="21"/>
                <w:szCs w:val="21"/>
              </w:rPr>
              <w:t>现金流量净额</w:t>
            </w:r>
            <w:r>
              <w:rPr>
                <w:rFonts w:ascii="宋体" w:hAnsi="宋体" w:cs="宋体" w:eastAsia="宋体" w:hint="default"/>
                <w:sz w:val="21"/>
                <w:szCs w:val="21"/>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spacing w:val="-1"/>
                <w:sz w:val="21"/>
              </w:rPr>
              <w:t>372,705,131.38</w:t>
            </w:r>
            <w:r>
              <w:rPr>
                <w:rFonts w:ascii="Times New Roman"/>
                <w:spacing w:val="-1"/>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spacing w:val="-1"/>
                <w:sz w:val="21"/>
              </w:rPr>
              <w:t>242,420,412.30</w:t>
            </w:r>
            <w:r>
              <w:rPr>
                <w:rFonts w:ascii="Times New Roman"/>
                <w:spacing w:val="-1"/>
                <w:sz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53.74%</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firstLine="106"/>
              <w:jc w:val="left"/>
              <w:rPr>
                <w:rFonts w:ascii="宋体" w:hAnsi="宋体" w:cs="宋体" w:eastAsia="宋体" w:hint="default"/>
                <w:sz w:val="21"/>
                <w:szCs w:val="21"/>
              </w:rPr>
            </w:pPr>
            <w:r>
              <w:rPr>
                <w:rFonts w:ascii="宋体" w:hAnsi="宋体" w:cs="宋体" w:eastAsia="宋体" w:hint="default"/>
                <w:sz w:val="21"/>
                <w:szCs w:val="21"/>
              </w:rPr>
              <w:t>主要系本期将滨河创新纳入</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z w:val="21"/>
                <w:szCs w:val="21"/>
              </w:rPr>
              <w:t>合并范围及公司加强收款、控 制项目备货等因素综合影响 所致。</w:t>
            </w: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1"/>
              <w:jc w:val="left"/>
              <w:rPr>
                <w:rFonts w:ascii="宋体" w:hAnsi="宋体" w:cs="宋体" w:eastAsia="宋体" w:hint="default"/>
                <w:sz w:val="21"/>
                <w:szCs w:val="21"/>
              </w:rPr>
            </w:pPr>
            <w:r>
              <w:rPr>
                <w:rFonts w:ascii="宋体" w:hAnsi="宋体" w:cs="宋体" w:eastAsia="宋体" w:hint="default"/>
                <w:spacing w:val="16"/>
                <w:sz w:val="21"/>
                <w:szCs w:val="21"/>
              </w:rPr>
              <w:t>收回投资收到的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现金</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1,874,114,383.55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495,100,000.00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278.53%</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主要系公司精细资金管理，</w:t>
            </w:r>
          </w:p>
          <w:p>
            <w:pPr>
              <w:pStyle w:val="TableParagraph"/>
              <w:spacing w:line="273" w:lineRule="auto" w:before="37"/>
              <w:ind w:left="103" w:right="310"/>
              <w:jc w:val="left"/>
              <w:rPr>
                <w:rFonts w:ascii="宋体" w:hAnsi="宋体" w:cs="宋体" w:eastAsia="宋体" w:hint="default"/>
                <w:sz w:val="21"/>
                <w:szCs w:val="21"/>
              </w:rPr>
            </w:pPr>
            <w:r>
              <w:rPr>
                <w:rFonts w:ascii="宋体" w:hAnsi="宋体" w:cs="宋体" w:eastAsia="宋体" w:hint="default"/>
                <w:sz w:val="21"/>
                <w:szCs w:val="21"/>
              </w:rPr>
              <w:t>增加短期保本型理财产品的 操作频次所致。</w:t>
            </w:r>
          </w:p>
        </w:tc>
      </w:tr>
      <w:tr>
        <w:trPr>
          <w:trHeight w:val="125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6"/>
                <w:sz w:val="21"/>
                <w:szCs w:val="21"/>
              </w:rPr>
              <w:t>取得投资收益收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到的现金</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12,903,053.61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3,221,645.29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z w:val="21"/>
              </w:rPr>
              <w:t>300.51%</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主要系公司取得短期保本理</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z w:val="21"/>
                <w:szCs w:val="21"/>
              </w:rPr>
              <w:t>财产品收益及公司投资的中 科电子、马鞍山农村商业银行 分配现金股利所致。</w:t>
            </w: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处置子公司及其</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pacing w:val="16"/>
                <w:sz w:val="21"/>
                <w:szCs w:val="21"/>
              </w:rPr>
              <w:t>他营业单位收到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的现金净额</w:t>
            </w:r>
          </w:p>
        </w:tc>
        <w:tc>
          <w:tcPr>
            <w:tcW w:w="184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533,338.15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-100.00%</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主要系上期处置中科电子</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sz w:val="21"/>
                <w:szCs w:val="21"/>
              </w:rPr>
              <w:t>股权所致。</w:t>
            </w:r>
          </w:p>
        </w:tc>
      </w:tr>
    </w:tbl>
    <w:p>
      <w:pPr>
        <w:spacing w:after="0" w:line="240" w:lineRule="auto"/>
        <w:jc w:val="left"/>
        <w:rPr>
          <w:rFonts w:ascii="宋体" w:hAnsi="宋体" w:cs="宋体" w:eastAsia="宋体" w:hint="default"/>
          <w:sz w:val="21"/>
          <w:szCs w:val="21"/>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805"/>
        <w:gridCol w:w="1847"/>
        <w:gridCol w:w="1844"/>
        <w:gridCol w:w="1415"/>
        <w:gridCol w:w="2945"/>
      </w:tblGrid>
      <w:tr>
        <w:trPr>
          <w:trHeight w:val="941" w:hRule="exact"/>
        </w:trPr>
        <w:tc>
          <w:tcPr>
            <w:tcW w:w="1805" w:type="dxa"/>
            <w:tcBorders>
              <w:top w:val="nil" w:sz="6" w:space="0" w:color="auto"/>
              <w:left w:val="single" w:sz="4" w:space="0" w:color="000000"/>
              <w:bottom w:val="single" w:sz="4" w:space="0" w:color="000000"/>
              <w:right w:val="single" w:sz="4" w:space="0" w:color="000000"/>
            </w:tcBorders>
          </w:tcPr>
          <w:p>
            <w:pPr>
              <w:pStyle w:val="TableParagraph"/>
              <w:spacing w:line="273" w:lineRule="auto" w:before="141"/>
              <w:ind w:left="103" w:right="101"/>
              <w:jc w:val="left"/>
              <w:rPr>
                <w:rFonts w:ascii="宋体" w:hAnsi="宋体" w:cs="宋体" w:eastAsia="宋体" w:hint="default"/>
                <w:sz w:val="21"/>
                <w:szCs w:val="21"/>
              </w:rPr>
            </w:pPr>
            <w:r>
              <w:rPr>
                <w:rFonts w:ascii="宋体" w:hAnsi="宋体" w:cs="宋体" w:eastAsia="宋体" w:hint="default"/>
                <w:spacing w:val="16"/>
                <w:sz w:val="21"/>
                <w:szCs w:val="21"/>
              </w:rPr>
              <w:t>投资活动现金流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入小计</w:t>
            </w:r>
          </w:p>
        </w:tc>
        <w:tc>
          <w:tcPr>
            <w:tcW w:w="184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1,889,578,819.90</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501,266,223.44</w:t>
            </w:r>
          </w:p>
        </w:tc>
        <w:tc>
          <w:tcPr>
            <w:tcW w:w="14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276.96%</w:t>
            </w:r>
          </w:p>
        </w:tc>
        <w:tc>
          <w:tcPr>
            <w:tcW w:w="2945"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主要系公司增加短期保本型</w:t>
            </w:r>
          </w:p>
          <w:p>
            <w:pPr>
              <w:pStyle w:val="TableParagraph"/>
              <w:spacing w:line="273" w:lineRule="auto" w:before="37"/>
              <w:ind w:left="103" w:right="311"/>
              <w:jc w:val="left"/>
              <w:rPr>
                <w:rFonts w:ascii="宋体" w:hAnsi="宋体" w:cs="宋体" w:eastAsia="宋体" w:hint="default"/>
                <w:sz w:val="21"/>
                <w:szCs w:val="21"/>
              </w:rPr>
            </w:pPr>
            <w:r>
              <w:rPr>
                <w:rFonts w:ascii="宋体" w:hAnsi="宋体" w:cs="宋体" w:eastAsia="宋体" w:hint="default"/>
                <w:sz w:val="21"/>
                <w:szCs w:val="21"/>
              </w:rPr>
              <w:t>理财产品的操作频次及获得 投资收益增加所致。</w:t>
            </w:r>
          </w:p>
        </w:tc>
      </w:tr>
      <w:tr>
        <w:trPr>
          <w:trHeight w:val="125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2,289,910,983.55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517,100,000.00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z w:val="21"/>
              </w:rPr>
              <w:t>342.84%</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firstLine="106"/>
              <w:jc w:val="left"/>
              <w:rPr>
                <w:rFonts w:ascii="宋体" w:hAnsi="宋体" w:cs="宋体" w:eastAsia="宋体" w:hint="default"/>
                <w:sz w:val="21"/>
                <w:szCs w:val="21"/>
              </w:rPr>
            </w:pPr>
            <w:r>
              <w:rPr>
                <w:rFonts w:ascii="宋体" w:hAnsi="宋体" w:cs="宋体" w:eastAsia="宋体" w:hint="default"/>
                <w:sz w:val="21"/>
                <w:szCs w:val="21"/>
              </w:rPr>
              <w:t>主要系公司本期投资安粮期</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z w:val="21"/>
                <w:szCs w:val="21"/>
              </w:rPr>
              <w:t>货、大金所和金网络及增加短 期保本型理财产品的操作频 次所致。</w:t>
            </w:r>
          </w:p>
        </w:tc>
      </w:tr>
      <w:tr>
        <w:trPr>
          <w:trHeight w:val="947"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取得子公司及其</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pacing w:val="16"/>
                <w:sz w:val="21"/>
                <w:szCs w:val="21"/>
              </w:rPr>
              <w:t>他营业单位支付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的现金净额</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31,920,003.33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228,749,997.09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-86.05%</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主要系上年支付收购滨河创</w:t>
            </w:r>
          </w:p>
          <w:p>
            <w:pPr>
              <w:pStyle w:val="TableParagraph"/>
              <w:spacing w:line="273" w:lineRule="auto" w:before="37"/>
              <w:ind w:left="103" w:right="310"/>
              <w:jc w:val="left"/>
              <w:rPr>
                <w:rFonts w:ascii="宋体" w:hAnsi="宋体" w:cs="宋体" w:eastAsia="宋体" w:hint="default"/>
                <w:sz w:val="21"/>
                <w:szCs w:val="21"/>
              </w:rPr>
            </w:pPr>
            <w:r>
              <w:rPr>
                <w:rFonts w:ascii="宋体" w:hAnsi="宋体" w:cs="宋体" w:eastAsia="宋体" w:hint="default"/>
                <w:sz w:val="21"/>
                <w:szCs w:val="21"/>
              </w:rPr>
              <w:t>新股权现金部分比例较大所 致。</w:t>
            </w:r>
          </w:p>
        </w:tc>
      </w:tr>
      <w:tr>
        <w:trPr>
          <w:trHeight w:val="1258"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16"/>
                <w:sz w:val="21"/>
                <w:szCs w:val="21"/>
              </w:rPr>
              <w:t>投资活动现金流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出小计</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2,361,061,792.53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800,070,722.90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195.11%</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firstLine="106"/>
              <w:jc w:val="left"/>
              <w:rPr>
                <w:rFonts w:ascii="宋体" w:hAnsi="宋体" w:cs="宋体" w:eastAsia="宋体" w:hint="default"/>
                <w:sz w:val="21"/>
                <w:szCs w:val="21"/>
              </w:rPr>
            </w:pPr>
            <w:r>
              <w:rPr>
                <w:rFonts w:ascii="宋体" w:hAnsi="宋体" w:cs="宋体" w:eastAsia="宋体" w:hint="default"/>
                <w:sz w:val="21"/>
                <w:szCs w:val="21"/>
              </w:rPr>
              <w:t>主要系公司本期投资安粮期</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z w:val="21"/>
                <w:szCs w:val="21"/>
              </w:rPr>
              <w:t>货、大金所和金网络等参股公 司及增加短期保本型理财产 品的操作频次所致。</w:t>
            </w: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3"/>
              <w:jc w:val="left"/>
              <w:rPr>
                <w:rFonts w:ascii="宋体" w:hAnsi="宋体" w:cs="宋体" w:eastAsia="宋体" w:hint="default"/>
                <w:sz w:val="21"/>
                <w:szCs w:val="21"/>
              </w:rPr>
            </w:pPr>
            <w:r>
              <w:rPr>
                <w:rFonts w:ascii="宋体" w:hAnsi="宋体" w:cs="宋体" w:eastAsia="宋体" w:hint="default"/>
                <w:b/>
                <w:bCs/>
                <w:spacing w:val="16"/>
                <w:sz w:val="21"/>
                <w:szCs w:val="21"/>
              </w:rPr>
              <w:t>投资活动产生的</w:t>
            </w:r>
            <w:r>
              <w:rPr>
                <w:rFonts w:ascii="宋体" w:hAnsi="宋体" w:cs="宋体" w:eastAsia="宋体" w:hint="default"/>
                <w:b/>
                <w:bCs/>
                <w:w w:val="99"/>
                <w:sz w:val="21"/>
                <w:szCs w:val="21"/>
              </w:rPr>
              <w:t> </w:t>
            </w:r>
            <w:r>
              <w:rPr>
                <w:rFonts w:ascii="宋体" w:hAnsi="宋体" w:cs="宋体" w:eastAsia="宋体" w:hint="default"/>
                <w:b/>
                <w:bCs/>
                <w:sz w:val="21"/>
                <w:szCs w:val="21"/>
              </w:rPr>
              <w:t>现金流量净额</w:t>
            </w:r>
            <w:r>
              <w:rPr>
                <w:rFonts w:ascii="宋体" w:hAnsi="宋体" w:cs="宋体" w:eastAsia="宋体" w:hint="default"/>
                <w:sz w:val="21"/>
                <w:szCs w:val="21"/>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b/>
                <w:spacing w:val="-1"/>
                <w:sz w:val="21"/>
              </w:rPr>
              <w:t>-471,482,972.63</w:t>
            </w:r>
            <w:r>
              <w:rPr>
                <w:rFonts w:ascii="Times New Roman"/>
                <w:spacing w:val="-1"/>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1"/>
              <w:jc w:val="right"/>
              <w:rPr>
                <w:rFonts w:ascii="Times New Roman" w:hAnsi="Times New Roman" w:cs="Times New Roman" w:eastAsia="Times New Roman" w:hint="default"/>
                <w:sz w:val="21"/>
                <w:szCs w:val="21"/>
              </w:rPr>
            </w:pPr>
            <w:r>
              <w:rPr>
                <w:rFonts w:ascii="Times New Roman"/>
                <w:b/>
                <w:spacing w:val="-1"/>
                <w:sz w:val="21"/>
              </w:rPr>
              <w:t>-298,804,499.46</w:t>
            </w:r>
            <w:r>
              <w:rPr>
                <w:rFonts w:ascii="Times New Roman"/>
                <w:spacing w:val="-1"/>
                <w:sz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-57.79%</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firstLine="106"/>
              <w:jc w:val="left"/>
              <w:rPr>
                <w:rFonts w:ascii="宋体" w:hAnsi="宋体" w:cs="宋体" w:eastAsia="宋体" w:hint="default"/>
                <w:sz w:val="21"/>
                <w:szCs w:val="21"/>
              </w:rPr>
            </w:pPr>
            <w:r>
              <w:rPr>
                <w:rFonts w:ascii="宋体" w:hAnsi="宋体" w:cs="宋体" w:eastAsia="宋体" w:hint="default"/>
                <w:sz w:val="21"/>
                <w:szCs w:val="21"/>
              </w:rPr>
              <w:t>主要系公司本期投资安粮期</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z w:val="21"/>
                <w:szCs w:val="21"/>
              </w:rPr>
              <w:t>货、大金所和金网络等参股公 司所致。</w:t>
            </w:r>
          </w:p>
        </w:tc>
      </w:tr>
      <w:tr>
        <w:trPr>
          <w:trHeight w:val="947"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101"/>
              <w:jc w:val="left"/>
              <w:rPr>
                <w:rFonts w:ascii="宋体" w:hAnsi="宋体" w:cs="宋体" w:eastAsia="宋体" w:hint="default"/>
                <w:sz w:val="21"/>
                <w:szCs w:val="21"/>
              </w:rPr>
            </w:pPr>
            <w:r>
              <w:rPr>
                <w:rFonts w:ascii="宋体" w:hAnsi="宋体" w:cs="宋体" w:eastAsia="宋体" w:hint="default"/>
                <w:spacing w:val="16"/>
                <w:sz w:val="21"/>
                <w:szCs w:val="21"/>
              </w:rPr>
              <w:t>吸收投资收到的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现金</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100,000.00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00"/>
              <w:jc w:val="right"/>
              <w:rPr>
                <w:rFonts w:ascii="Times New Roman" w:hAnsi="Times New Roman" w:cs="Times New Roman" w:eastAsia="Times New Roman" w:hint="default"/>
                <w:sz w:val="21"/>
                <w:szCs w:val="21"/>
              </w:rPr>
            </w:pPr>
            <w:r>
              <w:rPr>
                <w:rFonts w:ascii="Times New Roman"/>
                <w:spacing w:val="-1"/>
                <w:sz w:val="21"/>
              </w:rPr>
              <w:t>266,179,986.56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-99.96%</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主要系公司上期收到收购滨</w:t>
            </w:r>
          </w:p>
          <w:p>
            <w:pPr>
              <w:pStyle w:val="TableParagraph"/>
              <w:spacing w:line="273" w:lineRule="auto" w:before="37"/>
              <w:ind w:left="103" w:right="310"/>
              <w:jc w:val="left"/>
              <w:rPr>
                <w:rFonts w:ascii="宋体" w:hAnsi="宋体" w:cs="宋体" w:eastAsia="宋体" w:hint="default"/>
                <w:sz w:val="21"/>
                <w:szCs w:val="21"/>
              </w:rPr>
            </w:pPr>
            <w:r>
              <w:rPr>
                <w:rFonts w:ascii="宋体" w:hAnsi="宋体" w:cs="宋体" w:eastAsia="宋体" w:hint="default"/>
                <w:sz w:val="21"/>
                <w:szCs w:val="21"/>
              </w:rPr>
              <w:t>河创新股权定向募集配套资 金所致。</w:t>
            </w: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1"/>
              <w:jc w:val="left"/>
              <w:rPr>
                <w:rFonts w:ascii="宋体" w:hAnsi="宋体" w:cs="宋体" w:eastAsia="宋体" w:hint="default"/>
                <w:sz w:val="21"/>
                <w:szCs w:val="21"/>
              </w:rPr>
            </w:pPr>
            <w:r>
              <w:rPr>
                <w:rFonts w:ascii="宋体" w:hAnsi="宋体" w:cs="宋体" w:eastAsia="宋体" w:hint="default"/>
                <w:spacing w:val="16"/>
                <w:sz w:val="21"/>
                <w:szCs w:val="21"/>
              </w:rPr>
              <w:t>收到其他与筹资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活动有关的现金</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sz w:val="21"/>
              </w:rPr>
              <w:t>46,301.06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981,613.06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-95.28%</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firstLine="106"/>
              <w:jc w:val="left"/>
              <w:rPr>
                <w:rFonts w:ascii="宋体" w:hAnsi="宋体" w:cs="宋体" w:eastAsia="宋体" w:hint="default"/>
                <w:sz w:val="21"/>
                <w:szCs w:val="21"/>
              </w:rPr>
            </w:pPr>
            <w:r>
              <w:rPr>
                <w:rFonts w:ascii="宋体" w:hAnsi="宋体" w:cs="宋体" w:eastAsia="宋体" w:hint="default"/>
                <w:sz w:val="21"/>
                <w:szCs w:val="21"/>
              </w:rPr>
              <w:t>主要系随着募集资金项目的</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z w:val="21"/>
                <w:szCs w:val="21"/>
              </w:rPr>
              <w:t>进展，募集资金余额减少，导 致相应利息收入减少所致。</w:t>
            </w: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1"/>
              <w:jc w:val="left"/>
              <w:rPr>
                <w:rFonts w:ascii="宋体" w:hAnsi="宋体" w:cs="宋体" w:eastAsia="宋体" w:hint="default"/>
                <w:sz w:val="21"/>
                <w:szCs w:val="21"/>
              </w:rPr>
            </w:pPr>
            <w:r>
              <w:rPr>
                <w:rFonts w:ascii="宋体" w:hAnsi="宋体" w:cs="宋体" w:eastAsia="宋体" w:hint="default"/>
                <w:spacing w:val="16"/>
                <w:sz w:val="21"/>
                <w:szCs w:val="21"/>
              </w:rPr>
              <w:t>筹资活动现金流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入小计</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z w:val="21"/>
              </w:rPr>
              <w:t>50,635,957.75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0"/>
              <w:jc w:val="right"/>
              <w:rPr>
                <w:rFonts w:ascii="Times New Roman" w:hAnsi="Times New Roman" w:cs="Times New Roman" w:eastAsia="Times New Roman" w:hint="default"/>
                <w:sz w:val="21"/>
                <w:szCs w:val="21"/>
              </w:rPr>
            </w:pPr>
            <w:r>
              <w:rPr>
                <w:rFonts w:ascii="Times New Roman"/>
                <w:spacing w:val="-1"/>
                <w:sz w:val="21"/>
              </w:rPr>
              <w:t>327,161,599.62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-84.52%</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主要系公司上期收到收购滨</w:t>
            </w:r>
          </w:p>
          <w:p>
            <w:pPr>
              <w:pStyle w:val="TableParagraph"/>
              <w:spacing w:line="273" w:lineRule="auto" w:before="37"/>
              <w:ind w:left="103" w:right="310"/>
              <w:jc w:val="left"/>
              <w:rPr>
                <w:rFonts w:ascii="宋体" w:hAnsi="宋体" w:cs="宋体" w:eastAsia="宋体" w:hint="default"/>
                <w:sz w:val="21"/>
                <w:szCs w:val="21"/>
              </w:rPr>
            </w:pPr>
            <w:r>
              <w:rPr>
                <w:rFonts w:ascii="宋体" w:hAnsi="宋体" w:cs="宋体" w:eastAsia="宋体" w:hint="default"/>
                <w:sz w:val="21"/>
                <w:szCs w:val="21"/>
              </w:rPr>
              <w:t>河创新股权定向募集配套资 金所致。</w:t>
            </w:r>
          </w:p>
        </w:tc>
      </w:tr>
      <w:tr>
        <w:trPr>
          <w:trHeight w:val="635"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偿还债务支付的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48,851,516.92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90,000,000.00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-45.72%</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主要系公司加强资金管理，</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减少银行短期借款所致。</w:t>
            </w:r>
          </w:p>
        </w:tc>
      </w:tr>
      <w:tr>
        <w:trPr>
          <w:trHeight w:val="63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筹资活动现金流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出小计</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79,037,740.42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119,539,673.35</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-33.88%</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主要系公司加强资金管理，</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减少银行短期借款所致。</w:t>
            </w:r>
          </w:p>
        </w:tc>
      </w:tr>
      <w:tr>
        <w:trPr>
          <w:trHeight w:val="946"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3"/>
              <w:jc w:val="left"/>
              <w:rPr>
                <w:rFonts w:ascii="宋体" w:hAnsi="宋体" w:cs="宋体" w:eastAsia="宋体" w:hint="default"/>
                <w:sz w:val="21"/>
                <w:szCs w:val="21"/>
              </w:rPr>
            </w:pPr>
            <w:r>
              <w:rPr>
                <w:rFonts w:ascii="宋体" w:hAnsi="宋体" w:cs="宋体" w:eastAsia="宋体" w:hint="default"/>
                <w:b/>
                <w:bCs/>
                <w:spacing w:val="16"/>
                <w:sz w:val="21"/>
                <w:szCs w:val="21"/>
              </w:rPr>
              <w:t>筹资活动产生的</w:t>
            </w:r>
            <w:r>
              <w:rPr>
                <w:rFonts w:ascii="宋体" w:hAnsi="宋体" w:cs="宋体" w:eastAsia="宋体" w:hint="default"/>
                <w:b/>
                <w:bCs/>
                <w:w w:val="99"/>
                <w:sz w:val="21"/>
                <w:szCs w:val="21"/>
              </w:rPr>
              <w:t> </w:t>
            </w:r>
            <w:r>
              <w:rPr>
                <w:rFonts w:ascii="宋体" w:hAnsi="宋体" w:cs="宋体" w:eastAsia="宋体" w:hint="default"/>
                <w:b/>
                <w:bCs/>
                <w:sz w:val="21"/>
                <w:szCs w:val="21"/>
              </w:rPr>
              <w:t>现金流量净额</w:t>
            </w:r>
            <w:r>
              <w:rPr>
                <w:rFonts w:ascii="宋体" w:hAnsi="宋体" w:cs="宋体" w:eastAsia="宋体" w:hint="default"/>
                <w:sz w:val="21"/>
                <w:szCs w:val="21"/>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b/>
                <w:spacing w:val="-1"/>
                <w:sz w:val="21"/>
              </w:rPr>
              <w:t>-28,401,782.67</w:t>
            </w:r>
            <w:r>
              <w:rPr>
                <w:rFonts w:ascii="Times New Roman"/>
                <w:spacing w:val="-1"/>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00"/>
              <w:jc w:val="right"/>
              <w:rPr>
                <w:rFonts w:ascii="Times New Roman" w:hAnsi="Times New Roman" w:cs="Times New Roman" w:eastAsia="Times New Roman" w:hint="default"/>
                <w:sz w:val="21"/>
                <w:szCs w:val="21"/>
              </w:rPr>
            </w:pPr>
            <w:r>
              <w:rPr>
                <w:rFonts w:ascii="Times New Roman"/>
                <w:b/>
                <w:spacing w:val="-1"/>
                <w:sz w:val="21"/>
              </w:rPr>
              <w:t>207,621,926.27</w:t>
            </w:r>
            <w:r>
              <w:rPr>
                <w:rFonts w:ascii="Times New Roman"/>
                <w:spacing w:val="-1"/>
                <w:sz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-113.68%</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主要系公司上期收到收购滨</w:t>
            </w:r>
          </w:p>
          <w:p>
            <w:pPr>
              <w:pStyle w:val="TableParagraph"/>
              <w:spacing w:line="273" w:lineRule="auto" w:before="37"/>
              <w:ind w:left="103" w:right="100"/>
              <w:jc w:val="left"/>
              <w:rPr>
                <w:rFonts w:ascii="宋体" w:hAnsi="宋体" w:cs="宋体" w:eastAsia="宋体" w:hint="default"/>
                <w:sz w:val="21"/>
                <w:szCs w:val="21"/>
              </w:rPr>
            </w:pPr>
            <w:r>
              <w:rPr>
                <w:rFonts w:ascii="宋体" w:hAnsi="宋体" w:cs="宋体" w:eastAsia="宋体" w:hint="default"/>
                <w:sz w:val="21"/>
                <w:szCs w:val="21"/>
              </w:rPr>
              <w:t>河创新股权定向募集配套资 金及减少银行短期借款所致。</w:t>
            </w:r>
          </w:p>
        </w:tc>
      </w:tr>
      <w:tr>
        <w:trPr>
          <w:trHeight w:val="947"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b/>
                <w:bCs/>
                <w:spacing w:val="1"/>
                <w:w w:val="99"/>
                <w:sz w:val="21"/>
                <w:szCs w:val="21"/>
              </w:rPr>
              <w:t>四</w:t>
            </w:r>
            <w:r>
              <w:rPr>
                <w:rFonts w:ascii="宋体" w:hAnsi="宋体" w:cs="宋体" w:eastAsia="宋体" w:hint="default"/>
                <w:b/>
                <w:bCs/>
                <w:spacing w:val="-96"/>
                <w:w w:val="99"/>
                <w:sz w:val="21"/>
                <w:szCs w:val="21"/>
              </w:rPr>
              <w:t>、</w:t>
            </w:r>
            <w:r>
              <w:rPr>
                <w:rFonts w:ascii="宋体" w:hAnsi="宋体" w:cs="宋体" w:eastAsia="宋体" w:hint="default"/>
                <w:b/>
                <w:bCs/>
                <w:w w:val="99"/>
                <w:sz w:val="21"/>
                <w:szCs w:val="21"/>
              </w:rPr>
              <w:t>汇</w:t>
            </w:r>
            <w:r>
              <w:rPr>
                <w:rFonts w:ascii="宋体" w:hAnsi="宋体" w:cs="宋体" w:eastAsia="宋体" w:hint="default"/>
                <w:b/>
                <w:bCs/>
                <w:spacing w:val="1"/>
                <w:w w:val="99"/>
                <w:sz w:val="21"/>
                <w:szCs w:val="21"/>
              </w:rPr>
              <w:t>率变</w:t>
            </w:r>
            <w:r>
              <w:rPr>
                <w:rFonts w:ascii="宋体" w:hAnsi="宋体" w:cs="宋体" w:eastAsia="宋体" w:hint="default"/>
                <w:b/>
                <w:bCs/>
                <w:w w:val="99"/>
                <w:sz w:val="21"/>
                <w:szCs w:val="21"/>
              </w:rPr>
              <w:t>动</w:t>
            </w:r>
            <w:r>
              <w:rPr>
                <w:rFonts w:ascii="宋体" w:hAnsi="宋体" w:cs="宋体" w:eastAsia="宋体" w:hint="default"/>
                <w:b/>
                <w:bCs/>
                <w:spacing w:val="1"/>
                <w:w w:val="99"/>
                <w:sz w:val="21"/>
                <w:szCs w:val="21"/>
              </w:rPr>
              <w:t>对</w:t>
            </w:r>
            <w:r>
              <w:rPr>
                <w:rFonts w:ascii="宋体" w:hAnsi="宋体" w:cs="宋体" w:eastAsia="宋体" w:hint="default"/>
                <w:b/>
                <w:bCs/>
                <w:w w:val="99"/>
                <w:sz w:val="21"/>
                <w:szCs w:val="21"/>
              </w:rPr>
              <w:t>现</w:t>
            </w:r>
            <w:r>
              <w:rPr>
                <w:rFonts w:ascii="宋体" w:hAnsi="宋体" w:cs="宋体" w:eastAsia="宋体" w:hint="default"/>
                <w:sz w:val="21"/>
                <w:szCs w:val="21"/>
              </w:rPr>
            </w:r>
          </w:p>
          <w:p>
            <w:pPr>
              <w:pStyle w:val="TableParagraph"/>
              <w:spacing w:line="273" w:lineRule="auto" w:before="37"/>
              <w:ind w:left="103" w:right="103"/>
              <w:jc w:val="left"/>
              <w:rPr>
                <w:rFonts w:ascii="宋体" w:hAnsi="宋体" w:cs="宋体" w:eastAsia="宋体" w:hint="default"/>
                <w:sz w:val="21"/>
                <w:szCs w:val="21"/>
              </w:rPr>
            </w:pPr>
            <w:r>
              <w:rPr>
                <w:rFonts w:ascii="宋体" w:hAnsi="宋体" w:cs="宋体" w:eastAsia="宋体" w:hint="default"/>
                <w:b/>
                <w:bCs/>
                <w:spacing w:val="16"/>
                <w:sz w:val="21"/>
                <w:szCs w:val="21"/>
              </w:rPr>
              <w:t>金及现金等价物</w:t>
            </w:r>
            <w:r>
              <w:rPr>
                <w:rFonts w:ascii="宋体" w:hAnsi="宋体" w:cs="宋体" w:eastAsia="宋体" w:hint="default"/>
                <w:b/>
                <w:bCs/>
                <w:w w:val="99"/>
                <w:sz w:val="21"/>
                <w:szCs w:val="21"/>
              </w:rPr>
              <w:t> </w:t>
            </w:r>
            <w:r>
              <w:rPr>
                <w:rFonts w:ascii="宋体" w:hAnsi="宋体" w:cs="宋体" w:eastAsia="宋体" w:hint="default"/>
                <w:b/>
                <w:bCs/>
                <w:sz w:val="21"/>
                <w:szCs w:val="21"/>
              </w:rPr>
              <w:t>的影响</w:t>
            </w:r>
            <w:r>
              <w:rPr>
                <w:rFonts w:ascii="宋体" w:hAnsi="宋体" w:cs="宋体" w:eastAsia="宋体" w:hint="default"/>
                <w:sz w:val="21"/>
                <w:szCs w:val="21"/>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right="102"/>
              <w:jc w:val="right"/>
              <w:rPr>
                <w:rFonts w:ascii="Times New Roman" w:hAnsi="Times New Roman" w:cs="Times New Roman" w:eastAsia="Times New Roman" w:hint="default"/>
                <w:sz w:val="21"/>
                <w:szCs w:val="21"/>
              </w:rPr>
            </w:pPr>
            <w:r>
              <w:rPr>
                <w:rFonts w:ascii="Times New Roman"/>
                <w:b/>
                <w:sz w:val="21"/>
              </w:rPr>
              <w:t>73,785.73</w:t>
            </w:r>
            <w:r>
              <w:rPr>
                <w:rFonts w:ascii="Times New Roman"/>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b/>
                <w:sz w:val="21"/>
              </w:rPr>
              <w:t>-128.66</w:t>
            </w:r>
            <w:r>
              <w:rPr>
                <w:rFonts w:ascii="Times New Roman"/>
                <w:sz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57449.39%</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205" w:firstLine="106"/>
              <w:jc w:val="left"/>
              <w:rPr>
                <w:rFonts w:ascii="宋体" w:hAnsi="宋体" w:cs="宋体" w:eastAsia="宋体" w:hint="default"/>
                <w:sz w:val="21"/>
                <w:szCs w:val="21"/>
              </w:rPr>
            </w:pPr>
            <w:r>
              <w:rPr>
                <w:rFonts w:ascii="宋体" w:hAnsi="宋体" w:cs="宋体" w:eastAsia="宋体" w:hint="default"/>
                <w:sz w:val="21"/>
                <w:szCs w:val="21"/>
              </w:rPr>
              <w:t>主要系报告期外币汇率波动 所致。</w:t>
            </w:r>
          </w:p>
        </w:tc>
      </w:tr>
      <w:tr>
        <w:trPr>
          <w:trHeight w:val="634"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b/>
                <w:bCs/>
                <w:spacing w:val="1"/>
                <w:w w:val="99"/>
                <w:sz w:val="21"/>
                <w:szCs w:val="21"/>
              </w:rPr>
              <w:t>五</w:t>
            </w:r>
            <w:r>
              <w:rPr>
                <w:rFonts w:ascii="宋体" w:hAnsi="宋体" w:cs="宋体" w:eastAsia="宋体" w:hint="default"/>
                <w:b/>
                <w:bCs/>
                <w:spacing w:val="-96"/>
                <w:w w:val="99"/>
                <w:sz w:val="21"/>
                <w:szCs w:val="21"/>
              </w:rPr>
              <w:t>、</w:t>
            </w:r>
            <w:r>
              <w:rPr>
                <w:rFonts w:ascii="宋体" w:hAnsi="宋体" w:cs="宋体" w:eastAsia="宋体" w:hint="default"/>
                <w:b/>
                <w:bCs/>
                <w:w w:val="99"/>
                <w:sz w:val="21"/>
                <w:szCs w:val="21"/>
              </w:rPr>
              <w:t>现</w:t>
            </w:r>
            <w:r>
              <w:rPr>
                <w:rFonts w:ascii="宋体" w:hAnsi="宋体" w:cs="宋体" w:eastAsia="宋体" w:hint="default"/>
                <w:b/>
                <w:bCs/>
                <w:spacing w:val="1"/>
                <w:w w:val="99"/>
                <w:sz w:val="21"/>
                <w:szCs w:val="21"/>
              </w:rPr>
              <w:t>金及</w:t>
            </w:r>
            <w:r>
              <w:rPr>
                <w:rFonts w:ascii="宋体" w:hAnsi="宋体" w:cs="宋体" w:eastAsia="宋体" w:hint="default"/>
                <w:b/>
                <w:bCs/>
                <w:w w:val="99"/>
                <w:sz w:val="21"/>
                <w:szCs w:val="21"/>
              </w:rPr>
              <w:t>现</w:t>
            </w:r>
            <w:r>
              <w:rPr>
                <w:rFonts w:ascii="宋体" w:hAnsi="宋体" w:cs="宋体" w:eastAsia="宋体" w:hint="default"/>
                <w:b/>
                <w:bCs/>
                <w:spacing w:val="1"/>
                <w:w w:val="99"/>
                <w:sz w:val="21"/>
                <w:szCs w:val="21"/>
              </w:rPr>
              <w:t>金</w:t>
            </w:r>
            <w:r>
              <w:rPr>
                <w:rFonts w:ascii="宋体" w:hAnsi="宋体" w:cs="宋体" w:eastAsia="宋体" w:hint="default"/>
                <w:b/>
                <w:bCs/>
                <w:w w:val="99"/>
                <w:sz w:val="21"/>
                <w:szCs w:val="21"/>
              </w:rPr>
              <w:t>等</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b/>
                <w:bCs/>
                <w:sz w:val="21"/>
                <w:szCs w:val="21"/>
              </w:rPr>
              <w:t>价物净增加额</w:t>
            </w:r>
            <w:r>
              <w:rPr>
                <w:rFonts w:ascii="宋体" w:hAnsi="宋体" w:cs="宋体" w:eastAsia="宋体" w:hint="default"/>
                <w:sz w:val="21"/>
                <w:szCs w:val="21"/>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b/>
                <w:spacing w:val="-1"/>
                <w:sz w:val="21"/>
              </w:rPr>
              <w:t>-127,105,838.19</w:t>
            </w:r>
            <w:r>
              <w:rPr>
                <w:rFonts w:ascii="Times New Roman"/>
                <w:spacing w:val="-1"/>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b/>
                <w:spacing w:val="-1"/>
                <w:sz w:val="21"/>
              </w:rPr>
              <w:t>151,237,710.45</w:t>
            </w:r>
            <w:r>
              <w:rPr>
                <w:rFonts w:ascii="Times New Roman"/>
                <w:spacing w:val="-1"/>
                <w:sz w:val="21"/>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-184.04%</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9" w:right="0"/>
              <w:jc w:val="left"/>
              <w:rPr>
                <w:rFonts w:ascii="宋体" w:hAnsi="宋体" w:cs="宋体" w:eastAsia="宋体" w:hint="default"/>
                <w:sz w:val="21"/>
                <w:szCs w:val="21"/>
              </w:rPr>
            </w:pPr>
            <w:r>
              <w:rPr>
                <w:rFonts w:ascii="宋体" w:hAnsi="宋体" w:cs="宋体" w:eastAsia="宋体" w:hint="default"/>
                <w:sz w:val="21"/>
                <w:szCs w:val="21"/>
              </w:rPr>
              <w:t>主要系上述因素综合影响所</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致。</w:t>
            </w:r>
          </w:p>
        </w:tc>
      </w:tr>
    </w:tbl>
    <w:p>
      <w:pPr>
        <w:spacing w:after="0" w:line="240" w:lineRule="auto"/>
        <w:jc w:val="left"/>
        <w:rPr>
          <w:rFonts w:ascii="宋体" w:hAnsi="宋体" w:cs="宋体" w:eastAsia="宋体" w:hint="default"/>
          <w:sz w:val="21"/>
          <w:szCs w:val="21"/>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286" w:right="1024"/>
        <w:jc w:val="left"/>
        <w:rPr>
          <w:b w:val="0"/>
          <w:bCs w:val="0"/>
        </w:rPr>
      </w:pPr>
      <w:bookmarkStart w:name="_TOC_250000" w:id="389"/>
      <w:bookmarkStart w:name="第十一节 备查文件目录" w:id="390"/>
      <w:r>
        <w:rPr>
          <w:b w:val="0"/>
          <w:bCs w:val="0"/>
        </w:rPr>
      </w:r>
      <w:r>
        <w:rPr/>
        <w:t>第十一节</w:t>
      </w:r>
      <w:r>
        <w:rPr>
          <w:spacing w:val="-8"/>
        </w:rPr>
        <w:t> </w:t>
      </w:r>
      <w:r>
        <w:rPr/>
        <w:t>备查文件目录</w:t>
      </w:r>
      <w:bookmarkEnd w:id="389"/>
      <w:r>
        <w:rPr>
          <w:b w:val="0"/>
          <w:bCs w:val="0"/>
        </w:rPr>
      </w:r>
    </w:p>
    <w:p>
      <w:pPr>
        <w:spacing w:line="240" w:lineRule="auto" w:before="7"/>
        <w:rPr>
          <w:rFonts w:ascii="宋体" w:hAnsi="宋体" w:cs="宋体" w:eastAsia="宋体" w:hint="default"/>
          <w:b/>
          <w:bCs/>
          <w:sz w:val="46"/>
          <w:szCs w:val="46"/>
        </w:rPr>
      </w:pPr>
    </w:p>
    <w:p>
      <w:pPr>
        <w:pStyle w:val="BodyText"/>
        <w:spacing w:line="240" w:lineRule="auto" w:before="0"/>
        <w:ind w:right="1024"/>
        <w:jc w:val="left"/>
      </w:pPr>
      <w:r>
        <w:rPr>
          <w:rFonts w:ascii="宋体" w:hAnsi="宋体" w:cs="宋体" w:eastAsia="宋体" w:hint="default"/>
        </w:rPr>
        <w:t>1.</w:t>
      </w:r>
      <w:r>
        <w:rPr/>
        <w:t>载有法定代表人、财务负责人、会计机构负责人签名并盖章的财务报表。</w:t>
      </w:r>
    </w:p>
    <w:p>
      <w:pPr>
        <w:spacing w:line="240" w:lineRule="auto" w:before="10"/>
        <w:rPr>
          <w:rFonts w:ascii="宋体" w:hAnsi="宋体" w:cs="宋体" w:eastAsia="宋体" w:hint="default"/>
          <w:sz w:val="14"/>
          <w:szCs w:val="14"/>
        </w:rPr>
      </w:pPr>
    </w:p>
    <w:p>
      <w:pPr>
        <w:pStyle w:val="BodyText"/>
        <w:spacing w:line="240" w:lineRule="auto" w:before="0"/>
        <w:ind w:right="1024"/>
        <w:jc w:val="left"/>
      </w:pPr>
      <w:r>
        <w:rPr>
          <w:rFonts w:ascii="宋体" w:hAnsi="宋体" w:cs="宋体" w:eastAsia="宋体" w:hint="default"/>
        </w:rPr>
        <w:t>2.</w:t>
      </w:r>
      <w:r>
        <w:rPr/>
        <w:t>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240" w:lineRule="auto" w:before="0"/>
        <w:ind w:right="1024"/>
        <w:jc w:val="left"/>
      </w:pPr>
      <w:r>
        <w:rPr>
          <w:rFonts w:ascii="宋体" w:hAnsi="宋体" w:cs="宋体" w:eastAsia="宋体" w:hint="default"/>
        </w:rPr>
        <w:t>3.</w:t>
      </w:r>
      <w:r>
        <w:rPr/>
        <w:t>报告期内在中国证监会指定报纸上公开披露过的所有公司文件的正本及公告原稿。</w:t>
      </w:r>
    </w:p>
    <w:p>
      <w:pPr>
        <w:spacing w:line="240" w:lineRule="auto" w:before="10"/>
        <w:rPr>
          <w:rFonts w:ascii="宋体" w:hAnsi="宋体" w:cs="宋体" w:eastAsia="宋体" w:hint="default"/>
          <w:sz w:val="14"/>
          <w:szCs w:val="14"/>
        </w:rPr>
      </w:pPr>
    </w:p>
    <w:p>
      <w:pPr>
        <w:pStyle w:val="BodyText"/>
        <w:spacing w:line="240" w:lineRule="auto" w:before="0"/>
        <w:ind w:right="1024"/>
        <w:jc w:val="left"/>
      </w:pPr>
      <w:r>
        <w:rPr>
          <w:rFonts w:ascii="宋体" w:hAnsi="宋体" w:cs="宋体" w:eastAsia="宋体" w:hint="default"/>
        </w:rPr>
        <w:t>4.</w:t>
      </w:r>
      <w:r>
        <w:rPr/>
        <w:t>载有董事长签名的</w:t>
      </w:r>
      <w:r>
        <w:rPr>
          <w:rFonts w:ascii="宋体" w:hAnsi="宋体" w:cs="宋体" w:eastAsia="宋体" w:hint="default"/>
        </w:rPr>
        <w:t>2015</w:t>
      </w:r>
      <w:r>
        <w:rPr/>
        <w:t>年年度报告文本原件。</w:t>
      </w:r>
    </w:p>
    <w:p>
      <w:pPr>
        <w:spacing w:line="240" w:lineRule="auto" w:before="10"/>
        <w:rPr>
          <w:rFonts w:ascii="宋体" w:hAnsi="宋体" w:cs="宋体" w:eastAsia="宋体" w:hint="default"/>
          <w:sz w:val="14"/>
          <w:szCs w:val="14"/>
        </w:rPr>
      </w:pPr>
    </w:p>
    <w:p>
      <w:pPr>
        <w:pStyle w:val="BodyText"/>
        <w:spacing w:line="240" w:lineRule="auto" w:before="0"/>
        <w:ind w:left="154" w:right="1024"/>
        <w:jc w:val="left"/>
      </w:pPr>
      <w:r>
        <w:rPr>
          <w:rFonts w:ascii="宋体" w:hAnsi="宋体" w:cs="宋体" w:eastAsia="宋体" w:hint="default"/>
        </w:rPr>
        <w:t>5.</w:t>
      </w:r>
      <w:r>
        <w:rPr/>
        <w:t>以上备查文件的备置地点：公司董事会办公室。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13696" type="#_x0000_t75" stroked="false">
          <v:imagedata r:id="rId1" o:title=""/>
        </v:shape>
      </w:pict>
    </w:r>
    <w:r>
      <w:rPr/>
      <w:pict>
        <v:shape style="position:absolute;margin-left:533.179993pt;margin-top:795.517944pt;width:6.5pt;height:11pt;mso-position-horizontal-relative:page;mso-position-vertical-relative:page;z-index:-12136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13648" type="#_x0000_t75" stroked="false">
          <v:imagedata r:id="rId1" o:title=""/>
        </v:shape>
      </w:pict>
    </w:r>
    <w:r>
      <w:rPr/>
      <w:pict>
        <v:shape style="position:absolute;margin-left:527.679993pt;margin-top:781.957947pt;width:13pt;height:11pt;mso-position-horizontal-relative:page;mso-position-vertical-relative:page;z-index:-1213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13600" type="#_x0000_t75" stroked="false">
          <v:imagedata r:id="rId1" o:title=""/>
        </v:shape>
      </w:pict>
    </w:r>
    <w:r>
      <w:rPr/>
      <w:pict>
        <v:shape style="position:absolute;margin-left:524.179993pt;margin-top:781.957947pt;width:15.5pt;height:11pt;mso-position-horizontal-relative:page;mso-position-vertical-relative:page;z-index:-12135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213552" type="#_x0000_t75" stroked="false">
          <v:imagedata r:id="rId1" o:title=""/>
        </v:shape>
      </w:pict>
    </w:r>
    <w:r>
      <w:rPr/>
      <w:pict>
        <v:shape style="position:absolute;margin-left:523.179993pt;margin-top:781.957947pt;width:17.5pt;height:11pt;mso-position-horizontal-relative:page;mso-position-vertical-relative:page;z-index:-1213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2137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46"/>
      <w:ind w:left="153"/>
    </w:pPr>
    <w:rPr>
      <w:rFonts w:ascii="宋体" w:hAnsi="宋体" w:eastAsia="宋体"/>
      <w:sz w:val="21"/>
      <w:szCs w:val="21"/>
    </w:rPr>
  </w:style>
  <w:style w:styleId="Heading1" w:type="paragraph">
    <w:name w:val="Heading 1"/>
    <w:basedOn w:val="Normal"/>
    <w:uiPriority w:val="1"/>
    <w:qFormat/>
    <w:pPr>
      <w:spacing w:before="1"/>
      <w:ind w:left="242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spacing w:before="116"/>
      <w:ind w:left="153" w:firstLine="357"/>
      <w:outlineLvl w:val="3"/>
    </w:pPr>
    <w:rPr>
      <w:rFonts w:ascii="宋体" w:hAnsi="宋体" w:eastAsia="宋体"/>
      <w:sz w:val="22"/>
      <w:szCs w:val="22"/>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inodata.net.cn/" TargetMode="External"/><Relationship Id="rId10" Type="http://schemas.openxmlformats.org/officeDocument/2006/relationships/hyperlink" Target="mailto:zkjc@sinodata.net.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hyperlink" Target="http://www.cninfo.co/"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北京中科金财科技股份有限公司</dc:creator>
  <dc:title>北京中科金财科技股份有限公司2015年年度报告全文</dc:title>
  <dcterms:created xsi:type="dcterms:W3CDTF">2020-05-04T14:23:45Z</dcterms:created>
  <dcterms:modified xsi:type="dcterms:W3CDTF">2020-05-04T14:23:45Z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2016-04-21T00:00:00Z</vt:filetime>
  </property>
  <property fmtid="{D5CDD505-2E9C-101B-9397-08002B2CF9AE}" pid="3" name="Creator">
    <vt:lpwstr>Microsoft® Office Word 2007</vt:lpwstr>
  </property>
  <property fmtid="{D5CDD505-2E9C-101B-9397-08002B2CF9AE}" pid="4" name="LastSaved">
    <vt:filetime>2020-05-04T00:00:00Z</vt:filetime>
  </property>
</Properties>
</file>