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368" w:lineRule="exact"/>
        <w:ind w:left="40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
          <w:sz w:val="20"/>
          <w:szCs w:val="20"/>
        </w:rPr>
        <w:drawing>
          <wp:inline distT="0" distB="0" distL="0" distR="0">
            <wp:extent cx="1128395" cy="86867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128395" cy="868679"/>
                    </a:xfrm>
                    <a:prstGeom prst="rect">
                      <a:avLst/>
                    </a:prstGeom>
                  </pic:spPr>
                </pic:pic>
              </a:graphicData>
            </a:graphic>
          </wp:inline>
        </w:drawing>
      </w:r>
      <w:r>
        <w:rPr>
          <w:rFonts w:ascii="Times New Roman" w:hAnsi="Times New Roman" w:cs="Times New Roman" w:eastAsia="Times New Roman" w:hint="default"/>
          <w:position w:val="-26"/>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2424" w:right="3401" w:firstLine="0"/>
        <w:jc w:val="center"/>
        <w:rPr>
          <w:rFonts w:ascii="宋体" w:hAnsi="宋体" w:cs="宋体" w:eastAsia="宋体" w:hint="default"/>
          <w:sz w:val="36"/>
          <w:szCs w:val="36"/>
        </w:rPr>
      </w:pPr>
      <w:r>
        <w:rPr>
          <w:rFonts w:ascii="宋体" w:hAnsi="宋体" w:cs="宋体" w:eastAsia="宋体" w:hint="default"/>
          <w:b/>
          <w:bCs/>
          <w:sz w:val="36"/>
          <w:szCs w:val="36"/>
        </w:rPr>
        <w:t>北京中科金财科技股份有限公司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2" w:right="34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424" w:right="3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公司负责人朱烨东、主管会计工作负责人赵学荣及会计机构负责人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洪珊声明：保证年度报告中财务报告的真实、准确、完整。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公司存在的风险因素主要有市场竞争风险、行业技术风险、人力资源风险、</w:t>
      </w:r>
      <w:r>
        <w:rPr>
          <w:rFonts w:ascii="宋体" w:hAnsi="宋体" w:cs="宋体" w:eastAsia="宋体" w:hint="default"/>
          <w:spacing w:val="-2"/>
          <w:sz w:val="28"/>
          <w:szCs w:val="28"/>
        </w:rPr>
      </w:r>
    </w:p>
    <w:p>
      <w:pPr>
        <w:spacing w:line="386" w:lineRule="auto" w:before="0"/>
        <w:ind w:left="153" w:right="0" w:firstLine="0"/>
        <w:jc w:val="left"/>
        <w:rPr>
          <w:rFonts w:ascii="宋体" w:hAnsi="宋体" w:cs="宋体" w:eastAsia="宋体" w:hint="default"/>
          <w:sz w:val="28"/>
          <w:szCs w:val="28"/>
        </w:rPr>
      </w:pPr>
      <w:r>
        <w:rPr>
          <w:rFonts w:ascii="宋体" w:hAnsi="宋体" w:cs="宋体" w:eastAsia="宋体" w:hint="default"/>
          <w:b/>
          <w:bCs/>
          <w:spacing w:val="-1"/>
          <w:w w:val="95"/>
          <w:sz w:val="28"/>
          <w:szCs w:val="28"/>
        </w:rPr>
        <w:t>行业监管政策风险等，有关主要风险因素及公司应对措施已在本报告第四节</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经</w:t>
      </w:r>
      <w:r>
        <w:rPr>
          <w:rFonts w:ascii="宋体" w:hAnsi="宋体" w:cs="宋体" w:eastAsia="宋体" w:hint="default"/>
          <w:b/>
          <w:bCs/>
          <w:spacing w:val="36"/>
          <w:w w:val="95"/>
          <w:sz w:val="28"/>
          <w:szCs w:val="28"/>
        </w:rPr>
        <w:t> </w:t>
      </w:r>
      <w:r>
        <w:rPr>
          <w:rFonts w:ascii="宋体" w:hAnsi="宋体" w:cs="宋体" w:eastAsia="宋体" w:hint="default"/>
          <w:b/>
          <w:bCs/>
          <w:sz w:val="28"/>
          <w:szCs w:val="28"/>
        </w:rPr>
        <w:t>营情况讨论与分析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公司未来发展的展望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详细阐述。</w:t>
      </w:r>
      <w:r>
        <w:rPr>
          <w:rFonts w:ascii="宋体" w:hAnsi="宋体" w:cs="宋体" w:eastAsia="宋体" w:hint="default"/>
          <w:sz w:val="28"/>
          <w:szCs w:val="28"/>
        </w:rPr>
      </w:r>
    </w:p>
    <w:p>
      <w:pPr>
        <w:spacing w:before="148"/>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4" w:right="340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191</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2424" w:right="340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中科金财、公司、母公司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滨河创新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天津滨河创新科技有限公司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中科商务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北京中科金财电子商务有限公司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大金所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大连金融资产交易所有限公司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安粮期货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安粮期货股份有限公司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奥瑞金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奥瑞金包装股份有限公司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奥金智策</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北京奥金智策传媒科技有限公司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滨河顺通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天津滨河顺通科技有限公司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中金财富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深圳中金财富互联网金融服务有限公司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华缔资管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华缔资产管理（北京）有限公司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1132792"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中科金财</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002657</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中科金财</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pacing w:val="-5"/>
                <w:sz w:val="18"/>
              </w:rPr>
              <w:t>SINODATA </w:t>
            </w:r>
            <w:r>
              <w:rPr>
                <w:rFonts w:ascii="Times New Roman"/>
                <w:sz w:val="18"/>
              </w:rPr>
              <w:t>CO., </w:t>
            </w:r>
            <w:r>
              <w:rPr>
                <w:rFonts w:ascii="Times New Roman"/>
                <w:spacing w:val="-5"/>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pacing w:val="-5"/>
                <w:sz w:val="18"/>
              </w:rPr>
              <w:t>SINODATA</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朱烨东</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号唯实大厦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100191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号唯实大厦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100191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www.sinodata.net.cn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zkjc@sinodata.net.cn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贺岩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李燕</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号唯实大厦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号唯实大厦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010-62309608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010-62309608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010-62309595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010-62309595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zkjc@sinodata.net.cn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zkjc@sinodata.net.cn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91110000757740123M</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张金华、郭晓清</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中信证券大厦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黄新炎、李艳梅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1,226,017,671.63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1,380,123,898.84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1,327,554,356.58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-236,661,197.94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177,933,924.25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-233.01%</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160,334,370.22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-298,834,351.89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149,410,887.39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-300.01%</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143,016,658.34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108,428,190.60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267,550,282.51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372,705,131.38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-0.70</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-232.08%</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-0.70</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-232.08%</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4,549,570,657.17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3,654,390,937.79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2,588,962,921.76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2,517,531,571.37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2,770,957,996.90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1,651,988,588.32</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87"/>
        <w:ind w:right="0"/>
        <w:jc w:val="left"/>
      </w:pPr>
      <w:r>
        <w:rPr/>
        <w:t>公司报告期不存在按照国际会计准则与按照中国会计准则披露的财务报告中净利润和净资产差异情况。</w:t>
      </w:r>
    </w:p>
    <w:p>
      <w:pPr>
        <w:spacing w:line="240" w:lineRule="auto" w:before="13"/>
        <w:rPr>
          <w:rFonts w:ascii="宋体" w:hAnsi="宋体" w:cs="宋体" w:eastAsia="宋体" w:hint="default"/>
          <w:sz w:val="25"/>
          <w:szCs w:val="25"/>
        </w:rPr>
      </w:pPr>
    </w:p>
    <w:p>
      <w:pPr>
        <w:pStyle w:val="Heading3"/>
        <w:spacing w:line="240" w:lineRule="auto"/>
        <w:ind w:left="153"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86"/>
        <w:ind w:right="0"/>
        <w:jc w:val="left"/>
      </w:pPr>
      <w:r>
        <w:rPr/>
        <w:t>公司报告期不存在按照境外会计准则与按照中国会计准则披露的财务报告中净利润和净资产差异情况。</w:t>
      </w:r>
    </w:p>
    <w:p>
      <w:pPr>
        <w:spacing w:line="240" w:lineRule="auto" w:before="4"/>
        <w:rPr>
          <w:rFonts w:ascii="宋体" w:hAnsi="宋体" w:cs="宋体" w:eastAsia="宋体" w:hint="default"/>
          <w:sz w:val="24"/>
          <w:szCs w:val="24"/>
        </w:rPr>
      </w:pPr>
    </w:p>
    <w:p>
      <w:pPr>
        <w:pStyle w:val="Heading2"/>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7"/>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210,855,918.82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340,397,373.61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183,173,083.17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491,591,296.03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34,774,164.85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57,941,184.18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29,118,931.11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-358,495,478.08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19,769,562.68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40,614,322.91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13,551,527.96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-372,769,765.44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-133,331,167.38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102,190,696.78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-50,716,480.79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190,285,141.99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736,933.19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-27,020,846.04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124,767.15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9,054,871.43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14,202,040.61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10,811,100.00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2,250,179.50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28,147,433.01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62,332,059.40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20,128,382.80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9,379,206.57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235,371.42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-1,851,651.48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-75,280.39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10,560,284.32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5,030,189.47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2,900,247.44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1,875,976.67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52,132.57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21,834.01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62,173,153.95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28,523,036.86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17,317,711.88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5"/>
        <w:gridCol w:w="2126"/>
        <w:gridCol w:w="5178"/>
      </w:tblGrid>
      <w:tr>
        <w:trPr>
          <w:trHeight w:val="401"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47"/>
              <w:jc w:val="right"/>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70"/>
              <w:jc w:val="right"/>
              <w:rPr>
                <w:rFonts w:ascii="宋体" w:hAnsi="宋体" w:cs="宋体" w:eastAsia="宋体" w:hint="default"/>
                <w:sz w:val="18"/>
                <w:szCs w:val="18"/>
              </w:rPr>
            </w:pPr>
            <w:r>
              <w:rPr>
                <w:rFonts w:ascii="宋体" w:hAnsi="宋体" w:cs="宋体" w:eastAsia="宋体" w:hint="default"/>
                <w:sz w:val="18"/>
                <w:szCs w:val="18"/>
              </w:rPr>
              <w:t>软件增值税退税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4" w:right="0"/>
              <w:jc w:val="left"/>
              <w:rPr>
                <w:rFonts w:ascii="Times New Roman" w:hAnsi="Times New Roman" w:cs="Times New Roman" w:eastAsia="Times New Roman" w:hint="default"/>
                <w:sz w:val="18"/>
                <w:szCs w:val="18"/>
              </w:rPr>
            </w:pPr>
            <w:r>
              <w:rPr>
                <w:rFonts w:ascii="Times New Roman"/>
                <w:sz w:val="18"/>
              </w:rPr>
              <w:t>4,114,531.75</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2"/>
              <w:jc w:val="left"/>
              <w:rPr>
                <w:rFonts w:ascii="宋体" w:hAnsi="宋体" w:cs="宋体" w:eastAsia="宋体" w:hint="default"/>
                <w:sz w:val="18"/>
                <w:szCs w:val="18"/>
              </w:rPr>
            </w:pPr>
            <w:r>
              <w:rPr>
                <w:rFonts w:ascii="宋体" w:hAnsi="宋体" w:cs="宋体" w:eastAsia="宋体" w:hint="default"/>
                <w:sz w:val="18"/>
                <w:szCs w:val="18"/>
              </w:rPr>
              <w:t>该项政府补助系与公司正常经营业务密切相关，符合国家政策规 定、按照一定标准定额和定量持续享受的政府补助。</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5" w:lineRule="auto" w:before="86"/>
        <w:ind w:left="154" w:right="1142" w:firstLine="426"/>
        <w:jc w:val="both"/>
      </w:pPr>
      <w:r>
        <w:rPr>
          <w:rFonts w:ascii="Times New Roman" w:hAnsi="Times New Roman" w:cs="Times New Roman" w:eastAsia="Times New Roman" w:hint="default"/>
          <w:spacing w:val="-1"/>
        </w:rPr>
        <w:t>2017</w:t>
      </w:r>
      <w:r>
        <w:rPr>
          <w:spacing w:val="-1"/>
        </w:rPr>
        <w:t>年，公司继续坚持以金融科技综合服务为核心的发展战略，立足于中小银行转型的需求，以智能银行</w:t>
      </w:r>
      <w:r>
        <w:rPr>
          <w:w w:val="100"/>
        </w:rPr>
        <w:t> </w:t>
      </w:r>
      <w:r>
        <w:rPr/>
        <w:t>整体解决方案为基础，深入推进人工智能、大数据、云服务、区块链等科技创新业务。</w:t>
      </w:r>
    </w:p>
    <w:p>
      <w:pPr>
        <w:pStyle w:val="BodyText"/>
        <w:spacing w:line="429" w:lineRule="auto" w:before="68"/>
        <w:ind w:left="154" w:right="1142" w:firstLine="426"/>
        <w:jc w:val="both"/>
      </w:pPr>
      <w:r>
        <w:rPr>
          <w:spacing w:val="-1"/>
        </w:rPr>
        <w:t>报告期内，公司继续在金融科技领域深化转型，稳扎稳打。银行网点解决方案领域优势不断提升，设计和</w:t>
      </w:r>
      <w:r>
        <w:rPr>
          <w:w w:val="100"/>
        </w:rPr>
        <w:t> </w:t>
      </w:r>
      <w:r>
        <w:rPr>
          <w:spacing w:val="-1"/>
        </w:rPr>
        <w:t>推出的定位于智能化、轻型化、互联网化的智慧网点解决方案服务，已达到国内领先水平；实施零售业务能力</w:t>
      </w:r>
      <w:r>
        <w:rPr>
          <w:spacing w:val="-63"/>
        </w:rPr>
        <w:t> </w:t>
      </w:r>
      <w:r>
        <w:rPr>
          <w:spacing w:val="-63"/>
        </w:rPr>
      </w:r>
      <w:r>
        <w:rPr>
          <w:spacing w:val="-1"/>
        </w:rPr>
        <w:t>改造的试点支行已开业运营，显著提升银行客户的零售业务业绩。互联网银行云平台方面，已与多家银行达成</w:t>
      </w:r>
      <w:r>
        <w:rPr>
          <w:spacing w:val="-63"/>
        </w:rPr>
        <w:t> </w:t>
      </w:r>
      <w:r>
        <w:rPr>
          <w:spacing w:val="-63"/>
        </w:rPr>
      </w:r>
      <w:r>
        <w:rPr/>
        <w:t>了共享直销银行平台建设运营合作协议。公司已基本具备金融科技全业务链的服务能力。</w:t>
      </w:r>
    </w:p>
    <w:p>
      <w:pPr>
        <w:pStyle w:val="BodyText"/>
        <w:spacing w:line="405" w:lineRule="auto"/>
        <w:ind w:right="1130" w:firstLine="426"/>
        <w:jc w:val="both"/>
      </w:pPr>
      <w:r>
        <w:rPr>
          <w:rFonts w:ascii="Times New Roman" w:hAnsi="Times New Roman" w:cs="Times New Roman" w:eastAsia="Times New Roman" w:hint="default"/>
          <w:spacing w:val="-1"/>
        </w:rPr>
        <w:t>2017</w:t>
      </w:r>
      <w:r>
        <w:rPr>
          <w:spacing w:val="-1"/>
        </w:rPr>
        <w:t>年，公司持续聚焦智能银行整体解决方案及数据中心综合服务业务发展，积极推进落实多层级合伙人</w:t>
      </w:r>
      <w:r>
        <w:rPr>
          <w:w w:val="100"/>
        </w:rPr>
        <w:t> </w:t>
      </w:r>
      <w:r>
        <w:rPr/>
        <w:t>经营责任制，有效提升经营效率，保障了公司的持续健康发展。报告期内，公司实现营业收入</w:t>
      </w:r>
      <w:r>
        <w:rPr>
          <w:rFonts w:ascii="Times New Roman" w:hAnsi="Times New Roman" w:cs="Times New Roman" w:eastAsia="Times New Roman" w:hint="default"/>
        </w:rPr>
        <w:t>1,226,017,671.63</w:t>
      </w:r>
      <w:r>
        <w:rPr>
          <w:rFonts w:ascii="Times New Roman" w:hAnsi="Times New Roman" w:cs="Times New Roman" w:eastAsia="Times New Roman" w:hint="default"/>
          <w:w w:val="100"/>
        </w:rPr>
        <w:t> </w:t>
      </w:r>
      <w:r>
        <w:rPr>
          <w:spacing w:val="-3"/>
        </w:rPr>
        <w:t>元，较上年同期减少</w:t>
      </w:r>
      <w:r>
        <w:rPr>
          <w:rFonts w:ascii="Times New Roman" w:hAnsi="Times New Roman" w:cs="Times New Roman" w:eastAsia="Times New Roman" w:hint="default"/>
          <w:spacing w:val="-3"/>
        </w:rPr>
        <w:t>11.17%</w:t>
      </w:r>
      <w:r>
        <w:rPr>
          <w:spacing w:val="-3"/>
        </w:rPr>
        <w:t>；受商誉减值影响，实现归属于上市公司股东的净利润</w:t>
      </w:r>
      <w:r>
        <w:rPr>
          <w:rFonts w:ascii="Times New Roman" w:hAnsi="Times New Roman" w:cs="Times New Roman" w:eastAsia="Times New Roman" w:hint="default"/>
          <w:spacing w:val="-3"/>
        </w:rPr>
        <w:t>-236,661,197.94</w:t>
      </w:r>
      <w:r>
        <w:rPr>
          <w:spacing w:val="-3"/>
        </w:rPr>
        <w:t>元，较上年同</w:t>
      </w:r>
      <w:r>
        <w:rPr>
          <w:spacing w:val="-30"/>
        </w:rPr>
        <w:t> </w:t>
      </w:r>
      <w:r>
        <w:rPr>
          <w:spacing w:val="-30"/>
        </w:rPr>
      </w:r>
      <w:r>
        <w:rPr/>
        <w:t>期下降</w:t>
      </w:r>
      <w:r>
        <w:rPr>
          <w:rFonts w:ascii="Times New Roman" w:hAnsi="Times New Roman" w:cs="Times New Roman" w:eastAsia="Times New Roman" w:hint="default"/>
        </w:rPr>
        <w:t>233.01%</w:t>
      </w:r>
      <w:r>
        <w:rPr/>
        <w:t>。</w:t>
      </w:r>
    </w:p>
    <w:p>
      <w:pPr>
        <w:spacing w:line="240" w:lineRule="auto" w:before="7"/>
        <w:rPr>
          <w:rFonts w:ascii="宋体" w:hAnsi="宋体" w:cs="宋体" w:eastAsia="宋体" w:hint="default"/>
          <w:sz w:val="17"/>
          <w:szCs w:val="17"/>
        </w:rPr>
      </w:pPr>
    </w:p>
    <w:p>
      <w:pPr>
        <w:pStyle w:val="Heading2"/>
        <w:spacing w:line="240" w:lineRule="auto"/>
        <w:ind w:left="154"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股权资产本期未发生重大变化。</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主要系期初固定资产正常计提折旧所致。</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主要系期初无形资产正常计提摊销所致。</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主要系期初在建工程转入无形资产所致。</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主要系本期计提商誉减值准备所致。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5" w:lineRule="auto" w:before="90"/>
        <w:ind w:left="580" w:right="0"/>
        <w:jc w:val="left"/>
      </w:pPr>
      <w:r>
        <w:rPr>
          <w:rFonts w:ascii="Times New Roman" w:hAnsi="Times New Roman" w:cs="Times New Roman" w:eastAsia="Times New Roman" w:hint="default"/>
        </w:rPr>
        <w:t>1</w:t>
      </w:r>
      <w:r>
        <w:rPr/>
        <w:t>、坚定的金融科技发展战略和健康的品牌形象</w:t>
      </w:r>
      <w:r>
        <w:rPr>
          <w:w w:val="100"/>
        </w:rPr>
        <w:t> </w:t>
      </w:r>
      <w:r>
        <w:rPr>
          <w:spacing w:val="-1"/>
        </w:rPr>
        <w:t>公司坚持实施以金融科技综合服务为核心的发展战略，深入推进金融科技相关业务落地，得到政府部门、</w:t>
      </w:r>
    </w:p>
    <w:p>
      <w:pPr>
        <w:pStyle w:val="BodyText"/>
        <w:spacing w:line="417" w:lineRule="auto" w:before="68"/>
        <w:ind w:left="154" w:right="1131"/>
        <w:jc w:val="both"/>
      </w:pPr>
      <w:r>
        <w:rPr/>
        <w:t>资本市场与社会各界的广泛认可。公司是北京区块链技术应用协会会长单位、中国互联网金融协会首批理事单</w:t>
      </w:r>
      <w:r>
        <w:rPr>
          <w:w w:val="100"/>
        </w:rPr>
        <w:t> </w:t>
      </w:r>
      <w:r>
        <w:rPr>
          <w:spacing w:val="-4"/>
        </w:rPr>
        <w:t>位；公司还荣获</w:t>
      </w:r>
      <w:r>
        <w:rPr>
          <w:rFonts w:ascii="Times New Roman" w:hAnsi="Times New Roman" w:cs="Times New Roman" w:eastAsia="Times New Roman" w:hint="default"/>
          <w:spacing w:val="-4"/>
        </w:rPr>
        <w:t>“</w:t>
      </w:r>
      <w:r>
        <w:rPr>
          <w:spacing w:val="-4"/>
        </w:rPr>
        <w:t>中国最受欢迎互联网金融第三方服务商</w:t>
      </w:r>
      <w:r>
        <w:rPr>
          <w:rFonts w:ascii="Times New Roman" w:hAnsi="Times New Roman" w:cs="Times New Roman" w:eastAsia="Times New Roman" w:hint="default"/>
          <w:spacing w:val="-4"/>
        </w:rPr>
        <w:t>”</w:t>
      </w:r>
      <w:r>
        <w:rPr>
          <w:spacing w:val="-4"/>
        </w:rPr>
        <w:t>殊荣。公司与中国人民银行金融研究所合作撰写的《中</w:t>
      </w:r>
      <w:r>
        <w:rPr>
          <w:spacing w:val="-54"/>
        </w:rPr>
        <w:t> </w:t>
      </w:r>
      <w:r>
        <w:rPr>
          <w:spacing w:val="-54"/>
        </w:rPr>
      </w:r>
      <w:r>
        <w:rPr/>
        <w:t>国互联网金融发展报告（</w:t>
      </w:r>
      <w:r>
        <w:rPr>
          <w:rFonts w:ascii="Times New Roman" w:hAnsi="Times New Roman" w:cs="Times New Roman" w:eastAsia="Times New Roman" w:hint="default"/>
        </w:rPr>
        <w:t>2015</w:t>
      </w:r>
      <w:r>
        <w:rPr/>
        <w:t>）》《中国互联网金融发展报告（</w:t>
      </w:r>
      <w:r>
        <w:rPr>
          <w:rFonts w:ascii="Times New Roman" w:hAnsi="Times New Roman" w:cs="Times New Roman" w:eastAsia="Times New Roman" w:hint="default"/>
        </w:rPr>
        <w:t>2016</w:t>
      </w:r>
      <w:r>
        <w:rPr/>
        <w:t>）》《中国金融科技发展报告（</w:t>
      </w:r>
      <w:r>
        <w:rPr>
          <w:rFonts w:ascii="Times New Roman" w:hAnsi="Times New Roman" w:cs="Times New Roman" w:eastAsia="Times New Roman" w:hint="default"/>
        </w:rPr>
        <w:t>2017</w:t>
      </w:r>
      <w:r>
        <w:rPr/>
        <w:t>）》</w:t>
      </w:r>
    </w:p>
    <w:p>
      <w:pPr>
        <w:pStyle w:val="BodyText"/>
        <w:spacing w:line="422" w:lineRule="auto" w:before="27"/>
        <w:ind w:right="1168"/>
        <w:jc w:val="both"/>
      </w:pPr>
      <w:r>
        <w:rPr>
          <w:spacing w:val="-1"/>
        </w:rPr>
        <w:t>《中国资产证券化发展报告（</w:t>
      </w:r>
      <w:r>
        <w:rPr>
          <w:rFonts w:ascii="Times New Roman" w:hAnsi="Times New Roman" w:cs="Times New Roman" w:eastAsia="Times New Roman" w:hint="default"/>
          <w:spacing w:val="-1"/>
        </w:rPr>
        <w:t>2017</w:t>
      </w:r>
      <w:r>
        <w:rPr>
          <w:spacing w:val="-1"/>
        </w:rPr>
        <w:t>）》《中国区块链发展报告（</w:t>
      </w:r>
      <w:r>
        <w:rPr>
          <w:rFonts w:ascii="Times New Roman" w:hAnsi="Times New Roman" w:cs="Times New Roman" w:eastAsia="Times New Roman" w:hint="default"/>
          <w:spacing w:val="-1"/>
        </w:rPr>
        <w:t>2017</w:t>
      </w:r>
      <w:r>
        <w:rPr>
          <w:spacing w:val="-1"/>
        </w:rPr>
        <w:t>）》，均由公司董事长朱烨东博士担任执</w:t>
      </w:r>
      <w:r>
        <w:rPr>
          <w:spacing w:val="-59"/>
        </w:rPr>
        <w:t> </w:t>
      </w:r>
      <w:r>
        <w:rPr>
          <w:spacing w:val="-59"/>
        </w:rPr>
      </w:r>
      <w:r>
        <w:rPr>
          <w:spacing w:val="-1"/>
        </w:rPr>
        <w:t>行主编，获得了诸多业内专家的一致认可及行业用户的高度重视，三个系列报告均被中国社科院推选参评年度</w:t>
      </w:r>
      <w:r>
        <w:rPr>
          <w:spacing w:val="-63"/>
        </w:rPr>
        <w:t> </w:t>
      </w:r>
      <w:r>
        <w:rPr>
          <w:spacing w:val="-63"/>
        </w:rPr>
      </w:r>
      <w:r>
        <w:rPr>
          <w:spacing w:val="-1"/>
        </w:rPr>
        <w:t>优秀报告。此外，近年来公司实行的多层级合伙人经营责任制在行业内的影响力不断提升，吸引多家知名企业</w:t>
      </w:r>
      <w:r>
        <w:rPr>
          <w:spacing w:val="-63"/>
        </w:rPr>
        <w:t> </w:t>
      </w:r>
      <w:r>
        <w:rPr>
          <w:spacing w:val="-63"/>
        </w:rPr>
      </w:r>
      <w:r>
        <w:rPr/>
        <w:t>到公司参观学习，进一步提升了公司的良好企业形象，形成了公司新的核心竞争力。</w:t>
      </w:r>
    </w:p>
    <w:p>
      <w:pPr>
        <w:pStyle w:val="BodyText"/>
        <w:spacing w:line="405" w:lineRule="auto" w:before="54"/>
        <w:ind w:left="580" w:right="0"/>
        <w:jc w:val="left"/>
      </w:pPr>
      <w:r>
        <w:rPr>
          <w:rFonts w:ascii="Times New Roman" w:hAnsi="Times New Roman" w:cs="Times New Roman" w:eastAsia="Times New Roman" w:hint="default"/>
        </w:rPr>
        <w:t>2</w:t>
      </w:r>
      <w:r>
        <w:rPr/>
        <w:t>、前瞻性及完备的金融科技服务能力</w:t>
      </w:r>
      <w:r>
        <w:rPr>
          <w:w w:val="100"/>
        </w:rPr>
        <w:t> </w:t>
      </w:r>
      <w:r>
        <w:rPr>
          <w:spacing w:val="-1"/>
        </w:rPr>
        <w:t>公司凭借十余年扎根银行</w:t>
      </w:r>
      <w:r>
        <w:rPr>
          <w:rFonts w:ascii="Times New Roman" w:hAnsi="Times New Roman" w:cs="Times New Roman" w:eastAsia="Times New Roman" w:hint="default"/>
          <w:spacing w:val="-1"/>
        </w:rPr>
        <w:t>IT</w:t>
      </w:r>
      <w:r>
        <w:rPr>
          <w:spacing w:val="-1"/>
        </w:rPr>
        <w:t>的经验，对金融行业尤其是银行行业有深刻的理解，能够敏锐地洞察传统金融</w:t>
      </w:r>
    </w:p>
    <w:p>
      <w:pPr>
        <w:pStyle w:val="BodyText"/>
        <w:spacing w:line="429" w:lineRule="auto" w:before="38"/>
        <w:ind w:right="1168"/>
        <w:jc w:val="both"/>
      </w:pPr>
      <w:r>
        <w:rPr>
          <w:spacing w:val="-1"/>
        </w:rPr>
        <w:t>行业的需求，从而得以在金融科技发展进程中，前瞻性地规划发展布局，抢占市场先机，在新的市场空间和格</w:t>
      </w:r>
      <w:r>
        <w:rPr>
          <w:spacing w:val="-63"/>
        </w:rPr>
        <w:t> </w:t>
      </w:r>
      <w:r>
        <w:rPr>
          <w:spacing w:val="-63"/>
        </w:rPr>
      </w:r>
      <w:r>
        <w:rPr>
          <w:spacing w:val="-1"/>
        </w:rPr>
        <w:t>局中保持领先优势。借助中科金财互联网银行及智能银行领域领先地位，公司有能力在人工智能、大数据、云</w:t>
      </w:r>
      <w:r>
        <w:rPr>
          <w:spacing w:val="-63"/>
        </w:rPr>
        <w:t> </w:t>
      </w:r>
      <w:r>
        <w:rPr>
          <w:spacing w:val="-63"/>
        </w:rPr>
      </w:r>
      <w:r>
        <w:rPr/>
        <w:t>计算、区块链等技术领域深入开展业务，基本具备金融科技全业务链的服务能力。</w:t>
      </w:r>
    </w:p>
    <w:p>
      <w:pPr>
        <w:pStyle w:val="BodyText"/>
        <w:spacing w:line="405" w:lineRule="auto"/>
        <w:ind w:left="579" w:right="0"/>
        <w:jc w:val="left"/>
      </w:pPr>
      <w:r>
        <w:rPr>
          <w:rFonts w:ascii="Times New Roman" w:hAnsi="Times New Roman" w:cs="Times New Roman" w:eastAsia="Times New Roman" w:hint="default"/>
        </w:rPr>
        <w:t>3</w:t>
      </w:r>
      <w:r>
        <w:rPr/>
        <w:t>、专业化服务能力</w:t>
      </w:r>
      <w:r>
        <w:rPr>
          <w:w w:val="100"/>
        </w:rPr>
        <w:t> </w:t>
      </w:r>
      <w:r>
        <w:rPr>
          <w:spacing w:val="-1"/>
        </w:rPr>
        <w:t>公司长期以来为人民银行、银监会、证监会、银联、银行间交易商协会、支付清算协会等上百家银行及金</w:t>
      </w:r>
    </w:p>
    <w:p>
      <w:pPr>
        <w:pStyle w:val="BodyText"/>
        <w:spacing w:line="422" w:lineRule="auto" w:before="68"/>
        <w:ind w:right="1169"/>
        <w:jc w:val="both"/>
      </w:pPr>
      <w:r>
        <w:rPr>
          <w:spacing w:val="-1"/>
        </w:rPr>
        <w:t>融机构客户提供智能银行及互联网转型综合服务，能够为银行客户提供包括管理咨询、业务流程再造、多渠道</w:t>
      </w:r>
      <w:r>
        <w:rPr>
          <w:spacing w:val="-63"/>
        </w:rPr>
        <w:t> </w:t>
      </w:r>
      <w:r>
        <w:rPr>
          <w:spacing w:val="-63"/>
        </w:rPr>
      </w:r>
      <w:r>
        <w:rPr>
          <w:spacing w:val="-1"/>
        </w:rPr>
        <w:t>整合、大数据分析、自助网点运营外包等全业务链的综合服务。公司与清华大学五道口金融学院、南开大学金</w:t>
      </w:r>
      <w:r>
        <w:rPr>
          <w:spacing w:val="-63"/>
        </w:rPr>
        <w:t> </w:t>
      </w:r>
      <w:r>
        <w:rPr>
          <w:spacing w:val="-63"/>
        </w:rPr>
      </w:r>
      <w:r>
        <w:rPr>
          <w:spacing w:val="-1"/>
        </w:rPr>
        <w:t>融学院开展战略合作，形成了关于资产证券化、互联网银行的整套</w:t>
      </w:r>
      <w:r>
        <w:rPr>
          <w:rFonts w:ascii="Times New Roman" w:hAnsi="Times New Roman" w:cs="Times New Roman" w:eastAsia="Times New Roman" w:hint="default"/>
          <w:spacing w:val="-1"/>
        </w:rPr>
        <w:t>“</w:t>
      </w:r>
      <w:r>
        <w:rPr>
          <w:spacing w:val="-1"/>
        </w:rPr>
        <w:t>产学研用</w:t>
      </w:r>
      <w:r>
        <w:rPr>
          <w:rFonts w:ascii="Times New Roman" w:hAnsi="Times New Roman" w:cs="Times New Roman" w:eastAsia="Times New Roman" w:hint="default"/>
          <w:spacing w:val="-1"/>
        </w:rPr>
        <w:t>”</w:t>
      </w:r>
      <w:r>
        <w:rPr>
          <w:spacing w:val="-1"/>
        </w:rPr>
        <w:t>研发培训体系。以客户为中心的</w:t>
      </w:r>
      <w:r>
        <w:rPr>
          <w:spacing w:val="-64"/>
        </w:rPr>
        <w:t> </w:t>
      </w:r>
      <w:r>
        <w:rPr>
          <w:spacing w:val="-64"/>
        </w:rPr>
      </w:r>
      <w:r>
        <w:rPr>
          <w:spacing w:val="-1"/>
        </w:rPr>
        <w:t>经营理念，以及实力雄厚的学术支持，使公司的经营者能够深刻的理解银行及金融机构在转型过程中的需求，</w:t>
      </w:r>
      <w:r>
        <w:rPr>
          <w:spacing w:val="-63"/>
        </w:rPr>
        <w:t> </w:t>
      </w:r>
      <w:r>
        <w:rPr>
          <w:spacing w:val="-63"/>
        </w:rPr>
      </w:r>
      <w:r>
        <w:rPr/>
        <w:t>是目前国内为银行及金融机构提供转型服务能力最全面的公司之一。</w:t>
      </w:r>
    </w:p>
    <w:p>
      <w:pPr>
        <w:pStyle w:val="BodyText"/>
        <w:spacing w:line="405" w:lineRule="auto" w:before="54"/>
        <w:ind w:left="579" w:right="0"/>
        <w:jc w:val="left"/>
      </w:pPr>
      <w:r>
        <w:rPr>
          <w:rFonts w:ascii="Times New Roman" w:hAnsi="Times New Roman" w:cs="Times New Roman" w:eastAsia="Times New Roman" w:hint="default"/>
        </w:rPr>
        <w:t>4</w:t>
      </w:r>
      <w:r>
        <w:rPr/>
        <w:t>、技术实力</w:t>
      </w:r>
      <w:r>
        <w:rPr>
          <w:w w:val="100"/>
        </w:rPr>
        <w:t> </w:t>
      </w:r>
      <w:r>
        <w:rPr>
          <w:spacing w:val="-2"/>
        </w:rPr>
        <w:t>公司具备北京市高新技术企业、双软认定企业、北京市火炬计划企业、北京市经信委</w:t>
      </w:r>
      <w:r>
        <w:rPr>
          <w:rFonts w:ascii="Times New Roman" w:hAnsi="Times New Roman" w:cs="Times New Roman" w:eastAsia="Times New Roman" w:hint="default"/>
          <w:spacing w:val="-2"/>
        </w:rPr>
        <w:t>“</w:t>
      </w:r>
      <w:r>
        <w:rPr>
          <w:spacing w:val="-2"/>
        </w:rPr>
        <w:t>四个一批</w:t>
      </w:r>
      <w:r>
        <w:rPr>
          <w:rFonts w:ascii="Times New Roman" w:hAnsi="Times New Roman" w:cs="Times New Roman" w:eastAsia="Times New Roman" w:hint="default"/>
          <w:spacing w:val="-2"/>
        </w:rPr>
        <w:t>”</w:t>
      </w:r>
      <w:r>
        <w:rPr>
          <w:spacing w:val="-2"/>
        </w:rPr>
        <w:t>工程企业、</w:t>
      </w:r>
    </w:p>
    <w:p>
      <w:pPr>
        <w:pStyle w:val="BodyText"/>
        <w:spacing w:line="405" w:lineRule="auto" w:before="38"/>
        <w:ind w:right="1029"/>
        <w:jc w:val="left"/>
      </w:pPr>
      <w:r>
        <w:rPr/>
        <w:t>中关村</w:t>
      </w:r>
      <w:r>
        <w:rPr>
          <w:rFonts w:ascii="Times New Roman" w:hAnsi="Times New Roman" w:cs="Times New Roman" w:eastAsia="Times New Roman" w:hint="default"/>
        </w:rPr>
        <w:t>“</w:t>
      </w:r>
      <w:r>
        <w:rPr/>
        <w:t>十百千工程</w:t>
      </w:r>
      <w:r>
        <w:rPr>
          <w:rFonts w:ascii="Times New Roman" w:hAnsi="Times New Roman" w:cs="Times New Roman" w:eastAsia="Times New Roman" w:hint="default"/>
        </w:rPr>
        <w:t>”</w:t>
      </w:r>
      <w:r>
        <w:rPr/>
        <w:t>企业等系列资质。公司通过了</w:t>
      </w:r>
      <w:r>
        <w:rPr>
          <w:rFonts w:ascii="Times New Roman" w:hAnsi="Times New Roman" w:cs="Times New Roman" w:eastAsia="Times New Roman" w:hint="default"/>
        </w:rPr>
        <w:t>ISO/IEC 20000-1:2005 IT</w:t>
      </w:r>
      <w:r>
        <w:rPr/>
        <w:t>服务管理体系认证、</w:t>
      </w:r>
      <w:r>
        <w:rPr>
          <w:rFonts w:ascii="Times New Roman" w:hAnsi="Times New Roman" w:cs="Times New Roman" w:eastAsia="Times New Roman" w:hint="default"/>
        </w:rPr>
        <w:t>ISO/IEC</w:t>
      </w:r>
      <w:r>
        <w:rPr>
          <w:rFonts w:ascii="Times New Roman" w:hAnsi="Times New Roman" w:cs="Times New Roman" w:eastAsia="Times New Roman" w:hint="default"/>
          <w:spacing w:val="-15"/>
        </w:rPr>
        <w:t> </w:t>
      </w:r>
      <w:r>
        <w:rPr>
          <w:rFonts w:ascii="Times New Roman" w:hAnsi="Times New Roman" w:cs="Times New Roman" w:eastAsia="Times New Roman" w:hint="default"/>
        </w:rPr>
        <w:t>27001</w:t>
      </w:r>
      <w:r>
        <w:rPr/>
        <w:t>：</w:t>
      </w:r>
      <w:r>
        <w:rPr>
          <w:w w:val="100"/>
        </w:rPr>
        <w:t> </w:t>
      </w:r>
      <w:r>
        <w:rPr>
          <w:rFonts w:ascii="Times New Roman" w:hAnsi="Times New Roman" w:cs="Times New Roman" w:eastAsia="Times New Roman" w:hint="default"/>
        </w:rPr>
        <w:t>2005</w:t>
      </w:r>
      <w:r>
        <w:rPr/>
        <w:t>信息安全管理体系认证、</w:t>
      </w:r>
      <w:r>
        <w:rPr>
          <w:rFonts w:ascii="Times New Roman" w:hAnsi="Times New Roman" w:cs="Times New Roman" w:eastAsia="Times New Roman" w:hint="default"/>
        </w:rPr>
        <w:t>ISO9001:2008</w:t>
      </w:r>
      <w:r>
        <w:rPr/>
        <w:t>质量管理体系认证、</w:t>
      </w:r>
      <w:r>
        <w:rPr>
          <w:rFonts w:ascii="Times New Roman" w:hAnsi="Times New Roman" w:cs="Times New Roman" w:eastAsia="Times New Roman" w:hint="default"/>
        </w:rPr>
        <w:t>ISO14001</w:t>
      </w:r>
      <w:r>
        <w:rPr/>
        <w:t>（环境管理体系）认证、软件能力成</w:t>
      </w:r>
      <w:r>
        <w:rPr>
          <w:w w:val="100"/>
        </w:rPr>
        <w:t> </w:t>
      </w:r>
      <w:r>
        <w:rPr/>
        <w:t>熟度模型</w:t>
      </w:r>
      <w:r>
        <w:rPr>
          <w:rFonts w:ascii="Times New Roman" w:hAnsi="Times New Roman" w:cs="Times New Roman" w:eastAsia="Times New Roman" w:hint="default"/>
        </w:rPr>
        <w:t>CMMI</w:t>
      </w:r>
      <w:r>
        <w:rPr/>
        <w:t>三级认证，获得了计算机信息系统集成一级资质、</w:t>
      </w:r>
      <w:r>
        <w:rPr>
          <w:rFonts w:ascii="Times New Roman" w:hAnsi="Times New Roman" w:cs="Times New Roman" w:eastAsia="Times New Roman" w:hint="default"/>
        </w:rPr>
        <w:t>ITSS</w:t>
      </w:r>
      <w:r>
        <w:rPr/>
        <w:t>信息技术服务运行维护标准符合性证书</w:t>
      </w:r>
      <w:r>
        <w:rPr>
          <w:w w:val="100"/>
        </w:rPr>
        <w:t> </w:t>
      </w:r>
      <w:r>
        <w:rPr/>
        <w:t>等系列行业资质，公司软件服务资质完整性目前居中国软件行业前列。截至</w:t>
      </w:r>
      <w:r>
        <w:rPr>
          <w:rFonts w:ascii="Times New Roman" w:hAnsi="Times New Roman" w:cs="Times New Roman" w:eastAsia="Times New Roman" w:hint="default"/>
        </w:rPr>
        <w:t>2017</w:t>
      </w:r>
      <w:r>
        <w:rPr/>
        <w:t>年底，公司拥有专利</w:t>
      </w:r>
      <w:r>
        <w:rPr>
          <w:rFonts w:ascii="Times New Roman" w:hAnsi="Times New Roman" w:cs="Times New Roman" w:eastAsia="Times New Roman" w:hint="default"/>
        </w:rPr>
        <w:t>61</w:t>
      </w:r>
      <w:r>
        <w:rPr/>
        <w:t>项，软</w:t>
      </w:r>
    </w:p>
    <w:p>
      <w:pPr>
        <w:spacing w:after="0" w:line="405"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0"/>
        <w:ind w:right="0"/>
        <w:jc w:val="both"/>
      </w:pPr>
      <w:r>
        <w:rPr/>
        <w:t>件著作权证书</w:t>
      </w:r>
      <w:r>
        <w:rPr>
          <w:rFonts w:ascii="Times New Roman" w:hAnsi="Times New Roman" w:cs="Times New Roman" w:eastAsia="Times New Roman" w:hint="default"/>
        </w:rPr>
        <w:t>159</w:t>
      </w:r>
      <w:r>
        <w:rPr/>
        <w:t>项。</w:t>
      </w:r>
    </w:p>
    <w:p>
      <w:pPr>
        <w:spacing w:line="240" w:lineRule="auto" w:before="8"/>
        <w:rPr>
          <w:rFonts w:ascii="宋体" w:hAnsi="宋体" w:cs="宋体" w:eastAsia="宋体" w:hint="default"/>
          <w:sz w:val="14"/>
          <w:szCs w:val="14"/>
        </w:rPr>
      </w:pPr>
    </w:p>
    <w:p>
      <w:pPr>
        <w:pStyle w:val="BodyText"/>
        <w:spacing w:line="405" w:lineRule="auto" w:before="0"/>
        <w:ind w:left="579" w:right="0"/>
        <w:jc w:val="left"/>
      </w:pPr>
      <w:r>
        <w:rPr>
          <w:rFonts w:ascii="Times New Roman" w:hAnsi="Times New Roman" w:cs="Times New Roman" w:eastAsia="Times New Roman" w:hint="default"/>
        </w:rPr>
        <w:t>5</w:t>
      </w:r>
      <w:r>
        <w:rPr/>
        <w:t>、开放的经营理念和卓越的经营人才吸引和培养能力</w:t>
      </w:r>
      <w:r>
        <w:rPr>
          <w:w w:val="100"/>
        </w:rPr>
        <w:t> </w:t>
      </w:r>
      <w:r>
        <w:rPr>
          <w:spacing w:val="-1"/>
        </w:rPr>
        <w:t>经过多年摸索，在公司建立并推行了</w:t>
      </w:r>
      <w:r>
        <w:rPr>
          <w:rFonts w:ascii="Times New Roman" w:hAnsi="Times New Roman" w:cs="Times New Roman" w:eastAsia="Times New Roman" w:hint="default"/>
          <w:spacing w:val="-1"/>
        </w:rPr>
        <w:t>“</w:t>
      </w:r>
      <w:r>
        <w:rPr>
          <w:spacing w:val="-1"/>
        </w:rPr>
        <w:t>中科金财多层级合伙人经营责任制</w:t>
      </w:r>
      <w:r>
        <w:rPr>
          <w:rFonts w:ascii="Times New Roman" w:hAnsi="Times New Roman" w:cs="Times New Roman" w:eastAsia="Times New Roman" w:hint="default"/>
          <w:spacing w:val="-1"/>
        </w:rPr>
        <w:t>”</w:t>
      </w:r>
      <w:r>
        <w:rPr>
          <w:spacing w:val="-1"/>
        </w:rPr>
        <w:t>，将公司划分为独立经营单元，</w:t>
      </w:r>
    </w:p>
    <w:p>
      <w:pPr>
        <w:pStyle w:val="BodyText"/>
        <w:spacing w:line="429" w:lineRule="auto" w:before="38"/>
        <w:ind w:right="1168"/>
        <w:jc w:val="both"/>
      </w:pPr>
      <w:r>
        <w:rPr>
          <w:spacing w:val="-1"/>
        </w:rPr>
        <w:t>通过建立与市场直接联系的独立核算制进行运营，调动员工参与经营管理，从而实现全员参与的经营模式。中</w:t>
      </w:r>
      <w:r>
        <w:rPr>
          <w:spacing w:val="-63"/>
        </w:rPr>
        <w:t> </w:t>
      </w:r>
      <w:r>
        <w:rPr>
          <w:spacing w:val="-63"/>
        </w:rPr>
      </w:r>
      <w:r>
        <w:rPr>
          <w:spacing w:val="-1"/>
        </w:rPr>
        <w:t>科金财多层级合伙人经营责任制注重发现及培养经营人才，强调以客户为中心、全局观及组织协同性，打破了</w:t>
      </w:r>
      <w:r>
        <w:rPr>
          <w:spacing w:val="-63"/>
        </w:rPr>
        <w:t> </w:t>
      </w:r>
      <w:r>
        <w:rPr>
          <w:spacing w:val="-63"/>
        </w:rPr>
      </w:r>
      <w:r>
        <w:rPr>
          <w:spacing w:val="-1"/>
        </w:rPr>
        <w:t>传统企业部门间的隔阂，有效调动员工参与经营管理的自主性和积极性，极大提升了员工的经营热情及主人翁</w:t>
      </w:r>
      <w:r>
        <w:rPr>
          <w:spacing w:val="-63"/>
        </w:rPr>
        <w:t> </w:t>
      </w:r>
      <w:r>
        <w:rPr>
          <w:spacing w:val="-63"/>
        </w:rPr>
      </w:r>
      <w:r>
        <w:rPr>
          <w:spacing w:val="-1"/>
        </w:rPr>
        <w:t>意识。在实际经营过程中各经营单元体现出极强的经营智慧与合作意识，大大降低了沟通成本、交易成本、营</w:t>
      </w:r>
      <w:r>
        <w:rPr>
          <w:spacing w:val="-63"/>
        </w:rPr>
        <w:t> </w:t>
      </w:r>
      <w:r>
        <w:rPr>
          <w:spacing w:val="-63"/>
        </w:rPr>
      </w:r>
      <w:r>
        <w:rPr>
          <w:spacing w:val="-1"/>
        </w:rPr>
        <w:t>销成本及运营成本，操作风险大幅降低，劳动生产率大幅提高，同时吸引了大量的各领域精英加盟中科金财。</w:t>
      </w:r>
      <w:r>
        <w:rPr>
          <w:spacing w:val="-63"/>
        </w:rPr>
        <w:t> </w:t>
      </w:r>
      <w:r>
        <w:rPr>
          <w:spacing w:val="-63"/>
        </w:rPr>
      </w:r>
      <w:r>
        <w:rPr/>
        <w:t>开放且共享的经营理念，以及经营人才的吸引、发掘、培养能力已经成为公司重要的核心竞争力之一。</w:t>
      </w:r>
    </w:p>
    <w:p>
      <w:pPr>
        <w:spacing w:after="0" w:line="42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4"/>
        <w:rPr>
          <w:rFonts w:ascii="宋体" w:hAnsi="宋体" w:cs="宋体" w:eastAsia="宋体" w:hint="default"/>
          <w:b/>
          <w:bCs/>
          <w:sz w:val="31"/>
          <w:szCs w:val="31"/>
        </w:rPr>
      </w:pPr>
    </w:p>
    <w:p>
      <w:pPr>
        <w:pStyle w:val="BodyText"/>
        <w:spacing w:line="405" w:lineRule="auto" w:before="0"/>
        <w:ind w:right="1142" w:firstLine="426"/>
        <w:jc w:val="both"/>
      </w:pPr>
      <w:r>
        <w:rPr>
          <w:rFonts w:ascii="Times New Roman" w:hAnsi="Times New Roman" w:cs="Times New Roman" w:eastAsia="Times New Roman" w:hint="default"/>
          <w:spacing w:val="-1"/>
        </w:rPr>
        <w:t>2017</w:t>
      </w:r>
      <w:r>
        <w:rPr>
          <w:spacing w:val="-1"/>
        </w:rPr>
        <w:t>年，公司继续坚持以金融科技综合服务为核心的发展战略，立足于中小银行转型的需求，以智能银行</w:t>
      </w:r>
      <w:r>
        <w:rPr>
          <w:w w:val="100"/>
        </w:rPr>
        <w:t> </w:t>
      </w:r>
      <w:r>
        <w:rPr/>
        <w:t>整体解决方案为基础，深入推进人工智能、大数据、云服务、区块链等科技创新业务。</w:t>
      </w:r>
    </w:p>
    <w:p>
      <w:pPr>
        <w:pStyle w:val="BodyText"/>
        <w:spacing w:line="429" w:lineRule="auto" w:before="68"/>
        <w:ind w:right="1142" w:firstLine="426"/>
        <w:jc w:val="both"/>
      </w:pPr>
      <w:r>
        <w:rPr>
          <w:spacing w:val="-1"/>
        </w:rPr>
        <w:t>报告期内，公司继续在金融科技领域深化转型，稳扎稳打。银行网点解决方案领域优势不断提升，设计和</w:t>
      </w:r>
      <w:r>
        <w:rPr>
          <w:w w:val="100"/>
        </w:rPr>
        <w:t> </w:t>
      </w:r>
      <w:r>
        <w:rPr/>
        <w:t>推出的定位于智能化、轻型化、互联网化的智慧网点解决方案服务，已达到国内领先水平；实施零售业务能力</w:t>
      </w:r>
      <w:r>
        <w:rPr>
          <w:w w:val="100"/>
        </w:rPr>
        <w:t> </w:t>
      </w:r>
      <w:r>
        <w:rPr/>
        <w:t>改造的试点支行已开业运营，显著提升银行客户的零售业务业绩。互联网银行云平台方面，已与多家银行达成</w:t>
      </w:r>
      <w:r>
        <w:rPr>
          <w:w w:val="100"/>
        </w:rPr>
        <w:t> </w:t>
      </w:r>
      <w:r>
        <w:rPr/>
        <w:t>了共享直销银行平台建设运营合作协议。公司已基本具备金融科技全业务链的服务能力。</w:t>
      </w:r>
    </w:p>
    <w:p>
      <w:pPr>
        <w:pStyle w:val="BodyText"/>
        <w:spacing w:line="405" w:lineRule="auto"/>
        <w:ind w:right="1130" w:firstLine="426"/>
        <w:jc w:val="both"/>
      </w:pPr>
      <w:r>
        <w:rPr>
          <w:rFonts w:ascii="Times New Roman" w:hAnsi="Times New Roman" w:cs="Times New Roman" w:eastAsia="Times New Roman" w:hint="default"/>
          <w:spacing w:val="-1"/>
        </w:rPr>
        <w:t>2017</w:t>
      </w:r>
      <w:r>
        <w:rPr>
          <w:spacing w:val="-1"/>
        </w:rPr>
        <w:t>年，公司持续聚焦智能银行整体解决方案及数据中心综合服务业务发展，积极推进落实多层级合伙人</w:t>
      </w:r>
      <w:r>
        <w:rPr>
          <w:w w:val="100"/>
        </w:rPr>
        <w:t> </w:t>
      </w:r>
      <w:r>
        <w:rPr/>
        <w:t>经营责任制，有效提升经营效率，保障了公司的持续健康发展。报告期内，公司实现营业收入</w:t>
      </w:r>
      <w:r>
        <w:rPr>
          <w:rFonts w:ascii="Times New Roman" w:hAnsi="Times New Roman" w:cs="Times New Roman" w:eastAsia="Times New Roman" w:hint="default"/>
        </w:rPr>
        <w:t>1,226,017,671.63</w:t>
      </w:r>
      <w:r>
        <w:rPr>
          <w:rFonts w:ascii="Times New Roman" w:hAnsi="Times New Roman" w:cs="Times New Roman" w:eastAsia="Times New Roman" w:hint="default"/>
          <w:w w:val="100"/>
        </w:rPr>
        <w:t> </w:t>
      </w:r>
      <w:r>
        <w:rPr>
          <w:spacing w:val="-3"/>
        </w:rPr>
        <w:t>元，较上年同期减少</w:t>
      </w:r>
      <w:r>
        <w:rPr>
          <w:rFonts w:ascii="Times New Roman" w:hAnsi="Times New Roman" w:cs="Times New Roman" w:eastAsia="Times New Roman" w:hint="default"/>
          <w:spacing w:val="-3"/>
        </w:rPr>
        <w:t>11.17%</w:t>
      </w:r>
      <w:r>
        <w:rPr>
          <w:spacing w:val="-3"/>
        </w:rPr>
        <w:t>；受商誉减值影响，实现归属于上市公司股东的净利润</w:t>
      </w:r>
      <w:r>
        <w:rPr>
          <w:rFonts w:ascii="Times New Roman" w:hAnsi="Times New Roman" w:cs="Times New Roman" w:eastAsia="Times New Roman" w:hint="default"/>
          <w:spacing w:val="-3"/>
        </w:rPr>
        <w:t>-236,661,197.94</w:t>
      </w:r>
      <w:r>
        <w:rPr>
          <w:spacing w:val="-3"/>
        </w:rPr>
        <w:t>元，较上年同</w:t>
      </w:r>
      <w:r>
        <w:rPr>
          <w:spacing w:val="-30"/>
        </w:rPr>
        <w:t> </w:t>
      </w:r>
      <w:r>
        <w:rPr>
          <w:spacing w:val="-30"/>
        </w:rPr>
      </w:r>
      <w:r>
        <w:rPr/>
        <w:t>期下降</w:t>
      </w:r>
      <w:r>
        <w:rPr>
          <w:rFonts w:ascii="Times New Roman" w:hAnsi="Times New Roman" w:cs="Times New Roman" w:eastAsia="Times New Roman" w:hint="default"/>
        </w:rPr>
        <w:t>233.01%</w:t>
      </w:r>
      <w:r>
        <w:rPr/>
        <w:t>。</w:t>
      </w:r>
    </w:p>
    <w:p>
      <w:pPr>
        <w:pStyle w:val="BodyText"/>
        <w:spacing w:line="240" w:lineRule="auto" w:before="38"/>
        <w:ind w:left="579" w:right="0"/>
        <w:jc w:val="left"/>
      </w:pPr>
      <w:r>
        <w:rPr/>
        <w:t>报告期内，公司主要开展了以下工作：</w:t>
      </w:r>
    </w:p>
    <w:p>
      <w:pPr>
        <w:spacing w:line="240" w:lineRule="auto" w:before="10"/>
        <w:rPr>
          <w:rFonts w:ascii="宋体" w:hAnsi="宋体" w:cs="宋体" w:eastAsia="宋体" w:hint="default"/>
          <w:sz w:val="15"/>
          <w:szCs w:val="15"/>
        </w:rPr>
      </w:pPr>
    </w:p>
    <w:p>
      <w:pPr>
        <w:pStyle w:val="BodyText"/>
        <w:spacing w:line="405" w:lineRule="auto" w:before="0"/>
        <w:ind w:left="579" w:right="0"/>
        <w:jc w:val="left"/>
      </w:pPr>
      <w:r>
        <w:rPr>
          <w:rFonts w:ascii="Times New Roman" w:hAnsi="Times New Roman" w:cs="Times New Roman" w:eastAsia="Times New Roman" w:hint="default"/>
        </w:rPr>
        <w:t>1.</w:t>
      </w:r>
      <w:r>
        <w:rPr/>
        <w:t>稳步推进互联网银行云平台建设</w:t>
      </w:r>
      <w:r>
        <w:rPr>
          <w:w w:val="100"/>
        </w:rPr>
        <w:t> </w:t>
      </w:r>
      <w:r>
        <w:rPr>
          <w:spacing w:val="-1"/>
        </w:rPr>
        <w:t>公司先发独立打造的中立第三方的互联网银行云平台和专业化运营团队，致力于帮助国内众多中小银行转</w:t>
      </w:r>
    </w:p>
    <w:p>
      <w:pPr>
        <w:pStyle w:val="BodyText"/>
        <w:spacing w:line="405" w:lineRule="auto" w:before="67"/>
        <w:ind w:right="0"/>
        <w:jc w:val="left"/>
      </w:pPr>
      <w:r>
        <w:rPr>
          <w:spacing w:val="-1"/>
        </w:rPr>
        <w:t>型，提供共享直销银行平台建设、</w:t>
      </w:r>
      <w:r>
        <w:rPr>
          <w:rFonts w:ascii="Times New Roman" w:hAnsi="Times New Roman" w:cs="Times New Roman" w:eastAsia="Times New Roman" w:hint="default"/>
          <w:spacing w:val="-1"/>
        </w:rPr>
        <w:t>IT</w:t>
      </w:r>
      <w:r>
        <w:rPr>
          <w:spacing w:val="-1"/>
        </w:rPr>
        <w:t>支持等金融科技综合服务。目前，互联网银行云平台已与多家银行达成了</w:t>
      </w:r>
      <w:r>
        <w:rPr>
          <w:spacing w:val="-61"/>
        </w:rPr>
        <w:t> </w:t>
      </w:r>
      <w:r>
        <w:rPr>
          <w:spacing w:val="-61"/>
        </w:rPr>
      </w:r>
      <w:r>
        <w:rPr/>
        <w:t>共享直销银行平台建设运营合作协议，为后续的拓展奠定了良好基础。</w:t>
      </w:r>
    </w:p>
    <w:p>
      <w:pPr>
        <w:pStyle w:val="BodyText"/>
        <w:spacing w:line="405" w:lineRule="auto" w:before="68"/>
        <w:ind w:left="579"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银行智慧网点解决方案领域优势提升</w:t>
      </w:r>
      <w:r>
        <w:rPr>
          <w:w w:val="100"/>
        </w:rPr>
        <w:t> </w:t>
      </w:r>
      <w:r>
        <w:rPr>
          <w:spacing w:val="-3"/>
        </w:rPr>
        <w:t>针对银行网点的转型需求，首先，在提升银行网点硬实力方面，公司设计和推出了定位于智能化、轻型化、</w:t>
      </w:r>
    </w:p>
    <w:p>
      <w:pPr>
        <w:pStyle w:val="BodyText"/>
        <w:spacing w:line="420" w:lineRule="auto" w:before="68"/>
        <w:ind w:right="0"/>
        <w:jc w:val="left"/>
      </w:pPr>
      <w:r>
        <w:rPr/>
        <w:t>互联网化的智慧网点解决方案服务。该服务结合互联网思维，引入创新应用，从业务流程再造入手，进行智慧</w:t>
      </w:r>
      <w:r>
        <w:rPr>
          <w:w w:val="100"/>
        </w:rPr>
        <w:t> </w:t>
      </w:r>
      <w:r>
        <w:rPr/>
        <w:t>网点场景设计和</w:t>
      </w:r>
      <w:r>
        <w:rPr>
          <w:rFonts w:ascii="Times New Roman" w:hAnsi="Times New Roman" w:cs="Times New Roman" w:eastAsia="Times New Roman" w:hint="default"/>
        </w:rPr>
        <w:t>IT</w:t>
      </w:r>
      <w:r>
        <w:rPr/>
        <w:t>方案规划，帮助银行实现前、中、后台运营及管理的全方位变革，是目前国内设计最具现代</w:t>
      </w:r>
      <w:r>
        <w:rPr>
          <w:w w:val="100"/>
        </w:rPr>
        <w:t> </w:t>
      </w:r>
      <w:r>
        <w:rPr/>
        <w:t>感和科技感，智能化水平最高的智慧网点。从实际运营情况来看，该网点智能设备的业务替代率超过</w:t>
      </w:r>
      <w:r>
        <w:rPr>
          <w:rFonts w:ascii="Times New Roman" w:hAnsi="Times New Roman" w:cs="Times New Roman" w:eastAsia="Times New Roman" w:hint="default"/>
        </w:rPr>
        <w:t>80%</w:t>
      </w:r>
      <w:r>
        <w:rPr/>
        <w:t>，平</w:t>
      </w:r>
      <w:r>
        <w:rPr>
          <w:w w:val="100"/>
        </w:rPr>
        <w:t> </w:t>
      </w:r>
      <w:r>
        <w:rPr>
          <w:spacing w:val="-4"/>
        </w:rPr>
        <w:t>均业务办理时间由</w:t>
      </w:r>
      <w:r>
        <w:rPr>
          <w:rFonts w:ascii="Times New Roman" w:hAnsi="Times New Roman" w:cs="Times New Roman" w:eastAsia="Times New Roman" w:hint="default"/>
          <w:spacing w:val="-4"/>
        </w:rPr>
        <w:t>20</w:t>
      </w:r>
      <w:r>
        <w:rPr>
          <w:spacing w:val="-4"/>
        </w:rPr>
        <w:t>分钟缩短到不足</w:t>
      </w:r>
      <w:r>
        <w:rPr>
          <w:rFonts w:ascii="Times New Roman" w:hAnsi="Times New Roman" w:cs="Times New Roman" w:eastAsia="Times New Roman" w:hint="default"/>
          <w:spacing w:val="-4"/>
        </w:rPr>
        <w:t>5</w:t>
      </w:r>
      <w:r>
        <w:rPr>
          <w:spacing w:val="-4"/>
        </w:rPr>
        <w:t>分钟。业务处理效率提升的背后，是</w:t>
      </w:r>
      <w:r>
        <w:rPr>
          <w:rFonts w:ascii="Times New Roman" w:hAnsi="Times New Roman" w:cs="Times New Roman" w:eastAsia="Times New Roman" w:hint="default"/>
          <w:spacing w:val="-4"/>
        </w:rPr>
        <w:t>“</w:t>
      </w:r>
      <w:r>
        <w:rPr>
          <w:spacing w:val="-4"/>
        </w:rPr>
        <w:t>以客户为中心</w:t>
      </w:r>
      <w:r>
        <w:rPr>
          <w:rFonts w:ascii="Times New Roman" w:hAnsi="Times New Roman" w:cs="Times New Roman" w:eastAsia="Times New Roman" w:hint="default"/>
          <w:spacing w:val="-4"/>
        </w:rPr>
        <w:t>”</w:t>
      </w:r>
      <w:r>
        <w:rPr>
          <w:spacing w:val="-4"/>
        </w:rPr>
        <w:t>设计理念的集中展现，</w:t>
      </w:r>
      <w:r>
        <w:rPr>
          <w:spacing w:val="-47"/>
        </w:rPr>
        <w:t> </w:t>
      </w:r>
      <w:r>
        <w:rPr>
          <w:spacing w:val="-47"/>
        </w:rPr>
      </w:r>
      <w:r>
        <w:rPr>
          <w:spacing w:val="-2"/>
        </w:rPr>
        <w:t>是多渠道整合的合理运用，也是前台智能系统与中后台流程银行的完美结合。该服务从设计复杂度到实施难度，</w:t>
      </w:r>
      <w:r>
        <w:rPr>
          <w:spacing w:val="-77"/>
        </w:rPr>
        <w:t> </w:t>
      </w:r>
      <w:r>
        <w:rPr>
          <w:spacing w:val="-77"/>
        </w:rPr>
      </w:r>
      <w:r>
        <w:rPr/>
        <w:t>均已达到目前国内的领先水平。其次，在提升银行网点软实力方面，公司实施零售业务能力改造的试点支行已</w:t>
      </w:r>
      <w:r>
        <w:rPr>
          <w:w w:val="100"/>
        </w:rPr>
        <w:t> </w:t>
      </w:r>
      <w:r>
        <w:rPr/>
        <w:t>开业运营，与改造前同期对比，新增存款、新增理财、新增客户数均大幅增长；与同一时期开业的传统支行对</w:t>
      </w:r>
      <w:r>
        <w:rPr>
          <w:w w:val="100"/>
        </w:rPr>
        <w:t> </w:t>
      </w:r>
      <w:r>
        <w:rPr/>
        <w:t>比，试点支行</w:t>
      </w:r>
      <w:r>
        <w:rPr>
          <w:rFonts w:ascii="Times New Roman" w:hAnsi="Times New Roman" w:cs="Times New Roman" w:eastAsia="Times New Roman" w:hint="default"/>
        </w:rPr>
        <w:t>AUM</w:t>
      </w:r>
      <w:r>
        <w:rPr/>
        <w:t>业绩大幅提升。中科金财网点零售业务能力提升解决方案改变了以往网点转型咨询重方案不</w:t>
      </w:r>
    </w:p>
    <w:p>
      <w:pPr>
        <w:spacing w:after="0" w:line="42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before="0"/>
        <w:ind w:right="1168"/>
        <w:jc w:val="both"/>
      </w:pPr>
      <w:r>
        <w:rPr>
          <w:spacing w:val="-1"/>
        </w:rPr>
        <w:t>重落地的传统，强调实践，将业务能力改造的方法论落实到实际运营当中。该业务的成功已促使公司与银行客</w:t>
      </w:r>
      <w:r>
        <w:rPr>
          <w:spacing w:val="-63"/>
        </w:rPr>
        <w:t> </w:t>
      </w:r>
      <w:r>
        <w:rPr>
          <w:spacing w:val="-63"/>
        </w:rPr>
      </w:r>
      <w:r>
        <w:rPr>
          <w:spacing w:val="-1"/>
        </w:rPr>
        <w:t>户形成一种以业绩目标为导向进行奖励的新合作模式，而新模式所带来的激励效果有望加速公司网点零售业务</w:t>
      </w:r>
      <w:r>
        <w:rPr>
          <w:spacing w:val="-63"/>
        </w:rPr>
        <w:t> </w:t>
      </w:r>
      <w:r>
        <w:rPr>
          <w:spacing w:val="-63"/>
        </w:rPr>
      </w:r>
      <w:r>
        <w:rPr>
          <w:spacing w:val="-1"/>
        </w:rPr>
        <w:t>能力提升解决方案的推广。目前，公司建设运营数千家自助银行网点，智慧网点规划建设和网点零售业务能力</w:t>
      </w:r>
      <w:r>
        <w:rPr>
          <w:spacing w:val="-63"/>
        </w:rPr>
        <w:t> </w:t>
      </w:r>
      <w:r>
        <w:rPr>
          <w:spacing w:val="-63"/>
        </w:rPr>
      </w:r>
      <w:r>
        <w:rPr/>
        <w:t>提升两大竞争力的日益成熟，有望进一步提升公司在银行网点解决方案领域的领先优势。</w:t>
      </w:r>
    </w:p>
    <w:p>
      <w:pPr>
        <w:pStyle w:val="BodyText"/>
        <w:spacing w:line="405" w:lineRule="auto"/>
        <w:ind w:left="579" w:right="0"/>
        <w:jc w:val="left"/>
      </w:pPr>
      <w:r>
        <w:rPr>
          <w:rFonts w:ascii="Times New Roman" w:hAnsi="Times New Roman" w:cs="Times New Roman" w:eastAsia="Times New Roman" w:hint="default"/>
        </w:rPr>
        <w:t>3.</w:t>
      </w:r>
      <w:r>
        <w:rPr/>
        <w:t>与以央企为代表的大型优质企业合作不断深入</w:t>
      </w:r>
      <w:r>
        <w:rPr>
          <w:w w:val="100"/>
        </w:rPr>
        <w:t> </w:t>
      </w:r>
      <w:r>
        <w:rPr>
          <w:spacing w:val="-1"/>
        </w:rPr>
        <w:t>公司与中航系合作成立的合资公司金网络，以金融信息服务为核心，通过互联网平台，依托中航商圈全产</w:t>
      </w:r>
    </w:p>
    <w:p>
      <w:pPr>
        <w:pStyle w:val="BodyText"/>
        <w:spacing w:line="429" w:lineRule="auto" w:before="68"/>
        <w:ind w:right="1169"/>
        <w:jc w:val="both"/>
      </w:pPr>
      <w:r>
        <w:rPr>
          <w:spacing w:val="-1"/>
        </w:rPr>
        <w:t>业链，整合内外部优质资源，共同推进以中航工业用户资源为基础的综合型电子商务平台和以企业资产证券化</w:t>
      </w:r>
      <w:r>
        <w:rPr>
          <w:spacing w:val="-63"/>
        </w:rPr>
        <w:t> </w:t>
      </w:r>
      <w:r>
        <w:rPr>
          <w:spacing w:val="-63"/>
        </w:rPr>
      </w:r>
      <w:r>
        <w:rPr/>
        <w:t>为依托的金融科技平台业务的快速发展。</w:t>
      </w:r>
      <w:r>
        <w:rPr>
          <w:rFonts w:ascii="Times New Roman" w:hAnsi="Times New Roman" w:cs="Times New Roman" w:eastAsia="Times New Roman" w:hint="default"/>
        </w:rPr>
        <w:t>2017</w:t>
      </w:r>
      <w:r>
        <w:rPr/>
        <w:t>年，金网络持续推进资产证券化、供应链金融等业务。</w:t>
      </w:r>
    </w:p>
    <w:p>
      <w:pPr>
        <w:pStyle w:val="BodyText"/>
        <w:spacing w:line="240" w:lineRule="auto" w:before="16"/>
        <w:ind w:left="579" w:right="0"/>
        <w:jc w:val="left"/>
      </w:pPr>
      <w:r>
        <w:rPr>
          <w:rFonts w:ascii="Times New Roman" w:hAnsi="Times New Roman" w:cs="Times New Roman" w:eastAsia="Times New Roman" w:hint="default"/>
        </w:rPr>
        <w:t>4.</w:t>
      </w:r>
      <w:r>
        <w:rPr/>
        <w:t>中关村互联网金融服务中心持续拓展</w:t>
      </w:r>
    </w:p>
    <w:p>
      <w:pPr>
        <w:spacing w:line="240" w:lineRule="auto" w:before="8"/>
        <w:rPr>
          <w:rFonts w:ascii="宋体" w:hAnsi="宋体" w:cs="宋体" w:eastAsia="宋体" w:hint="default"/>
          <w:sz w:val="14"/>
          <w:szCs w:val="14"/>
        </w:rPr>
      </w:pPr>
    </w:p>
    <w:p>
      <w:pPr>
        <w:pStyle w:val="BodyText"/>
        <w:spacing w:line="422" w:lineRule="auto" w:before="0"/>
        <w:ind w:right="1142" w:firstLine="426"/>
        <w:jc w:val="both"/>
      </w:pPr>
      <w:r>
        <w:rPr>
          <w:rFonts w:ascii="Times New Roman" w:hAnsi="Times New Roman" w:cs="Times New Roman" w:eastAsia="Times New Roman" w:hint="default"/>
          <w:spacing w:val="-1"/>
        </w:rPr>
        <w:t>2017</w:t>
      </w:r>
      <w:r>
        <w:rPr>
          <w:spacing w:val="-1"/>
        </w:rPr>
        <w:t>年，中关村互联网金融服务中心的监督管理平台重点推进机构评审系统、登记备案系统、证据链备案</w:t>
      </w:r>
      <w:r>
        <w:rPr>
          <w:w w:val="100"/>
        </w:rPr>
        <w:t> </w:t>
      </w:r>
      <w:r>
        <w:rPr/>
        <w:t>系统和信息披露系统的的升级工作，形成更加完善的事前、事中、事后的闭环监督管理体系。网金中心致力于</w:t>
      </w:r>
      <w:r>
        <w:rPr>
          <w:w w:val="100"/>
        </w:rPr>
        <w:t> </w:t>
      </w:r>
      <w:r>
        <w:rPr/>
        <w:t>成为全国顶尖的互联网金融服务机构，有望为公司的金融科技业务提供业务和数据领域的支持，完善公司的金</w:t>
      </w:r>
      <w:r>
        <w:rPr>
          <w:w w:val="100"/>
        </w:rPr>
        <w:t> </w:t>
      </w:r>
      <w:r>
        <w:rPr/>
        <w:t>融科技生态。</w:t>
      </w:r>
    </w:p>
    <w:p>
      <w:pPr>
        <w:pStyle w:val="BodyText"/>
        <w:spacing w:line="405" w:lineRule="auto" w:before="54"/>
        <w:ind w:left="579" w:right="0"/>
        <w:jc w:val="left"/>
      </w:pPr>
      <w:r>
        <w:rPr>
          <w:rFonts w:ascii="Times New Roman" w:hAnsi="Times New Roman" w:cs="Times New Roman" w:eastAsia="Times New Roman" w:hint="default"/>
        </w:rPr>
        <w:t>5.</w:t>
      </w:r>
      <w:r>
        <w:rPr/>
        <w:t>流量业务稳健发展</w:t>
      </w:r>
      <w:r>
        <w:rPr>
          <w:w w:val="100"/>
        </w:rPr>
        <w:t> </w:t>
      </w:r>
      <w:r>
        <w:rPr>
          <w:spacing w:val="-1"/>
        </w:rPr>
        <w:t>公司与奥瑞金包装股份有限公司共同出资设立合资公司北京奥金智策传媒科技有限公司。奥金智策以智能</w:t>
      </w:r>
    </w:p>
    <w:p>
      <w:pPr>
        <w:pStyle w:val="BodyText"/>
        <w:spacing w:line="429" w:lineRule="auto" w:before="68"/>
        <w:ind w:right="1168"/>
        <w:jc w:val="both"/>
      </w:pPr>
      <w:r>
        <w:rPr>
          <w:spacing w:val="-1"/>
        </w:rPr>
        <w:t>包装为入口，在移动互联网营销、金融服务、数据服务、企业服务以及其他相关衍生服务领域独立开展相关业</w:t>
      </w:r>
      <w:r>
        <w:rPr>
          <w:spacing w:val="-63"/>
        </w:rPr>
        <w:t> </w:t>
      </w:r>
      <w:r>
        <w:rPr>
          <w:spacing w:val="-63"/>
        </w:rPr>
      </w:r>
      <w:r>
        <w:rPr>
          <w:spacing w:val="-1"/>
        </w:rPr>
        <w:t>务。奥瑞金是领先国内包装市场的金属制罐龙头，其核心客户均为我国食品饮料领域内具有优势市场地位的知</w:t>
      </w:r>
      <w:r>
        <w:rPr>
          <w:spacing w:val="-62"/>
        </w:rPr>
        <w:t> </w:t>
      </w:r>
      <w:r>
        <w:rPr>
          <w:spacing w:val="-62"/>
        </w:rPr>
      </w:r>
      <w:r>
        <w:rPr>
          <w:spacing w:val="-1"/>
        </w:rPr>
        <w:t>名企业，如红牛、加多宝、青岛啤酒、旺旺、露露等。奥瑞金的核心客户产品销量巨大、覆盖范围广泛，且直</w:t>
      </w:r>
      <w:r>
        <w:rPr>
          <w:spacing w:val="-63"/>
        </w:rPr>
        <w:t> </w:t>
      </w:r>
      <w:r>
        <w:rPr>
          <w:spacing w:val="-63"/>
        </w:rPr>
      </w:r>
      <w:r>
        <w:rPr>
          <w:spacing w:val="-1"/>
        </w:rPr>
        <w:t>接面对消费者，拥有极大的终端消费流量，而这些产品的包装物也成为了一种重要的信息媒介与潜在的互动平</w:t>
      </w:r>
      <w:r>
        <w:rPr>
          <w:spacing w:val="-63"/>
        </w:rPr>
        <w:t> </w:t>
      </w:r>
      <w:r>
        <w:rPr>
          <w:spacing w:val="-63"/>
        </w:rPr>
      </w:r>
      <w:r>
        <w:rPr>
          <w:spacing w:val="-1"/>
        </w:rPr>
        <w:t>台。奥金智策以二维码技术为代表的互动媒介在包装产品上进行应用，将食品饮料产品的流量转换成标准化可</w:t>
      </w:r>
      <w:r>
        <w:rPr>
          <w:spacing w:val="-63"/>
        </w:rPr>
        <w:t> </w:t>
      </w:r>
      <w:r>
        <w:rPr>
          <w:spacing w:val="-63"/>
        </w:rPr>
      </w:r>
      <w:r>
        <w:rPr>
          <w:spacing w:val="-1"/>
        </w:rPr>
        <w:t>视化的数据，并以此为基础建设流量分析与数据分析平台，拓展服务链条，根据消费者的特征与消费习惯挖掘</w:t>
      </w:r>
      <w:r>
        <w:rPr>
          <w:spacing w:val="-63"/>
        </w:rPr>
        <w:t> </w:t>
      </w:r>
      <w:r>
        <w:rPr>
          <w:spacing w:val="-63"/>
        </w:rPr>
      </w:r>
      <w:r>
        <w:rPr>
          <w:spacing w:val="-1"/>
        </w:rPr>
        <w:t>新的商业机会。公司与奥瑞金的合作，旨在共同利用互联网的共享经济模式与资源整合能力，挖掘包装产品的</w:t>
      </w:r>
      <w:r>
        <w:rPr>
          <w:spacing w:val="-62"/>
        </w:rPr>
        <w:t> </w:t>
      </w:r>
      <w:r>
        <w:rPr>
          <w:spacing w:val="-62"/>
        </w:rPr>
      </w:r>
      <w:r>
        <w:rPr/>
        <w:t>流量价值，有助于公司扩展金融科技产品和服务的营销渠道，完善金融科技生态。</w:t>
      </w:r>
    </w:p>
    <w:p>
      <w:pPr>
        <w:spacing w:line="240" w:lineRule="auto" w:before="4"/>
        <w:rPr>
          <w:rFonts w:ascii="宋体" w:hAnsi="宋体" w:cs="宋体" w:eastAsia="宋体" w:hint="default"/>
          <w:sz w:val="18"/>
          <w:szCs w:val="18"/>
        </w:rPr>
      </w:pPr>
    </w:p>
    <w:p>
      <w:pPr>
        <w:pStyle w:val="Heading2"/>
        <w:spacing w:line="240" w:lineRule="auto"/>
        <w:ind w:right="0"/>
        <w:jc w:val="both"/>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5"/>
        <w:rPr>
          <w:rFonts w:ascii="宋体" w:hAnsi="宋体" w:cs="宋体" w:eastAsia="宋体" w:hint="default"/>
          <w:b/>
          <w:bCs/>
          <w:sz w:val="25"/>
          <w:szCs w:val="25"/>
        </w:rPr>
      </w:pPr>
    </w:p>
    <w:p>
      <w:pPr>
        <w:pStyle w:val="BodyText"/>
        <w:spacing w:line="240" w:lineRule="auto" w:before="0"/>
        <w:ind w:right="0"/>
        <w:jc w:val="both"/>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1,226,017,671.63</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1,380,123,898.84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-11.17%</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439,271,413.84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513,229,778.29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37.19%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490,257,072.97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541,235,140.51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39.22%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政府及公共事业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296,489,184.82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325,658,980.04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23.60%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-8.96%</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金融科技综合服务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502,684,561.08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568,418,187.31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41.19%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-11.56%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数据中心综合服务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711,751,562.99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799,545,791.82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57.93%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11,581,547.56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12,159,919.71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0.88%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-4.76%</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929,671,451.75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1,062,260,979.13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76.97%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-12.48%</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296,346,219.88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317,862,919.71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23.03%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8" w:lineRule="auto"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215" w:space="570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439,271,413.84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289,004,573.56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490,257,072.97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344,171,825.81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政府与公用事业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296,489,184.82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239,608,700.97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5.41%</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金融科技综合服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502,684,561.08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315,282,102.76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数据中心综合服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711,751,562.99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546,469,536.03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929,671,451.75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662,361,970.43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-13.11%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296,346,219.88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210,423,129.91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289,004,573.56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343,025,179.41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344,171,825.81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376,440,479.77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政府与公用事业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239,608,700.97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280,821,966.01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-14.68%</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金融科技综合服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315,282,102.76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368,169,161.94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数据中心综合服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546,469,536.03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621,866,338.41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11,033,461.55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10,252,124.84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6"/>
        <w:rPr>
          <w:rFonts w:ascii="宋体" w:hAnsi="宋体" w:cs="宋体" w:eastAsia="宋体" w:hint="default"/>
          <w:sz w:val="12"/>
          <w:szCs w:val="12"/>
        </w:rPr>
      </w:pPr>
    </w:p>
    <w:p>
      <w:pPr>
        <w:pStyle w:val="BodyText"/>
        <w:spacing w:line="405" w:lineRule="auto" w:before="0"/>
        <w:ind w:left="580" w:right="0"/>
        <w:jc w:val="left"/>
      </w:pPr>
      <w:r>
        <w:rPr/>
        <w:t>本年与上年比较新增加合并单位</w:t>
      </w:r>
      <w:r>
        <w:rPr>
          <w:rFonts w:ascii="Times New Roman" w:hAnsi="Times New Roman" w:cs="Times New Roman" w:eastAsia="Times New Roman" w:hint="default"/>
        </w:rPr>
        <w:t>6</w:t>
      </w:r>
      <w:r>
        <w:rPr/>
        <w:t>家，减少合并单位</w:t>
      </w:r>
      <w:r>
        <w:rPr>
          <w:rFonts w:ascii="Times New Roman" w:hAnsi="Times New Roman" w:cs="Times New Roman" w:eastAsia="Times New Roman" w:hint="default"/>
        </w:rPr>
        <w:t>1</w:t>
      </w:r>
      <w:r>
        <w:rPr/>
        <w:t>家。</w:t>
      </w:r>
      <w:r>
        <w:rPr>
          <w:w w:val="100"/>
        </w:rPr>
        <w:t> </w:t>
      </w:r>
      <w:r>
        <w:rPr>
          <w:spacing w:val="-1"/>
        </w:rPr>
        <w:t>本年因非同一控制下企业合并增加深圳中金财富互联网金融服务有限公司、华缔资产管理（北京）有限公</w:t>
      </w:r>
    </w:p>
    <w:p>
      <w:pPr>
        <w:pStyle w:val="BodyText"/>
        <w:spacing w:line="429" w:lineRule="auto" w:before="68"/>
        <w:ind w:left="154" w:right="0"/>
        <w:jc w:val="left"/>
      </w:pPr>
      <w:r>
        <w:rPr>
          <w:spacing w:val="-1"/>
        </w:rPr>
        <w:t>司；因投资设立增加中科金财保险经纪有限公司、霍尔果斯金财科技服务有限公司、香港中科金财科技有限公</w:t>
      </w:r>
      <w:r>
        <w:rPr>
          <w:spacing w:val="-63"/>
        </w:rPr>
        <w:t> </w:t>
      </w:r>
      <w:r>
        <w:rPr>
          <w:spacing w:val="-63"/>
        </w:rPr>
      </w:r>
      <w:r>
        <w:rPr/>
        <w:t>司、霍尔果斯滨河创新软件技术有限公司；因注销减少天津滨河顺通科技有限公司。</w:t>
      </w:r>
    </w:p>
    <w:p>
      <w:pPr>
        <w:spacing w:after="0" w:line="42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225,156,154.40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18.36%</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70,495,726.67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国家体育总局体育彩票管理中心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44,716,502.54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农信银资金清算中心有限责任公司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40,507,661.75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华夏银行股份有限公司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36,465,665.19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浙江省公安厅</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32,970,598.25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2.69%</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225,156,154.40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18.36%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6"/>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256,587,035.43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89,436,971.23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深圳市怡亚通供应链股份有限公司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65,332,524.21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35,761,593.37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紫光华山信息技术有限公司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35,386,082.50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浪潮（北京）电子信息产业有限公司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30,669,864.12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256,587,035.43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45,035,159.71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39,987,822.40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235,754,052.26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190,494,171.83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10,499,115.45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2,676,799.58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292.23%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主要系本期利息支出增加所致。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2"/>
          <w:szCs w:val="12"/>
        </w:rPr>
      </w:pPr>
    </w:p>
    <w:p>
      <w:pPr>
        <w:pStyle w:val="BodyText"/>
        <w:spacing w:line="417" w:lineRule="auto" w:before="0"/>
        <w:ind w:left="154" w:right="1142" w:firstLine="426"/>
        <w:jc w:val="both"/>
      </w:pPr>
      <w:r>
        <w:rPr>
          <w:spacing w:val="-1"/>
        </w:rPr>
        <w:t>报告期内，公司继续保持较高的研发投入，紧密围绕互联网银行平台综合服务及智能银行整体解决方案的</w:t>
      </w:r>
      <w:r>
        <w:rPr>
          <w:w w:val="100"/>
        </w:rPr>
        <w:t> </w:t>
      </w:r>
      <w:r>
        <w:rPr/>
        <w:t>发展战略，开展了多个产品及应用系统的自主研发，共投入研发费用</w:t>
      </w:r>
      <w:r>
        <w:rPr>
          <w:rFonts w:ascii="Times New Roman" w:hAnsi="Times New Roman" w:cs="Times New Roman" w:eastAsia="Times New Roman" w:hint="default"/>
        </w:rPr>
        <w:t>152,864,797.27</w:t>
      </w:r>
      <w:r>
        <w:rPr/>
        <w:t>元，较上年增长</w:t>
      </w:r>
      <w:r>
        <w:rPr>
          <w:rFonts w:ascii="Times New Roman" w:hAnsi="Times New Roman" w:cs="Times New Roman" w:eastAsia="Times New Roman" w:hint="default"/>
        </w:rPr>
        <w:t>7.00%</w:t>
      </w:r>
      <w:r>
        <w:rPr/>
        <w:t>，研</w:t>
      </w:r>
      <w:r>
        <w:rPr>
          <w:spacing w:val="-2"/>
          <w:w w:val="100"/>
        </w:rPr>
        <w:t> </w:t>
      </w:r>
      <w:r>
        <w:rPr/>
        <w:t>发投入占营业收入的比例达到</w:t>
      </w:r>
      <w:r>
        <w:rPr>
          <w:rFonts w:ascii="Times New Roman" w:hAnsi="Times New Roman" w:cs="Times New Roman" w:eastAsia="Times New Roman" w:hint="default"/>
        </w:rPr>
        <w:t>12.47%</w:t>
      </w:r>
      <w:r>
        <w:rPr/>
        <w:t>，其中资本化部分金额为</w:t>
      </w:r>
      <w:r>
        <w:rPr>
          <w:rFonts w:ascii="Times New Roman" w:hAnsi="Times New Roman" w:cs="Times New Roman" w:eastAsia="Times New Roman" w:hint="default"/>
        </w:rPr>
        <w:t>31,130,683.43</w:t>
      </w:r>
      <w:r>
        <w:rPr/>
        <w:t>元。</w:t>
      </w:r>
    </w:p>
    <w:p>
      <w:pPr>
        <w:spacing w:before="6"/>
        <w:ind w:left="154"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152,864,797.27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142,863,958.42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31,130,683.43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19,991,685.00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1,677,426,711.53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1,774,796,610.76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1,568,998,520.93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1,507,246,328.25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108,428,190.60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267,550,282.51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-59.47%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5,846,781,245.47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4,199,091,002.66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6,512,917,400.03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5,207,311,872.79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-666,136,154.56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-1,008,220,870.13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33.93%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755,096,409.75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1,004,717,417.71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373,687,688.56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91,636,227.64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307.79%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381,408,721.19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913,081,190.07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-58.23%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-176,297,896.41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172,483,529.41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-202.21%</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2"/>
          <w:szCs w:val="12"/>
        </w:rPr>
      </w:pPr>
    </w:p>
    <w:p>
      <w:pPr>
        <w:pStyle w:val="BodyText"/>
        <w:spacing w:line="405" w:lineRule="auto" w:before="0"/>
        <w:ind w:left="154" w:right="1118" w:firstLine="426"/>
        <w:jc w:val="left"/>
      </w:pPr>
      <w:r>
        <w:rPr>
          <w:spacing w:val="-1"/>
        </w:rPr>
        <w:t>经营活动产生的现金流量净额较上年同期减少</w:t>
      </w:r>
      <w:r>
        <w:rPr>
          <w:rFonts w:ascii="Times New Roman" w:hAnsi="Times New Roman" w:cs="Times New Roman" w:eastAsia="Times New Roman" w:hint="default"/>
          <w:spacing w:val="-1"/>
        </w:rPr>
        <w:t>59.47%</w:t>
      </w:r>
      <w:r>
        <w:rPr>
          <w:spacing w:val="-1"/>
        </w:rPr>
        <w:t>，主要系公司本期收到的与经营活动有关的现金减少</w:t>
      </w:r>
      <w:r>
        <w:rPr>
          <w:w w:val="100"/>
        </w:rPr>
        <w:t> </w:t>
      </w:r>
      <w:r>
        <w:rPr/>
        <w:t>所致。</w:t>
      </w:r>
    </w:p>
    <w:p>
      <w:pPr>
        <w:pStyle w:val="BodyText"/>
        <w:spacing w:line="405" w:lineRule="auto" w:before="68"/>
        <w:ind w:left="580" w:right="0"/>
        <w:jc w:val="left"/>
      </w:pPr>
      <w:r>
        <w:rPr/>
        <w:t>投资活动现金流入较上年同期增长</w:t>
      </w:r>
      <w:r>
        <w:rPr>
          <w:rFonts w:ascii="Times New Roman" w:hAnsi="Times New Roman" w:cs="Times New Roman" w:eastAsia="Times New Roman" w:hint="default"/>
        </w:rPr>
        <w:t>39.24%</w:t>
      </w:r>
      <w:r>
        <w:rPr/>
        <w:t>，主要系公司本期赎回理财产品增加所致。</w:t>
      </w:r>
      <w:r>
        <w:rPr>
          <w:w w:val="100"/>
        </w:rPr>
        <w:t> </w:t>
      </w:r>
      <w:r>
        <w:rPr/>
        <w:t>投资活动产生的现金流量净额较上年同期增长</w:t>
      </w:r>
      <w:r>
        <w:rPr>
          <w:rFonts w:ascii="Times New Roman" w:hAnsi="Times New Roman" w:cs="Times New Roman" w:eastAsia="Times New Roman" w:hint="default"/>
        </w:rPr>
        <w:t>33.93%</w:t>
      </w:r>
      <w:r>
        <w:rPr/>
        <w:t>，主要系公司本期赎回理财产品增加所致。</w:t>
      </w:r>
      <w:r>
        <w:rPr>
          <w:w w:val="100"/>
        </w:rPr>
        <w:t> </w:t>
      </w:r>
      <w:r>
        <w:rPr/>
        <w:t>筹资活动现金流出较去年同期增长</w:t>
      </w:r>
      <w:r>
        <w:rPr>
          <w:rFonts w:ascii="Times New Roman" w:hAnsi="Times New Roman" w:cs="Times New Roman" w:eastAsia="Times New Roman" w:hint="default"/>
        </w:rPr>
        <w:t>307.79%</w:t>
      </w:r>
      <w:r>
        <w:rPr/>
        <w:t>，主要系公司本期合并范围变化所致。</w:t>
      </w:r>
      <w:r>
        <w:rPr>
          <w:w w:val="100"/>
        </w:rPr>
        <w:t> </w:t>
      </w:r>
      <w:r>
        <w:rPr/>
        <w:t>筹资活动产生的现金净额较去年同期减少</w:t>
      </w:r>
      <w:r>
        <w:rPr>
          <w:rFonts w:ascii="Times New Roman" w:hAnsi="Times New Roman" w:cs="Times New Roman" w:eastAsia="Times New Roman" w:hint="default"/>
        </w:rPr>
        <w:t>58.23%</w:t>
      </w:r>
      <w:r>
        <w:rPr/>
        <w:t>，主要系公司上期收到非公开发行股票募集资金所致。</w:t>
      </w:r>
      <w:r>
        <w:rPr>
          <w:w w:val="100"/>
        </w:rPr>
        <w:t> </w:t>
      </w:r>
      <w:r>
        <w:rPr>
          <w:spacing w:val="-1"/>
        </w:rPr>
        <w:t>现金及现金等价物的净增加额较去年同期减少</w:t>
      </w:r>
      <w:r>
        <w:rPr>
          <w:rFonts w:ascii="Times New Roman" w:hAnsi="Times New Roman" w:cs="Times New Roman" w:eastAsia="Times New Roman" w:hint="default"/>
          <w:spacing w:val="-1"/>
        </w:rPr>
        <w:t>202.21%</w:t>
      </w:r>
      <w:r>
        <w:rPr>
          <w:spacing w:val="-1"/>
        </w:rPr>
        <w:t>，主要系公司上期收到非公开发行股票募集资金所</w:t>
      </w:r>
    </w:p>
    <w:p>
      <w:pPr>
        <w:pStyle w:val="BodyText"/>
        <w:spacing w:line="240" w:lineRule="auto" w:before="38"/>
        <w:ind w:left="154" w:right="0"/>
        <w:jc w:val="left"/>
      </w:pPr>
      <w:r>
        <w:rPr/>
        <w:t>致。</w:t>
      </w:r>
    </w:p>
    <w:p>
      <w:pPr>
        <w:spacing w:line="240" w:lineRule="auto" w:before="2"/>
        <w:rPr>
          <w:rFonts w:ascii="宋体" w:hAnsi="宋体" w:cs="宋体" w:eastAsia="宋体" w:hint="default"/>
          <w:sz w:val="14"/>
          <w:szCs w:val="14"/>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2"/>
          <w:szCs w:val="12"/>
        </w:rPr>
      </w:pPr>
    </w:p>
    <w:p>
      <w:pPr>
        <w:pStyle w:val="BodyText"/>
        <w:spacing w:line="405" w:lineRule="auto" w:before="0"/>
        <w:ind w:right="0" w:firstLine="426"/>
        <w:jc w:val="left"/>
      </w:pPr>
      <w:r>
        <w:rPr>
          <w:spacing w:val="-1"/>
        </w:rPr>
        <w:t>报告期内公司经营活动产生的现金净流量为</w:t>
      </w:r>
      <w:r>
        <w:rPr>
          <w:rFonts w:ascii="Times New Roman" w:hAnsi="Times New Roman" w:cs="Times New Roman" w:eastAsia="Times New Roman" w:hint="default"/>
          <w:spacing w:val="-1"/>
        </w:rPr>
        <w:t>108,428,190.60</w:t>
      </w:r>
      <w:r>
        <w:rPr>
          <w:spacing w:val="-1"/>
        </w:rPr>
        <w:t>元，本年度净利润为</w:t>
      </w:r>
      <w:r>
        <w:rPr>
          <w:rFonts w:ascii="Times New Roman" w:hAnsi="Times New Roman" w:cs="Times New Roman" w:eastAsia="Times New Roman" w:hint="default"/>
          <w:spacing w:val="-1"/>
        </w:rPr>
        <w:t>-258,101,012.93</w:t>
      </w:r>
      <w:r>
        <w:rPr>
          <w:spacing w:val="-1"/>
        </w:rPr>
        <w:t>元，经营活</w:t>
      </w:r>
      <w:r>
        <w:rPr>
          <w:w w:val="100"/>
        </w:rPr>
        <w:t> </w:t>
      </w:r>
      <w:r>
        <w:rPr/>
        <w:t>动现金净流量大于净利润的主要原因系报告期内公司本期计提商誉减值准备所致。</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389,188,128.64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6" w:right="0"/>
              <w:jc w:val="left"/>
              <w:rPr>
                <w:rFonts w:ascii="Times New Roman" w:hAnsi="Times New Roman" w:cs="Times New Roman" w:eastAsia="Times New Roman" w:hint="default"/>
                <w:sz w:val="18"/>
                <w:szCs w:val="18"/>
              </w:rPr>
            </w:pPr>
            <w:r>
              <w:rPr>
                <w:rFonts w:ascii="Times New Roman"/>
                <w:sz w:val="18"/>
              </w:rPr>
              <w:t>-158.77%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主要系公司本期计提商誉减 值准备所致。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677,014,224.3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14.88%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744,234,729.32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20.37%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-5.49%</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9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91,638,649.96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75,864,050.49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458,110,365.5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10.07%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283,664,703.12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7.76%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2.31%</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308,678,354.1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6.78%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344,667,072.99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9.43%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-2.65%</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28,697,969.27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45,318,385.37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76,282.04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1,075,348.71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270,960,365.8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5.96%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4,020,000.00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0.11%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5.85%</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726" w:type="dxa"/>
        <w:tblLayout w:type="fixed"/>
        <w:tblCellMar>
          <w:top w:w="0" w:type="dxa"/>
          <w:left w:w="0" w:type="dxa"/>
          <w:bottom w:w="0" w:type="dxa"/>
          <w:right w:w="0" w:type="dxa"/>
        </w:tblCellMar>
        <w:tblLook w:val="01E0"/>
      </w:tblPr>
      <w:tblGrid>
        <w:gridCol w:w="3975"/>
        <w:gridCol w:w="2246"/>
        <w:gridCol w:w="2262"/>
      </w:tblGrid>
      <w:tr>
        <w:trPr>
          <w:trHeight w:val="34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7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130,354,590.75</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保证金未到期</w:t>
            </w:r>
          </w:p>
        </w:tc>
      </w:tr>
      <w:tr>
        <w:trPr>
          <w:trHeight w:val="342"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应收账款余额</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73,206,750.28</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质押</w:t>
            </w:r>
          </w:p>
        </w:tc>
      </w:tr>
      <w:tr>
        <w:trPr>
          <w:trHeight w:val="343" w:hRule="exact"/>
        </w:trPr>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203,561,341.03</w:t>
            </w:r>
          </w:p>
        </w:tc>
        <w:tc>
          <w:tcPr>
            <w:tcW w:w="22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10" w:lineRule="auto" w:before="72"/>
        <w:ind w:right="0" w:firstLine="426"/>
        <w:jc w:val="left"/>
      </w:pPr>
      <w:r>
        <w:rPr>
          <w:rFonts w:ascii="Times New Roman" w:hAnsi="Times New Roman" w:cs="Times New Roman" w:eastAsia="Times New Roman" w:hint="default"/>
          <w:spacing w:val="-5"/>
          <w:w w:val="100"/>
        </w:rPr>
        <w:t>2013</w:t>
      </w:r>
      <w:r>
        <w:rPr>
          <w:spacing w:val="-5"/>
          <w:w w:val="100"/>
        </w:rPr>
        <w:t>年</w:t>
      </w:r>
      <w:r>
        <w:rPr>
          <w:rFonts w:ascii="Times New Roman" w:hAnsi="Times New Roman" w:cs="Times New Roman" w:eastAsia="Times New Roman" w:hint="default"/>
          <w:spacing w:val="-5"/>
          <w:w w:val="100"/>
        </w:rPr>
        <w:t>4</w:t>
      </w:r>
      <w:r>
        <w:rPr>
          <w:spacing w:val="-5"/>
          <w:w w:val="100"/>
        </w:rPr>
        <w:t>月</w:t>
      </w:r>
      <w:r>
        <w:rPr>
          <w:rFonts w:ascii="Times New Roman" w:hAnsi="Times New Roman" w:cs="Times New Roman" w:eastAsia="Times New Roman" w:hint="default"/>
          <w:spacing w:val="-5"/>
          <w:w w:val="100"/>
        </w:rPr>
        <w:t>10</w:t>
      </w:r>
      <w:r>
        <w:rPr>
          <w:spacing w:val="-5"/>
          <w:w w:val="100"/>
        </w:rPr>
        <w:t>日，本公司与北京中关村科技融资担保有限公司签定</w:t>
      </w:r>
      <w:r>
        <w:rPr>
          <w:rFonts w:ascii="Times New Roman" w:hAnsi="Times New Roman" w:cs="Times New Roman" w:eastAsia="Times New Roman" w:hint="default"/>
          <w:spacing w:val="-5"/>
          <w:w w:val="100"/>
        </w:rPr>
        <w:t>2012</w:t>
      </w:r>
      <w:r>
        <w:rPr>
          <w:spacing w:val="-5"/>
          <w:w w:val="100"/>
        </w:rPr>
        <w:t>年</w:t>
      </w:r>
      <w:r>
        <w:rPr>
          <w:rFonts w:ascii="Times New Roman" w:hAnsi="Times New Roman" w:cs="Times New Roman" w:eastAsia="Times New Roman" w:hint="default"/>
          <w:spacing w:val="-5"/>
          <w:w w:val="100"/>
        </w:rPr>
        <w:t>QZY0736</w:t>
      </w:r>
      <w:r>
        <w:rPr>
          <w:spacing w:val="-5"/>
          <w:w w:val="100"/>
        </w:rPr>
        <w:t>号反担保（应收账款质押）</w:t>
      </w:r>
      <w:r>
        <w:rPr>
          <w:w w:val="100"/>
        </w:rPr>
        <w:t> </w:t>
      </w:r>
      <w:r>
        <w:rPr/>
        <w:t>合同，约定以主债务全部清偿前形成的全部应收账款出质，为北京中关村科技融资担保有限公司根据双方签定</w:t>
      </w:r>
      <w:r>
        <w:rPr>
          <w:w w:val="100"/>
        </w:rPr>
        <w:t> </w:t>
      </w:r>
      <w:r>
        <w:rPr>
          <w:spacing w:val="-2"/>
        </w:rPr>
        <w:t>的</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WT0736</w:t>
      </w:r>
      <w:r>
        <w:rPr>
          <w:spacing w:val="-2"/>
        </w:rPr>
        <w:t>号委托保证合同向本公司发行</w:t>
      </w:r>
      <w:r>
        <w:rPr>
          <w:rFonts w:ascii="Times New Roman" w:hAnsi="Times New Roman" w:cs="Times New Roman" w:eastAsia="Times New Roman" w:hint="default"/>
          <w:spacing w:val="-2"/>
        </w:rPr>
        <w:t>24,000.00</w:t>
      </w:r>
      <w:r>
        <w:rPr>
          <w:spacing w:val="-2"/>
        </w:rPr>
        <w:t>万元公司债券提供的保证担保进行反担保。</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2"/>
        </w:rPr>
        <w:t> </w:t>
      </w:r>
      <w:r>
        <w:rPr>
          <w:spacing w:val="-4"/>
          <w:w w:val="100"/>
        </w:rPr>
        <w:t>日已回售金额</w:t>
      </w:r>
      <w:r>
        <w:rPr>
          <w:rFonts w:ascii="Times New Roman" w:hAnsi="Times New Roman" w:cs="Times New Roman" w:eastAsia="Times New Roman" w:hint="default"/>
          <w:spacing w:val="-4"/>
          <w:w w:val="100"/>
        </w:rPr>
        <w:t>1,861.80</w:t>
      </w:r>
      <w:r>
        <w:rPr>
          <w:spacing w:val="-4"/>
          <w:w w:val="100"/>
        </w:rPr>
        <w:t>万元，截至资产负债表日公司剩余债券金额</w:t>
      </w:r>
      <w:r>
        <w:rPr>
          <w:rFonts w:ascii="Times New Roman" w:hAnsi="Times New Roman" w:cs="Times New Roman" w:eastAsia="Times New Roman" w:hint="default"/>
          <w:spacing w:val="-4"/>
          <w:w w:val="100"/>
        </w:rPr>
        <w:t>22,138.20</w:t>
      </w:r>
      <w:r>
        <w:rPr>
          <w:spacing w:val="-4"/>
          <w:w w:val="100"/>
        </w:rPr>
        <w:t>万元，</w:t>
      </w:r>
      <w:r>
        <w:rPr>
          <w:rFonts w:ascii="Times New Roman" w:hAnsi="Times New Roman" w:cs="Times New Roman" w:eastAsia="Times New Roman" w:hint="default"/>
          <w:spacing w:val="-4"/>
          <w:w w:val="100"/>
        </w:rPr>
        <w:t>2018</w:t>
      </w:r>
      <w:r>
        <w:rPr>
          <w:spacing w:val="-4"/>
          <w:w w:val="100"/>
        </w:rPr>
        <w:t>年</w:t>
      </w:r>
      <w:r>
        <w:rPr>
          <w:rFonts w:ascii="Times New Roman" w:hAnsi="Times New Roman" w:cs="Times New Roman" w:eastAsia="Times New Roman" w:hint="default"/>
          <w:spacing w:val="-4"/>
          <w:w w:val="100"/>
        </w:rPr>
        <w:t>4</w:t>
      </w:r>
      <w:r>
        <w:rPr>
          <w:spacing w:val="-4"/>
          <w:w w:val="100"/>
        </w:rPr>
        <w:t>月</w:t>
      </w:r>
      <w:r>
        <w:rPr>
          <w:rFonts w:ascii="Times New Roman" w:hAnsi="Times New Roman" w:cs="Times New Roman" w:eastAsia="Times New Roman" w:hint="default"/>
          <w:spacing w:val="-4"/>
          <w:w w:val="100"/>
        </w:rPr>
        <w:t>2</w:t>
      </w:r>
      <w:r>
        <w:rPr>
          <w:spacing w:val="-4"/>
          <w:w w:val="100"/>
        </w:rPr>
        <w:t>日公司债券已到期，</w:t>
      </w:r>
      <w:r>
        <w:rPr>
          <w:spacing w:val="-49"/>
          <w:w w:val="100"/>
        </w:rPr>
        <w:t> </w:t>
      </w:r>
      <w:r>
        <w:rPr>
          <w:spacing w:val="-49"/>
          <w:w w:val="100"/>
        </w:rPr>
      </w:r>
      <w:r>
        <w:rPr/>
        <w:t>本息已全额兑付，</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日，公司已在中国人民银行征信中心办理应收账款质押注销登记。</w:t>
      </w:r>
    </w:p>
    <w:p>
      <w:pPr>
        <w:spacing w:line="240" w:lineRule="auto" w:before="2"/>
        <w:rPr>
          <w:rFonts w:ascii="宋体" w:hAnsi="宋体" w:cs="宋体" w:eastAsia="宋体" w:hint="default"/>
          <w:sz w:val="17"/>
          <w:szCs w:val="17"/>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6" w:right="0"/>
              <w:jc w:val="left"/>
              <w:rPr>
                <w:rFonts w:ascii="Times New Roman" w:hAnsi="Times New Roman" w:cs="Times New Roman" w:eastAsia="Times New Roman" w:hint="default"/>
                <w:sz w:val="18"/>
                <w:szCs w:val="18"/>
              </w:rPr>
            </w:pPr>
            <w:r>
              <w:rPr>
                <w:rFonts w:ascii="Times New Roman"/>
                <w:sz w:val="18"/>
              </w:rPr>
              <w:t>560,453,011.82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277,848,665.00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962"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深圳中 金财富 互联网 金融服 务有限 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投资管 理；资 产管 理；项 目投资</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19,584,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651.45</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97"/>
              <w:jc w:val="both"/>
              <w:rPr>
                <w:rFonts w:ascii="宋体" w:hAnsi="宋体" w:cs="宋体" w:eastAsia="宋体" w:hint="default"/>
                <w:sz w:val="18"/>
                <w:szCs w:val="18"/>
              </w:rPr>
            </w:pPr>
            <w:r>
              <w:rPr>
                <w:rFonts w:ascii="宋体" w:hAnsi="宋体" w:cs="宋体" w:eastAsia="宋体" w:hint="default"/>
                <w:sz w:val="18"/>
                <w:szCs w:val="18"/>
              </w:rPr>
              <w:t>已全 部过 户</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333,420.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7579"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深圳中 金财富 互联网 金融服 务有限 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投资管 理；资 产管 理；项 目投资</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已出 资，已 完成 工商 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w:t>
            </w:r>
          </w:p>
          <w:p>
            <w:pPr>
              <w:pStyle w:val="TableParagraph"/>
              <w:spacing w:line="316" w:lineRule="auto" w:before="75"/>
              <w:ind w:left="22" w:right="5"/>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9" w:lineRule="auto" w:before="19"/>
              <w:ind w:left="22" w:right="5"/>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日报》、</w:t>
            </w:r>
          </w:p>
          <w:p>
            <w:pPr>
              <w:pStyle w:val="TableParagraph"/>
              <w:spacing w:line="316" w:lineRule="auto" w:before="17"/>
              <w:ind w:left="22" w:right="9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30"/>
                <w:sz w:val="18"/>
                <w:szCs w:val="18"/>
              </w:rPr>
              <w:t>报》、</w:t>
            </w:r>
          </w:p>
          <w:p>
            <w:pPr>
              <w:pStyle w:val="TableParagraph"/>
              <w:spacing w:line="316" w:lineRule="auto" w:before="19"/>
              <w:ind w:left="22" w:right="95"/>
              <w:jc w:val="left"/>
              <w:rPr>
                <w:rFonts w:ascii="宋体" w:hAnsi="宋体" w:cs="宋体" w:eastAsia="宋体" w:hint="default"/>
                <w:sz w:val="18"/>
                <w:szCs w:val="18"/>
              </w:rPr>
            </w:pPr>
            <w:r>
              <w:rPr>
                <w:rFonts w:ascii="宋体" w:hAnsi="宋体" w:cs="宋体" w:eastAsia="宋体" w:hint="default"/>
                <w:sz w:val="18"/>
                <w:szCs w:val="18"/>
              </w:rPr>
              <w:t>《上海 证券 报》及 巨潮资 讯网的</w:t>
            </w:r>
          </w:p>
          <w:p>
            <w:pPr>
              <w:pStyle w:val="TableParagraph"/>
              <w:spacing w:line="316" w:lineRule="auto" w:before="19"/>
              <w:ind w:left="22" w:right="95"/>
              <w:jc w:val="both"/>
              <w:rPr>
                <w:rFonts w:ascii="宋体" w:hAnsi="宋体" w:cs="宋体" w:eastAsia="宋体" w:hint="default"/>
                <w:sz w:val="18"/>
                <w:szCs w:val="18"/>
              </w:rPr>
            </w:pPr>
            <w:r>
              <w:rPr>
                <w:rFonts w:ascii="宋体" w:hAnsi="宋体" w:cs="宋体" w:eastAsia="宋体" w:hint="default"/>
                <w:sz w:val="18"/>
                <w:szCs w:val="18"/>
              </w:rPr>
              <w:t>《北京 中科金 财科技 股份有 限公司 关于公 司对外 投资的 公告》</w:t>
            </w:r>
          </w:p>
          <w:p>
            <w:pPr>
              <w:pStyle w:val="TableParagraph"/>
              <w:spacing w:line="302" w:lineRule="auto" w:before="19"/>
              <w:ind w:left="22" w:right="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2017- 020</w:t>
            </w:r>
            <w:r>
              <w:rPr>
                <w:rFonts w:ascii="宋体" w:hAnsi="宋体" w:cs="宋体" w:eastAsia="宋体" w:hint="default"/>
                <w:sz w:val="18"/>
                <w:szCs w:val="18"/>
              </w:rPr>
              <w:t>）</w:t>
            </w:r>
          </w:p>
        </w:tc>
      </w:tr>
      <w:tr>
        <w:trPr>
          <w:trHeight w:val="714"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81"/>
              <w:jc w:val="left"/>
              <w:rPr>
                <w:rFonts w:ascii="宋体" w:hAnsi="宋体" w:cs="宋体" w:eastAsia="宋体" w:hint="default"/>
                <w:sz w:val="18"/>
                <w:szCs w:val="18"/>
              </w:rPr>
            </w:pPr>
            <w:r>
              <w:rPr>
                <w:rFonts w:ascii="宋体" w:hAnsi="宋体" w:cs="宋体" w:eastAsia="宋体" w:hint="default"/>
                <w:sz w:val="18"/>
                <w:szCs w:val="18"/>
              </w:rPr>
              <w:t>深圳前 海中科</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7"/>
              <w:jc w:val="left"/>
              <w:rPr>
                <w:rFonts w:ascii="宋体" w:hAnsi="宋体" w:cs="宋体" w:eastAsia="宋体" w:hint="default"/>
                <w:sz w:val="18"/>
                <w:szCs w:val="18"/>
              </w:rPr>
            </w:pPr>
            <w:r>
              <w:rPr>
                <w:rFonts w:ascii="宋体" w:hAnsi="宋体" w:cs="宋体" w:eastAsia="宋体" w:hint="default"/>
                <w:sz w:val="18"/>
                <w:szCs w:val="18"/>
              </w:rPr>
              <w:t>投资兴 办实</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4" w:right="0"/>
              <w:jc w:val="left"/>
              <w:rPr>
                <w:rFonts w:ascii="Times New Roman" w:hAnsi="Times New Roman" w:cs="Times New Roman" w:eastAsia="Times New Roman" w:hint="default"/>
                <w:sz w:val="18"/>
                <w:szCs w:val="18"/>
              </w:rPr>
            </w:pPr>
            <w:r>
              <w:rPr>
                <w:rFonts w:ascii="Times New Roman"/>
                <w:sz w:val="18"/>
              </w:rPr>
              <w:t>318,00</w:t>
            </w:r>
          </w:p>
          <w:p>
            <w:pPr>
              <w:pStyle w:val="TableParagraph"/>
              <w:spacing w:line="240" w:lineRule="auto" w:before="104"/>
              <w:ind w:left="49"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0"/>
              <w:jc w:val="left"/>
              <w:rPr>
                <w:rFonts w:ascii="宋体" w:hAnsi="宋体" w:cs="宋体" w:eastAsia="宋体" w:hint="default"/>
                <w:sz w:val="18"/>
                <w:szCs w:val="18"/>
              </w:rPr>
            </w:pPr>
            <w:r>
              <w:rPr>
                <w:rFonts w:ascii="宋体" w:hAnsi="宋体" w:cs="宋体" w:eastAsia="宋体" w:hint="default"/>
                <w:sz w:val="18"/>
                <w:szCs w:val="18"/>
              </w:rPr>
              <w:t>已出 资，已</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1,525,51</w:t>
            </w:r>
          </w:p>
          <w:p>
            <w:pPr>
              <w:pStyle w:val="TableParagraph"/>
              <w:spacing w:line="240" w:lineRule="auto" w:before="105"/>
              <w:ind w:left="346" w:right="0"/>
              <w:jc w:val="left"/>
              <w:rPr>
                <w:rFonts w:ascii="Times New Roman" w:hAnsi="Times New Roman" w:cs="Times New Roman" w:eastAsia="Times New Roman" w:hint="default"/>
                <w:sz w:val="18"/>
                <w:szCs w:val="18"/>
              </w:rPr>
            </w:pPr>
            <w:r>
              <w:rPr>
                <w:rFonts w:ascii="Times New Roman"/>
                <w:sz w:val="18"/>
              </w:rPr>
              <w:t>1.47</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详见</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《证券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9411"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1"/>
              <w:jc w:val="both"/>
              <w:rPr>
                <w:rFonts w:ascii="宋体" w:hAnsi="宋体" w:cs="宋体" w:eastAsia="宋体" w:hint="default"/>
                <w:sz w:val="18"/>
                <w:szCs w:val="18"/>
              </w:rPr>
            </w:pPr>
            <w:r>
              <w:rPr>
                <w:rFonts w:ascii="宋体" w:hAnsi="宋体" w:cs="宋体" w:eastAsia="宋体" w:hint="default"/>
                <w:sz w:val="18"/>
                <w:szCs w:val="18"/>
              </w:rPr>
              <w:t>金财金 控投资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both"/>
              <w:rPr>
                <w:rFonts w:ascii="宋体" w:hAnsi="宋体" w:cs="宋体" w:eastAsia="宋体" w:hint="default"/>
                <w:sz w:val="18"/>
                <w:szCs w:val="18"/>
              </w:rPr>
            </w:pPr>
            <w:r>
              <w:rPr>
                <w:rFonts w:ascii="宋体" w:hAnsi="宋体" w:cs="宋体" w:eastAsia="宋体" w:hint="default"/>
                <w:sz w:val="18"/>
                <w:szCs w:val="18"/>
              </w:rPr>
              <w:t>业，收 购兼并 策划咨 询；信 息科技 开发</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7"/>
              <w:jc w:val="both"/>
              <w:rPr>
                <w:rFonts w:ascii="宋体" w:hAnsi="宋体" w:cs="宋体" w:eastAsia="宋体" w:hint="default"/>
                <w:sz w:val="18"/>
                <w:szCs w:val="18"/>
              </w:rPr>
            </w:pPr>
            <w:r>
              <w:rPr>
                <w:rFonts w:ascii="宋体" w:hAnsi="宋体" w:cs="宋体" w:eastAsia="宋体" w:hint="default"/>
                <w:sz w:val="18"/>
                <w:szCs w:val="18"/>
              </w:rPr>
              <w:t>完成 工商 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6" w:lineRule="auto" w:before="76"/>
              <w:ind w:left="22" w:right="5"/>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日报》、</w:t>
            </w:r>
          </w:p>
          <w:p>
            <w:pPr>
              <w:pStyle w:val="TableParagraph"/>
              <w:spacing w:line="319" w:lineRule="auto" w:before="19"/>
              <w:ind w:left="22" w:right="9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30"/>
                <w:sz w:val="18"/>
                <w:szCs w:val="18"/>
              </w:rPr>
              <w:t>报》、</w:t>
            </w:r>
          </w:p>
          <w:p>
            <w:pPr>
              <w:pStyle w:val="TableParagraph"/>
              <w:spacing w:line="316" w:lineRule="auto" w:before="17"/>
              <w:ind w:left="22" w:right="95"/>
              <w:jc w:val="left"/>
              <w:rPr>
                <w:rFonts w:ascii="宋体" w:hAnsi="宋体" w:cs="宋体" w:eastAsia="宋体" w:hint="default"/>
                <w:sz w:val="18"/>
                <w:szCs w:val="18"/>
              </w:rPr>
            </w:pPr>
            <w:r>
              <w:rPr>
                <w:rFonts w:ascii="宋体" w:hAnsi="宋体" w:cs="宋体" w:eastAsia="宋体" w:hint="default"/>
                <w:sz w:val="18"/>
                <w:szCs w:val="18"/>
              </w:rPr>
              <w:t>《上海 证券 报》及 巨潮资 讯网的</w:t>
            </w:r>
          </w:p>
          <w:p>
            <w:pPr>
              <w:pStyle w:val="TableParagraph"/>
              <w:spacing w:line="316" w:lineRule="auto" w:before="19"/>
              <w:ind w:left="22" w:right="95"/>
              <w:jc w:val="both"/>
              <w:rPr>
                <w:rFonts w:ascii="宋体" w:hAnsi="宋体" w:cs="宋体" w:eastAsia="宋体" w:hint="default"/>
                <w:sz w:val="18"/>
                <w:szCs w:val="18"/>
              </w:rPr>
            </w:pPr>
            <w:r>
              <w:rPr>
                <w:rFonts w:ascii="宋体" w:hAnsi="宋体" w:cs="宋体" w:eastAsia="宋体" w:hint="default"/>
                <w:sz w:val="18"/>
                <w:szCs w:val="18"/>
              </w:rPr>
              <w:t>《北京 中科金 财科技 股份有 限公司 关于向 全资子 公司深 圳前海 中科金 财金控 投资有 限公司 增资并 转让股 权的公 告》</w:t>
            </w:r>
          </w:p>
          <w:p>
            <w:pPr>
              <w:pStyle w:val="TableParagraph"/>
              <w:spacing w:line="302" w:lineRule="auto" w:before="19"/>
              <w:ind w:left="22" w:right="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2017- 029</w:t>
            </w:r>
            <w:r>
              <w:rPr>
                <w:rFonts w:ascii="宋体" w:hAnsi="宋体" w:cs="宋体" w:eastAsia="宋体" w:hint="default"/>
                <w:sz w:val="18"/>
                <w:szCs w:val="18"/>
              </w:rPr>
              <w:t>）</w:t>
            </w: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501,58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4,651.4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1,858,93</w:t>
            </w:r>
          </w:p>
          <w:p>
            <w:pPr>
              <w:pStyle w:val="TableParagraph"/>
              <w:spacing w:line="240" w:lineRule="auto" w:before="105"/>
              <w:ind w:left="346" w:right="0"/>
              <w:jc w:val="left"/>
              <w:rPr>
                <w:rFonts w:ascii="Times New Roman" w:hAnsi="Times New Roman" w:cs="Times New Roman" w:eastAsia="Times New Roman" w:hint="default"/>
                <w:sz w:val="18"/>
                <w:szCs w:val="18"/>
              </w:rPr>
            </w:pPr>
            <w:r>
              <w:rPr>
                <w:rFonts w:ascii="Times New Roman"/>
                <w:sz w:val="18"/>
              </w:rPr>
              <w:t>2.18</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p>
      <w:pPr>
        <w:spacing w:line="780" w:lineRule="exact"/>
        <w:ind w:left="8855"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3pt;height:39pt;mso-position-horizontal-relative:char;mso-position-vertical-relative:line" coordorigin="0,0" coordsize="860,780">
            <v:group style="position:absolute;left:0;top:0;width:860;height:780" coordorigin="0,0" coordsize="860,780">
              <v:shape style="position:absolute;left:0;top:0;width:860;height:780" coordorigin="0,0" coordsize="860,780" path="m0,780l859,780,859,0,0,0,0,780xe" filled="true" fillcolor="#ffffff" stroked="false">
                <v:path arrowok="t"/>
                <v:fill type="solid"/>
              </v:shape>
            </v:group>
          </v:group>
        </w:pict>
      </w:r>
      <w:r>
        <w:rPr>
          <w:rFonts w:ascii="宋体" w:hAnsi="宋体" w:cs="宋体" w:eastAsia="宋体" w:hint="default"/>
          <w:position w:val="-1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0"/>
        <w:ind w:left="0" w:right="1143" w:firstLine="0"/>
        <w:jc w:val="right"/>
        <w:rPr>
          <w:rFonts w:ascii="宋体" w:hAnsi="宋体" w:cs="宋体" w:eastAsia="宋体" w:hint="default"/>
          <w:sz w:val="18"/>
          <w:szCs w:val="18"/>
        </w:rPr>
      </w:pPr>
      <w:r>
        <w:rPr/>
        <w:pict>
          <v:shape style="position:absolute;margin-left:56.459999pt;margin-top:-208.248276pt;width:479pt;height:303.8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962"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5"/>
                          <w:jc w:val="center"/>
                          <w:rPr>
                            <w:rFonts w:ascii="宋体" w:hAnsi="宋体" w:cs="宋体" w:eastAsia="宋体" w:hint="default"/>
                            <w:sz w:val="18"/>
                            <w:szCs w:val="18"/>
                          </w:rPr>
                        </w:pPr>
                        <w:r>
                          <w:rPr>
                            <w:rFonts w:ascii="宋体" w:hAnsi="宋体" w:cs="宋体" w:eastAsia="宋体" w:hint="default"/>
                            <w:sz w:val="18"/>
                            <w:szCs w:val="18"/>
                          </w:rPr>
                          <w:t>定向增发</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95,723.64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2,483.62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53,093.21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31,919.51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31,919.51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45,811.05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购买保本 理财产品 以活期存 款方式存 放于监管 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95,723.64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2,483.62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53,093.21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31,919.51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31,919.51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33.35%</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45,811.05</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2"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1"/>
                          <w:jc w:val="left"/>
                          <w:rPr>
                            <w:rFonts w:ascii="宋体" w:hAnsi="宋体" w:cs="宋体" w:eastAsia="宋体" w:hint="default"/>
                            <w:sz w:val="18"/>
                            <w:szCs w:val="18"/>
                          </w:rPr>
                        </w:pPr>
                        <w:r>
                          <w:rPr>
                            <w:rFonts w:ascii="宋体" w:hAnsi="宋体" w:cs="宋体" w:eastAsia="宋体" w:hint="default"/>
                            <w:spacing w:val="-5"/>
                            <w:sz w:val="18"/>
                            <w:szCs w:val="18"/>
                          </w:rPr>
                          <w:t>经中国证券监督管理委员会证监许可（</w:t>
                        </w:r>
                        <w:r>
                          <w:rPr>
                            <w:rFonts w:ascii="Times New Roman" w:hAnsi="Times New Roman" w:cs="Times New Roman" w:eastAsia="Times New Roman" w:hint="default"/>
                            <w:spacing w:val="-5"/>
                            <w:sz w:val="18"/>
                            <w:szCs w:val="18"/>
                          </w:rPr>
                          <w:t>2015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3136</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号文《关于核准北京中科金财科技股份有限公司非公开发行股票的批复 核准，本公司非公开发行不超过</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25,673,534</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股新股。实际非公开发行</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20,597,584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股股票，每股发行价格为人民币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47.19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971,999,988.96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元，扣除承销费等发行费用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14,763,606.15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元，实际募集资金净额为人民币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957,236,382.81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上述募集资金实收情况已经立信会计师事务所（特殊普通合伙）验证，并出具信会师报字（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210037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号验资报告</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日，公司累计使用募集资金人民币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530,932,076.48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募集资金理财收益、利息收入扣减手续费净额</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31,806,166.51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元。期末购买保本型理财产品余额为人民币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457,000,000.00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元，募集资金余额为人民币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1,110,472.84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bl>
                <w:p>
                  <w:pPr/>
                </w:p>
              </w:txbxContent>
            </v:textbox>
            <w10:wrap type="none"/>
          </v:shape>
        </w:pict>
      </w:r>
      <w:r>
        <w:rPr>
          <w:rFonts w:ascii="宋体" w:hAnsi="宋体" w:cs="宋体" w:eastAsia="宋体" w:hint="default"/>
          <w:sz w:val="18"/>
          <w:szCs w:val="18"/>
        </w:rPr>
        <w:t>》</w:t>
      </w:r>
    </w:p>
    <w:p>
      <w:pPr>
        <w:spacing w:before="75"/>
        <w:ind w:left="0" w:right="1144"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145"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14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3"/>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互联网金融云中心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6,880.49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2,483.62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4,169.57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60.60%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智能银行研发中心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增资安粮期货</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1,132.65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5.6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23,523.64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23,523.64</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23,523.64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待落实募集资金项目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31,919.51</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95,723.64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95,723.64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2,483.62</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53,093.21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1,132.65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无超募资金</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95,723.64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95,723.64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2,483.62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53,093.21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1,132.65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2833"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0" w:lineRule="auto" w:before="51"/>
                          <w:ind w:left="16"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、互联网金融云中心项目原募集资金投资项目互联网金融云中心项目的地址位于天津，公司计划利</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用位于天津滨海高新技术产业开发区的自有土地用作场地建设。项目建设期限为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年，主要包括项</w:t>
                        </w:r>
                      </w:p>
                      <w:p>
                        <w:pPr>
                          <w:pStyle w:val="TableParagraph"/>
                          <w:spacing w:line="240" w:lineRule="auto" w:before="13"/>
                          <w:ind w:left="16" w:right="0"/>
                          <w:jc w:val="left"/>
                          <w:rPr>
                            <w:rFonts w:ascii="宋体" w:hAnsi="宋体" w:cs="宋体" w:eastAsia="宋体" w:hint="default"/>
                            <w:sz w:val="18"/>
                            <w:szCs w:val="18"/>
                          </w:rPr>
                        </w:pPr>
                        <w:r>
                          <w:rPr>
                            <w:rFonts w:ascii="宋体" w:hAnsi="宋体" w:cs="宋体" w:eastAsia="宋体" w:hint="default"/>
                            <w:spacing w:val="-3"/>
                            <w:sz w:val="18"/>
                            <w:szCs w:val="18"/>
                          </w:rPr>
                          <w:t>目土建、项目硬件建设、项目软件开发三大部分内容。该项目原计划投资 </w:t>
                        </w:r>
                        <w:r>
                          <w:rPr>
                            <w:rFonts w:ascii="Times New Roman" w:hAnsi="Times New Roman" w:cs="Times New Roman" w:eastAsia="Times New Roman" w:hint="default"/>
                            <w:sz w:val="18"/>
                            <w:szCs w:val="18"/>
                          </w:rPr>
                          <w:t>38,890.86</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万元，其中拟使</w:t>
                        </w:r>
                      </w:p>
                      <w:p>
                        <w:pPr>
                          <w:pStyle w:val="TableParagraph"/>
                          <w:spacing w:line="312" w:lineRule="auto" w:before="63"/>
                          <w:ind w:left="16" w:right="23"/>
                          <w:jc w:val="left"/>
                          <w:rPr>
                            <w:rFonts w:ascii="宋体" w:hAnsi="宋体" w:cs="宋体" w:eastAsia="宋体" w:hint="default"/>
                            <w:sz w:val="18"/>
                            <w:szCs w:val="18"/>
                          </w:rPr>
                        </w:pPr>
                        <w:r>
                          <w:rPr>
                            <w:rFonts w:ascii="宋体" w:hAnsi="宋体" w:cs="宋体" w:eastAsia="宋体" w:hint="default"/>
                            <w:sz w:val="18"/>
                            <w:szCs w:val="18"/>
                          </w:rPr>
                          <w:t>用募集资金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38,800.00</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万元。随着金融科技、智能银行业态的快速发展，以及受行业政策走向的影响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行业内高端人才越来越多地聚集在北京等一线城市，而公司上述募投项目实施地点位于天津，考虑 到公司总部位于北京，且已经在北京吸引储备了部分人才，继续在天津实施该等募投项目不利于公 司保持较强的高端人才吸引和储备能力，不利于公司充分利用现有的人才、技术等资源，提升资源 的优化配置，从而达到经济效益最大化的效果。基于上述考虑，公司在原互联网金融云中心项目的 基础上对其实施地点及部分建设内容进行调整，变更后的项目实施地点位于北京，利用公司总部的 现有办公地点实施，预计投资总额变更为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6,880.49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万元，全部使用募集资金投入，剩余募集资金将 继续存放于募集资金专户，由保荐机构和银行共同监管，在募集资金投资项目落实前暂不使用。</w:t>
                        </w:r>
                        <w:r>
                          <w:rPr>
                            <w:rFonts w:ascii="Times New Roman" w:hAnsi="Times New Roman" w:cs="Times New Roman" w:eastAsia="Times New Roman" w:hint="default"/>
                            <w:sz w:val="18"/>
                            <w:szCs w:val="18"/>
                          </w:rPr>
                          <w:t>2 </w:t>
                        </w:r>
                        <w:r>
                          <w:rPr>
                            <w:rFonts w:ascii="宋体" w:hAnsi="宋体" w:cs="宋体" w:eastAsia="宋体" w:hint="default"/>
                            <w:sz w:val="18"/>
                            <w:szCs w:val="18"/>
                          </w:rPr>
                          <w:t>智能银行研发中心项目原募集资金投资项目智能银行研发中心项目的建设地址位于天津，公司计划 </w:t>
                        </w:r>
                        <w:r>
                          <w:rPr>
                            <w:rFonts w:ascii="宋体" w:hAnsi="宋体" w:cs="宋体" w:eastAsia="宋体" w:hint="default"/>
                            <w:spacing w:val="-3"/>
                            <w:sz w:val="18"/>
                            <w:szCs w:val="18"/>
                          </w:rPr>
                          <w:t>利用位于天津滨海高新技术产业开发区的自有土地用作研发场地建设。项目规划建筑面积</w:t>
                        </w:r>
                        <w:r>
                          <w:rPr>
                            <w:rFonts w:ascii="宋体" w:hAnsi="宋体" w:cs="宋体" w:eastAsia="宋体" w:hint="default"/>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平方</w:t>
                        </w:r>
                      </w:p>
                      <w:p>
                        <w:pPr>
                          <w:pStyle w:val="TableParagraph"/>
                          <w:spacing w:line="240" w:lineRule="auto" w:before="3"/>
                          <w:ind w:left="16" w:right="0"/>
                          <w:jc w:val="left"/>
                          <w:rPr>
                            <w:rFonts w:ascii="宋体" w:hAnsi="宋体" w:cs="宋体" w:eastAsia="宋体" w:hint="default"/>
                            <w:sz w:val="18"/>
                            <w:szCs w:val="18"/>
                          </w:rPr>
                        </w:pPr>
                        <w:r>
                          <w:rPr>
                            <w:rFonts w:ascii="宋体" w:hAnsi="宋体" w:cs="宋体" w:eastAsia="宋体" w:hint="default"/>
                            <w:sz w:val="18"/>
                            <w:szCs w:val="18"/>
                          </w:rPr>
                          <w:t>米，主要由体验中心与开发中心两部分组成。该项目原计划投资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8,080.05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万元，其中使用募集资金</w:t>
                        </w:r>
                      </w:p>
                      <w:p>
                        <w:pPr>
                          <w:pStyle w:val="TableParagraph"/>
                          <w:spacing w:line="309" w:lineRule="auto" w:before="63"/>
                          <w:ind w:left="16"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万元。考虑到原智能银行研发中心项目对场地建设环境等条件要求较高，暂不适宜在北京 总部立即开展建设，故拟暂停该项目的实施，未来在场地条件允许时将使用自有资金实施，或在履 行必要的决策程序后使用募集资金实施。</w:t>
                        </w:r>
                      </w:p>
                      <w:p>
                        <w:pPr>
                          <w:pStyle w:val="TableParagraph"/>
                          <w:spacing w:line="307" w:lineRule="auto" w:before="64"/>
                          <w:ind w:left="16"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日第四届董事会第七次会议，审议通过了《关于变更募集资金投资项目的议案》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会议同意对原募集资金投资项目的建设地点进行变更，并根据建设地点变更相应地对项目建设内容</w:t>
                        </w:r>
                        <w:r>
                          <w:rPr>
                            <w:rFonts w:ascii="宋体" w:hAnsi="宋体" w:cs="宋体" w:eastAsia="宋体" w:hint="default"/>
                            <w:sz w:val="18"/>
                            <w:szCs w:val="18"/>
                          </w:rPr>
                          <w:t> 进行部分调整。监事会、独立董事及保荐机构均出具了同意的意见。</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10 </w:t>
                        </w:r>
                        <w:r>
                          <w:rPr>
                            <w:rFonts w:ascii="宋体" w:hAnsi="宋体" w:cs="宋体" w:eastAsia="宋体" w:hint="default"/>
                            <w:sz w:val="18"/>
                            <w:szCs w:val="18"/>
                          </w:rPr>
                          <w:t>日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 度股东大会审议并通过了该议案，公司已进行了公告披露。</w:t>
                        </w:r>
                      </w:p>
                    </w:tc>
                  </w:tr>
                  <w:tr>
                    <w:trPr>
                      <w:trHeight w:val="1015"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2834"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公司不存在项目可行性发生重大变化的情况。</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755"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103"/>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0" w:lineRule="auto" w:before="51"/>
                          <w:ind w:left="16"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、互联网金融云中心项目原募集资金投资项目互联网金融云中心项目的地址位于天津，公司计划利</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用位于天津滨海高新技术产业开发区的自有土地用作场地建设。项目建设期限为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年，主要包括项</w:t>
                        </w:r>
                      </w:p>
                      <w:p>
                        <w:pPr>
                          <w:pStyle w:val="TableParagraph"/>
                          <w:spacing w:line="240" w:lineRule="auto" w:before="13"/>
                          <w:ind w:left="16" w:right="0"/>
                          <w:jc w:val="left"/>
                          <w:rPr>
                            <w:rFonts w:ascii="宋体" w:hAnsi="宋体" w:cs="宋体" w:eastAsia="宋体" w:hint="default"/>
                            <w:sz w:val="18"/>
                            <w:szCs w:val="18"/>
                          </w:rPr>
                        </w:pPr>
                        <w:r>
                          <w:rPr>
                            <w:rFonts w:ascii="宋体" w:hAnsi="宋体" w:cs="宋体" w:eastAsia="宋体" w:hint="default"/>
                            <w:spacing w:val="-3"/>
                            <w:sz w:val="18"/>
                            <w:szCs w:val="18"/>
                          </w:rPr>
                          <w:t>目土建、项目硬件建设、项目软件开发三大部分内容。该项目原计划投资 </w:t>
                        </w:r>
                        <w:r>
                          <w:rPr>
                            <w:rFonts w:ascii="Times New Roman" w:hAnsi="Times New Roman" w:cs="Times New Roman" w:eastAsia="Times New Roman" w:hint="default"/>
                            <w:sz w:val="18"/>
                            <w:szCs w:val="18"/>
                          </w:rPr>
                          <w:t>38,890.86</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万元，其中拟使</w:t>
                        </w:r>
                      </w:p>
                      <w:p>
                        <w:pPr>
                          <w:pStyle w:val="TableParagraph"/>
                          <w:spacing w:line="300" w:lineRule="auto" w:before="63"/>
                          <w:ind w:left="16" w:right="23"/>
                          <w:jc w:val="left"/>
                          <w:rPr>
                            <w:rFonts w:ascii="宋体" w:hAnsi="宋体" w:cs="宋体" w:eastAsia="宋体" w:hint="default"/>
                            <w:sz w:val="18"/>
                            <w:szCs w:val="18"/>
                          </w:rPr>
                        </w:pPr>
                        <w:r>
                          <w:rPr>
                            <w:rFonts w:ascii="宋体" w:hAnsi="宋体" w:cs="宋体" w:eastAsia="宋体" w:hint="default"/>
                            <w:sz w:val="18"/>
                            <w:szCs w:val="18"/>
                          </w:rPr>
                          <w:t>用募集资金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38,800.00</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万元。随着金融科技、智能银行业态的快速发展，以及受行业政策走向的影响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行业内高端人才越来越多地聚集在北京等一线城市，而公司上述募投项目实施地点位于天津，考虑</w:t>
                        </w:r>
                      </w:p>
                    </w:tc>
                  </w:tr>
                  <w:tr>
                    <w:trPr>
                      <w:trHeight w:val="85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44"/>
        <w:ind w:left="0" w:right="11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2.7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508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到公司总部位于北京，且已经在北京吸引储备了部分人才，继续在天津实施该等募投项目不利于公 司保持较强的高端人才吸引和储备能力，不利于公司充分利用现有的人才、技术等资源，提升资源 的优化配置，从而达到经济效益最大化的效果。基于上述考虑，公司在原互联网金融云中心项目的 基础上对其实施地点及部分建设内容进行调整，变更后的项目实施地点位于北京，利用公司总部的 现有办公地点实施，预计投资总额变更为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6,880.49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万元，全部使用募集资金投入，剩余募集资金将 继续存放于募集资金专户，由保荐机构和银行共同监管，在募集资金投资项目落实前暂不使用。</w:t>
                        </w:r>
                        <w:r>
                          <w:rPr>
                            <w:rFonts w:ascii="Times New Roman" w:hAnsi="Times New Roman" w:cs="Times New Roman" w:eastAsia="Times New Roman" w:hint="default"/>
                            <w:sz w:val="18"/>
                            <w:szCs w:val="18"/>
                          </w:rPr>
                          <w:t>2 </w:t>
                        </w:r>
                        <w:r>
                          <w:rPr>
                            <w:rFonts w:ascii="宋体" w:hAnsi="宋体" w:cs="宋体" w:eastAsia="宋体" w:hint="default"/>
                            <w:sz w:val="18"/>
                            <w:szCs w:val="18"/>
                          </w:rPr>
                          <w:t>智能银行研发中心项目原募集资金投资项目智能银行研发中心项目的建设地址位于天津，公司计划 </w:t>
                        </w:r>
                        <w:r>
                          <w:rPr>
                            <w:rFonts w:ascii="宋体" w:hAnsi="宋体" w:cs="宋体" w:eastAsia="宋体" w:hint="default"/>
                            <w:spacing w:val="-3"/>
                            <w:sz w:val="18"/>
                            <w:szCs w:val="18"/>
                          </w:rPr>
                          <w:t>利用位于天津滨海高新技术产业开发区的自有土地用作研发场地建设。项目规划建筑面积</w:t>
                        </w:r>
                        <w:r>
                          <w:rPr>
                            <w:rFonts w:ascii="宋体" w:hAnsi="宋体" w:cs="宋体" w:eastAsia="宋体" w:hint="default"/>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平方</w:t>
                        </w:r>
                      </w:p>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米，主要由体验中心与开发中心两部分组成。该项目原计划投资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8,080.05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万元，其中使用募集资金</w:t>
                        </w:r>
                      </w:p>
                      <w:p>
                        <w:pPr>
                          <w:pStyle w:val="TableParagraph"/>
                          <w:spacing w:line="309" w:lineRule="auto" w:before="63"/>
                          <w:ind w:left="22" w:right="25"/>
                          <w:jc w:val="both"/>
                          <w:rPr>
                            <w:rFonts w:ascii="宋体" w:hAnsi="宋体" w:cs="宋体" w:eastAsia="宋体" w:hint="default"/>
                            <w:sz w:val="18"/>
                            <w:szCs w:val="18"/>
                          </w:rPr>
                        </w:pP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万元。考虑到原智能银行研发中心项目对场地建设环境等条件要求较高，暂不适宜在北京 总部立即开展建设，故拟暂停该项目的实施，未来在场地条件允许时将使用自有资金实施，或在履 行必要的决策程序后使用募集资金实施。</w:t>
                        </w:r>
                      </w:p>
                      <w:p>
                        <w:pPr>
                          <w:pStyle w:val="TableParagraph"/>
                          <w:spacing w:line="307" w:lineRule="auto" w:before="64"/>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日第四届董事会第七次会议，审议通过了《关于变更募集资金投资项目的议案》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会议同意对原募集资金投资项目的建设地点进行变更，并根据建设地点变更相应地对项目建设内容</w:t>
                        </w:r>
                        <w:r>
                          <w:rPr>
                            <w:rFonts w:ascii="宋体" w:hAnsi="宋体" w:cs="宋体" w:eastAsia="宋体" w:hint="default"/>
                            <w:sz w:val="18"/>
                            <w:szCs w:val="18"/>
                          </w:rPr>
                          <w:t> 进行部分调整。监事会、独立董事及保荐机构均出具了同意的意见。</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10 </w:t>
                        </w:r>
                        <w:r>
                          <w:rPr>
                            <w:rFonts w:ascii="宋体" w:hAnsi="宋体" w:cs="宋体" w:eastAsia="宋体" w:hint="default"/>
                            <w:sz w:val="18"/>
                            <w:szCs w:val="18"/>
                          </w:rPr>
                          <w:t>日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 度股东大会审议并通过了该议案，公司已进行了公告披露。</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0"/>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668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、互联网金融云中心项目原募集资金投资项目互联网金融云中心项目的地址位于天津，公司计划利</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用位于天津滨海高新技术产业开发区的自有土地用作场地建设。项目建设期限为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年，主要包括项</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pacing w:val="-3"/>
                            <w:sz w:val="18"/>
                            <w:szCs w:val="18"/>
                          </w:rPr>
                          <w:t>目土建、项目硬件建设、项目软件开发三大部分内容。该项目原计划投资 </w:t>
                        </w:r>
                        <w:r>
                          <w:rPr>
                            <w:rFonts w:ascii="Times New Roman" w:hAnsi="Times New Roman" w:cs="Times New Roman" w:eastAsia="Times New Roman" w:hint="default"/>
                            <w:sz w:val="18"/>
                            <w:szCs w:val="18"/>
                          </w:rPr>
                          <w:t>38,890.86</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万元，其中拟使</w:t>
                        </w:r>
                      </w:p>
                      <w:p>
                        <w:pPr>
                          <w:pStyle w:val="TableParagraph"/>
                          <w:spacing w:line="31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用募集资金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38,800.00</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万元。随着金融科技、智能银行业态的快速发展，以及受行业政策走向的影响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行业内高端人才越来越多地聚集在北京等一线城市，而公司上述募投项目实施地点位于天津，考虑 到公司总部位于北京，且已经在北京吸引储备了部分人才，继续在天津实施该等募投项目不利于公 司保持较强的高端人才吸引和储备能力，不利于公司充分利用现有的人才、技术等资源，提升资源 的优化配置，从而达到经济效益最大化的效果。基于上述考虑，公司在原互联网金融云中心项目的 基础上对其实施地点及部分建设内容进行调整，变更后的项目实施地点位于北京，利用公司总部的 现有办公地点实施，预计投资总额变更为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6,880.49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万元，全部使用募集资金投入，剩余募集资金将 继续存放于募集资金专户，由保荐机构和银行共同监管，在募集资金投资项目落实前暂不使用。</w:t>
                        </w:r>
                        <w:r>
                          <w:rPr>
                            <w:rFonts w:ascii="Times New Roman" w:hAnsi="Times New Roman" w:cs="Times New Roman" w:eastAsia="Times New Roman" w:hint="default"/>
                            <w:sz w:val="18"/>
                            <w:szCs w:val="18"/>
                          </w:rPr>
                          <w:t>2 </w:t>
                        </w:r>
                        <w:r>
                          <w:rPr>
                            <w:rFonts w:ascii="宋体" w:hAnsi="宋体" w:cs="宋体" w:eastAsia="宋体" w:hint="default"/>
                            <w:sz w:val="18"/>
                            <w:szCs w:val="18"/>
                          </w:rPr>
                          <w:t>智能银行研发中心项目原募集资金投资项目智能银行研发中心项目的建设地址位于天津，公司计划 </w:t>
                        </w:r>
                        <w:r>
                          <w:rPr>
                            <w:rFonts w:ascii="宋体" w:hAnsi="宋体" w:cs="宋体" w:eastAsia="宋体" w:hint="default"/>
                            <w:spacing w:val="-3"/>
                            <w:sz w:val="18"/>
                            <w:szCs w:val="18"/>
                          </w:rPr>
                          <w:t>利用位于天津滨海高新技术产业开发区的自有土地用作研发场地建设。项目规划建筑面积</w:t>
                        </w:r>
                        <w:r>
                          <w:rPr>
                            <w:rFonts w:ascii="宋体" w:hAnsi="宋体" w:cs="宋体" w:eastAsia="宋体" w:hint="default"/>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平方</w:t>
                        </w:r>
                      </w:p>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米，主要由体验中心与开发中心两部分组成。该项目原计划投资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8,080.05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万元，其中使用募集资金</w:t>
                        </w:r>
                      </w:p>
                      <w:p>
                        <w:pPr>
                          <w:pStyle w:val="TableParagraph"/>
                          <w:spacing w:line="309" w:lineRule="auto" w:before="63"/>
                          <w:ind w:left="22" w:right="25"/>
                          <w:jc w:val="both"/>
                          <w:rPr>
                            <w:rFonts w:ascii="宋体" w:hAnsi="宋体" w:cs="宋体" w:eastAsia="宋体" w:hint="default"/>
                            <w:sz w:val="18"/>
                            <w:szCs w:val="18"/>
                          </w:rPr>
                        </w:pP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万元。考虑到原智能银行研发中心项目对场地建设环境等条件要求较高，暂不适宜在北京 总部立即开展建设，故拟暂停该项目的实施，未来在场地条件允许时将使用自有资金实施，或在履 行必要的决策程序后使用募集资金实施。</w:t>
                        </w:r>
                      </w:p>
                      <w:p>
                        <w:pPr>
                          <w:pStyle w:val="TableParagraph"/>
                          <w:spacing w:line="307" w:lineRule="auto" w:before="62"/>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日第四届董事会第七次会议，审议通过了《关于变更募集资金投资项目的议案》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会议同意对原募集资金投资项目的建设地点进行变更，并根据建设地点变更相应地对项目建设内容</w:t>
                        </w:r>
                        <w:r>
                          <w:rPr>
                            <w:rFonts w:ascii="宋体" w:hAnsi="宋体" w:cs="宋体" w:eastAsia="宋体" w:hint="default"/>
                            <w:sz w:val="18"/>
                            <w:szCs w:val="18"/>
                          </w:rPr>
                          <w:t> 进行部分调整。监事会、独立董事及保荐机构均出具了同意的意见。</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10 </w:t>
                        </w:r>
                        <w:r>
                          <w:rPr>
                            <w:rFonts w:ascii="宋体" w:hAnsi="宋体" w:cs="宋体" w:eastAsia="宋体" w:hint="default"/>
                            <w:sz w:val="18"/>
                            <w:szCs w:val="18"/>
                          </w:rPr>
                          <w:t>日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 度股东大会审议并通过了该议案，公司已进行了公告披露。</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7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年定向增发募集资金到位前，公司利用自筹资金对募集资金项目累计投入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254,000,000.00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元。立信会计师事务所（特殊普通合伙）对公司以自筹资金先期投入募集资金项目进行了审核，并</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44"/>
        <w:ind w:left="0" w:right="11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44"/>
        <w:ind w:left="0" w:right="11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44"/>
        <w:ind w:left="0" w:right="1142" w:firstLine="0"/>
        <w:jc w:val="right"/>
        <w:rPr>
          <w:rFonts w:ascii="宋体" w:hAnsi="宋体" w:cs="宋体" w:eastAsia="宋体" w:hint="default"/>
          <w:sz w:val="18"/>
          <w:szCs w:val="18"/>
        </w:rPr>
      </w:pPr>
      <w:r>
        <w:rPr/>
        <w:pict>
          <v:shape style="position:absolute;margin-left:56.459999pt;margin-top:-30.008268pt;width:479.2pt;height:248.4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1611"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30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出具了《关于北京中科金财科技股份有限公司以募集资金置换预先已投入募集资金项目的自筹资金 </w:t>
                        </w:r>
                        <w:r>
                          <w:rPr>
                            <w:rFonts w:ascii="宋体" w:hAnsi="宋体" w:cs="宋体" w:eastAsia="宋体" w:hint="default"/>
                            <w:spacing w:val="-6"/>
                            <w:sz w:val="18"/>
                            <w:szCs w:val="18"/>
                          </w:rPr>
                          <w:t>的专项审核报告》（信会师报字【</w:t>
                        </w:r>
                        <w:r>
                          <w:rPr>
                            <w:rFonts w:ascii="Times New Roman" w:hAnsi="Times New Roman" w:cs="Times New Roman" w:eastAsia="Times New Roman" w:hint="default"/>
                            <w:spacing w:val="-6"/>
                            <w:sz w:val="18"/>
                            <w:szCs w:val="18"/>
                          </w:rPr>
                          <w:t>2016</w:t>
                        </w:r>
                        <w:r>
                          <w:rPr>
                            <w:rFonts w:ascii="宋体" w:hAnsi="宋体" w:cs="宋体" w:eastAsia="宋体" w:hint="default"/>
                            <w:spacing w:val="-6"/>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210058</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号）；</w:t>
                        </w:r>
                        <w:r>
                          <w:rPr>
                            <w:rFonts w:ascii="Times New Roman" w:hAnsi="Times New Roman" w:cs="Times New Roman" w:eastAsia="Times New Roman" w:hint="default"/>
                            <w:spacing w:val="-15"/>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日，公司第三届董事会第二</w:t>
                        </w:r>
                        <w:r>
                          <w:rPr>
                            <w:rFonts w:ascii="宋体" w:hAnsi="宋体" w:cs="宋体" w:eastAsia="宋体" w:hint="default"/>
                            <w:sz w:val="18"/>
                            <w:szCs w:val="18"/>
                          </w:rPr>
                          <w:t> </w:t>
                        </w:r>
                        <w:r>
                          <w:rPr>
                            <w:rFonts w:ascii="宋体" w:hAnsi="宋体" w:cs="宋体" w:eastAsia="宋体" w:hint="default"/>
                            <w:spacing w:val="-3"/>
                            <w:sz w:val="18"/>
                            <w:szCs w:val="18"/>
                          </w:rPr>
                          <w:t>十次会议及公司第三届监事会第十五次会议审议通过了《关于使用募集资金置换先期投入的议案》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同意以募集资金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25,400.00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万元置换已投入募集资金投资项目的自筹资金；独立董事对以上项目发表</w:t>
                        </w:r>
                        <w:r>
                          <w:rPr>
                            <w:rFonts w:ascii="宋体" w:hAnsi="宋体" w:cs="宋体" w:eastAsia="宋体" w:hint="default"/>
                            <w:sz w:val="18"/>
                            <w:szCs w:val="18"/>
                          </w:rPr>
                          <w:t> 了同意意见、保荐机构发表了同意该项目实施的核查意见，并均已对外公告披露。</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募集资金余额</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458,</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10,472.84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pacing w:val="-2"/>
                            <w:sz w:val="18"/>
                            <w:szCs w:val="18"/>
                          </w:rPr>
                          <w:t>除</w:t>
                        </w:r>
                        <w:r>
                          <w:rPr>
                            <w:rFonts w:ascii="宋体" w:hAnsi="宋体" w:cs="宋体" w:eastAsia="宋体" w:hint="default"/>
                            <w:sz w:val="18"/>
                            <w:szCs w:val="18"/>
                          </w:rPr>
                          <w:t>上述尚未赎回的理财产品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457,000,00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元外，以活期存款方式存放于监管银行金额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1,110,472.84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5"/>
                          <w:jc w:val="left"/>
                          <w:rPr>
                            <w:rFonts w:ascii="宋体" w:hAnsi="宋体" w:cs="宋体" w:eastAsia="宋体" w:hint="default"/>
                            <w:sz w:val="18"/>
                            <w:szCs w:val="18"/>
                          </w:rPr>
                        </w:pPr>
                        <w:r>
                          <w:rPr>
                            <w:rFonts w:ascii="宋体" w:hAnsi="宋体" w:cs="宋体" w:eastAsia="宋体" w:hint="default"/>
                            <w:sz w:val="18"/>
                            <w:szCs w:val="18"/>
                          </w:rPr>
                          <w:t>公司按照相关法律、法规、规范性文件的规定和要求使用募集资金，并对募集资金使用情况及时地 进行了披露，不存在募集资金使用及管理的违规情形。</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44"/>
        <w:ind w:left="0" w:right="1137" w:firstLine="0"/>
        <w:jc w:val="right"/>
        <w:rPr>
          <w:rFonts w:ascii="宋体" w:hAnsi="宋体" w:cs="宋体" w:eastAsia="宋体" w:hint="default"/>
          <w:sz w:val="18"/>
          <w:szCs w:val="18"/>
        </w:rPr>
      </w:pPr>
      <w:r>
        <w:rPr/>
        <w:pict>
          <v:shape style="position:absolute;margin-left:56.459999pt;margin-top:-295.128296pt;width:479.3pt;height:361.7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互联网金融 云中心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互联网金融 云中心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6,880.49</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2,483.62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4,169.57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60.60%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6,880.49</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2,483.62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4,169.57</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770"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、互联网金融云中心项目原募集资金投资项目互联网金融云中心项目的地址位于天 津，公司计划利用位于天津滨海高新技术产业开发区的自有土地用作场地建设。项目 建设期限为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年，主要包括项目土建、项目硬件建设、项目软件开发三大部分内容。</w:t>
                        </w:r>
                      </w:p>
                      <w:p>
                        <w:pPr>
                          <w:pStyle w:val="TableParagraph"/>
                          <w:spacing w:line="314" w:lineRule="auto" w:before="5"/>
                          <w:ind w:left="23" w:right="21"/>
                          <w:jc w:val="left"/>
                          <w:rPr>
                            <w:rFonts w:ascii="宋体" w:hAnsi="宋体" w:cs="宋体" w:eastAsia="宋体" w:hint="default"/>
                            <w:sz w:val="18"/>
                            <w:szCs w:val="18"/>
                          </w:rPr>
                        </w:pPr>
                        <w:r>
                          <w:rPr>
                            <w:rFonts w:ascii="宋体" w:hAnsi="宋体" w:cs="宋体" w:eastAsia="宋体" w:hint="default"/>
                            <w:sz w:val="18"/>
                            <w:szCs w:val="18"/>
                          </w:rPr>
                          <w:t>该项目原计划投资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38,890.86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万元，其中拟使用募集资金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38,800.00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万元。随着金融科 </w:t>
                        </w:r>
                        <w:r>
                          <w:rPr>
                            <w:rFonts w:ascii="宋体" w:hAnsi="宋体" w:cs="宋体" w:eastAsia="宋体" w:hint="default"/>
                            <w:spacing w:val="-1"/>
                            <w:sz w:val="18"/>
                            <w:szCs w:val="18"/>
                          </w:rPr>
                          <w:t>技、智能银行业态的快速发展，以及受行业政策走向的影响，行业内高端人才越来越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多地聚集在北京等一线城市，而公司上述募投项目实施地点位于天津，考虑到公司总</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部位于北京，且已经在北京吸引储备了部分人才，继续在天津实施该等募投项目不利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于公司保持较强的高端人才吸引和储备能力，不利于公司充分利用现有的人才、技术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等资源，提升资源的优化配置，从而达到经济效益最大化的效果。基于上述考虑，公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司在原互联网金融云中心项目的基础上对其实施地点及部分建设内容进行调整，变更</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后的项目实施地点位于北京，利用公司总部的现有办公地点实施，预计投资总额变更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6,880.49</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万元，全部使用募集资金投入，剩余募集资金将继续存放于募集资金专户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由保荐机构和银行共同监管，在募集资金投资项目落实前暂不使用。</w:t>
                        </w:r>
                      </w:p>
                      <w:p>
                        <w:pPr>
                          <w:pStyle w:val="TableParagraph"/>
                          <w:spacing w:line="300" w:lineRule="auto" w:before="60"/>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、智能银行研发中心项目原募集资金投资项目智能银行研发中心项目的建设地址位 </w:t>
                        </w:r>
                        <w:r>
                          <w:rPr>
                            <w:rFonts w:ascii="宋体" w:hAnsi="宋体" w:cs="宋体" w:eastAsia="宋体" w:hint="default"/>
                            <w:spacing w:val="-1"/>
                            <w:sz w:val="18"/>
                            <w:szCs w:val="18"/>
                          </w:rPr>
                          <w:t>于天津，公司计划利用位于天津滨海高新技术产业开发区的自有土地用作研发场地建</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2"/>
        <w:gridCol w:w="6699"/>
      </w:tblGrid>
      <w:tr>
        <w:trPr>
          <w:trHeight w:val="3210"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设。项目规划建筑面积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 </w:t>
            </w:r>
            <w:r>
              <w:rPr>
                <w:rFonts w:ascii="宋体" w:hAnsi="宋体" w:cs="宋体" w:eastAsia="宋体" w:hint="default"/>
                <w:sz w:val="18"/>
                <w:szCs w:val="18"/>
              </w:rPr>
              <w:t>平方米，主要由体验中心与开发中心两部分组成。该项</w:t>
            </w:r>
          </w:p>
          <w:p>
            <w:pPr>
              <w:pStyle w:val="TableParagraph"/>
              <w:spacing w:line="312" w:lineRule="auto" w:before="63"/>
              <w:ind w:left="23" w:right="22"/>
              <w:jc w:val="both"/>
              <w:rPr>
                <w:rFonts w:ascii="宋体" w:hAnsi="宋体" w:cs="宋体" w:eastAsia="宋体" w:hint="default"/>
                <w:sz w:val="18"/>
                <w:szCs w:val="18"/>
              </w:rPr>
            </w:pPr>
            <w:r>
              <w:rPr>
                <w:rFonts w:ascii="宋体" w:hAnsi="宋体" w:cs="宋体" w:eastAsia="宋体" w:hint="default"/>
                <w:sz w:val="18"/>
                <w:szCs w:val="18"/>
              </w:rPr>
              <w:t>目原计划投资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8,080.05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万元，其中使用募集资金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万元。考虑到原智能银行研 </w:t>
            </w:r>
            <w:r>
              <w:rPr>
                <w:rFonts w:ascii="宋体" w:hAnsi="宋体" w:cs="宋体" w:eastAsia="宋体" w:hint="default"/>
                <w:spacing w:val="-1"/>
                <w:sz w:val="18"/>
                <w:szCs w:val="18"/>
              </w:rPr>
              <w:t>发中心项目对场地建设环境等条件要求较高，暂不适宜在北京总部立即开展建设，故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拟暂停该项目的实施，未来在场地条件允许时将使用自有资金实施，或在履行必要的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决策程序后使用募集资金实施。</w:t>
            </w:r>
          </w:p>
          <w:p>
            <w:pPr>
              <w:pStyle w:val="TableParagraph"/>
              <w:spacing w:line="309" w:lineRule="auto" w:before="62"/>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日第四届董事会第七次会议，审议通过了《关于变更募集资金投资 </w:t>
            </w:r>
            <w:r>
              <w:rPr>
                <w:rFonts w:ascii="宋体" w:hAnsi="宋体" w:cs="宋体" w:eastAsia="宋体" w:hint="default"/>
                <w:spacing w:val="-3"/>
                <w:sz w:val="18"/>
                <w:szCs w:val="18"/>
              </w:rPr>
              <w:t>项目的议案》，会议同意对原募集资金投资项目的建设地点进行变更，并根据建设地</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点变更相应地对项目建设内容进行部分调整。监事会、独立董事及保荐机构均出具了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同意的意见。</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10 </w:t>
            </w:r>
            <w:r>
              <w:rPr>
                <w:rFonts w:ascii="宋体" w:hAnsi="宋体" w:cs="宋体" w:eastAsia="宋体" w:hint="default"/>
                <w:sz w:val="18"/>
                <w:szCs w:val="18"/>
              </w:rPr>
              <w:t>日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年度股东大会审议并通过了该议案，公司已 进行了公告披露。</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公司不存在未达到计划进度或预期收益的情况。</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公司不存在项目可行性发生重大变化的情况。</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3"/>
        <w:rPr>
          <w:rFonts w:ascii="宋体" w:hAnsi="宋体" w:cs="宋体" w:eastAsia="宋体" w:hint="default"/>
          <w:sz w:val="20"/>
          <w:szCs w:val="20"/>
        </w:rPr>
      </w:pPr>
    </w:p>
    <w:p>
      <w:pPr>
        <w:pStyle w:val="Heading3"/>
        <w:spacing w:line="240" w:lineRule="auto"/>
        <w:ind w:left="153"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r>
        <w:rPr/>
        <w:pict>
          <v:shape style="position:absolute;margin-left:197.537003pt;margin-top:690.880005pt;width:75.95pt;height:77.1pt;mso-position-horizontal-relative:page;mso-position-vertical-relative:page;z-index:-1132624" type="#_x0000_t202" filled="false" stroked="false">
            <v:textbox inset="0,0,0,0">
              <w:txbxContent>
                <w:p>
                  <w:pPr>
                    <w:spacing w:line="22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转让；</w:t>
                  </w:r>
                </w:p>
              </w:txbxContent>
            </v:textbox>
            <w10:wrap type="none"/>
          </v:shape>
        </w:pict>
      </w:r>
      <w:r>
        <w:rPr/>
        <w:pict>
          <v:group style="position:absolute;margin-left:221.720001pt;margin-top:690.880005pt;width:51.75pt;height:77.1pt;mso-position-horizontal-relative:page;mso-position-vertical-relative:page;z-index:-1132600" coordorigin="4434,13818" coordsize="1035,1542">
            <v:shape style="position:absolute;left:4434;top:13818;width:1035;height:1542" coordorigin="4434,13818" coordsize="1035,1542" path="m4434,15359l5469,15359,5469,13818,4434,13818,4434,15359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4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天津滨河创 新科技有限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软件、电子 信息、工业 装备与自动 化系统技术 及产品的开 发、咨询、 服务、 电子产品、 通讯设备、 计算机、软 件及辅助设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z w:val="18"/>
              </w:rPr>
              <w:t>50,083,700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328,437,758.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322,351,188.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59,815,455.6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23,488,490.2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23,771,384.9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298"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备、计算机 配件、金融 机具及配件 等</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大连金融资 产交易所有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各类金融资 产交易及相 关服务等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120,336,941.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71,179,724.2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11,109,271.1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-42,801,149.</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-42,900,771.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深圳中金财富互联网金融服务有限公司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进一步完善了公司在金融科技领域的业 务布局</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霍尔果斯金财科技服务有限公司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扩展公司经营业务</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华缔资产管理（北京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进一步完善了公司在金融科技领域的业 务布局</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霍尔果斯滨河创新软件技术有限公司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扩展公司经营业务</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中科金财保险经纪有限公司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进一步完善了公司在金融科技领域的业 务布局</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香港中科金财科技有限公司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扩展公司经营业务</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天津滨河顺通科技有限公司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对公司整体生产经营和业绩无影响</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8"/>
        <w:rPr>
          <w:rFonts w:ascii="宋体" w:hAnsi="宋体" w:cs="宋体" w:eastAsia="宋体" w:hint="default"/>
          <w:sz w:val="13"/>
          <w:szCs w:val="13"/>
        </w:rPr>
      </w:pPr>
    </w:p>
    <w:p>
      <w:pPr>
        <w:pStyle w:val="BodyText"/>
        <w:spacing w:line="410" w:lineRule="auto" w:before="0"/>
        <w:ind w:right="1130" w:firstLine="426"/>
        <w:jc w:val="both"/>
      </w:pPr>
      <w:r>
        <w:rPr/>
        <w:t>滨河创新</w:t>
      </w:r>
      <w:r>
        <w:rPr>
          <w:rFonts w:ascii="Times New Roman" w:hAnsi="Times New Roman" w:cs="Times New Roman" w:eastAsia="Times New Roman" w:hint="default"/>
        </w:rPr>
        <w:t>2017</w:t>
      </w:r>
      <w:r>
        <w:rPr/>
        <w:t>年度实现净利润为</w:t>
      </w:r>
      <w:r>
        <w:rPr>
          <w:rFonts w:ascii="Times New Roman" w:hAnsi="Times New Roman" w:cs="Times New Roman" w:eastAsia="Times New Roman" w:hint="default"/>
        </w:rPr>
        <w:t>23,771,384.93</w:t>
      </w:r>
      <w:r>
        <w:rPr/>
        <w:t>元，与预期净利润存在差异。根据《企业会计准则》和公司</w:t>
      </w:r>
      <w:r>
        <w:rPr>
          <w:w w:val="100"/>
        </w:rPr>
        <w:t> </w:t>
      </w:r>
      <w:r>
        <w:rPr/>
        <w:t>的会计政策，公司需要在报告期末对商誉进行减值测试。按照谨慎性原则，结合实际情况，公司聘请了中联资</w:t>
      </w:r>
      <w:r>
        <w:rPr>
          <w:w w:val="100"/>
        </w:rPr>
        <w:t> </w:t>
      </w:r>
      <w:r>
        <w:rPr/>
        <w:t>产评估集团有限公司对截至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日滨河创新资产组进行了专项评估，</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日滨河创新资产组</w:t>
      </w:r>
      <w:r>
        <w:rPr>
          <w:w w:val="100"/>
        </w:rPr>
        <w:t> </w:t>
      </w:r>
      <w:r>
        <w:rPr>
          <w:spacing w:val="-1"/>
        </w:rPr>
        <w:t>的可回收金额为</w:t>
      </w:r>
      <w:r>
        <w:rPr>
          <w:rFonts w:ascii="Times New Roman" w:hAnsi="Times New Roman" w:cs="Times New Roman" w:eastAsia="Times New Roman" w:hint="default"/>
          <w:spacing w:val="-1"/>
        </w:rPr>
        <w:t>650,060,650.00</w:t>
      </w:r>
      <w:r>
        <w:rPr>
          <w:spacing w:val="-1"/>
        </w:rPr>
        <w:t>元。因此，通过商誉减值测试，公司本次对滨河创新资产组商誉计提减值准备为</w:t>
      </w:r>
      <w:r>
        <w:rPr>
          <w:spacing w:val="-68"/>
        </w:rPr>
        <w:t> </w:t>
      </w:r>
      <w:r>
        <w:rPr>
          <w:spacing w:val="-68"/>
        </w:rPr>
      </w:r>
      <w:r>
        <w:rPr>
          <w:rFonts w:ascii="Times New Roman" w:hAnsi="Times New Roman" w:cs="Times New Roman" w:eastAsia="Times New Roman" w:hint="default"/>
        </w:rPr>
        <w:t>299,814,889.25</w:t>
      </w:r>
      <w:r>
        <w:rPr/>
        <w:t>元。</w:t>
      </w:r>
    </w:p>
    <w:p>
      <w:pPr>
        <w:pStyle w:val="BodyText"/>
        <w:spacing w:line="405" w:lineRule="auto" w:before="34"/>
        <w:ind w:right="1130" w:firstLine="426"/>
        <w:jc w:val="both"/>
      </w:pPr>
      <w:r>
        <w:rPr>
          <w:spacing w:val="-1"/>
        </w:rPr>
        <w:t>大金所</w:t>
      </w:r>
      <w:r>
        <w:rPr>
          <w:rFonts w:ascii="Times New Roman" w:hAnsi="Times New Roman" w:cs="Times New Roman" w:eastAsia="Times New Roman" w:hint="default"/>
          <w:spacing w:val="-1"/>
        </w:rPr>
        <w:t>2017</w:t>
      </w:r>
      <w:r>
        <w:rPr>
          <w:spacing w:val="-1"/>
        </w:rPr>
        <w:t>年度实现净利润为</w:t>
      </w:r>
      <w:r>
        <w:rPr>
          <w:rFonts w:ascii="Times New Roman" w:hAnsi="Times New Roman" w:cs="Times New Roman" w:eastAsia="Times New Roman" w:hint="default"/>
          <w:spacing w:val="-1"/>
        </w:rPr>
        <w:t>-42,900,771.77</w:t>
      </w:r>
      <w:r>
        <w:rPr>
          <w:spacing w:val="-1"/>
        </w:rPr>
        <w:t>元。根据《企业会计准则》和公司的会计政策，按照谨慎性原</w:t>
      </w:r>
      <w:r>
        <w:rPr>
          <w:w w:val="100"/>
        </w:rPr>
        <w:t> </w:t>
      </w:r>
      <w:r>
        <w:rPr/>
        <w:t>则，结合实际情况，公司本次对大金所资产组商誉计提减值准备为</w:t>
      </w:r>
      <w:r>
        <w:rPr>
          <w:rFonts w:ascii="Times New Roman" w:hAnsi="Times New Roman" w:cs="Times New Roman" w:eastAsia="Times New Roman" w:hint="default"/>
        </w:rPr>
        <w:t>72,959,752.01</w:t>
      </w:r>
      <w:r>
        <w:rPr/>
        <w:t>元。</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85"/>
        <w:ind w:right="0"/>
        <w:jc w:val="left"/>
      </w:pPr>
      <w:r>
        <w:rPr>
          <w:rFonts w:ascii="Times New Roman" w:hAnsi="Times New Roman" w:cs="Times New Roman" w:eastAsia="Times New Roman" w:hint="default"/>
          <w:spacing w:val="-1"/>
        </w:rPr>
        <w:t>2017</w:t>
      </w:r>
      <w:r>
        <w:rPr>
          <w:spacing w:val="-1"/>
        </w:rPr>
        <w:t>年纳入合并范围的结构化主体明细如下：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55" w:space="4036"/>
            <w:col w:w="2739"/>
          </w:cols>
        </w:sectPr>
      </w:pPr>
    </w:p>
    <w:p>
      <w:pPr>
        <w:spacing w:line="240" w:lineRule="auto" w:before="0"/>
        <w:rPr>
          <w:rFonts w:ascii="宋体" w:hAnsi="宋体" w:cs="宋体" w:eastAsia="宋体" w:hint="default"/>
          <w:sz w:val="5"/>
          <w:szCs w:val="5"/>
        </w:rPr>
      </w:pPr>
    </w:p>
    <w:tbl>
      <w:tblPr>
        <w:tblW w:w="0" w:type="auto"/>
        <w:jc w:val="left"/>
        <w:tblInd w:w="522" w:type="dxa"/>
        <w:tblLayout w:type="fixed"/>
        <w:tblCellMar>
          <w:top w:w="0" w:type="dxa"/>
          <w:left w:w="0" w:type="dxa"/>
          <w:bottom w:w="0" w:type="dxa"/>
          <w:right w:w="0" w:type="dxa"/>
        </w:tblCellMar>
        <w:tblLook w:val="01E0"/>
      </w:tblPr>
      <w:tblGrid>
        <w:gridCol w:w="2127"/>
        <w:gridCol w:w="1985"/>
        <w:gridCol w:w="1019"/>
        <w:gridCol w:w="1016"/>
        <w:gridCol w:w="1367"/>
        <w:gridCol w:w="1378"/>
      </w:tblGrid>
      <w:tr>
        <w:trPr>
          <w:trHeight w:val="6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持有信托产品子公司名称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信托产品名称</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信托公司</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22" w:right="53" w:hanging="270"/>
              <w:jc w:val="left"/>
              <w:rPr>
                <w:rFonts w:ascii="宋体" w:hAnsi="宋体" w:cs="宋体" w:eastAsia="宋体" w:hint="default"/>
                <w:sz w:val="18"/>
                <w:szCs w:val="18"/>
              </w:rPr>
            </w:pPr>
            <w:r>
              <w:rPr>
                <w:rFonts w:ascii="宋体" w:hAnsi="宋体" w:cs="宋体" w:eastAsia="宋体" w:hint="default"/>
                <w:sz w:val="18"/>
                <w:szCs w:val="18"/>
              </w:rPr>
              <w:t>信托产品存 续期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2017.12.31</w:t>
            </w:r>
          </w:p>
          <w:p>
            <w:pPr>
              <w:pStyle w:val="TableParagraph"/>
              <w:spacing w:line="240" w:lineRule="auto" w:before="63"/>
              <w:ind w:left="139" w:right="0"/>
              <w:jc w:val="left"/>
              <w:rPr>
                <w:rFonts w:ascii="宋体" w:hAnsi="宋体" w:cs="宋体" w:eastAsia="宋体" w:hint="default"/>
                <w:sz w:val="18"/>
                <w:szCs w:val="18"/>
              </w:rPr>
            </w:pPr>
            <w:r>
              <w:rPr>
                <w:rFonts w:ascii="宋体" w:hAnsi="宋体" w:cs="宋体" w:eastAsia="宋体" w:hint="default"/>
                <w:sz w:val="18"/>
                <w:szCs w:val="18"/>
              </w:rPr>
              <w:t>信托贷款余额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3" w:right="0"/>
              <w:jc w:val="left"/>
              <w:rPr>
                <w:rFonts w:ascii="宋体" w:hAnsi="宋体" w:cs="宋体" w:eastAsia="宋体" w:hint="default"/>
                <w:sz w:val="18"/>
                <w:szCs w:val="18"/>
              </w:rPr>
            </w:pPr>
            <w:r>
              <w:rPr>
                <w:rFonts w:ascii="宋体" w:hAnsi="宋体" w:cs="宋体" w:eastAsia="宋体" w:hint="default"/>
                <w:sz w:val="18"/>
                <w:szCs w:val="18"/>
              </w:rPr>
              <w:t>优先级金额</w:t>
            </w:r>
          </w:p>
        </w:tc>
      </w:tr>
      <w:tr>
        <w:trPr>
          <w:trHeight w:val="34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pacing w:val="-5"/>
                <w:sz w:val="18"/>
                <w:szCs w:val="18"/>
              </w:rPr>
              <w:t>华缔资产管理（北京）有限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1"/>
              <w:jc w:val="center"/>
              <w:rPr>
                <w:rFonts w:ascii="宋体" w:hAnsi="宋体" w:cs="宋体" w:eastAsia="宋体" w:hint="default"/>
                <w:sz w:val="18"/>
                <w:szCs w:val="18"/>
              </w:rPr>
            </w:pPr>
            <w:r>
              <w:rPr>
                <w:rFonts w:ascii="宋体" w:hAnsi="宋体" w:cs="宋体" w:eastAsia="宋体" w:hint="default"/>
                <w:sz w:val="18"/>
                <w:szCs w:val="18"/>
              </w:rPr>
              <w:t>西藏信托</w:t>
            </w:r>
            <w:r>
              <w:rPr>
                <w:rFonts w:ascii="Times New Roman" w:hAnsi="Times New Roman" w:cs="Times New Roman" w:eastAsia="Times New Roman" w:hint="default"/>
                <w:sz w:val="18"/>
                <w:szCs w:val="18"/>
              </w:rPr>
              <w:t>-</w:t>
            </w:r>
            <w:r>
              <w:rPr>
                <w:rFonts w:ascii="宋体" w:hAnsi="宋体" w:cs="宋体" w:eastAsia="宋体" w:hint="default"/>
                <w:sz w:val="18"/>
                <w:szCs w:val="18"/>
              </w:rPr>
              <w:t>乐家</w:t>
            </w:r>
            <w:r>
              <w:rPr>
                <w:rFonts w:ascii="Times New Roman" w:hAnsi="Times New Roman" w:cs="Times New Roman" w:eastAsia="Times New Roman" w:hint="default"/>
                <w:sz w:val="18"/>
                <w:szCs w:val="18"/>
              </w:rPr>
              <w:t>1</w:t>
            </w:r>
            <w:r>
              <w:rPr>
                <w:rFonts w:ascii="宋体" w:hAnsi="宋体" w:cs="宋体" w:eastAsia="宋体" w:hint="default"/>
                <w:sz w:val="18"/>
                <w:szCs w:val="18"/>
              </w:rPr>
              <w:t>号单一资</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西藏信托有限</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522" w:type="dxa"/>
        <w:tblLayout w:type="fixed"/>
        <w:tblCellMar>
          <w:top w:w="0" w:type="dxa"/>
          <w:left w:w="0" w:type="dxa"/>
          <w:bottom w:w="0" w:type="dxa"/>
          <w:right w:w="0" w:type="dxa"/>
        </w:tblCellMar>
        <w:tblLook w:val="01E0"/>
      </w:tblPr>
      <w:tblGrid>
        <w:gridCol w:w="2127"/>
        <w:gridCol w:w="1985"/>
        <w:gridCol w:w="1019"/>
        <w:gridCol w:w="1016"/>
        <w:gridCol w:w="1367"/>
        <w:gridCol w:w="1378"/>
      </w:tblGrid>
      <w:tr>
        <w:trPr>
          <w:trHeight w:val="3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金信托</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公司</w:t>
            </w:r>
          </w:p>
        </w:tc>
        <w:tc>
          <w:tcPr>
            <w:tcW w:w="10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431,616,400.00</w:t>
            </w: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3"/>
              <w:jc w:val="left"/>
              <w:rPr>
                <w:rFonts w:ascii="宋体" w:hAnsi="宋体" w:cs="宋体" w:eastAsia="宋体" w:hint="default"/>
                <w:sz w:val="18"/>
                <w:szCs w:val="18"/>
              </w:rPr>
            </w:pPr>
            <w:r>
              <w:rPr>
                <w:rFonts w:ascii="宋体" w:hAnsi="宋体" w:cs="宋体" w:eastAsia="宋体" w:hint="default"/>
                <w:spacing w:val="-5"/>
                <w:sz w:val="18"/>
                <w:szCs w:val="18"/>
              </w:rPr>
              <w:t>华缔资产管理（北京）有限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6" w:right="17"/>
              <w:jc w:val="left"/>
              <w:rPr>
                <w:rFonts w:ascii="宋体" w:hAnsi="宋体" w:cs="宋体" w:eastAsia="宋体" w:hint="default"/>
                <w:sz w:val="18"/>
                <w:szCs w:val="18"/>
              </w:rPr>
            </w:pPr>
            <w:r>
              <w:rPr>
                <w:rFonts w:ascii="宋体" w:hAnsi="宋体" w:cs="宋体" w:eastAsia="宋体" w:hint="default"/>
                <w:sz w:val="18"/>
                <w:szCs w:val="18"/>
              </w:rPr>
              <w:t>西藏信托</w:t>
            </w:r>
            <w:r>
              <w:rPr>
                <w:rFonts w:ascii="Times New Roman" w:hAnsi="Times New Roman" w:cs="Times New Roman" w:eastAsia="Times New Roman" w:hint="default"/>
                <w:sz w:val="18"/>
                <w:szCs w:val="18"/>
              </w:rPr>
              <w:t>-</w:t>
            </w:r>
            <w:r>
              <w:rPr>
                <w:rFonts w:ascii="宋体" w:hAnsi="宋体" w:cs="宋体" w:eastAsia="宋体" w:hint="default"/>
                <w:sz w:val="18"/>
                <w:szCs w:val="18"/>
              </w:rPr>
              <w:t>乐家</w:t>
            </w:r>
            <w:r>
              <w:rPr>
                <w:rFonts w:ascii="Times New Roman" w:hAnsi="Times New Roman" w:cs="Times New Roman" w:eastAsia="Times New Roman" w:hint="default"/>
                <w:sz w:val="18"/>
                <w:szCs w:val="18"/>
              </w:rPr>
              <w:t>2</w:t>
            </w:r>
            <w:r>
              <w:rPr>
                <w:rFonts w:ascii="宋体" w:hAnsi="宋体" w:cs="宋体" w:eastAsia="宋体" w:hint="default"/>
                <w:sz w:val="18"/>
                <w:szCs w:val="18"/>
              </w:rPr>
              <w:t>号单一资 金信托</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4"/>
              <w:ind w:left="353" w:right="53" w:hanging="300"/>
              <w:jc w:val="left"/>
              <w:rPr>
                <w:rFonts w:ascii="宋体" w:hAnsi="宋体" w:cs="宋体" w:eastAsia="宋体" w:hint="default"/>
                <w:sz w:val="15"/>
                <w:szCs w:val="15"/>
              </w:rPr>
            </w:pPr>
            <w:r>
              <w:rPr>
                <w:rFonts w:ascii="宋体" w:hAnsi="宋体" w:cs="宋体" w:eastAsia="宋体" w:hint="default"/>
                <w:sz w:val="15"/>
                <w:szCs w:val="15"/>
              </w:rPr>
              <w:t>西藏信托有限 公司</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3"/>
              <w:jc w:val="right"/>
              <w:rPr>
                <w:rFonts w:ascii="Times New Roman" w:hAnsi="Times New Roman" w:cs="Times New Roman" w:eastAsia="Times New Roman" w:hint="default"/>
                <w:sz w:val="18"/>
                <w:szCs w:val="18"/>
              </w:rPr>
            </w:pPr>
            <w:r>
              <w:rPr>
                <w:rFonts w:ascii="Times New Roman"/>
                <w:spacing w:val="-1"/>
                <w:sz w:val="18"/>
              </w:rPr>
              <w:t>261,180,000.00</w:t>
            </w: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3"/>
              <w:jc w:val="left"/>
              <w:rPr>
                <w:rFonts w:ascii="宋体" w:hAnsi="宋体" w:cs="宋体" w:eastAsia="宋体" w:hint="default"/>
                <w:sz w:val="18"/>
                <w:szCs w:val="18"/>
              </w:rPr>
            </w:pPr>
            <w:r>
              <w:rPr>
                <w:rFonts w:ascii="宋体" w:hAnsi="宋体" w:cs="宋体" w:eastAsia="宋体" w:hint="default"/>
                <w:spacing w:val="-5"/>
                <w:sz w:val="18"/>
                <w:szCs w:val="18"/>
              </w:rPr>
              <w:t>华缔资产管理（北京）有限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6" w:right="17"/>
              <w:jc w:val="left"/>
              <w:rPr>
                <w:rFonts w:ascii="宋体" w:hAnsi="宋体" w:cs="宋体" w:eastAsia="宋体" w:hint="default"/>
                <w:sz w:val="18"/>
                <w:szCs w:val="18"/>
              </w:rPr>
            </w:pPr>
            <w:r>
              <w:rPr>
                <w:rFonts w:ascii="宋体" w:hAnsi="宋体" w:cs="宋体" w:eastAsia="宋体" w:hint="default"/>
                <w:sz w:val="18"/>
                <w:szCs w:val="18"/>
              </w:rPr>
              <w:t>西藏信托</w:t>
            </w:r>
            <w:r>
              <w:rPr>
                <w:rFonts w:ascii="Times New Roman" w:hAnsi="Times New Roman" w:cs="Times New Roman" w:eastAsia="Times New Roman" w:hint="default"/>
                <w:sz w:val="18"/>
                <w:szCs w:val="18"/>
              </w:rPr>
              <w:t>-</w:t>
            </w:r>
            <w:r>
              <w:rPr>
                <w:rFonts w:ascii="宋体" w:hAnsi="宋体" w:cs="宋体" w:eastAsia="宋体" w:hint="default"/>
                <w:sz w:val="18"/>
                <w:szCs w:val="18"/>
              </w:rPr>
              <w:t>宜家</w:t>
            </w:r>
            <w:r>
              <w:rPr>
                <w:rFonts w:ascii="Times New Roman" w:hAnsi="Times New Roman" w:cs="Times New Roman" w:eastAsia="Times New Roman" w:hint="default"/>
                <w:sz w:val="18"/>
                <w:szCs w:val="18"/>
              </w:rPr>
              <w:t>1</w:t>
            </w:r>
            <w:r>
              <w:rPr>
                <w:rFonts w:ascii="宋体" w:hAnsi="宋体" w:cs="宋体" w:eastAsia="宋体" w:hint="default"/>
                <w:sz w:val="18"/>
                <w:szCs w:val="18"/>
              </w:rPr>
              <w:t>号集合资 金信托计划</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4"/>
              <w:ind w:left="353" w:right="53" w:hanging="300"/>
              <w:jc w:val="left"/>
              <w:rPr>
                <w:rFonts w:ascii="宋体" w:hAnsi="宋体" w:cs="宋体" w:eastAsia="宋体" w:hint="default"/>
                <w:sz w:val="15"/>
                <w:szCs w:val="15"/>
              </w:rPr>
            </w:pPr>
            <w:r>
              <w:rPr>
                <w:rFonts w:ascii="宋体" w:hAnsi="宋体" w:cs="宋体" w:eastAsia="宋体" w:hint="default"/>
                <w:sz w:val="15"/>
                <w:szCs w:val="15"/>
              </w:rPr>
              <w:t>西藏信托有限 公司</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3"/>
              <w:jc w:val="right"/>
              <w:rPr>
                <w:rFonts w:ascii="Times New Roman" w:hAnsi="Times New Roman" w:cs="Times New Roman" w:eastAsia="Times New Roman" w:hint="default"/>
                <w:sz w:val="18"/>
                <w:szCs w:val="18"/>
              </w:rPr>
            </w:pPr>
            <w:r>
              <w:rPr>
                <w:rFonts w:ascii="Times New Roman"/>
                <w:spacing w:val="-1"/>
                <w:sz w:val="18"/>
              </w:rPr>
              <w:t>218,010,000.00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3"/>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6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3"/>
              <w:jc w:val="left"/>
              <w:rPr>
                <w:rFonts w:ascii="宋体" w:hAnsi="宋体" w:cs="宋体" w:eastAsia="宋体" w:hint="default"/>
                <w:sz w:val="18"/>
                <w:szCs w:val="18"/>
              </w:rPr>
            </w:pPr>
            <w:r>
              <w:rPr>
                <w:rFonts w:ascii="宋体" w:hAnsi="宋体" w:cs="宋体" w:eastAsia="宋体" w:hint="default"/>
                <w:spacing w:val="-5"/>
                <w:sz w:val="18"/>
                <w:szCs w:val="18"/>
              </w:rPr>
              <w:t>华缔资产管理（北京）有限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6" w:right="107"/>
              <w:jc w:val="left"/>
              <w:rPr>
                <w:rFonts w:ascii="宋体" w:hAnsi="宋体" w:cs="宋体" w:eastAsia="宋体" w:hint="default"/>
                <w:sz w:val="18"/>
                <w:szCs w:val="18"/>
              </w:rPr>
            </w:pPr>
            <w:r>
              <w:rPr>
                <w:rFonts w:ascii="宋体" w:hAnsi="宋体" w:cs="宋体" w:eastAsia="宋体" w:hint="default"/>
                <w:sz w:val="18"/>
                <w:szCs w:val="18"/>
              </w:rPr>
              <w:t>四川信托</w:t>
            </w:r>
            <w:r>
              <w:rPr>
                <w:rFonts w:ascii="Times New Roman" w:hAnsi="Times New Roman" w:cs="Times New Roman" w:eastAsia="Times New Roman" w:hint="default"/>
                <w:sz w:val="18"/>
                <w:szCs w:val="18"/>
              </w:rPr>
              <w:t>-</w:t>
            </w:r>
            <w:r>
              <w:rPr>
                <w:rFonts w:ascii="宋体" w:hAnsi="宋体" w:cs="宋体" w:eastAsia="宋体" w:hint="default"/>
                <w:sz w:val="18"/>
                <w:szCs w:val="18"/>
              </w:rPr>
              <w:t>融科伟业单一 信托</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4"/>
              <w:ind w:left="353" w:right="53" w:hanging="300"/>
              <w:jc w:val="left"/>
              <w:rPr>
                <w:rFonts w:ascii="宋体" w:hAnsi="宋体" w:cs="宋体" w:eastAsia="宋体" w:hint="default"/>
                <w:sz w:val="15"/>
                <w:szCs w:val="15"/>
              </w:rPr>
            </w:pPr>
            <w:r>
              <w:rPr>
                <w:rFonts w:ascii="宋体" w:hAnsi="宋体" w:cs="宋体" w:eastAsia="宋体" w:hint="default"/>
                <w:sz w:val="15"/>
                <w:szCs w:val="15"/>
              </w:rPr>
              <w:t>四川信托有限 公司</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3"/>
              <w:jc w:val="right"/>
              <w:rPr>
                <w:rFonts w:ascii="Times New Roman" w:hAnsi="Times New Roman" w:cs="Times New Roman" w:eastAsia="Times New Roman" w:hint="default"/>
                <w:sz w:val="18"/>
                <w:szCs w:val="18"/>
              </w:rPr>
            </w:pPr>
            <w:r>
              <w:rPr>
                <w:rFonts w:ascii="Times New Roman"/>
                <w:spacing w:val="-1"/>
                <w:sz w:val="18"/>
              </w:rPr>
              <w:t>300,000,000.00</w:t>
            </w: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pacing w:val="10"/>
                <w:sz w:val="18"/>
                <w:szCs w:val="18"/>
              </w:rPr>
              <w:t>深圳中金财富互联网金融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服务有限公司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6" w:right="107"/>
              <w:jc w:val="left"/>
              <w:rPr>
                <w:rFonts w:ascii="宋体" w:hAnsi="宋体" w:cs="宋体" w:eastAsia="宋体" w:hint="default"/>
                <w:sz w:val="18"/>
                <w:szCs w:val="18"/>
              </w:rPr>
            </w:pPr>
            <w:r>
              <w:rPr>
                <w:rFonts w:ascii="宋体" w:hAnsi="宋体" w:cs="宋体" w:eastAsia="宋体" w:hint="default"/>
                <w:sz w:val="18"/>
                <w:szCs w:val="18"/>
              </w:rPr>
              <w:t>渤海信托</w:t>
            </w:r>
            <w:r>
              <w:rPr>
                <w:rFonts w:ascii="Times New Roman" w:hAnsi="Times New Roman" w:cs="Times New Roman" w:eastAsia="Times New Roman" w:hint="default"/>
                <w:sz w:val="18"/>
                <w:szCs w:val="18"/>
              </w:rPr>
              <w:t>-</w:t>
            </w:r>
            <w:r>
              <w:rPr>
                <w:rFonts w:ascii="宋体" w:hAnsi="宋体" w:cs="宋体" w:eastAsia="宋体" w:hint="default"/>
                <w:sz w:val="18"/>
                <w:szCs w:val="18"/>
              </w:rPr>
              <w:t>房产抵押贷款 项目单一资金信托</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4"/>
              <w:ind w:left="53" w:right="53"/>
              <w:jc w:val="left"/>
              <w:rPr>
                <w:rFonts w:ascii="宋体" w:hAnsi="宋体" w:cs="宋体" w:eastAsia="宋体" w:hint="default"/>
                <w:sz w:val="15"/>
                <w:szCs w:val="15"/>
              </w:rPr>
            </w:pPr>
            <w:r>
              <w:rPr>
                <w:rFonts w:ascii="宋体" w:hAnsi="宋体" w:cs="宋体" w:eastAsia="宋体" w:hint="default"/>
                <w:sz w:val="15"/>
                <w:szCs w:val="15"/>
              </w:rPr>
              <w:t>渤海国际股份 信托有限公司</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3"/>
              <w:jc w:val="right"/>
              <w:rPr>
                <w:rFonts w:ascii="Times New Roman" w:hAnsi="Times New Roman" w:cs="Times New Roman" w:eastAsia="Times New Roman" w:hint="default"/>
                <w:sz w:val="18"/>
                <w:szCs w:val="18"/>
              </w:rPr>
            </w:pPr>
            <w:r>
              <w:rPr>
                <w:rFonts w:ascii="Times New Roman"/>
                <w:spacing w:val="-1"/>
                <w:sz w:val="18"/>
              </w:rPr>
              <w:t>58,840,000.00</w:t>
            </w: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pacing w:val="10"/>
                <w:sz w:val="18"/>
                <w:szCs w:val="18"/>
              </w:rPr>
              <w:t>深圳中金财富互联网金融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服务有限公司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6" w:right="107"/>
              <w:jc w:val="left"/>
              <w:rPr>
                <w:rFonts w:ascii="宋体" w:hAnsi="宋体" w:cs="宋体" w:eastAsia="宋体" w:hint="default"/>
                <w:sz w:val="18"/>
                <w:szCs w:val="18"/>
              </w:rPr>
            </w:pPr>
            <w:r>
              <w:rPr>
                <w:rFonts w:ascii="宋体" w:hAnsi="宋体" w:cs="宋体" w:eastAsia="宋体" w:hint="default"/>
                <w:sz w:val="18"/>
                <w:szCs w:val="18"/>
              </w:rPr>
              <w:t>西藏信托</w:t>
            </w:r>
            <w:r>
              <w:rPr>
                <w:rFonts w:ascii="Times New Roman" w:hAnsi="Times New Roman" w:cs="Times New Roman" w:eastAsia="Times New Roman" w:hint="default"/>
                <w:sz w:val="18"/>
                <w:szCs w:val="18"/>
              </w:rPr>
              <w:t>-</w:t>
            </w:r>
            <w:r>
              <w:rPr>
                <w:rFonts w:ascii="宋体" w:hAnsi="宋体" w:cs="宋体" w:eastAsia="宋体" w:hint="default"/>
                <w:sz w:val="18"/>
                <w:szCs w:val="18"/>
              </w:rPr>
              <w:t>开放式单一资 金信托计划</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4"/>
              <w:ind w:left="353" w:right="53" w:hanging="300"/>
              <w:jc w:val="left"/>
              <w:rPr>
                <w:rFonts w:ascii="宋体" w:hAnsi="宋体" w:cs="宋体" w:eastAsia="宋体" w:hint="default"/>
                <w:sz w:val="15"/>
                <w:szCs w:val="15"/>
              </w:rPr>
            </w:pPr>
            <w:r>
              <w:rPr>
                <w:rFonts w:ascii="宋体" w:hAnsi="宋体" w:cs="宋体" w:eastAsia="宋体" w:hint="default"/>
                <w:sz w:val="15"/>
                <w:szCs w:val="15"/>
              </w:rPr>
              <w:t>西藏信托有限 公司</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3"/>
              <w:jc w:val="right"/>
              <w:rPr>
                <w:rFonts w:ascii="Times New Roman" w:hAnsi="Times New Roman" w:cs="Times New Roman" w:eastAsia="Times New Roman" w:hint="default"/>
                <w:sz w:val="18"/>
                <w:szCs w:val="18"/>
              </w:rPr>
            </w:pPr>
            <w:r>
              <w:rPr>
                <w:rFonts w:ascii="Times New Roman"/>
                <w:spacing w:val="-1"/>
                <w:sz w:val="18"/>
              </w:rPr>
              <w:t>36,580,000.00</w:t>
            </w: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4"/>
              <w:jc w:val="right"/>
              <w:rPr>
                <w:rFonts w:ascii="Times New Roman" w:hAnsi="Times New Roman" w:cs="Times New Roman" w:eastAsia="Times New Roman" w:hint="default"/>
                <w:sz w:val="18"/>
                <w:szCs w:val="18"/>
              </w:rPr>
            </w:pPr>
            <w:r>
              <w:rPr>
                <w:rFonts w:ascii="Times New Roman"/>
                <w:spacing w:val="-1"/>
                <w:sz w:val="18"/>
              </w:rPr>
              <w:t>1,306,226,400.00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3"/>
              <w:jc w:val="right"/>
              <w:rPr>
                <w:rFonts w:ascii="Times New Roman" w:hAnsi="Times New Roman" w:cs="Times New Roman" w:eastAsia="Times New Roman" w:hint="default"/>
                <w:sz w:val="18"/>
                <w:szCs w:val="18"/>
              </w:rPr>
            </w:pPr>
            <w:r>
              <w:rPr>
                <w:rFonts w:ascii="Times New Roman"/>
                <w:spacing w:val="-1"/>
                <w:sz w:val="18"/>
              </w:rPr>
              <w:t>150,000,000.00</w:t>
            </w:r>
          </w:p>
        </w:tc>
      </w:tr>
    </w:tbl>
    <w:p>
      <w:pPr>
        <w:pStyle w:val="BodyText"/>
        <w:spacing w:line="429" w:lineRule="auto" w:before="72"/>
        <w:ind w:left="154" w:right="1142" w:firstLine="426"/>
        <w:jc w:val="both"/>
      </w:pPr>
      <w:r>
        <w:rPr>
          <w:spacing w:val="-1"/>
        </w:rPr>
        <w:t>对于纳入合并范围的重要的结构化主体，控制的依据：拥有对被投资方的权力，通过参与被投资方的相关</w:t>
      </w:r>
      <w:r>
        <w:rPr>
          <w:w w:val="100"/>
        </w:rPr>
        <w:t> </w:t>
      </w:r>
      <w:r>
        <w:rPr>
          <w:spacing w:val="-1"/>
        </w:rPr>
        <w:t>活动而享有可变回报，并且有能力运用对被投资方的权利影响其回报金额。本公司未向纳入合并范围的结构化</w:t>
      </w:r>
      <w:r>
        <w:rPr>
          <w:spacing w:val="-63"/>
        </w:rPr>
        <w:t> </w:t>
      </w:r>
      <w:r>
        <w:rPr>
          <w:spacing w:val="-63"/>
        </w:rPr>
      </w:r>
      <w:r>
        <w:rPr/>
        <w:t>主体提供财务或其他支持。</w:t>
      </w:r>
    </w:p>
    <w:p>
      <w:pPr>
        <w:spacing w:line="240" w:lineRule="auto" w:before="4"/>
        <w:rPr>
          <w:rFonts w:ascii="宋体" w:hAnsi="宋体" w:cs="宋体" w:eastAsia="宋体" w:hint="default"/>
          <w:sz w:val="18"/>
          <w:szCs w:val="18"/>
        </w:rPr>
      </w:pPr>
    </w:p>
    <w:p>
      <w:pPr>
        <w:pStyle w:val="Heading2"/>
        <w:spacing w:line="240" w:lineRule="auto"/>
        <w:ind w:left="154"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left="625" w:right="0"/>
        <w:jc w:val="left"/>
      </w:pPr>
      <w:r>
        <w:rPr/>
        <w:t>（一）行业格局和趋势</w:t>
      </w:r>
      <w:r>
        <w:rPr>
          <w:w w:val="100"/>
        </w:rPr>
        <w:t> </w:t>
      </w:r>
      <w:r>
        <w:rPr>
          <w:spacing w:val="-1"/>
        </w:rPr>
        <w:t>金融体制改革持续深化，互联网金融行业监管继续加强。</w:t>
      </w:r>
      <w:r>
        <w:rPr>
          <w:rFonts w:ascii="宋体" w:hAnsi="宋体" w:cs="宋体" w:eastAsia="宋体" w:hint="default"/>
          <w:spacing w:val="-1"/>
        </w:rPr>
        <w:t>2017</w:t>
      </w:r>
      <w:r>
        <w:rPr>
          <w:spacing w:val="-1"/>
        </w:rPr>
        <w:t>年</w:t>
      </w:r>
      <w:r>
        <w:rPr>
          <w:rFonts w:ascii="宋体" w:hAnsi="宋体" w:cs="宋体" w:eastAsia="宋体" w:hint="default"/>
          <w:spacing w:val="-1"/>
        </w:rPr>
        <w:t>7</w:t>
      </w:r>
      <w:r>
        <w:rPr>
          <w:spacing w:val="-1"/>
        </w:rPr>
        <w:t>月，全国金融工作会议召开，强调服务</w:t>
      </w:r>
    </w:p>
    <w:p>
      <w:pPr>
        <w:pStyle w:val="BodyText"/>
        <w:spacing w:line="429" w:lineRule="auto"/>
        <w:ind w:right="0"/>
        <w:jc w:val="left"/>
      </w:pPr>
      <w:r>
        <w:rPr>
          <w:spacing w:val="-1"/>
        </w:rPr>
        <w:t>实体经济、防控金融风险、深化金融改革三项任务，指出要加强互联网金融监管，建设普惠金融体系，发展中</w:t>
      </w:r>
      <w:r>
        <w:rPr>
          <w:spacing w:val="-63"/>
        </w:rPr>
        <w:t> </w:t>
      </w:r>
      <w:r>
        <w:rPr>
          <w:spacing w:val="-63"/>
        </w:rPr>
      </w:r>
      <w:r>
        <w:rPr/>
        <w:t>小银行和民营金融机构。</w:t>
      </w:r>
    </w:p>
    <w:p>
      <w:pPr>
        <w:pStyle w:val="BodyText"/>
        <w:spacing w:line="417" w:lineRule="auto"/>
        <w:ind w:right="0" w:firstLine="471"/>
        <w:jc w:val="left"/>
      </w:pPr>
      <w:r>
        <w:rPr/>
        <w:t>金融科技已成为行业新趋势。金融科技</w:t>
      </w:r>
      <w:r>
        <w:rPr>
          <w:rFonts w:ascii="Times New Roman" w:hAnsi="Times New Roman" w:cs="Times New Roman" w:eastAsia="Times New Roman" w:hint="default"/>
        </w:rPr>
        <w:t>(FinTech)</w:t>
      </w:r>
      <w:r>
        <w:rPr/>
        <w:t>不仅注重以技术手段为金融行业提供服务，帮助金融行业</w:t>
      </w:r>
      <w:r>
        <w:rPr>
          <w:w w:val="100"/>
        </w:rPr>
        <w:t> </w:t>
      </w:r>
      <w:r>
        <w:rPr/>
        <w:t>提升效率，还强调技术对传统金融进行风险定价、风险管理、客户精准定位、采用场景金融理论以客户为中心</w:t>
      </w:r>
      <w:r>
        <w:rPr>
          <w:w w:val="100"/>
        </w:rPr>
        <w:t> </w:t>
      </w:r>
      <w:r>
        <w:rPr>
          <w:spacing w:val="-2"/>
        </w:rPr>
        <w:t>进行产品设计，即通过这种方式极大地触达到用户，通过科技的方式管理风险，改善现有的金融生态。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23"/>
        </w:rPr>
        <w:t> </w:t>
      </w:r>
      <w:r>
        <w:rPr/>
        <w:t>月，央行成立金融科技（</w:t>
      </w:r>
      <w:r>
        <w:rPr>
          <w:rFonts w:ascii="Times New Roman" w:hAnsi="Times New Roman" w:cs="Times New Roman" w:eastAsia="Times New Roman" w:hint="default"/>
        </w:rPr>
        <w:t>FinTech</w:t>
      </w:r>
      <w:r>
        <w:rPr/>
        <w:t>）委员会，旨在加强金融科技工作的研究规划和统筹协调。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月，央行</w:t>
      </w:r>
      <w:r>
        <w:rPr>
          <w:w w:val="100"/>
        </w:rPr>
        <w:t> </w:t>
      </w:r>
      <w:r>
        <w:rPr/>
        <w:t>印发了《中国金融业信息技术</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发展规划》，确立了金融信息基础设施达到国际领先水平、信息技术持</w:t>
      </w:r>
      <w:r>
        <w:rPr>
          <w:w w:val="100"/>
        </w:rPr>
        <w:t> </w:t>
      </w:r>
      <w:r>
        <w:rPr/>
        <w:t>续驱动金融创新等发展目标，提出要加强金融科技和监管科技研究与应用，推进系统架构、云计算、大数据、</w:t>
      </w:r>
      <w:r>
        <w:rPr>
          <w:w w:val="100"/>
        </w:rPr>
        <w:t> </w:t>
      </w:r>
      <w:r>
        <w:rPr>
          <w:spacing w:val="-2"/>
        </w:rPr>
        <w:t>区块链、人工智能等新技术应用研究，规范与普及互联网金融相关技术应用。随着互联网金融步入规范化发展，</w:t>
      </w:r>
      <w:r>
        <w:rPr>
          <w:spacing w:val="-78"/>
        </w:rPr>
        <w:t> </w:t>
      </w:r>
      <w:r>
        <w:rPr>
          <w:spacing w:val="-78"/>
        </w:rPr>
      </w:r>
      <w:r>
        <w:rPr/>
        <w:t>在监管套利消失的背景下，没有客户交易场景、没有技术壁垒的公司将丧失竞争能力，科技成为推动互联网金</w:t>
      </w:r>
      <w:r>
        <w:rPr>
          <w:w w:val="100"/>
        </w:rPr>
        <w:t> </w:t>
      </w:r>
      <w:r>
        <w:rPr/>
        <w:t>融发展的重要动力，金融科技已成为未来互联网金融发展的主要趋势。</w:t>
      </w:r>
    </w:p>
    <w:p>
      <w:pPr>
        <w:pStyle w:val="BodyText"/>
        <w:spacing w:line="240" w:lineRule="auto" w:before="58"/>
        <w:ind w:left="625" w:right="0"/>
        <w:jc w:val="left"/>
      </w:pPr>
      <w:r>
        <w:rPr>
          <w:spacing w:val="-4"/>
        </w:rPr>
        <w:t>在监管收紧和行业竞争的作用下，中小平台加速淘汰，中国金融科技行业集中度提升，行业不断走向成熟。</w:t>
      </w:r>
    </w:p>
    <w:p>
      <w:pPr>
        <w:spacing w:line="240" w:lineRule="auto" w:before="10"/>
        <w:rPr>
          <w:rFonts w:ascii="宋体" w:hAnsi="宋体" w:cs="宋体" w:eastAsia="宋体" w:hint="default"/>
          <w:sz w:val="15"/>
          <w:szCs w:val="15"/>
        </w:rPr>
      </w:pPr>
    </w:p>
    <w:p>
      <w:pPr>
        <w:pStyle w:val="BodyText"/>
        <w:spacing w:line="240" w:lineRule="auto" w:before="0"/>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w:t>
      </w:r>
      <w:r>
        <w:rPr/>
        <w:t>工、农、中、建</w:t>
      </w:r>
      <w:r>
        <w:rPr>
          <w:rFonts w:ascii="Times New Roman" w:hAnsi="Times New Roman" w:cs="Times New Roman" w:eastAsia="Times New Roman" w:hint="default"/>
        </w:rPr>
        <w:t>”</w:t>
      </w:r>
      <w:r>
        <w:rPr/>
        <w:t>四大国有商业银行先后宣布与</w:t>
      </w:r>
      <w:r>
        <w:rPr>
          <w:rFonts w:ascii="Times New Roman" w:hAnsi="Times New Roman" w:cs="Times New Roman" w:eastAsia="Times New Roman" w:hint="default"/>
        </w:rPr>
        <w:t>“BATJ”</w:t>
      </w:r>
      <w:r>
        <w:rPr/>
        <w:t>（百度、阿里、腾讯、京东）达成战略协议，</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2" w:lineRule="auto" w:before="0"/>
        <w:ind w:right="0"/>
        <w:jc w:val="left"/>
      </w:pPr>
      <w:r>
        <w:rPr>
          <w:spacing w:val="-3"/>
        </w:rPr>
        <w:t>合作内容涵盖金融科技、零售银行、电子支付、信用体系、消费金融、企业信贷、云计算、大数据、人工智能、</w:t>
      </w:r>
      <w:r>
        <w:rPr>
          <w:spacing w:val="-33"/>
        </w:rPr>
        <w:t> </w:t>
      </w:r>
      <w:r>
        <w:rPr>
          <w:spacing w:val="-33"/>
        </w:rPr>
      </w:r>
      <w:r>
        <w:rPr>
          <w:spacing w:val="-4"/>
        </w:rPr>
        <w:t>区块链等多个领域；</w:t>
      </w:r>
      <w:r>
        <w:rPr>
          <w:rFonts w:ascii="Times New Roman" w:hAnsi="Times New Roman" w:cs="Times New Roman" w:eastAsia="Times New Roman" w:hint="default"/>
          <w:spacing w:val="-4"/>
        </w:rPr>
        <w:t>2017</w:t>
      </w:r>
      <w:r>
        <w:rPr>
          <w:spacing w:val="-4"/>
        </w:rPr>
        <w:t>年下半年出现中国金融科技上市潮，</w:t>
      </w:r>
      <w:r>
        <w:rPr>
          <w:rFonts w:ascii="Times New Roman" w:hAnsi="Times New Roman" w:cs="Times New Roman" w:eastAsia="Times New Roman" w:hint="default"/>
          <w:spacing w:val="-4"/>
        </w:rPr>
        <w:t>2017</w:t>
      </w:r>
      <w:r>
        <w:rPr>
          <w:spacing w:val="-4"/>
        </w:rPr>
        <w:t>年全年共有</w:t>
      </w:r>
      <w:r>
        <w:rPr>
          <w:rFonts w:ascii="Times New Roman" w:hAnsi="Times New Roman" w:cs="Times New Roman" w:eastAsia="Times New Roman" w:hint="default"/>
          <w:spacing w:val="-4"/>
        </w:rPr>
        <w:t>9</w:t>
      </w:r>
      <w:r>
        <w:rPr>
          <w:spacing w:val="-4"/>
        </w:rPr>
        <w:t>家中国金融科技公司上市；同时，</w:t>
      </w:r>
      <w:r>
        <w:rPr>
          <w:spacing w:val="-57"/>
        </w:rPr>
        <w:t> </w:t>
      </w:r>
      <w:r>
        <w:rPr>
          <w:spacing w:val="-57"/>
        </w:rPr>
      </w:r>
      <w:r>
        <w:rPr/>
        <w:t>多家金融科技企业结束业务开拓期的亏损状态，开始实现盈利，其中的微众银行和网商银行，作为中国首批持</w:t>
      </w:r>
      <w:r>
        <w:rPr>
          <w:w w:val="100"/>
        </w:rPr>
        <w:t> </w:t>
      </w:r>
      <w:r>
        <w:rPr/>
        <w:t>牌的互联网银行，其高速增长的业绩彰显出互联网银行模式在用户场景、征信体系、盈利能力等方面的优势。</w:t>
      </w:r>
      <w:r>
        <w:rPr>
          <w:w w:val="100"/>
        </w:rPr>
        <w:t> </w:t>
      </w:r>
      <w:r>
        <w:rPr/>
        <w:t>这一系列信号均显示出金融科技行业正在从初期探索走向成熟。</w:t>
      </w:r>
    </w:p>
    <w:p>
      <w:pPr>
        <w:pStyle w:val="BodyText"/>
        <w:spacing w:line="422" w:lineRule="auto" w:before="54"/>
        <w:ind w:right="0" w:firstLine="471"/>
        <w:jc w:val="left"/>
      </w:pPr>
      <w:r>
        <w:rPr>
          <w:spacing w:val="-1"/>
        </w:rPr>
        <w:t>中小银行开始觉醒，转型需求愈发迫切。近年来，由于利率市场化导致的息差收窄、存款保险制度放开、</w:t>
      </w:r>
      <w:r>
        <w:rPr>
          <w:w w:val="100"/>
        </w:rPr>
        <w:t> </w:t>
      </w:r>
      <w:r>
        <w:rPr/>
        <w:t>民营银行牌照放开以及互联网金融等因素的冲击，中小银行逐步开始重视有效降低运营成本、控制风险、提高</w:t>
      </w:r>
      <w:r>
        <w:rPr>
          <w:w w:val="100"/>
        </w:rPr>
        <w:t> </w:t>
      </w:r>
      <w:r>
        <w:rPr/>
        <w:t>经营效益，打造轻型银行和直销银行，着力拓展不倚重资产规模的中间业务、零售业务作为利润增长的主要途</w:t>
      </w:r>
      <w:r>
        <w:rPr>
          <w:w w:val="100"/>
        </w:rPr>
        <w:t> </w:t>
      </w:r>
      <w:r>
        <w:rPr/>
        <w:t>径。参考美国银行业，其商业银行中间业务收入占全部收益比重在</w:t>
      </w:r>
      <w:r>
        <w:rPr>
          <w:rFonts w:ascii="Times New Roman" w:hAnsi="Times New Roman" w:cs="Times New Roman" w:eastAsia="Times New Roman" w:hint="default"/>
        </w:rPr>
        <w:t>50%</w:t>
      </w:r>
      <w:r>
        <w:rPr/>
        <w:t>左右；相比之下，我国商业银行中间业</w:t>
      </w:r>
      <w:r>
        <w:rPr>
          <w:w w:val="100"/>
        </w:rPr>
        <w:t> </w:t>
      </w:r>
      <w:r>
        <w:rPr/>
        <w:t>务收入占比仅</w:t>
      </w:r>
      <w:r>
        <w:rPr>
          <w:rFonts w:ascii="Times New Roman" w:hAnsi="Times New Roman" w:cs="Times New Roman" w:eastAsia="Times New Roman" w:hint="default"/>
        </w:rPr>
        <w:t>25%</w:t>
      </w:r>
      <w:r>
        <w:rPr/>
        <w:t>左右，中小银行中间业务收入占比不到</w:t>
      </w:r>
      <w:r>
        <w:rPr>
          <w:rFonts w:ascii="Times New Roman" w:hAnsi="Times New Roman" w:cs="Times New Roman" w:eastAsia="Times New Roman" w:hint="default"/>
        </w:rPr>
        <w:t>10%</w:t>
      </w:r>
      <w:r>
        <w:rPr/>
        <w:t>，还具备较大的发展空间。</w:t>
      </w:r>
    </w:p>
    <w:p>
      <w:pPr>
        <w:pStyle w:val="BodyText"/>
        <w:spacing w:line="410" w:lineRule="auto" w:before="23"/>
        <w:ind w:right="1131" w:firstLine="471"/>
        <w:jc w:val="both"/>
      </w:pPr>
      <w:r>
        <w:rPr/>
        <w:t>第三方互联网银行平台是中小银行互联网转型的最佳道路。当前上线的</w:t>
      </w:r>
      <w:r>
        <w:rPr>
          <w:rFonts w:ascii="Times New Roman" w:hAnsi="Times New Roman" w:cs="Times New Roman" w:eastAsia="Times New Roman" w:hint="default"/>
        </w:rPr>
        <w:t>110</w:t>
      </w:r>
      <w:r>
        <w:rPr/>
        <w:t>家直销银行中绝大部分都是部</w:t>
      </w:r>
      <w:r>
        <w:rPr>
          <w:w w:val="100"/>
        </w:rPr>
        <w:t> </w:t>
      </w:r>
      <w:r>
        <w:rPr/>
        <w:t>门制的直销银行，在业务、</w:t>
      </w:r>
      <w:r>
        <w:rPr>
          <w:rFonts w:ascii="Times New Roman" w:hAnsi="Times New Roman" w:cs="Times New Roman" w:eastAsia="Times New Roman" w:hint="default"/>
        </w:rPr>
        <w:t>IT</w:t>
      </w:r>
      <w:r>
        <w:rPr/>
        <w:t>、运营上均无法独立，其作用仅仅相当于一个渠道，本质上仅仅是网银或银行版</w:t>
      </w:r>
      <w:r>
        <w:rPr>
          <w:w w:val="100"/>
        </w:rPr>
        <w:t> </w:t>
      </w:r>
      <w:r>
        <w:rPr>
          <w:spacing w:val="-3"/>
        </w:rPr>
        <w:t>的</w:t>
      </w:r>
      <w:r>
        <w:rPr>
          <w:rFonts w:ascii="Times New Roman" w:hAnsi="Times New Roman" w:cs="Times New Roman" w:eastAsia="Times New Roman" w:hint="default"/>
          <w:spacing w:val="-3"/>
        </w:rPr>
        <w:t>P2P</w:t>
      </w:r>
      <w:r>
        <w:rPr>
          <w:spacing w:val="-3"/>
        </w:rPr>
        <w:t>，并不是真正的互联网银行。事实证明，受限于人才、资金、资产等资源的缺乏，风险控制、产品设计等</w:t>
      </w:r>
      <w:r>
        <w:rPr>
          <w:spacing w:val="-52"/>
        </w:rPr>
        <w:t> </w:t>
      </w:r>
      <w:r>
        <w:rPr>
          <w:spacing w:val="-52"/>
        </w:rPr>
      </w:r>
      <w:r>
        <w:rPr/>
        <w:t>能力的不足，以及财务、激励等机制的制约，中小银行在发展直销银行过程中困难重重，鲜有成功案例。独立</w:t>
      </w:r>
      <w:r>
        <w:rPr>
          <w:w w:val="100"/>
        </w:rPr>
        <w:t> </w:t>
      </w:r>
      <w:r>
        <w:rPr/>
        <w:t>发展直销银行道路受阻，使得第三方互联网银行平台成为中小银行互联网转型的最佳道路。</w:t>
      </w:r>
    </w:p>
    <w:p>
      <w:pPr>
        <w:pStyle w:val="BodyText"/>
        <w:spacing w:line="429" w:lineRule="auto" w:before="64"/>
        <w:ind w:left="154" w:right="0" w:firstLine="471"/>
        <w:jc w:val="left"/>
      </w:pPr>
      <w:r>
        <w:rPr>
          <w:spacing w:val="-2"/>
        </w:rPr>
        <w:t>一系列政策和市场发展显示，类金融机构发展将面临阻碍，持牌金融机构迎来发展良好机遇，发展金融科</w:t>
      </w:r>
      <w:r>
        <w:rPr>
          <w:w w:val="100"/>
        </w:rPr>
        <w:t> </w:t>
      </w:r>
      <w:r>
        <w:rPr/>
        <w:t>技综合服务业务是大势所趋。</w:t>
      </w:r>
    </w:p>
    <w:p>
      <w:pPr>
        <w:pStyle w:val="BodyText"/>
        <w:spacing w:line="429" w:lineRule="auto"/>
        <w:ind w:left="625" w:right="0"/>
        <w:jc w:val="left"/>
      </w:pPr>
      <w:r>
        <w:rPr/>
        <w:t>（二）公司发展战略</w:t>
      </w:r>
      <w:r>
        <w:rPr>
          <w:w w:val="100"/>
        </w:rPr>
        <w:t> </w:t>
      </w:r>
      <w:r>
        <w:rPr>
          <w:spacing w:val="-2"/>
        </w:rPr>
        <w:t>公司将继续坚持以金融科技综合服务为核心的发展战略，立足于中小银行转型的需求，以智能银行整体解</w:t>
      </w:r>
    </w:p>
    <w:p>
      <w:pPr>
        <w:pStyle w:val="BodyText"/>
        <w:spacing w:line="429" w:lineRule="auto"/>
        <w:ind w:left="154" w:right="0"/>
        <w:jc w:val="left"/>
      </w:pPr>
      <w:r>
        <w:rPr>
          <w:spacing w:val="-1"/>
        </w:rPr>
        <w:t>决方案为基础，深入推进人工智能、大数据、云服务、区块链等科技创新业务，打造中国领先的第三方互联网</w:t>
      </w:r>
      <w:r>
        <w:rPr>
          <w:spacing w:val="-63"/>
        </w:rPr>
        <w:t> </w:t>
      </w:r>
      <w:r>
        <w:rPr>
          <w:spacing w:val="-63"/>
        </w:rPr>
      </w:r>
      <w:r>
        <w:rPr/>
        <w:t>银行平台，形成金融科技生态圈。</w:t>
      </w:r>
    </w:p>
    <w:p>
      <w:pPr>
        <w:pStyle w:val="BodyText"/>
        <w:spacing w:line="417" w:lineRule="auto"/>
        <w:ind w:left="625" w:right="2809"/>
        <w:jc w:val="left"/>
      </w:pPr>
      <w:r>
        <w:rPr/>
        <w:t>（三）经营计划</w:t>
      </w:r>
      <w:r>
        <w:rPr>
          <w:w w:val="100"/>
        </w:rPr>
        <w:t> </w:t>
      </w:r>
      <w:r>
        <w:rPr>
          <w:spacing w:val="-1"/>
        </w:rPr>
        <w:t>为确保实现公司发展战略目标，公司</w:t>
      </w:r>
      <w:r>
        <w:rPr>
          <w:rFonts w:ascii="Times New Roman" w:hAnsi="Times New Roman" w:cs="Times New Roman" w:eastAsia="Times New Roman" w:hint="default"/>
          <w:spacing w:val="-1"/>
        </w:rPr>
        <w:t>2018</w:t>
      </w:r>
      <w:r>
        <w:rPr>
          <w:spacing w:val="-1"/>
        </w:rPr>
        <w:t>年度经营计划主要包括以下内容：</w:t>
      </w:r>
      <w:r>
        <w:rPr>
          <w:spacing w:val="-70"/>
        </w:rPr>
        <w:t> </w:t>
      </w:r>
      <w:r>
        <w:rPr>
          <w:spacing w:val="-70"/>
        </w:rPr>
      </w:r>
      <w:r>
        <w:rPr>
          <w:rFonts w:ascii="Times New Roman" w:hAnsi="Times New Roman" w:cs="Times New Roman" w:eastAsia="Times New Roman" w:hint="default"/>
        </w:rPr>
        <w:t>1.</w:t>
      </w:r>
      <w:r>
        <w:rPr/>
        <w:t>进一步推进互联网银行云平台业务发展</w:t>
      </w:r>
    </w:p>
    <w:p>
      <w:pPr>
        <w:pStyle w:val="BodyText"/>
        <w:spacing w:line="429" w:lineRule="auto" w:before="27"/>
        <w:ind w:left="154" w:right="0" w:firstLine="471"/>
        <w:jc w:val="left"/>
      </w:pPr>
      <w:r>
        <w:rPr>
          <w:spacing w:val="-2"/>
        </w:rPr>
        <w:t>公司将继续加快展开与银行的合作和联合运营推广工作，提升云平台上线银行数量，初步实现云平台业务</w:t>
      </w:r>
      <w:r>
        <w:rPr>
          <w:w w:val="100"/>
        </w:rPr>
        <w:t> </w:t>
      </w:r>
      <w:r>
        <w:rPr/>
        <w:t>规模的快速增长。</w:t>
      </w:r>
    </w:p>
    <w:p>
      <w:pPr>
        <w:pStyle w:val="BodyText"/>
        <w:spacing w:line="405" w:lineRule="auto"/>
        <w:ind w:left="625" w:right="0"/>
        <w:jc w:val="left"/>
      </w:pPr>
      <w:r>
        <w:rPr>
          <w:rFonts w:ascii="Times New Roman" w:hAnsi="Times New Roman" w:cs="Times New Roman" w:eastAsia="Times New Roman" w:hint="default"/>
        </w:rPr>
        <w:t>2.</w:t>
      </w:r>
      <w:r>
        <w:rPr/>
        <w:t>进一步夯实智能银行综合解决方案、数据中心综合解决方案等传统优势业务</w:t>
      </w:r>
      <w:r>
        <w:rPr>
          <w:w w:val="100"/>
        </w:rPr>
        <w:t> </w:t>
      </w:r>
      <w:r>
        <w:rPr>
          <w:spacing w:val="-4"/>
        </w:rPr>
        <w:t>公司将积极研究和推进智能银行转型管理咨询服务、渠道整合、轻型网点、金融大数据分析、供应链融资、</w:t>
      </w:r>
    </w:p>
    <w:p>
      <w:pPr>
        <w:pStyle w:val="BodyText"/>
        <w:spacing w:line="429" w:lineRule="auto" w:before="68"/>
        <w:ind w:left="154" w:right="1118"/>
        <w:jc w:val="left"/>
      </w:pPr>
      <w:r>
        <w:rPr>
          <w:spacing w:val="-1"/>
        </w:rPr>
        <w:t>产业链融资、移动支付和数据中心综合服务等一系列解决方案和服务，进一步夯实公司在智能银行领域的优势</w:t>
      </w:r>
      <w:r>
        <w:rPr>
          <w:spacing w:val="-63"/>
        </w:rPr>
        <w:t> </w:t>
      </w:r>
      <w:r>
        <w:rPr>
          <w:spacing w:val="-63"/>
        </w:rPr>
      </w:r>
      <w:r>
        <w:rPr/>
        <w:t>业务。</w:t>
      </w:r>
    </w:p>
    <w:p>
      <w:pPr>
        <w:spacing w:after="0" w:line="42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05" w:lineRule="auto" w:before="0"/>
        <w:ind w:left="625" w:right="0"/>
        <w:jc w:val="left"/>
      </w:pPr>
      <w:r>
        <w:rPr>
          <w:rFonts w:ascii="Times New Roman" w:hAnsi="Times New Roman" w:cs="Times New Roman" w:eastAsia="Times New Roman" w:hint="default"/>
        </w:rPr>
        <w:t>3.</w:t>
      </w:r>
      <w:r>
        <w:rPr/>
        <w:t>进一步加大技术投入</w:t>
      </w:r>
      <w:r>
        <w:rPr>
          <w:w w:val="100"/>
        </w:rPr>
        <w:t> </w:t>
      </w:r>
      <w:r>
        <w:rPr>
          <w:spacing w:val="-2"/>
        </w:rPr>
        <w:t>在技术创新方面，公司将继续加大在智能银行领域的核心产品和技术研发及产业化投入，不断增强人工智</w:t>
      </w:r>
    </w:p>
    <w:p>
      <w:pPr>
        <w:pStyle w:val="BodyText"/>
        <w:spacing w:line="429" w:lineRule="auto" w:before="68"/>
        <w:ind w:right="0"/>
        <w:jc w:val="left"/>
      </w:pPr>
      <w:r>
        <w:rPr>
          <w:spacing w:val="-1"/>
        </w:rPr>
        <w:t>能、云计算、大数据、区块链等领域的技术实力，保持行业技术领先水平，增强企业的核心竞争能力，为公司</w:t>
      </w:r>
      <w:r>
        <w:rPr>
          <w:spacing w:val="-63"/>
        </w:rPr>
        <w:t> </w:t>
      </w:r>
      <w:r>
        <w:rPr>
          <w:spacing w:val="-63"/>
        </w:rPr>
      </w:r>
      <w:r>
        <w:rPr/>
        <w:t>的成长提供产品和技术优势。</w:t>
      </w:r>
    </w:p>
    <w:p>
      <w:pPr>
        <w:pStyle w:val="BodyText"/>
        <w:spacing w:line="405" w:lineRule="auto"/>
        <w:ind w:left="625" w:right="0"/>
        <w:jc w:val="left"/>
      </w:pPr>
      <w:r>
        <w:rPr>
          <w:rFonts w:ascii="Times New Roman" w:hAnsi="Times New Roman" w:cs="Times New Roman" w:eastAsia="Times New Roman" w:hint="default"/>
        </w:rPr>
        <w:t>4.</w:t>
      </w:r>
      <w:r>
        <w:rPr/>
        <w:t>配合公司战略，积极利用收购兼并等手段进行资源整合</w:t>
      </w:r>
      <w:r>
        <w:rPr>
          <w:w w:val="100"/>
        </w:rPr>
        <w:t> </w:t>
      </w:r>
      <w:r>
        <w:rPr>
          <w:spacing w:val="-2"/>
        </w:rPr>
        <w:t>根据公司的金融科技战略，进一步分解投资并购战略，做到与公司整体战略配合，聚焦不脱节。建立健全</w:t>
      </w:r>
    </w:p>
    <w:p>
      <w:pPr>
        <w:pStyle w:val="BodyText"/>
        <w:spacing w:line="240" w:lineRule="auto" w:before="68"/>
        <w:ind w:right="0"/>
        <w:jc w:val="left"/>
      </w:pPr>
      <w:r>
        <w:rPr/>
        <w:t>投后管理体系和流程，帮助上市公司实现协同发展，完善战略布局，提升综合竞争优势。</w:t>
      </w:r>
    </w:p>
    <w:p>
      <w:pPr>
        <w:spacing w:line="240" w:lineRule="auto" w:before="10"/>
        <w:rPr>
          <w:rFonts w:ascii="宋体" w:hAnsi="宋体" w:cs="宋体" w:eastAsia="宋体" w:hint="default"/>
          <w:sz w:val="15"/>
          <w:szCs w:val="15"/>
        </w:rPr>
      </w:pPr>
    </w:p>
    <w:p>
      <w:pPr>
        <w:pStyle w:val="BodyText"/>
        <w:spacing w:line="240" w:lineRule="auto" w:before="0"/>
        <w:ind w:left="625" w:right="0"/>
        <w:jc w:val="left"/>
      </w:pPr>
      <w:r>
        <w:rPr>
          <w:rFonts w:ascii="Times New Roman" w:hAnsi="Times New Roman" w:cs="Times New Roman" w:eastAsia="Times New Roman" w:hint="default"/>
        </w:rPr>
        <w:t>5.</w:t>
      </w:r>
      <w:r>
        <w:rPr/>
        <w:t>深入开展党建活动，提高员工的凝聚力和公司竞争力</w:t>
      </w:r>
    </w:p>
    <w:p>
      <w:pPr>
        <w:spacing w:line="240" w:lineRule="auto" w:before="8"/>
        <w:rPr>
          <w:rFonts w:ascii="宋体" w:hAnsi="宋体" w:cs="宋体" w:eastAsia="宋体" w:hint="default"/>
          <w:sz w:val="14"/>
          <w:szCs w:val="14"/>
        </w:rPr>
      </w:pPr>
    </w:p>
    <w:p>
      <w:pPr>
        <w:pStyle w:val="BodyText"/>
        <w:spacing w:line="405" w:lineRule="auto" w:before="0"/>
        <w:ind w:right="1098" w:firstLine="471"/>
        <w:jc w:val="both"/>
      </w:pPr>
      <w:r>
        <w:rPr>
          <w:rFonts w:ascii="Times New Roman" w:hAnsi="Times New Roman" w:cs="Times New Roman" w:eastAsia="Times New Roman" w:hint="default"/>
          <w:spacing w:val="-1"/>
        </w:rPr>
        <w:t>2018</w:t>
      </w:r>
      <w:r>
        <w:rPr>
          <w:spacing w:val="-1"/>
        </w:rPr>
        <w:t>年，公司将积极申请在公司建立基层党组织，深入开展党建活动，为党组织的活动提供必要的条件，</w:t>
      </w:r>
      <w:r>
        <w:rPr>
          <w:w w:val="100"/>
        </w:rPr>
        <w:t> </w:t>
      </w:r>
      <w:r>
        <w:rPr/>
        <w:t>注重发挥党员的先锋模范作用，提高员工的凝聚力和公司竞争力。</w:t>
      </w:r>
    </w:p>
    <w:p>
      <w:pPr>
        <w:pStyle w:val="BodyText"/>
        <w:spacing w:line="240" w:lineRule="auto" w:before="68"/>
        <w:ind w:left="625" w:right="0"/>
        <w:jc w:val="left"/>
      </w:pPr>
      <w:r>
        <w:rPr/>
        <w:t>（四）可能面对的风险</w:t>
      </w:r>
    </w:p>
    <w:p>
      <w:pPr>
        <w:spacing w:line="240" w:lineRule="auto" w:before="10"/>
        <w:rPr>
          <w:rFonts w:ascii="宋体" w:hAnsi="宋体" w:cs="宋体" w:eastAsia="宋体" w:hint="default"/>
          <w:sz w:val="15"/>
          <w:szCs w:val="15"/>
        </w:rPr>
      </w:pPr>
    </w:p>
    <w:p>
      <w:pPr>
        <w:pStyle w:val="BodyText"/>
        <w:spacing w:line="405" w:lineRule="auto" w:before="0"/>
        <w:ind w:left="625" w:right="0"/>
        <w:jc w:val="left"/>
      </w:pPr>
      <w:r>
        <w:rPr>
          <w:rFonts w:ascii="Times New Roman" w:hAnsi="Times New Roman" w:cs="Times New Roman" w:eastAsia="Times New Roman" w:hint="default"/>
        </w:rPr>
        <w:t>1.</w:t>
      </w:r>
      <w:r>
        <w:rPr/>
        <w:t>市场竞争风险</w:t>
      </w:r>
      <w:r>
        <w:rPr>
          <w:w w:val="100"/>
        </w:rPr>
        <w:t> </w:t>
      </w:r>
      <w:r>
        <w:rPr>
          <w:spacing w:val="-2"/>
        </w:rPr>
        <w:t>公司正在积极布局的金融科技行业具有广阔的市场空间，但同时也面临激烈的市场竞争。如果公司不能充</w:t>
      </w:r>
    </w:p>
    <w:p>
      <w:pPr>
        <w:pStyle w:val="BodyText"/>
        <w:spacing w:line="429" w:lineRule="auto" w:before="68"/>
        <w:ind w:right="0"/>
        <w:jc w:val="left"/>
      </w:pPr>
      <w:r>
        <w:rPr>
          <w:spacing w:val="-1"/>
        </w:rPr>
        <w:t>分利用现有优势和资源，持续升级产品和服务，快速扩大市场份额，可能导致公司未来持续高速发展存在一定</w:t>
      </w:r>
      <w:r>
        <w:rPr>
          <w:spacing w:val="-63"/>
        </w:rPr>
        <w:t> </w:t>
      </w:r>
      <w:r>
        <w:rPr>
          <w:spacing w:val="-63"/>
        </w:rPr>
      </w:r>
      <w:r>
        <w:rPr/>
        <w:t>的不确定因素。</w:t>
      </w:r>
    </w:p>
    <w:p>
      <w:pPr>
        <w:pStyle w:val="BodyText"/>
        <w:spacing w:line="429" w:lineRule="auto"/>
        <w:ind w:right="1129" w:firstLine="471"/>
        <w:jc w:val="both"/>
      </w:pPr>
      <w:r>
        <w:rPr>
          <w:spacing w:val="-2"/>
        </w:rPr>
        <w:t>针对上述风险，公司将积极顺应金融科技行业发展趋势，加快在该领域的业务布局，快速推进以金融科技</w:t>
      </w:r>
      <w:r>
        <w:rPr>
          <w:w w:val="100"/>
        </w:rPr>
        <w:t> </w:t>
      </w:r>
      <w:r>
        <w:rPr/>
        <w:t>创新为特征的各项业务；同时充分发挥公司在金融科技领域的核心竞争优势，加大市场拓展力度，以规避市场</w:t>
      </w:r>
      <w:r>
        <w:rPr>
          <w:w w:val="100"/>
        </w:rPr>
        <w:t> </w:t>
      </w:r>
      <w:r>
        <w:rPr/>
        <w:t>竞争加剧对公司造成的风险。</w:t>
      </w:r>
    </w:p>
    <w:p>
      <w:pPr>
        <w:pStyle w:val="BodyText"/>
        <w:spacing w:line="405" w:lineRule="auto"/>
        <w:ind w:left="625" w:right="0"/>
        <w:jc w:val="left"/>
      </w:pPr>
      <w:r>
        <w:rPr>
          <w:rFonts w:ascii="Times New Roman" w:hAnsi="Times New Roman" w:cs="Times New Roman" w:eastAsia="Times New Roman" w:hint="default"/>
        </w:rPr>
        <w:t>2.</w:t>
      </w:r>
      <w:r>
        <w:rPr/>
        <w:t>行业技术风险</w:t>
      </w:r>
      <w:r>
        <w:rPr>
          <w:w w:val="100"/>
        </w:rPr>
        <w:t> </w:t>
      </w:r>
      <w:r>
        <w:rPr>
          <w:spacing w:val="-2"/>
        </w:rPr>
        <w:t>公司所处行业存在对产品的技术要求高，技术更新换代快，市场需求变化快的特点，如果不能及时准确地</w:t>
      </w:r>
    </w:p>
    <w:p>
      <w:pPr>
        <w:pStyle w:val="BodyText"/>
        <w:spacing w:line="429" w:lineRule="auto" w:before="68"/>
        <w:ind w:left="625" w:right="0" w:hanging="472"/>
        <w:jc w:val="left"/>
      </w:pPr>
      <w:r>
        <w:rPr/>
        <w:t>把握新技术及市场需求的发展和变化，将会影响公司的快速发展。</w:t>
      </w:r>
      <w:r>
        <w:rPr>
          <w:w w:val="100"/>
        </w:rPr>
        <w:t> </w:t>
      </w:r>
      <w:r>
        <w:rPr>
          <w:spacing w:val="-2"/>
        </w:rPr>
        <w:t>针对上述风险，公司将进一步加大技术研发投入，完善公司技术研发体系，加强研发技术人才的引进，并</w:t>
      </w:r>
    </w:p>
    <w:p>
      <w:pPr>
        <w:pStyle w:val="BodyText"/>
        <w:spacing w:line="240" w:lineRule="auto"/>
        <w:ind w:right="0"/>
        <w:jc w:val="left"/>
      </w:pPr>
      <w:r>
        <w:rPr/>
        <w:t>在公司内部形成良好的知识共享、传递机制，不断提升创新能力。</w:t>
      </w:r>
    </w:p>
    <w:p>
      <w:pPr>
        <w:spacing w:line="240" w:lineRule="auto" w:before="10"/>
        <w:rPr>
          <w:rFonts w:ascii="宋体" w:hAnsi="宋体" w:cs="宋体" w:eastAsia="宋体" w:hint="default"/>
          <w:sz w:val="15"/>
          <w:szCs w:val="15"/>
        </w:rPr>
      </w:pPr>
    </w:p>
    <w:p>
      <w:pPr>
        <w:pStyle w:val="BodyText"/>
        <w:spacing w:line="405" w:lineRule="auto" w:before="0"/>
        <w:ind w:left="625" w:right="0"/>
        <w:jc w:val="left"/>
      </w:pPr>
      <w:r>
        <w:rPr>
          <w:rFonts w:ascii="Times New Roman" w:hAnsi="Times New Roman" w:cs="Times New Roman" w:eastAsia="Times New Roman" w:hint="default"/>
        </w:rPr>
        <w:t>3.</w:t>
      </w:r>
      <w:r>
        <w:rPr/>
        <w:t>人力资源风险</w:t>
      </w:r>
      <w:r>
        <w:rPr>
          <w:w w:val="100"/>
        </w:rPr>
        <w:t> </w:t>
      </w:r>
      <w:r>
        <w:rPr>
          <w:spacing w:val="-2"/>
        </w:rPr>
        <w:t>人才资源是公司生存和发展的关键，随着公司金融科技领域的业务发展，对经营人才、业务人才、技术人</w:t>
      </w:r>
    </w:p>
    <w:p>
      <w:pPr>
        <w:pStyle w:val="BodyText"/>
        <w:spacing w:line="429" w:lineRule="auto" w:before="68"/>
        <w:ind w:right="0"/>
        <w:jc w:val="left"/>
      </w:pPr>
      <w:r>
        <w:rPr>
          <w:spacing w:val="-1"/>
        </w:rPr>
        <w:t>才、互联网运营人才及有丰富经验的产品研发、项目管理人才的需求日益增强。公司人才队伍的数量及质量，</w:t>
      </w:r>
      <w:r>
        <w:rPr>
          <w:spacing w:val="-63"/>
        </w:rPr>
        <w:t> </w:t>
      </w:r>
      <w:r>
        <w:rPr>
          <w:spacing w:val="-63"/>
        </w:rPr>
      </w:r>
      <w:r>
        <w:rPr/>
        <w:t>是公司能否健康快速发展的重要保障因素。</w:t>
      </w:r>
    </w:p>
    <w:p>
      <w:pPr>
        <w:pStyle w:val="BodyText"/>
        <w:spacing w:line="429" w:lineRule="auto"/>
        <w:ind w:right="1129" w:firstLine="471"/>
        <w:jc w:val="both"/>
      </w:pPr>
      <w:r>
        <w:rPr>
          <w:spacing w:val="-2"/>
        </w:rPr>
        <w:t>针对上述风险，公司将进一步完善人才保障的常态化机制，通过建立多层级合伙人经营责任制等方式加大</w:t>
      </w:r>
      <w:r>
        <w:rPr>
          <w:w w:val="100"/>
        </w:rPr>
        <w:t> </w:t>
      </w:r>
      <w:r>
        <w:rPr/>
        <w:t>人才培养和引进力度，提供畅通的晋升渠道、推行有效的绩效考核与激励机制等措施，来满足公司业务跨越式</w:t>
      </w:r>
      <w:r>
        <w:rPr>
          <w:w w:val="100"/>
        </w:rPr>
        <w:t> </w:t>
      </w:r>
      <w:r>
        <w:rPr/>
        <w:t>发展对人才的需求。</w:t>
      </w:r>
    </w:p>
    <w:p>
      <w:pPr>
        <w:spacing w:after="0" w:line="42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05" w:lineRule="auto" w:before="0"/>
        <w:ind w:left="625" w:right="0"/>
        <w:jc w:val="left"/>
      </w:pPr>
      <w:r>
        <w:rPr>
          <w:rFonts w:ascii="Times New Roman" w:hAnsi="Times New Roman" w:cs="Times New Roman" w:eastAsia="Times New Roman" w:hint="default"/>
        </w:rPr>
        <w:t>4.</w:t>
      </w:r>
      <w:r>
        <w:rPr/>
        <w:t>行业监管政策风险</w:t>
      </w:r>
      <w:r>
        <w:rPr>
          <w:w w:val="100"/>
        </w:rPr>
        <w:t> </w:t>
      </w:r>
      <w:r>
        <w:rPr>
          <w:spacing w:val="-2"/>
        </w:rPr>
        <w:t>金融科技行业在我国起步较晚，行业监管方面尚未形成较为成熟和全面的政策，其发展面临着监管政策的</w:t>
      </w:r>
    </w:p>
    <w:p>
      <w:pPr>
        <w:pStyle w:val="BodyText"/>
        <w:spacing w:line="429" w:lineRule="auto" w:before="68"/>
        <w:ind w:right="0"/>
        <w:jc w:val="left"/>
      </w:pPr>
      <w:r>
        <w:rPr>
          <w:spacing w:val="-1"/>
        </w:rPr>
        <w:t>不确定性。若未来国家对相关行业监管政策进行调整或完善，将对行业发展方向和竞争格局产生深刻影响，从</w:t>
      </w:r>
      <w:r>
        <w:rPr>
          <w:spacing w:val="-63"/>
        </w:rPr>
        <w:t> </w:t>
      </w:r>
      <w:r>
        <w:rPr>
          <w:spacing w:val="-63"/>
        </w:rPr>
      </w:r>
      <w:r>
        <w:rPr/>
        <w:t>而可能对公司金融科技业务发展的方向和速度产生一定影响。</w:t>
      </w:r>
    </w:p>
    <w:p>
      <w:pPr>
        <w:pStyle w:val="BodyText"/>
        <w:spacing w:line="429" w:lineRule="auto"/>
        <w:ind w:right="0" w:firstLine="471"/>
        <w:jc w:val="left"/>
      </w:pPr>
      <w:r>
        <w:rPr>
          <w:spacing w:val="-2"/>
        </w:rPr>
        <w:t>针对上述风险，公司在发展金融科技业务的过程中，将进一步严格按照可参考、可依据的相关法律法规开</w:t>
      </w:r>
      <w:r>
        <w:rPr>
          <w:w w:val="100"/>
        </w:rPr>
        <w:t> </w:t>
      </w:r>
      <w:r>
        <w:rPr/>
        <w:t>展业务，持续跟踪和研究相关政策及变化，防范创新业务可能涉及的制度风险。</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86"/>
        <w:ind w:right="0"/>
        <w:jc w:val="left"/>
      </w:pPr>
      <w:r>
        <w:rPr/>
        <w:t>公司报告期内未发生接待调研、沟通、采访等活动。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1"/>
        <w:jc w:val="center"/>
        <w:rPr>
          <w:b w:val="0"/>
          <w:bCs w:val="0"/>
        </w:rPr>
      </w:pPr>
      <w:bookmarkStart w:name="第五节 重要事项" w:id="61"/>
      <w:bookmarkEnd w:id="61"/>
      <w:r>
        <w:rPr>
          <w:b w:val="0"/>
          <w:bCs w:val="0"/>
        </w:rPr>
      </w:r>
      <w:bookmarkStart w:name="_bookmark3"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2"/>
          <w:szCs w:val="12"/>
        </w:rPr>
      </w:pPr>
    </w:p>
    <w:p>
      <w:pPr>
        <w:pStyle w:val="BodyText"/>
        <w:spacing w:line="429" w:lineRule="auto" w:before="0"/>
        <w:ind w:left="475" w:right="0" w:hanging="322"/>
        <w:jc w:val="left"/>
      </w:pPr>
      <w:r>
        <w:rPr/>
        <w:t>公司现金分红政策的执行情况：</w:t>
      </w:r>
      <w:r>
        <w:rPr>
          <w:w w:val="100"/>
        </w:rPr>
        <w:t> </w:t>
      </w:r>
      <w:r>
        <w:rPr>
          <w:spacing w:val="-1"/>
        </w:rPr>
        <w:t>公司严格按照《公司章程》的规定制定现金分红方案。公司于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10</w:t>
      </w:r>
      <w:r>
        <w:rPr>
          <w:spacing w:val="-1"/>
        </w:rPr>
        <w:t>日公司</w:t>
      </w:r>
      <w:r>
        <w:rPr>
          <w:rFonts w:ascii="Times New Roman" w:hAnsi="Times New Roman" w:cs="Times New Roman" w:eastAsia="Times New Roman" w:hint="default"/>
          <w:spacing w:val="-1"/>
        </w:rPr>
        <w:t>2016</w:t>
      </w:r>
      <w:r>
        <w:rPr>
          <w:spacing w:val="-1"/>
        </w:rPr>
        <w:t>年年度股东大会审议</w:t>
      </w:r>
    </w:p>
    <w:p>
      <w:pPr>
        <w:pStyle w:val="BodyText"/>
        <w:spacing w:line="405" w:lineRule="auto" w:before="16"/>
        <w:ind w:right="1168"/>
        <w:jc w:val="both"/>
      </w:pPr>
      <w:r>
        <w:rPr/>
        <w:pict>
          <v:shape style="position:absolute;margin-left:57.029999pt;margin-top:67.379669pt;width:478.6pt;height:172.4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spacing w:val="-1"/>
        </w:rPr>
        <w:t>通过了</w:t>
      </w:r>
      <w:r>
        <w:rPr>
          <w:rFonts w:ascii="Times New Roman" w:hAnsi="Times New Roman" w:cs="Times New Roman" w:eastAsia="Times New Roman" w:hint="default"/>
          <w:spacing w:val="-1"/>
        </w:rPr>
        <w:t>2016</w:t>
      </w:r>
      <w:r>
        <w:rPr>
          <w:spacing w:val="-1"/>
        </w:rPr>
        <w:t>年度利润分配方案，公司</w:t>
      </w:r>
      <w:r>
        <w:rPr>
          <w:rFonts w:ascii="Times New Roman" w:hAnsi="Times New Roman" w:cs="Times New Roman" w:eastAsia="Times New Roman" w:hint="default"/>
          <w:spacing w:val="-1"/>
        </w:rPr>
        <w:t>2016</w:t>
      </w:r>
      <w:r>
        <w:rPr>
          <w:spacing w:val="-1"/>
        </w:rPr>
        <w:t>年年度利润分配方案如下：以公司总股本</w:t>
      </w:r>
      <w:r>
        <w:rPr>
          <w:rFonts w:ascii="Times New Roman" w:hAnsi="Times New Roman" w:cs="Times New Roman" w:eastAsia="Times New Roman" w:hint="default"/>
          <w:spacing w:val="-1"/>
        </w:rPr>
        <w:t>337,576,686</w:t>
      </w:r>
      <w:r>
        <w:rPr>
          <w:spacing w:val="-1"/>
        </w:rPr>
        <w:t>股为基数，向全</w:t>
      </w:r>
      <w:r>
        <w:rPr>
          <w:spacing w:val="-51"/>
        </w:rPr>
        <w:t> </w:t>
      </w:r>
      <w:r>
        <w:rPr>
          <w:spacing w:val="-51"/>
        </w:rPr>
      </w:r>
      <w:r>
        <w:rPr>
          <w:spacing w:val="-1"/>
        </w:rPr>
        <w:t>体股东按每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0.50</w:t>
      </w:r>
      <w:r>
        <w:rPr>
          <w:spacing w:val="-1"/>
        </w:rPr>
        <w:t>元（含税），共计派发现金股利</w:t>
      </w:r>
      <w:r>
        <w:rPr>
          <w:rFonts w:ascii="Times New Roman" w:hAnsi="Times New Roman" w:cs="Times New Roman" w:eastAsia="Times New Roman" w:hint="default"/>
          <w:spacing w:val="-1"/>
        </w:rPr>
        <w:t>16,878,834.30</w:t>
      </w:r>
      <w:r>
        <w:rPr>
          <w:spacing w:val="-1"/>
        </w:rPr>
        <w:t>元，上述现金股利已于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3"/>
        </w:rPr>
        <w:t> </w:t>
      </w:r>
      <w:r>
        <w:rPr/>
        <w:t>月</w:t>
      </w:r>
      <w:r>
        <w:rPr>
          <w:rFonts w:ascii="Times New Roman" w:hAnsi="Times New Roman" w:cs="Times New Roman" w:eastAsia="Times New Roman" w:hint="default"/>
        </w:rPr>
        <w:t>10</w:t>
      </w:r>
      <w:r>
        <w:rPr/>
        <w:t>日记入股东账户。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line="240" w:lineRule="auto" w:before="7"/>
        <w:rPr>
          <w:rFonts w:ascii="宋体" w:hAnsi="宋体" w:cs="宋体" w:eastAsia="宋体" w:hint="default"/>
          <w:sz w:val="12"/>
          <w:szCs w:val="12"/>
        </w:rPr>
      </w:pPr>
    </w:p>
    <w:p>
      <w:pPr>
        <w:pStyle w:val="BodyText"/>
        <w:spacing w:line="405" w:lineRule="auto" w:before="0"/>
        <w:ind w:left="154" w:right="0" w:firstLine="426"/>
        <w:jc w:val="left"/>
      </w:pPr>
      <w:r>
        <w:rPr>
          <w:spacing w:val="-3"/>
        </w:rPr>
        <w:t>公司</w:t>
      </w:r>
      <w:r>
        <w:rPr>
          <w:rFonts w:ascii="Times New Roman" w:hAnsi="Times New Roman" w:cs="Times New Roman" w:eastAsia="Times New Roman" w:hint="default"/>
          <w:spacing w:val="-3"/>
        </w:rPr>
        <w:t>2015</w:t>
      </w:r>
      <w:r>
        <w:rPr>
          <w:spacing w:val="-3"/>
        </w:rPr>
        <w:t>年年度利润分配方案：以公司总股本</w:t>
      </w:r>
      <w:r>
        <w:rPr>
          <w:rFonts w:ascii="Times New Roman" w:hAnsi="Times New Roman" w:cs="Times New Roman" w:eastAsia="Times New Roman" w:hint="default"/>
          <w:spacing w:val="-3"/>
        </w:rPr>
        <w:t>337,576,686</w:t>
      </w:r>
      <w:r>
        <w:rPr>
          <w:spacing w:val="-3"/>
        </w:rPr>
        <w:t>股为基数，向全体股东按每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0.40</w:t>
      </w:r>
      <w:r>
        <w:rPr>
          <w:rFonts w:ascii="Times New Roman" w:hAnsi="Times New Roman" w:cs="Times New Roman" w:eastAsia="Times New Roman" w:hint="default"/>
          <w:w w:val="100"/>
        </w:rPr>
        <w:t> </w:t>
      </w:r>
      <w:r>
        <w:rPr/>
        <w:t>元（含税），共计派发现金股利</w:t>
      </w:r>
      <w:r>
        <w:rPr>
          <w:rFonts w:ascii="Times New Roman" w:hAnsi="Times New Roman" w:cs="Times New Roman" w:eastAsia="Times New Roman" w:hint="default"/>
        </w:rPr>
        <w:t>13,503,067.44</w:t>
      </w:r>
      <w:r>
        <w:rPr/>
        <w:t>元。</w:t>
      </w:r>
    </w:p>
    <w:p>
      <w:pPr>
        <w:pStyle w:val="BodyText"/>
        <w:spacing w:line="405" w:lineRule="auto" w:before="38"/>
        <w:ind w:left="154" w:right="1118" w:firstLine="426"/>
        <w:jc w:val="left"/>
      </w:pPr>
      <w:r>
        <w:rPr>
          <w:spacing w:val="-3"/>
        </w:rPr>
        <w:t>公司</w:t>
      </w:r>
      <w:r>
        <w:rPr>
          <w:rFonts w:ascii="Times New Roman" w:hAnsi="Times New Roman" w:cs="Times New Roman" w:eastAsia="Times New Roman" w:hint="default"/>
          <w:spacing w:val="-3"/>
        </w:rPr>
        <w:t>2016</w:t>
      </w:r>
      <w:r>
        <w:rPr>
          <w:spacing w:val="-3"/>
        </w:rPr>
        <w:t>年年度利润分配方案：以公司总股本</w:t>
      </w:r>
      <w:r>
        <w:rPr>
          <w:rFonts w:ascii="Times New Roman" w:hAnsi="Times New Roman" w:cs="Times New Roman" w:eastAsia="Times New Roman" w:hint="default"/>
          <w:spacing w:val="-3"/>
        </w:rPr>
        <w:t>337,576,686</w:t>
      </w:r>
      <w:r>
        <w:rPr>
          <w:spacing w:val="-3"/>
        </w:rPr>
        <w:t>股为基数，向全体股东按每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0.50</w:t>
      </w:r>
      <w:r>
        <w:rPr>
          <w:rFonts w:ascii="Times New Roman" w:hAnsi="Times New Roman" w:cs="Times New Roman" w:eastAsia="Times New Roman" w:hint="default"/>
          <w:w w:val="100"/>
        </w:rPr>
        <w:t> </w:t>
      </w:r>
      <w:r>
        <w:rPr/>
        <w:t>元（含税）</w:t>
      </w:r>
      <w:r>
        <w:rPr>
          <w:spacing w:val="-24"/>
        </w:rPr>
        <w:t> </w:t>
      </w:r>
      <w:r>
        <w:rPr/>
        <w:t>，共计派发现金股利</w:t>
      </w:r>
      <w:r>
        <w:rPr>
          <w:rFonts w:ascii="Times New Roman" w:hAnsi="Times New Roman" w:cs="Times New Roman" w:eastAsia="Times New Roman" w:hint="default"/>
        </w:rPr>
        <w:t>16,878,834.30</w:t>
      </w:r>
      <w:r>
        <w:rPr/>
        <w:t>元。</w:t>
      </w:r>
    </w:p>
    <w:p>
      <w:pPr>
        <w:pStyle w:val="BodyText"/>
        <w:spacing w:line="240" w:lineRule="auto" w:before="38"/>
        <w:ind w:left="580" w:right="0"/>
        <w:jc w:val="left"/>
      </w:pPr>
      <w:r>
        <w:rPr/>
        <w:t>公司</w:t>
      </w:r>
      <w:r>
        <w:rPr>
          <w:rFonts w:ascii="Times New Roman" w:hAnsi="Times New Roman" w:cs="Times New Roman" w:eastAsia="Times New Roman" w:hint="default"/>
        </w:rPr>
        <w:t>2017</w:t>
      </w:r>
      <w:r>
        <w:rPr/>
        <w:t>年年度利润分配方案：</w:t>
      </w:r>
      <w:r>
        <w:rPr>
          <w:rFonts w:ascii="Times New Roman" w:hAnsi="Times New Roman" w:cs="Times New Roman" w:eastAsia="Times New Roman" w:hint="default"/>
        </w:rPr>
        <w:t>2017</w:t>
      </w:r>
      <w:r>
        <w:rPr/>
        <w:t>年度不派发现金红利，不送红股，不以资本公积转增股本。</w:t>
      </w:r>
    </w:p>
    <w:p>
      <w:pPr>
        <w:spacing w:line="240" w:lineRule="auto" w:before="8"/>
        <w:rPr>
          <w:rFonts w:ascii="宋体" w:hAnsi="宋体" w:cs="宋体" w:eastAsia="宋体" w:hint="default"/>
          <w:sz w:val="9"/>
          <w:szCs w:val="9"/>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4"/>
        <w:gridCol w:w="1583"/>
        <w:gridCol w:w="1605"/>
        <w:gridCol w:w="1595"/>
      </w:tblGrid>
      <w:tr>
        <w:trPr>
          <w:trHeight w:val="317"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69"/>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58"/>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43"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3"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7" w:right="0"/>
              <w:jc w:val="left"/>
              <w:rPr>
                <w:rFonts w:ascii="Times New Roman" w:hAnsi="Times New Roman" w:cs="Times New Roman" w:eastAsia="Times New Roman" w:hint="default"/>
                <w:sz w:val="18"/>
                <w:szCs w:val="18"/>
              </w:rPr>
            </w:pPr>
            <w:r>
              <w:rPr>
                <w:rFonts w:ascii="Times New Roman"/>
                <w:sz w:val="18"/>
              </w:rPr>
              <w:t>-236,661,197.94</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60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16,878,834.30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177,933,924.25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13,503,067.44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160,334,370.22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86"/>
        <w:ind w:right="0"/>
        <w:jc w:val="left"/>
      </w:pPr>
      <w:r>
        <w:rPr/>
        <w:t>公司计划年度不派发现金红利，不送红股，不以公积金转增股本。</w:t>
      </w:r>
    </w:p>
    <w:p>
      <w:pPr>
        <w:spacing w:line="240" w:lineRule="auto" w:before="4"/>
        <w:rPr>
          <w:rFonts w:ascii="宋体" w:hAnsi="宋体" w:cs="宋体" w:eastAsia="宋体" w:hint="default"/>
          <w:sz w:val="24"/>
          <w:szCs w:val="24"/>
        </w:rPr>
      </w:pPr>
    </w:p>
    <w:p>
      <w:pPr>
        <w:pStyle w:val="Heading2"/>
        <w:spacing w:line="240" w:lineRule="auto"/>
        <w:ind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left="153" w:right="0"/>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1"/>
        </w:rPr>
        <w:t> </w:t>
      </w:r>
      <w:r>
        <w:rPr>
          <w:spacing w:val="-71"/>
        </w:rPr>
      </w:r>
      <w:r>
        <w:rPr/>
        <w:t>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pict>
          <v:shape style="position:absolute;margin-left:322.899994pt;margin-top:93.371735pt;width:116.4pt;height:155.1pt;mso-position-horizontal-relative:page;mso-position-vertical-relative:paragraph;z-index:-11325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出具如下承诺：</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277"/>
        <w:gridCol w:w="1700"/>
        <w:gridCol w:w="1134"/>
        <w:gridCol w:w="1134"/>
        <w:gridCol w:w="779"/>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59"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1559"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3262"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00" w:lineRule="auto"/>
              <w:ind w:left="16" w:right="35"/>
              <w:jc w:val="left"/>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董书倩</w:t>
            </w:r>
            <w:r>
              <w:rPr>
                <w:rFonts w:ascii="Times New Roman" w:hAnsi="Times New Roman" w:cs="Times New Roman" w:eastAsia="Times New Roman" w:hint="default"/>
                <w:sz w:val="18"/>
                <w:szCs w:val="18"/>
              </w:rPr>
              <w:t>;</w:t>
            </w:r>
            <w:r>
              <w:rPr>
                <w:rFonts w:ascii="宋体" w:hAnsi="宋体" w:cs="宋体" w:eastAsia="宋体" w:hint="default"/>
                <w:sz w:val="18"/>
                <w:szCs w:val="18"/>
              </w:rPr>
              <w:t>刘 运龙</w:t>
            </w:r>
            <w:r>
              <w:rPr>
                <w:rFonts w:ascii="Times New Roman" w:hAnsi="Times New Roman" w:cs="Times New Roman" w:eastAsia="Times New Roman" w:hint="default"/>
                <w:sz w:val="18"/>
                <w:szCs w:val="18"/>
              </w:rPr>
              <w:t>;</w:t>
            </w:r>
            <w:r>
              <w:rPr>
                <w:rFonts w:ascii="宋体" w:hAnsi="宋体" w:cs="宋体" w:eastAsia="宋体" w:hint="default"/>
                <w:sz w:val="18"/>
                <w:szCs w:val="18"/>
              </w:rPr>
              <w:t>天津滨河数据 信息技术有限公司</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关于保持上市 公司独立性的 承诺函</w:t>
            </w:r>
          </w:p>
        </w:tc>
        <w:tc>
          <w:tcPr>
            <w:tcW w:w="1700"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交易对方关于保持中 科金财和滨河创新独 立性， 一、保证中科金财、 滨河创新的人员独立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．保证本次交易完成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后中科金财、滨河创 新的劳动、人事及薪 酬管理与本人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 制的其他公司或者其 他经济组织等关联方 </w:t>
            </w:r>
            <w:r>
              <w:rPr>
                <w:rFonts w:ascii="宋体" w:hAnsi="宋体" w:cs="宋体" w:eastAsia="宋体" w:hint="default"/>
                <w:spacing w:val="-10"/>
                <w:sz w:val="18"/>
                <w:szCs w:val="18"/>
              </w:rPr>
              <w:t>之间完全独立。</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．保</w:t>
            </w:r>
            <w:r>
              <w:rPr>
                <w:rFonts w:ascii="宋体" w:hAnsi="宋体" w:cs="宋体" w:eastAsia="宋体" w:hint="default"/>
                <w:spacing w:val="-33"/>
                <w:sz w:val="18"/>
                <w:szCs w:val="18"/>
              </w:rPr>
              <w:t> </w:t>
            </w:r>
            <w:r>
              <w:rPr>
                <w:rFonts w:ascii="宋体" w:hAnsi="宋体" w:cs="宋体" w:eastAsia="宋体" w:hint="default"/>
                <w:sz w:val="18"/>
                <w:szCs w:val="18"/>
              </w:rPr>
              <w:t>证本次交易完成后中</w:t>
            </w:r>
            <w:r>
              <w:rPr>
                <w:rFonts w:ascii="宋体" w:hAnsi="宋体" w:cs="宋体" w:eastAsia="宋体" w:hint="default"/>
                <w:sz w:val="18"/>
                <w:szCs w:val="18"/>
              </w:rPr>
              <w:t> 科金财、滨河创新的 高级管理人员均专职 在中科金财、滨河创 新任职并领取薪酬， 不在本人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 其他公司、企业或者 其他经济组织等关联</w:t>
            </w:r>
          </w:p>
        </w:tc>
        <w:tc>
          <w:tcPr>
            <w:tcW w:w="1134" w:type="dxa"/>
            <w:vMerge w:val="restart"/>
            <w:tcBorders>
              <w:top w:val="single" w:sz="4" w:space="0" w:color="000000"/>
              <w:left w:val="single" w:sz="4" w:space="0" w:color="000000"/>
              <w:right w:val="single" w:sz="4" w:space="0" w:color="000000"/>
            </w:tcBorders>
          </w:tcPr>
          <w:p>
            <w:pPr>
              <w:pStyle w:val="TableParagraph"/>
              <w:spacing w:line="3101" w:lineRule="exact"/>
              <w:ind w:right="-51"/>
              <w:jc w:val="left"/>
              <w:rPr>
                <w:rFonts w:ascii="宋体" w:hAnsi="宋体" w:cs="宋体" w:eastAsia="宋体" w:hint="default"/>
                <w:sz w:val="20"/>
                <w:szCs w:val="20"/>
              </w:rPr>
            </w:pPr>
            <w:r>
              <w:rPr>
                <w:rFonts w:ascii="宋体" w:hAnsi="宋体" w:cs="宋体" w:eastAsia="宋体" w:hint="default"/>
                <w:position w:val="-61"/>
                <w:sz w:val="20"/>
                <w:szCs w:val="20"/>
              </w:rPr>
              <w:pict>
                <v:group style="width:56.25pt;height:155.1pt;mso-position-horizontal-relative:char;mso-position-vertical-relative:line" coordorigin="0,0" coordsize="1125,3102">
                  <v:group style="position:absolute;left:0;top:0;width:1125;height:3102" coordorigin="0,0" coordsize="1125,3102">
                    <v:shape style="position:absolute;left:0;top:0;width:1125;height:3102" coordorigin="0,0" coordsize="1125,3102" path="m0,3101l1125,3101,1125,0,0,0,0,3101xe" filled="true" fillcolor="#ffffff" stroked="false">
                      <v:path arrowok="t"/>
                      <v:fill type="solid"/>
                    </v:shape>
                  </v:group>
                </v:group>
              </w:pict>
            </w:r>
            <w:r>
              <w:rPr>
                <w:rFonts w:ascii="宋体" w:hAnsi="宋体" w:cs="宋体" w:eastAsia="宋体" w:hint="default"/>
                <w:position w:val="-6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391"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559"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262"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277"/>
        <w:gridCol w:w="1700"/>
        <w:gridCol w:w="1134"/>
        <w:gridCol w:w="1134"/>
        <w:gridCol w:w="779"/>
      </w:tblGrid>
      <w:tr>
        <w:trPr>
          <w:trHeight w:val="317"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方担任董事以外的职</w:t>
            </w:r>
          </w:p>
        </w:tc>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务。二、保证中科金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财、滨河创新的机构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．保证本次交</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易完成后中科金财、</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滨河创新构建健全的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公司法人治理结构，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拥有独立、完整的组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织机构。</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．保证本次</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交易完成后中科金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财、滨河创新的股东</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（大）会、董事会、</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监事会等依照法律、</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法规及中科金财、滨</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河创新公司章程独立</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行使职权。三、保证</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中科金财、滨河创新</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的资产独立、完整</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．保证本次交易完成</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后中科金财、滨河创</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新拥有与生产经营有</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关的独立、完整的资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产。</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．保证本次交易</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完成后中科金财、滨</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河创新的经营场所独</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其他公司、企业或者</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其他经济组织等关联</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方。</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．除正常经营性</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往来外，保证本次交</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易完成后中科金财、</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滨河创新不存在资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金、资产被本人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制的其他公司、企业</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或者其他经济组织等</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关联方占用的情形。</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四、保证中科金财、</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滨河创新的业务独立</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．保证本次交易完成</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后中科金财、滨河创</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新拥有独立开展经营</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活动的相关资质，具</w:t>
            </w: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277"/>
        <w:gridCol w:w="1700"/>
        <w:gridCol w:w="1134"/>
        <w:gridCol w:w="1134"/>
        <w:gridCol w:w="779"/>
      </w:tblGrid>
      <w:tr>
        <w:trPr>
          <w:trHeight w:val="317"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有面向市场的独立、</w:t>
            </w:r>
          </w:p>
        </w:tc>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自主、持续的经营能</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力。</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．保证本次交易</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的其他公司、企业或</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者其他经济组织等关</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联方避免从事与中科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金财、滨河创新及其</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控制的其他公司、企</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业或者其他经济组织</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具有竞争关系的业</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务。</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．保证本次交易</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的其他公司、企业或</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者其他经济组织等关</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联方减少与中科金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财、滨河创新及其控</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制的其他公司、企业</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或者其他经济组织的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关联交易；对于确有</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必要且无法避免的关</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联交易，保证按市场</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原则和公允价格进行</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公平操作，并按相关</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法律、法规及规范性</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文件的规定履行相关</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审批程序及信息披露</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义务。五、保证中科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金财、滨河创新的财</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．保证中科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金财、滨河创新本次</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交易完成后分别具备</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独立的财务部门以及</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独立的财务核算体</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系，具有规范、独立</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的财务会计制度。</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．保证中科金财、滨</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河创新本次交易完成</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后独立在银行开户，</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其他公司、企业或者</w:t>
            </w: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277"/>
        <w:gridCol w:w="1700"/>
        <w:gridCol w:w="1134"/>
        <w:gridCol w:w="1134"/>
        <w:gridCol w:w="781"/>
      </w:tblGrid>
      <w:tr>
        <w:trPr>
          <w:trHeight w:val="5979"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其他经济组织等关联 方共用银行账户。 </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．保证本次交易完成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后中科金财、滨河创 新的财务人员不在本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公司控制的其他公 司、企业或者其他经 济组织等关联方兼 </w:t>
            </w:r>
            <w:r>
              <w:rPr>
                <w:rFonts w:ascii="宋体" w:hAnsi="宋体" w:cs="宋体" w:eastAsia="宋体" w:hint="default"/>
                <w:spacing w:val="-7"/>
                <w:sz w:val="18"/>
                <w:szCs w:val="18"/>
              </w:rPr>
              <w:t>职。</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．保证本次交易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完成后中科金财、滨 河创新能够独立做出 </w:t>
            </w:r>
            <w:r>
              <w:rPr>
                <w:rFonts w:ascii="宋体" w:hAnsi="宋体" w:cs="宋体" w:eastAsia="宋体" w:hint="default"/>
                <w:spacing w:val="-3"/>
                <w:sz w:val="18"/>
                <w:szCs w:val="18"/>
              </w:rPr>
              <w:t>财务决策，本人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w:t>
            </w:r>
            <w:r>
              <w:rPr>
                <w:rFonts w:ascii="宋体" w:hAnsi="宋体" w:cs="宋体" w:eastAsia="宋体" w:hint="default"/>
                <w:spacing w:val="-86"/>
                <w:sz w:val="18"/>
                <w:szCs w:val="18"/>
              </w:rPr>
              <w:t> </w:t>
            </w:r>
            <w:r>
              <w:rPr>
                <w:rFonts w:ascii="宋体" w:hAnsi="宋体" w:cs="宋体" w:eastAsia="宋体" w:hint="default"/>
                <w:sz w:val="18"/>
                <w:szCs w:val="18"/>
              </w:rPr>
              <w:t>司不干预中科金财、 滨河创新的资金使 </w:t>
            </w:r>
            <w:r>
              <w:rPr>
                <w:rFonts w:ascii="宋体" w:hAnsi="宋体" w:cs="宋体" w:eastAsia="宋体" w:hint="default"/>
                <w:spacing w:val="-7"/>
                <w:sz w:val="18"/>
                <w:szCs w:val="18"/>
              </w:rPr>
              <w:t>用。</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．保证本次交易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完成后中科金财、滨 河创新依法独立纳 税。</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1"/>
              <w:ind w:left="22" w:right="35"/>
              <w:jc w:val="left"/>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董书倩</w:t>
            </w:r>
            <w:r>
              <w:rPr>
                <w:rFonts w:ascii="Times New Roman" w:hAnsi="Times New Roman" w:cs="Times New Roman" w:eastAsia="Times New Roman" w:hint="default"/>
                <w:sz w:val="18"/>
                <w:szCs w:val="18"/>
              </w:rPr>
              <w:t>;</w:t>
            </w:r>
            <w:r>
              <w:rPr>
                <w:rFonts w:ascii="宋体" w:hAnsi="宋体" w:cs="宋体" w:eastAsia="宋体" w:hint="default"/>
                <w:sz w:val="18"/>
                <w:szCs w:val="18"/>
              </w:rPr>
              <w:t>刘 运龙</w:t>
            </w:r>
            <w:r>
              <w:rPr>
                <w:rFonts w:ascii="Times New Roman" w:hAnsi="Times New Roman" w:cs="Times New Roman" w:eastAsia="Times New Roman" w:hint="default"/>
                <w:sz w:val="18"/>
                <w:szCs w:val="18"/>
              </w:rPr>
              <w:t>;</w:t>
            </w:r>
            <w:r>
              <w:rPr>
                <w:rFonts w:ascii="宋体" w:hAnsi="宋体" w:cs="宋体" w:eastAsia="宋体" w:hint="default"/>
                <w:sz w:val="18"/>
                <w:szCs w:val="18"/>
              </w:rPr>
              <w:t>天津滨河数据 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4" w:right="161"/>
              <w:jc w:val="both"/>
              <w:rPr>
                <w:rFonts w:ascii="宋体" w:hAnsi="宋体" w:cs="宋体" w:eastAsia="宋体" w:hint="default"/>
                <w:sz w:val="18"/>
                <w:szCs w:val="18"/>
              </w:rPr>
            </w:pPr>
            <w:r>
              <w:rPr>
                <w:rFonts w:ascii="宋体" w:hAnsi="宋体" w:cs="宋体" w:eastAsia="宋体" w:hint="default"/>
                <w:sz w:val="18"/>
                <w:szCs w:val="18"/>
              </w:rPr>
              <w:t>关于同业竞争 和规范减少关 联交易的承诺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一、关于同业竞争：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．截至本承诺函签署</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日，本人／本公司及 包括本人／本公司控 制的其他公司、企业 或者其他经济组织等 关联方未从事与中科 金财、滨河创新及其 控制的其他公司、企 业或者其他经济组织 存在同业竞争关系的 </w:t>
            </w:r>
            <w:r>
              <w:rPr>
                <w:rFonts w:ascii="宋体" w:hAnsi="宋体" w:cs="宋体" w:eastAsia="宋体" w:hint="default"/>
                <w:spacing w:val="-7"/>
                <w:sz w:val="18"/>
                <w:szCs w:val="18"/>
              </w:rPr>
              <w:t>业务。</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．在作为中科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金财的股东且持股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）期 间，本人／本公司及 包括本人／本公司控 制的其他公司、企业 或者其他经济组织等 关联方将避免以任何 形式从事任何与中科 金财、滨河创新及其 控制的其他公司、企 业或者其他经济组织 相同或相似且构成或 可能构成竞争关系的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26"/>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277"/>
        <w:gridCol w:w="1700"/>
        <w:gridCol w:w="1134"/>
        <w:gridCol w:w="1134"/>
        <w:gridCol w:w="779"/>
      </w:tblGrid>
      <w:tr>
        <w:trPr>
          <w:trHeight w:val="317"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业务，亦不从事任何</w:t>
            </w:r>
          </w:p>
        </w:tc>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可能损害中科金财、</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滨河创新及其控制的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其他公司、企业或者</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其他经济组织利益的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活动。如本人／本公</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司及其控制的其他公</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司、企业或者其他经</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济组织遇到中科金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财、滨河创新及其控</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制的其他公司、企业</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或者其他经济组织主</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营业务范围内的业务</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机会，本人／本公司</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及其控制的其他公</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司、企业或者其他经</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济组织承诺将该等合</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作机会让予中科金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财、滨河创新及其控</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制的其他公司、企业</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或者其他经济组织。</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本人／本公司若违反</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上述承诺，将承担因</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此而给中科金财、滨</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河创新及其控制的其</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他公司、企业或者其</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他经济组织造成的一</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切损失。二、关于规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范及减少关联交易：</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本人／本公司在作为</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中科金财的股东期</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间，本人／本公司及</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所控制的其他公司、</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企业或者其他经济组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织将尽量减少并规范</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与中科金财、滨河创</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新及其控制的其他公</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司、企业或者其他经</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济组织之间的关联交</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易。对于无法避免或</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有合理原因而发生的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关联交易，本人／本</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公司及所控制的其他</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公司、企业或者其他</w:t>
            </w: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0.903015pt;margin-top:655.23999pt;width:98.4pt;height:108.2pt;mso-position-horizontal-relative:page;mso-position-vertical-relative:page;z-index:-1132504" type="#_x0000_t202" filled="false" stroked="false">
            <v:textbox inset="0,0,0,0">
              <w:txbxContent>
                <w:p>
                  <w:pPr>
                    <w:spacing w:line="22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竞业限制：</w:t>
                  </w:r>
                </w:p>
              </w:txbxContent>
            </v:textbox>
            <w10:wrap type="none"/>
          </v:shape>
        </w:pict>
      </w:r>
      <w:r>
        <w:rPr/>
        <w:pict>
          <v:group style="position:absolute;margin-left:383.019989pt;margin-top:655.23999pt;width:56.25pt;height:108.2pt;mso-position-horizontal-relative:page;mso-position-vertical-relative:page;z-index:-1132480" coordorigin="7660,13105" coordsize="1125,2164">
            <v:shape style="position:absolute;left:7660;top:13105;width:1125;height:2164" coordorigin="7660,13105" coordsize="1125,2164" path="m7660,15269l8785,15269,8785,13105,7660,13105,7660,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277"/>
        <w:gridCol w:w="1700"/>
        <w:gridCol w:w="1134"/>
        <w:gridCol w:w="1134"/>
        <w:gridCol w:w="779"/>
      </w:tblGrid>
      <w:tr>
        <w:trPr>
          <w:trHeight w:val="317"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经济组织将遵循市场</w:t>
            </w:r>
          </w:p>
        </w:tc>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原则以公允、合理的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市场价格进行，根据</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有关法律、法规及规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范性文件的规定履行</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关联交易决策程序，</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依法履行信息披露义</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务和办理有关报批程</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序，不利用股东优势</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地位损害中科金财及</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其他股东的合法权</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益。本人／本公司若</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违反上述承诺，将承</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担因此而给中科金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财、滨河创新及其控</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制的其他公司、企业</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或者其他经济组织造</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成的一切损失。三、</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关于资金占用：除正</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常经营性往来外，保</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证本次交易完成后中</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科金财、滨河创新不</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存在资金、资产被本</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公司控制的其他公</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司、企业或者其他经</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济组织等关联方占用</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的情形。</w:t>
            </w: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62" w:hRule="exact"/>
        </w:trPr>
        <w:tc>
          <w:tcPr>
            <w:tcW w:w="1985"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、任职期限：刘开同</w:t>
            </w: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及标的公司核心人员</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胡卫彬、蔡宝宇、温</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长建、徐灵慧就任职</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期限达成协议如下：</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乙方承诺自发行股</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300" w:lineRule="auto" w:before="142"/>
              <w:ind w:left="22" w:right="164"/>
              <w:jc w:val="both"/>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胡卫彬</w:t>
            </w:r>
            <w:r>
              <w:rPr>
                <w:rFonts w:ascii="Times New Roman" w:hAnsi="Times New Roman" w:cs="Times New Roman" w:eastAsia="Times New Roman" w:hint="default"/>
                <w:sz w:val="18"/>
                <w:szCs w:val="18"/>
              </w:rPr>
              <w:t>;</w:t>
            </w:r>
            <w:r>
              <w:rPr>
                <w:rFonts w:ascii="宋体" w:hAnsi="宋体" w:cs="宋体" w:eastAsia="宋体" w:hint="default"/>
                <w:sz w:val="18"/>
                <w:szCs w:val="18"/>
              </w:rPr>
              <w:t>蔡 宝宇</w:t>
            </w:r>
            <w:r>
              <w:rPr>
                <w:rFonts w:ascii="Times New Roman" w:hAnsi="Times New Roman" w:cs="Times New Roman" w:eastAsia="Times New Roman" w:hint="default"/>
                <w:sz w:val="18"/>
                <w:szCs w:val="18"/>
              </w:rPr>
              <w:t>;</w:t>
            </w:r>
            <w:r>
              <w:rPr>
                <w:rFonts w:ascii="宋体" w:hAnsi="宋体" w:cs="宋体" w:eastAsia="宋体" w:hint="default"/>
                <w:sz w:val="18"/>
                <w:szCs w:val="18"/>
              </w:rPr>
              <w:t>温长建</w:t>
            </w:r>
            <w:r>
              <w:rPr>
                <w:rFonts w:ascii="Times New Roman" w:hAnsi="Times New Roman" w:cs="Times New Roman" w:eastAsia="Times New Roman" w:hint="default"/>
                <w:sz w:val="18"/>
                <w:szCs w:val="18"/>
              </w:rPr>
              <w:t>;</w:t>
            </w:r>
            <w:r>
              <w:rPr>
                <w:rFonts w:ascii="宋体" w:hAnsi="宋体" w:cs="宋体" w:eastAsia="宋体" w:hint="default"/>
                <w:sz w:val="18"/>
                <w:szCs w:val="18"/>
              </w:rPr>
              <w:t>徐灵</w:t>
            </w:r>
            <w:r>
              <w:rPr>
                <w:rFonts w:ascii="宋体" w:hAnsi="宋体" w:cs="宋体" w:eastAsia="宋体" w:hint="default"/>
                <w:spacing w:val="-2"/>
                <w:sz w:val="18"/>
                <w:szCs w:val="18"/>
              </w:rPr>
              <w:t> </w:t>
            </w:r>
            <w:r>
              <w:rPr>
                <w:rFonts w:ascii="宋体" w:hAnsi="宋体" w:cs="宋体" w:eastAsia="宋体" w:hint="default"/>
                <w:sz w:val="18"/>
                <w:szCs w:val="18"/>
              </w:rPr>
              <w:t>慧</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4" w:right="161"/>
              <w:jc w:val="left"/>
              <w:rPr>
                <w:rFonts w:ascii="宋体" w:hAnsi="宋体" w:cs="宋体" w:eastAsia="宋体" w:hint="default"/>
                <w:sz w:val="18"/>
                <w:szCs w:val="18"/>
              </w:rPr>
            </w:pPr>
            <w:r>
              <w:rPr>
                <w:rFonts w:ascii="宋体" w:hAnsi="宋体" w:cs="宋体" w:eastAsia="宋体" w:hint="default"/>
                <w:sz w:val="18"/>
                <w:szCs w:val="18"/>
              </w:rPr>
              <w:t>任职期限和竞 业禁止承诺</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2" w:right="20"/>
              <w:jc w:val="both"/>
              <w:rPr>
                <w:rFonts w:ascii="宋体" w:hAnsi="宋体" w:cs="宋体" w:eastAsia="宋体" w:hint="default"/>
                <w:sz w:val="18"/>
                <w:szCs w:val="18"/>
              </w:rPr>
            </w:pPr>
            <w:r>
              <w:rPr>
                <w:rFonts w:ascii="宋体" w:hAnsi="宋体" w:cs="宋体" w:eastAsia="宋体" w:hint="default"/>
                <w:sz w:val="18"/>
                <w:szCs w:val="18"/>
              </w:rPr>
              <w:t>份购买资产实施结束 之日起其在滨河创新 的服务期限不少于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60 </w:t>
            </w:r>
            <w:r>
              <w:rPr>
                <w:rFonts w:ascii="宋体" w:hAnsi="宋体" w:cs="宋体" w:eastAsia="宋体" w:hint="default"/>
                <w:spacing w:val="-5"/>
                <w:sz w:val="18"/>
                <w:szCs w:val="18"/>
              </w:rPr>
              <w:t>个月。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9" w:lineRule="auto" w:before="142"/>
              <w:ind w:left="22" w:right="24"/>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刘开同及标的公司核</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心人员胡卫彬、蔡宝</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宇、温长建、徐灵慧</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就竞业限制达成协议</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如下：</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自本协议生效</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之日至其从滨河创新</w:t>
            </w: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277"/>
        <w:gridCol w:w="1700"/>
        <w:gridCol w:w="1134"/>
        <w:gridCol w:w="1134"/>
        <w:gridCol w:w="779"/>
      </w:tblGrid>
      <w:tr>
        <w:trPr>
          <w:trHeight w:val="322"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个月内，乙</w:t>
            </w:r>
          </w:p>
        </w:tc>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3"/>
              <w:jc w:val="center"/>
              <w:rPr>
                <w:rFonts w:ascii="宋体" w:hAnsi="宋体" w:cs="宋体" w:eastAsia="宋体" w:hint="default"/>
                <w:sz w:val="18"/>
                <w:szCs w:val="18"/>
              </w:rPr>
            </w:pPr>
            <w:r>
              <w:rPr>
                <w:rFonts w:ascii="宋体" w:hAnsi="宋体" w:cs="宋体" w:eastAsia="宋体" w:hint="default"/>
                <w:sz w:val="18"/>
                <w:szCs w:val="18"/>
              </w:rPr>
              <w:t>方不得从事与甲方或</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滨河创新业务相同或</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类似的投资或任职行</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为，即无论在何种情</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况下，不得以任何方</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式受聘或经营于任何</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与甲方及其控股子公</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司、滨河创新及其下</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属公司业务有直接或</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间接竞争或利益冲突</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之公司及业务，不能</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到生产、开发、经营</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与甲方及其控股子公</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司、滨河创新及其下</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属公司生产、开发、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经营同类产品或经营</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同类业务或有竞争关</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系的其他用人单位兼</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职或全职；也不能自</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行或以任何第三者的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名义设立、投资或控</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股与甲方及其控股子</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公司、滨河创新及其</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下属公司有任何竞争</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关系或利益冲突的同</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类企业或经营单位，</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或从事与滨河创新有</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竞争关系的业务；如</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乙方或其所控制的除</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滨河创新外的其他企</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业从任何第三方获得</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的商业机会与甲方、</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滨河创新及其下属公</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司的业务有竞争或可</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能存在竞争，则将该</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商业机会让予甲方或</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其控股子公司、滨河</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创新或其下属公司；</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但滨河创新在乙方未</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违反其劳动合同或者</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未完成工作目标等义</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务的情况下辞退乙方</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的除外。自本协议生</w:t>
            </w: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8.899994pt;margin-top:72.47998pt;width:80.4pt;height:470.1pt;mso-position-horizontal-relative:page;mso-position-vertical-relative:page;z-index:-11324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雇用）</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07"/>
                    <w:ind w:left="0" w:right="0" w:firstLine="0"/>
                    <w:jc w:val="left"/>
                    <w:rPr>
                      <w:rFonts w:ascii="宋体" w:hAnsi="宋体" w:cs="宋体" w:eastAsia="宋体" w:hint="default"/>
                      <w:sz w:val="18"/>
                      <w:szCs w:val="18"/>
                    </w:rPr>
                  </w:pPr>
                  <w:r>
                    <w:rPr>
                      <w:rFonts w:ascii="宋体" w:hAnsi="宋体" w:cs="宋体" w:eastAsia="宋体" w:hint="default"/>
                      <w:sz w:val="18"/>
                      <w:szCs w:val="18"/>
                    </w:rPr>
                    <w:t>受贿、</w:t>
                  </w:r>
                </w:p>
              </w:txbxContent>
            </v:textbox>
            <w10:wrap type="none"/>
          </v:shape>
        </w:pict>
      </w:r>
      <w:r>
        <w:rPr/>
        <w:pict>
          <v:group style="position:absolute;margin-left:383.019989pt;margin-top:72.47998pt;width:56.25pt;height:470.1pt;mso-position-horizontal-relative:page;mso-position-vertical-relative:page;z-index:-1132432" coordorigin="7660,1450" coordsize="1125,9402">
            <v:shape style="position:absolute;left:7660;top:1450;width:1125;height:9402" coordorigin="7660,1450" coordsize="1125,9402" path="m7660,10851l8785,10851,8785,1450,7660,1450,7660,10851xe" filled="true" fillcolor="#ffffff" stroked="false">
              <v:path arrowok="t"/>
              <v:fill type="solid"/>
            </v:shape>
            <w10:wrap type="none"/>
          </v:group>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277"/>
        <w:gridCol w:w="1700"/>
        <w:gridCol w:w="1134"/>
        <w:gridCol w:w="1134"/>
        <w:gridCol w:w="781"/>
      </w:tblGrid>
      <w:tr>
        <w:trPr>
          <w:trHeight w:val="9411"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7"/>
              <w:jc w:val="left"/>
              <w:rPr>
                <w:rFonts w:ascii="宋体" w:hAnsi="宋体" w:cs="宋体" w:eastAsia="宋体" w:hint="default"/>
                <w:sz w:val="18"/>
                <w:szCs w:val="18"/>
              </w:rPr>
            </w:pPr>
            <w:r>
              <w:rPr>
                <w:rFonts w:ascii="宋体" w:hAnsi="宋体" w:cs="宋体" w:eastAsia="宋体" w:hint="default"/>
                <w:sz w:val="18"/>
                <w:szCs w:val="18"/>
              </w:rPr>
              <w:t>效之日至其从滨河创 新离职后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乙方不得以任何理由 或方式（包括但不限 </w:t>
            </w:r>
            <w:r>
              <w:rPr>
                <w:rFonts w:ascii="宋体" w:hAnsi="宋体" w:cs="宋体" w:eastAsia="宋体" w:hint="default"/>
                <w:spacing w:val="-5"/>
                <w:sz w:val="18"/>
                <w:szCs w:val="18"/>
              </w:rPr>
              <w:t>于劝喻、拉拢、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导致滨河创新其他经 营管理人员离开滨河 创新。同时，乙方不 得以任何名义或形式 与离开滨河创新的经 营管理人员合作或投 资与滨河创新有相同 或有竞争关系的业 务，也不得雇佣滨河 创新经营管理人员</w:t>
            </w:r>
          </w:p>
          <w:p>
            <w:pPr>
              <w:pStyle w:val="TableParagraph"/>
              <w:spacing w:line="319" w:lineRule="auto" w:before="19"/>
              <w:ind w:left="22" w:right="20"/>
              <w:jc w:val="left"/>
              <w:rPr>
                <w:rFonts w:ascii="宋体" w:hAnsi="宋体" w:cs="宋体" w:eastAsia="宋体" w:hint="default"/>
                <w:sz w:val="18"/>
                <w:szCs w:val="18"/>
              </w:rPr>
            </w:pPr>
            <w:r>
              <w:rPr>
                <w:rFonts w:ascii="宋体" w:hAnsi="宋体" w:cs="宋体" w:eastAsia="宋体" w:hint="default"/>
                <w:spacing w:val="-16"/>
                <w:sz w:val="18"/>
                <w:szCs w:val="18"/>
              </w:rPr>
              <w:t>（包括离职人员）。乙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方承诺严守甲方及其 控股子公司、滨河创 新及其下属公司秘 密，不泄露其所知悉 或掌握的甲方及其控 股子公司、滨河创新 及其下属公司的商业 秘密。乙方不得以任 何方式和手段（包括 但不限于侵占、 舞弊、盗窃、挪用等 不当或不法手段和方 式）损害或侵害滨河 创新利益。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48" w:right="0"/>
              <w:jc w:val="left"/>
              <w:rPr>
                <w:rFonts w:ascii="宋体" w:hAnsi="宋体" w:cs="宋体" w:eastAsia="宋体" w:hint="default"/>
                <w:sz w:val="18"/>
                <w:szCs w:val="18"/>
              </w:rPr>
            </w:pP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00" w:lineRule="auto"/>
              <w:ind w:left="22" w:right="35"/>
              <w:jc w:val="left"/>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董书倩</w:t>
            </w:r>
            <w:r>
              <w:rPr>
                <w:rFonts w:ascii="Times New Roman" w:hAnsi="Times New Roman" w:cs="Times New Roman" w:eastAsia="Times New Roman" w:hint="default"/>
                <w:sz w:val="18"/>
                <w:szCs w:val="18"/>
              </w:rPr>
              <w:t>;</w:t>
            </w:r>
            <w:r>
              <w:rPr>
                <w:rFonts w:ascii="宋体" w:hAnsi="宋体" w:cs="宋体" w:eastAsia="宋体" w:hint="default"/>
                <w:sz w:val="18"/>
                <w:szCs w:val="18"/>
              </w:rPr>
              <w:t>刘 运龙</w:t>
            </w:r>
            <w:r>
              <w:rPr>
                <w:rFonts w:ascii="Times New Roman" w:hAnsi="Times New Roman" w:cs="Times New Roman" w:eastAsia="Times New Roman" w:hint="default"/>
                <w:sz w:val="18"/>
                <w:szCs w:val="18"/>
              </w:rPr>
              <w:t>;</w:t>
            </w:r>
            <w:r>
              <w:rPr>
                <w:rFonts w:ascii="宋体" w:hAnsi="宋体" w:cs="宋体" w:eastAsia="宋体" w:hint="default"/>
                <w:sz w:val="18"/>
                <w:szCs w:val="18"/>
              </w:rPr>
              <w:t>天津滨河数据 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4" w:right="161"/>
              <w:jc w:val="left"/>
              <w:rPr>
                <w:rFonts w:ascii="宋体" w:hAnsi="宋体" w:cs="宋体" w:eastAsia="宋体" w:hint="default"/>
                <w:sz w:val="18"/>
                <w:szCs w:val="18"/>
              </w:rPr>
            </w:pPr>
            <w:r>
              <w:rPr>
                <w:rFonts w:ascii="宋体" w:hAnsi="宋体" w:cs="宋体" w:eastAsia="宋体" w:hint="default"/>
                <w:sz w:val="18"/>
                <w:szCs w:val="18"/>
              </w:rPr>
              <w:t>关于盈利补偿 的承诺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交易对方刘开同、董 书倩、刘运龙和滨河 数据向上市公司承 </w:t>
            </w:r>
            <w:r>
              <w:rPr>
                <w:rFonts w:ascii="宋体" w:hAnsi="宋体" w:cs="宋体" w:eastAsia="宋体" w:hint="default"/>
                <w:spacing w:val="-11"/>
                <w:sz w:val="18"/>
                <w:szCs w:val="18"/>
              </w:rPr>
              <w:t>诺：标的公司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ind w:left="22" w:right="23"/>
              <w:jc w:val="left"/>
              <w:rPr>
                <w:rFonts w:ascii="宋体" w:hAnsi="宋体" w:cs="宋体" w:eastAsia="宋体" w:hint="default"/>
                <w:sz w:val="18"/>
                <w:szCs w:val="18"/>
              </w:rPr>
            </w:pPr>
            <w:r>
              <w:rPr>
                <w:rFonts w:ascii="宋体" w:hAnsi="宋体" w:cs="宋体" w:eastAsia="宋体" w:hint="default"/>
                <w:spacing w:val="-11"/>
                <w:sz w:val="18"/>
                <w:szCs w:val="18"/>
              </w:rPr>
              <w:t>度、</w:t>
            </w:r>
            <w:r>
              <w:rPr>
                <w:rFonts w:ascii="Times New Roman" w:hAnsi="Times New Roman" w:cs="Times New Roman" w:eastAsia="Times New Roman" w:hint="default"/>
                <w:spacing w:val="-11"/>
                <w:sz w:val="18"/>
                <w:szCs w:val="18"/>
              </w:rPr>
              <w:t>2015 </w:t>
            </w:r>
            <w:r>
              <w:rPr>
                <w:rFonts w:ascii="宋体" w:hAnsi="宋体" w:cs="宋体" w:eastAsia="宋体" w:hint="default"/>
                <w:sz w:val="18"/>
                <w:szCs w:val="18"/>
              </w:rPr>
              <w:t>年度和</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年度实现的合并报表 扣除非经常性损益后 归属于母公司股东的 净利润分别不低于 </w:t>
            </w:r>
            <w:r>
              <w:rPr>
                <w:rFonts w:ascii="Times New Roman" w:hAnsi="Times New Roman" w:cs="Times New Roman" w:eastAsia="Times New Roman" w:hint="default"/>
                <w:sz w:val="18"/>
                <w:szCs w:val="18"/>
              </w:rPr>
              <w:t>6,100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7,250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312" w:lineRule="auto" w:before="1"/>
              <w:ind w:left="22" w:right="47"/>
              <w:jc w:val="both"/>
              <w:rPr>
                <w:rFonts w:ascii="宋体" w:hAnsi="宋体" w:cs="宋体" w:eastAsia="宋体" w:hint="default"/>
                <w:sz w:val="18"/>
                <w:szCs w:val="18"/>
              </w:rPr>
            </w:pPr>
            <w:r>
              <w:rPr>
                <w:rFonts w:ascii="宋体" w:hAnsi="宋体" w:cs="宋体" w:eastAsia="宋体" w:hint="default"/>
                <w:sz w:val="18"/>
                <w:szCs w:val="18"/>
              </w:rPr>
              <w:t>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 次交易的利润补偿期 为标的资产交割日起 连续三个会计年度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26"/>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8.899994pt;margin-top:72.47998pt;width:80.4pt;height:64.45pt;mso-position-horizontal-relative:page;mso-position-vertical-relative:page;z-index:-11323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5"/>
                    <w:ind w:left="0" w:right="0" w:firstLine="0"/>
                    <w:jc w:val="left"/>
                    <w:rPr>
                      <w:rFonts w:ascii="宋体" w:hAnsi="宋体" w:cs="宋体" w:eastAsia="宋体" w:hint="default"/>
                      <w:sz w:val="18"/>
                      <w:szCs w:val="18"/>
                    </w:rPr>
                  </w:pPr>
                  <w:r>
                    <w:rPr>
                      <w:rFonts w:ascii="宋体" w:hAnsi="宋体" w:cs="宋体" w:eastAsia="宋体" w:hint="default"/>
                      <w:sz w:val="18"/>
                      <w:szCs w:val="18"/>
                    </w:rPr>
                    <w:t>年度、</w:t>
                  </w:r>
                </w:p>
              </w:txbxContent>
            </v:textbox>
            <w10:wrap type="none"/>
          </v:shape>
        </w:pict>
      </w:r>
      <w:r>
        <w:rPr/>
        <w:pict>
          <v:shape style="position:absolute;margin-left:376.899994pt;margin-top:628.539978pt;width:62.4pt;height:139.4pt;mso-position-horizontal-relative:page;mso-position-vertical-relative:page;z-index:-1132360" type="#_x0000_t202" filled="false" stroked="false">
            <v:textbox inset="0,0,0,0">
              <w:txbxContent>
                <w:p>
                  <w:pPr>
                    <w:spacing w:line="22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83.019989pt;margin-top:628.539978pt;width:56.25pt;height:139.4pt;mso-position-horizontal-relative:page;mso-position-vertical-relative:page;z-index:-1132336" coordorigin="7660,12571" coordsize="1125,2788">
            <v:shape style="position:absolute;left:7660;top:12571;width:1125;height:2788" coordorigin="7660,12571" coordsize="1125,2788" path="m7660,15359l8785,15359,8785,12571,7660,12571,7660,1535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277"/>
        <w:gridCol w:w="1700"/>
        <w:gridCol w:w="1134"/>
        <w:gridCol w:w="1134"/>
        <w:gridCol w:w="779"/>
      </w:tblGrid>
      <w:tr>
        <w:trPr>
          <w:trHeight w:val="317"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（含标的资产交割日</w:t>
            </w:r>
          </w:p>
        </w:tc>
        <w:tc>
          <w:tcPr>
            <w:tcW w:w="1134" w:type="dxa"/>
            <w:vMerge w:val="restart"/>
            <w:tcBorders>
              <w:top w:val="single" w:sz="4" w:space="0" w:color="000000"/>
              <w:left w:val="single" w:sz="4" w:space="0" w:color="000000"/>
              <w:right w:val="single" w:sz="4" w:space="0" w:color="000000"/>
            </w:tcBorders>
          </w:tcPr>
          <w:p>
            <w:pPr>
              <w:pStyle w:val="TableParagraph"/>
              <w:spacing w:line="128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pict>
                <v:group style="width:56.25pt;height:64.45pt;mso-position-horizontal-relative:char;mso-position-vertical-relative:line" coordorigin="0,0" coordsize="1125,1289">
                  <v:group style="position:absolute;left:0;top:0;width:1125;height:1289" coordorigin="0,0" coordsize="1125,1289">
                    <v:shape style="position:absolute;left:0;top:0;width:1125;height:1289" coordorigin="0,0" coordsize="1125,1289" path="m0,1289l1125,1289,1125,0,0,0,0,1289xe" filled="true" fillcolor="#ffffff" stroked="false">
                      <v:path arrowok="t"/>
                      <v:fill type="solid"/>
                    </v:shape>
                  </v:group>
                </v:group>
              </w:pict>
            </w:r>
            <w:r>
              <w:rPr>
                <w:rFonts w:ascii="Times New Roman" w:hAnsi="Times New Roman" w:cs="Times New Roman" w:eastAsia="Times New Roman" w:hint="default"/>
                <w:position w:val="-25"/>
                <w:sz w:val="20"/>
                <w:szCs w:val="20"/>
              </w:rPr>
            </w:r>
          </w:p>
        </w:tc>
        <w:tc>
          <w:tcPr>
            <w:tcW w:w="1134"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当年</w:t>
            </w:r>
            <w:r>
              <w:rPr>
                <w:rFonts w:ascii="宋体" w:hAnsi="宋体" w:cs="宋体" w:eastAsia="宋体" w:hint="default"/>
                <w:spacing w:val="-90"/>
                <w:sz w:val="18"/>
                <w:szCs w:val="18"/>
              </w:rPr>
              <w:t>）</w:t>
            </w:r>
            <w:r>
              <w:rPr>
                <w:rFonts w:ascii="宋体" w:hAnsi="宋体" w:cs="宋体" w:eastAsia="宋体" w:hint="default"/>
                <w:spacing w:val="-65"/>
                <w:sz w:val="18"/>
                <w:szCs w:val="18"/>
              </w:rPr>
              <w:t>，</w:t>
            </w:r>
            <w:r>
              <w:rPr>
                <w:rFonts w:ascii="宋体" w:hAnsi="宋体" w:cs="宋体" w:eastAsia="宋体" w:hint="default"/>
                <w:sz w:val="18"/>
                <w:szCs w:val="18"/>
              </w:rPr>
              <w:t>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度。</w:t>
            </w: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58" w:hRule="exact"/>
        </w:trPr>
        <w:tc>
          <w:tcPr>
            <w:tcW w:w="1985"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一、中科金财本次向</w:t>
            </w: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本公司发行的股份自</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股份上市之日起三十</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六个月内不得转让和</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质押。对于无法避免</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或有合理原因而发生</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的股份质押，需获得</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中科金财实际控制人</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84"/>
              <w:jc w:val="left"/>
              <w:rPr>
                <w:rFonts w:ascii="宋体" w:hAnsi="宋体" w:cs="宋体" w:eastAsia="宋体" w:hint="default"/>
                <w:sz w:val="18"/>
                <w:szCs w:val="18"/>
              </w:rPr>
            </w:pPr>
            <w:r>
              <w:rPr>
                <w:rFonts w:ascii="宋体" w:hAnsi="宋体" w:cs="宋体" w:eastAsia="宋体" w:hint="default"/>
                <w:sz w:val="18"/>
                <w:szCs w:val="18"/>
              </w:rPr>
              <w:t>天津滨河数据信息 技术有限公司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4" w:right="161"/>
              <w:jc w:val="left"/>
              <w:rPr>
                <w:rFonts w:ascii="宋体" w:hAnsi="宋体" w:cs="宋体" w:eastAsia="宋体" w:hint="default"/>
                <w:sz w:val="18"/>
                <w:szCs w:val="18"/>
              </w:rPr>
            </w:pPr>
            <w:r>
              <w:rPr>
                <w:rFonts w:ascii="宋体" w:hAnsi="宋体" w:cs="宋体" w:eastAsia="宋体" w:hint="default"/>
                <w:sz w:val="18"/>
                <w:szCs w:val="18"/>
              </w:rPr>
              <w:t>关于股份锁定 的承诺</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7"/>
              <w:jc w:val="both"/>
              <w:rPr>
                <w:rFonts w:ascii="宋体" w:hAnsi="宋体" w:cs="宋体" w:eastAsia="宋体" w:hint="default"/>
                <w:sz w:val="18"/>
                <w:szCs w:val="18"/>
              </w:rPr>
            </w:pPr>
            <w:r>
              <w:rPr>
                <w:rFonts w:ascii="宋体" w:hAnsi="宋体" w:cs="宋体" w:eastAsia="宋体" w:hint="default"/>
                <w:sz w:val="18"/>
                <w:szCs w:val="18"/>
              </w:rPr>
              <w:t>书面同意方可执行。 二、锁定期内，本公 司如因中科金财实施 送红股、资本公积金</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转增股本事项而增持</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的中科金财股份，亦</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应遵守上述锁定期限</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的约定，但相关法律</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法规、中国证券监督</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管理委员会及深圳证</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券交易所另有规定的</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除外。</w:t>
            </w: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一、中科金财通过本</w:t>
            </w: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次交易向本人发行的</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中科金财股份自股份</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上市之日起十二个月</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内不得转让和质押。</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对于无法避免或有合</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理原因而发生的股份</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质押，需获得中科金</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1253"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董书倩</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4" w:right="161"/>
              <w:jc w:val="left"/>
              <w:rPr>
                <w:rFonts w:ascii="宋体" w:hAnsi="宋体" w:cs="宋体" w:eastAsia="宋体" w:hint="default"/>
                <w:sz w:val="18"/>
                <w:szCs w:val="18"/>
              </w:rPr>
            </w:pPr>
            <w:r>
              <w:rPr>
                <w:rFonts w:ascii="宋体" w:hAnsi="宋体" w:cs="宋体" w:eastAsia="宋体" w:hint="default"/>
                <w:sz w:val="18"/>
                <w:szCs w:val="18"/>
              </w:rPr>
              <w:t>关于股份锁定 的承诺</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7"/>
              <w:jc w:val="both"/>
              <w:rPr>
                <w:rFonts w:ascii="Times New Roman" w:hAnsi="Times New Roman" w:cs="Times New Roman" w:eastAsia="Times New Roman" w:hint="default"/>
                <w:sz w:val="18"/>
                <w:szCs w:val="18"/>
              </w:rPr>
            </w:pPr>
            <w:r>
              <w:rPr>
                <w:rFonts w:ascii="宋体" w:hAnsi="宋体" w:cs="宋体" w:eastAsia="宋体" w:hint="default"/>
                <w:sz w:val="18"/>
                <w:szCs w:val="18"/>
              </w:rPr>
              <w:t>财实际控制人书面同 意方可执行。在十二 个月届满后按如下比 </w:t>
            </w:r>
            <w:r>
              <w:rPr>
                <w:rFonts w:ascii="宋体" w:hAnsi="宋体" w:cs="宋体" w:eastAsia="宋体" w:hint="default"/>
                <w:spacing w:val="-16"/>
                <w:sz w:val="18"/>
                <w:szCs w:val="18"/>
              </w:rPr>
              <w:t>例逐步解除限售：（</w:t>
            </w:r>
            <w:r>
              <w:rPr>
                <w:rFonts w:ascii="Times New Roman" w:hAnsi="Times New Roman" w:cs="Times New Roman" w:eastAsia="Times New Roman" w:hint="default"/>
                <w:spacing w:val="-16"/>
                <w:sz w:val="18"/>
                <w:szCs w:val="18"/>
              </w:rPr>
              <w:t>1</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24"/>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自本次股份发行交易</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完成之日起满十二个</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月，且审计机构对滨</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河创新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际盈利情况出具《专</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项审核报告》后，解</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除锁定股份的数量为</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因本次交易而获得的</w:t>
            </w: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7.899994pt;margin-top:72.47998pt;width:71.4pt;height:423.3pt;mso-position-horizontal-relative:page;mso-position-vertical-relative:page;z-index:-1132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后，</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277"/>
        <w:gridCol w:w="1700"/>
        <w:gridCol w:w="1134"/>
        <w:gridCol w:w="1134"/>
        <w:gridCol w:w="781"/>
      </w:tblGrid>
      <w:tr>
        <w:trPr>
          <w:trHeight w:val="8475"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47"/>
              <w:jc w:val="left"/>
              <w:rPr>
                <w:rFonts w:ascii="宋体" w:hAnsi="宋体" w:cs="宋体" w:eastAsia="宋体" w:hint="default"/>
                <w:sz w:val="18"/>
                <w:szCs w:val="18"/>
              </w:rPr>
            </w:pPr>
            <w:r>
              <w:rPr>
                <w:rFonts w:ascii="宋体" w:hAnsi="宋体" w:cs="宋体" w:eastAsia="宋体" w:hint="default"/>
                <w:sz w:val="18"/>
                <w:szCs w:val="18"/>
              </w:rPr>
              <w:t>中科金财股份数量的 </w:t>
            </w:r>
            <w:r>
              <w:rPr>
                <w:rFonts w:ascii="Times New Roman" w:hAnsi="Times New Roman" w:cs="Times New Roman" w:eastAsia="Times New Roman" w:hint="default"/>
                <w:spacing w:val="-9"/>
                <w:sz w:val="18"/>
                <w:szCs w:val="18"/>
              </w:rPr>
              <w:t>30%</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）审计机构</w:t>
            </w:r>
            <w:r>
              <w:rPr>
                <w:rFonts w:ascii="宋体" w:hAnsi="宋体" w:cs="宋体" w:eastAsia="宋体" w:hint="default"/>
                <w:spacing w:val="-81"/>
                <w:sz w:val="18"/>
                <w:szCs w:val="18"/>
              </w:rPr>
              <w:t> </w:t>
            </w:r>
            <w:r>
              <w:rPr>
                <w:rFonts w:ascii="宋体" w:hAnsi="宋体" w:cs="宋体" w:eastAsia="宋体" w:hint="default"/>
                <w:sz w:val="18"/>
                <w:szCs w:val="18"/>
              </w:rPr>
              <w:t>对滨河创新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度实际盈利情况出具</w:t>
            </w:r>
          </w:p>
          <w:p>
            <w:pPr>
              <w:pStyle w:val="TableParagraph"/>
              <w:spacing w:line="316" w:lineRule="auto" w:before="26"/>
              <w:ind w:left="22" w:right="31"/>
              <w:jc w:val="left"/>
              <w:rPr>
                <w:rFonts w:ascii="宋体" w:hAnsi="宋体" w:cs="宋体" w:eastAsia="宋体" w:hint="default"/>
                <w:sz w:val="18"/>
                <w:szCs w:val="18"/>
              </w:rPr>
            </w:pPr>
            <w:r>
              <w:rPr>
                <w:rFonts w:ascii="宋体" w:hAnsi="宋体" w:cs="宋体" w:eastAsia="宋体" w:hint="default"/>
                <w:sz w:val="18"/>
                <w:szCs w:val="18"/>
              </w:rPr>
              <w:t>《专项审核报告》 解除锁定股份的数量 为因本次交易而获得 的中科金财股份数量 的</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30%</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）审计机</w:t>
            </w:r>
            <w:r>
              <w:rPr>
                <w:rFonts w:ascii="宋体" w:hAnsi="宋体" w:cs="宋体" w:eastAsia="宋体" w:hint="default"/>
                <w:sz w:val="18"/>
                <w:szCs w:val="18"/>
              </w:rPr>
              <w:t> 构对滨河创新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年度实际盈利情况出 具《专项审核报告》 及《减值测试报告》 后，解除锁定股份的 数量为因本次交易而 获得的中科金财股份 数量的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。二、锁 定期内，本人如因中 科金财实施送红股、 资本公积金转增股本 事项而增持的中科金 财股份，亦应遵守上 述锁定期限的约定， 但相关法律法规、中 国证券监督管理委员 会及深圳证券交易所 另有规定的除外。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846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8"/>
                <w:sz w:val="20"/>
                <w:szCs w:val="20"/>
              </w:rPr>
              <w:pict>
                <v:group style="width:56.25pt;height:423.3pt;mso-position-horizontal-relative:char;mso-position-vertical-relative:line" coordorigin="0,0" coordsize="1125,8466">
                  <v:group style="position:absolute;left:0;top:0;width:1125;height:8466" coordorigin="0,0" coordsize="1125,8466">
                    <v:shape style="position:absolute;left:0;top:0;width:1125;height:8466" coordorigin="0,0" coordsize="1125,8466" path="m0,8466l1125,8466,1125,0,0,0,0,8466xe" filled="true" fillcolor="#ffffff" stroked="false">
                      <v:path arrowok="t"/>
                      <v:fill type="solid"/>
                    </v:shape>
                  </v:group>
                </v:group>
              </w:pict>
            </w:r>
            <w:r>
              <w:rPr>
                <w:rFonts w:ascii="Times New Roman" w:hAnsi="Times New Roman" w:cs="Times New Roman" w:eastAsia="Times New Roman" w:hint="default"/>
                <w:position w:val="-168"/>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5"/>
              <w:ind w:left="22" w:right="35"/>
              <w:jc w:val="left"/>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董书倩</w:t>
            </w:r>
            <w:r>
              <w:rPr>
                <w:rFonts w:ascii="Times New Roman" w:hAnsi="Times New Roman" w:cs="Times New Roman" w:eastAsia="Times New Roman" w:hint="default"/>
                <w:sz w:val="18"/>
                <w:szCs w:val="18"/>
              </w:rPr>
              <w:t>;</w:t>
            </w:r>
            <w:r>
              <w:rPr>
                <w:rFonts w:ascii="宋体" w:hAnsi="宋体" w:cs="宋体" w:eastAsia="宋体" w:hint="default"/>
                <w:sz w:val="18"/>
                <w:szCs w:val="18"/>
              </w:rPr>
              <w:t>刘 运龙</w:t>
            </w:r>
            <w:r>
              <w:rPr>
                <w:rFonts w:ascii="Times New Roman" w:hAnsi="Times New Roman" w:cs="Times New Roman" w:eastAsia="Times New Roman" w:hint="default"/>
                <w:sz w:val="18"/>
                <w:szCs w:val="18"/>
              </w:rPr>
              <w:t>;</w:t>
            </w:r>
            <w:r>
              <w:rPr>
                <w:rFonts w:ascii="宋体" w:hAnsi="宋体" w:cs="宋体" w:eastAsia="宋体" w:hint="default"/>
                <w:sz w:val="18"/>
                <w:szCs w:val="18"/>
              </w:rPr>
              <w:t>天津滨河数据 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4" w:right="161"/>
              <w:jc w:val="both"/>
              <w:rPr>
                <w:rFonts w:ascii="宋体" w:hAnsi="宋体" w:cs="宋体" w:eastAsia="宋体" w:hint="default"/>
                <w:sz w:val="18"/>
                <w:szCs w:val="18"/>
              </w:rPr>
            </w:pPr>
            <w:r>
              <w:rPr>
                <w:rFonts w:ascii="宋体" w:hAnsi="宋体" w:cs="宋体" w:eastAsia="宋体" w:hint="default"/>
                <w:sz w:val="18"/>
                <w:szCs w:val="18"/>
              </w:rPr>
              <w:t>关于不谋求公 司实际控制权 的承诺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本次交易完成后，本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本公司仍认可并 尊重沈飒女士作为控 股股东，以及朱烨东 先生和沈飒女士的中 科金财实际控制人地 位，不对朱烨东先生 和沈飒女士在中科金 财经营发展中的实际 控制地位提出任何形 </w:t>
            </w:r>
            <w:r>
              <w:rPr>
                <w:rFonts w:ascii="宋体" w:hAnsi="宋体" w:cs="宋体" w:eastAsia="宋体" w:hint="default"/>
                <w:spacing w:val="-3"/>
                <w:sz w:val="18"/>
                <w:szCs w:val="18"/>
              </w:rPr>
              <w:t>式的异议。本人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w:t>
            </w:r>
            <w:r>
              <w:rPr>
                <w:rFonts w:ascii="宋体" w:hAnsi="宋体" w:cs="宋体" w:eastAsia="宋体" w:hint="default"/>
                <w:spacing w:val="-86"/>
                <w:sz w:val="18"/>
                <w:szCs w:val="18"/>
              </w:rPr>
              <w:t> </w:t>
            </w:r>
            <w:r>
              <w:rPr>
                <w:rFonts w:ascii="宋体" w:hAnsi="宋体" w:cs="宋体" w:eastAsia="宋体" w:hint="default"/>
                <w:sz w:val="18"/>
                <w:szCs w:val="18"/>
              </w:rPr>
              <w:t>司不会单方面的通过 增持股份等行为主动 谋求中科金财的控制 权，不单独或与任何 其他方协作（包括但 不限于签署一致行动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26"/>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277"/>
        <w:gridCol w:w="1700"/>
        <w:gridCol w:w="1134"/>
        <w:gridCol w:w="1134"/>
        <w:gridCol w:w="779"/>
      </w:tblGrid>
      <w:tr>
        <w:trPr>
          <w:trHeight w:val="3483"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7"/>
              <w:jc w:val="both"/>
              <w:rPr>
                <w:rFonts w:ascii="宋体" w:hAnsi="宋体" w:cs="宋体" w:eastAsia="宋体" w:hint="default"/>
                <w:sz w:val="18"/>
                <w:szCs w:val="18"/>
              </w:rPr>
            </w:pPr>
            <w:r>
              <w:rPr>
                <w:rFonts w:ascii="宋体" w:hAnsi="宋体" w:cs="宋体" w:eastAsia="宋体" w:hint="default"/>
                <w:sz w:val="18"/>
                <w:szCs w:val="18"/>
              </w:rPr>
              <w:t>协议、实际形成一致 行动等）对沈飒女士 控股股东地位及朱烨 东先生和沈飒女士的 实际控制人地位进行 任何形式的威胁，如 有必要，将采取一切 有利于维持中科金财 实际控制权稳定的行 为对朱烨东先生和沈 飒女士提供支持。</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8"/>
              <w:ind w:left="22" w:right="35"/>
              <w:jc w:val="left"/>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董书倩</w:t>
            </w:r>
            <w:r>
              <w:rPr>
                <w:rFonts w:ascii="Times New Roman" w:hAnsi="Times New Roman" w:cs="Times New Roman" w:eastAsia="Times New Roman" w:hint="default"/>
                <w:sz w:val="18"/>
                <w:szCs w:val="18"/>
              </w:rPr>
              <w:t>;</w:t>
            </w:r>
            <w:r>
              <w:rPr>
                <w:rFonts w:ascii="宋体" w:hAnsi="宋体" w:cs="宋体" w:eastAsia="宋体" w:hint="default"/>
                <w:sz w:val="18"/>
                <w:szCs w:val="18"/>
              </w:rPr>
              <w:t>刘 运龙</w:t>
            </w:r>
            <w:r>
              <w:rPr>
                <w:rFonts w:ascii="Times New Roman" w:hAnsi="Times New Roman" w:cs="Times New Roman" w:eastAsia="Times New Roman" w:hint="default"/>
                <w:sz w:val="18"/>
                <w:szCs w:val="18"/>
              </w:rPr>
              <w:t>;</w:t>
            </w:r>
            <w:r>
              <w:rPr>
                <w:rFonts w:ascii="宋体" w:hAnsi="宋体" w:cs="宋体" w:eastAsia="宋体" w:hint="default"/>
                <w:sz w:val="18"/>
                <w:szCs w:val="18"/>
              </w:rPr>
              <w:t>天津滨河数据 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22"/>
              <w:jc w:val="left"/>
              <w:rPr>
                <w:rFonts w:ascii="宋体" w:hAnsi="宋体" w:cs="宋体" w:eastAsia="宋体" w:hint="default"/>
                <w:sz w:val="18"/>
                <w:szCs w:val="18"/>
              </w:rPr>
            </w:pPr>
            <w:r>
              <w:rPr>
                <w:rFonts w:ascii="宋体" w:hAnsi="宋体" w:cs="宋体" w:eastAsia="宋体" w:hint="default"/>
                <w:sz w:val="18"/>
                <w:szCs w:val="18"/>
              </w:rPr>
              <w:t>交易对手方关 于所提供信息 </w:t>
            </w:r>
            <w:r>
              <w:rPr>
                <w:rFonts w:ascii="宋体" w:hAnsi="宋体" w:cs="宋体" w:eastAsia="宋体" w:hint="default"/>
                <w:spacing w:val="-6"/>
                <w:sz w:val="18"/>
                <w:szCs w:val="18"/>
              </w:rPr>
              <w:t>真实、准确、完</w:t>
            </w:r>
            <w:r>
              <w:rPr>
                <w:rFonts w:ascii="宋体" w:hAnsi="宋体" w:cs="宋体" w:eastAsia="宋体" w:hint="default"/>
                <w:sz w:val="18"/>
                <w:szCs w:val="18"/>
              </w:rPr>
              <w:t> 整的承诺函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本人／本公司为本次 发行股份及支付现金 购买资产事宜所提供 的有关信息真实、准 确和完整，不存在任 何虚假记载、误导性 陈述或者重大遗漏， 并对所提供信息的真 实性、准确性和完整 性承担法律责任。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24"/>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4770"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84"/>
              <w:jc w:val="both"/>
              <w:rPr>
                <w:rFonts w:ascii="宋体" w:hAnsi="宋体" w:cs="宋体" w:eastAsia="宋体" w:hint="default"/>
                <w:sz w:val="18"/>
                <w:szCs w:val="18"/>
              </w:rPr>
            </w:pPr>
            <w:r>
              <w:rPr>
                <w:rFonts w:ascii="宋体" w:hAnsi="宋体" w:cs="宋体" w:eastAsia="宋体" w:hint="default"/>
                <w:sz w:val="18"/>
                <w:szCs w:val="18"/>
              </w:rPr>
              <w:t>财通基金管理有限 公司、青岛城投金 融控股集团有限公 司、申万菱信基金 管理有限公司、凯 银投资管理有限公 司、易方达基金管 理有限公司、华融 国际信托有限责任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关于股份锁定 的承诺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、本公司同意自中科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金财本次发行结束之 日（指本次发行的股 份上市之日）起，十 二个月内不转让本次 认购的股份，并委托 中科金财董事会向中 国证券登记结算有限 责任公司深圳分公司 申请对本公司上述认 购股份办理锁定手 续，以保证本公司持 有的上述股份自本次 发行结束之日起，十 二个月内不转让。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2235"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朱烨东、沈飒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4" w:right="161"/>
              <w:jc w:val="left"/>
              <w:rPr>
                <w:rFonts w:ascii="宋体" w:hAnsi="宋体" w:cs="宋体" w:eastAsia="宋体" w:hint="default"/>
                <w:sz w:val="18"/>
                <w:szCs w:val="18"/>
              </w:rPr>
            </w:pPr>
            <w:r>
              <w:rPr>
                <w:rFonts w:ascii="宋体" w:hAnsi="宋体" w:cs="宋体" w:eastAsia="宋体" w:hint="default"/>
                <w:sz w:val="18"/>
                <w:szCs w:val="18"/>
              </w:rPr>
              <w:t>关于社保问题 的承诺函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将承担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2008-2011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 公司因</w:t>
            </w:r>
            <w:r>
              <w:rPr>
                <w:rFonts w:ascii="Times New Roman" w:hAnsi="Times New Roman" w:cs="Times New Roman" w:eastAsia="Times New Roman" w:hint="default"/>
                <w:sz w:val="18"/>
                <w:szCs w:val="18"/>
              </w:rPr>
              <w:t>“</w:t>
            </w:r>
            <w:r>
              <w:rPr>
                <w:rFonts w:ascii="宋体" w:hAnsi="宋体" w:cs="宋体" w:eastAsia="宋体" w:hint="default"/>
                <w:sz w:val="18"/>
                <w:szCs w:val="18"/>
              </w:rPr>
              <w:t>原单位缴 纳</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新参保或所需 资料未准备齐全</w:t>
            </w:r>
            <w:r>
              <w:rPr>
                <w:rFonts w:ascii="Times New Roman" w:hAnsi="Times New Roman" w:cs="Times New Roman" w:eastAsia="Times New Roman" w:hint="default"/>
                <w:sz w:val="18"/>
                <w:szCs w:val="18"/>
              </w:rPr>
              <w:t>”</w:t>
            </w:r>
            <w:r>
              <w:rPr>
                <w:rFonts w:ascii="宋体" w:hAnsi="宋体" w:cs="宋体" w:eastAsia="宋体" w:hint="default"/>
                <w:sz w:val="18"/>
                <w:szCs w:val="18"/>
              </w:rPr>
              <w:t>而 未能及时缴纳社会保 险、住房公积金等问 题可能产生的全部费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24"/>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2.899994pt;margin-top:603.339966pt;width:116.4pt;height:61.4pt;mso-position-horizontal-relative:page;mso-position-vertical-relative:page;z-index:-11322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出具如下承诺：</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277"/>
        <w:gridCol w:w="1700"/>
        <w:gridCol w:w="1134"/>
        <w:gridCol w:w="1134"/>
        <w:gridCol w:w="779"/>
      </w:tblGrid>
      <w:tr>
        <w:trPr>
          <w:trHeight w:val="362"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用和经济损失。</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985"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朱烨东、沈飒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关于房屋租赁 的承诺函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若公司租赁房产在租 赁有效期内因出租人 未办理房产证或者未 办理租赁备案登记导 致中科金财受到任何 罚款或者需要变更办 公场所，将承担公司 及其子公司中科商务 由此产生的所有经济 损失。</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24"/>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2898" w:hRule="exact"/>
        </w:trPr>
        <w:tc>
          <w:tcPr>
            <w:tcW w:w="1985"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朱烨东、沈飒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4" w:right="161"/>
              <w:jc w:val="left"/>
              <w:rPr>
                <w:rFonts w:ascii="宋体" w:hAnsi="宋体" w:cs="宋体" w:eastAsia="宋体" w:hint="default"/>
                <w:sz w:val="18"/>
                <w:szCs w:val="18"/>
              </w:rPr>
            </w:pPr>
            <w:r>
              <w:rPr>
                <w:rFonts w:ascii="宋体" w:hAnsi="宋体" w:cs="宋体" w:eastAsia="宋体" w:hint="default"/>
                <w:sz w:val="18"/>
                <w:szCs w:val="18"/>
              </w:rPr>
              <w:t>关于关联交易 的承诺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尽量避免不必要的关 联交易发生，对持续 经营所发生的必要的 关联交易，应以双方 协议规定的方式进行 处理，遵循市场化的 定价原则，避免损害 广大中小股东权益的 情况发生。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24"/>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4146" w:hRule="exact"/>
        </w:trPr>
        <w:tc>
          <w:tcPr>
            <w:tcW w:w="1985"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2"/>
              <w:ind w:left="22" w:right="167"/>
              <w:jc w:val="left"/>
              <w:rPr>
                <w:rFonts w:ascii="宋体" w:hAnsi="宋体" w:cs="宋体" w:eastAsia="宋体" w:hint="default"/>
                <w:sz w:val="18"/>
                <w:szCs w:val="18"/>
              </w:rPr>
            </w:pPr>
            <w:r>
              <w:rPr>
                <w:rFonts w:ascii="宋体" w:hAnsi="宋体" w:cs="宋体" w:eastAsia="宋体" w:hint="default"/>
                <w:sz w:val="18"/>
                <w:szCs w:val="18"/>
              </w:rPr>
              <w:t>朱烨东</w:t>
            </w:r>
            <w:r>
              <w:rPr>
                <w:rFonts w:ascii="Times New Roman" w:hAnsi="Times New Roman" w:cs="Times New Roman" w:eastAsia="Times New Roman" w:hint="default"/>
                <w:sz w:val="18"/>
                <w:szCs w:val="18"/>
              </w:rPr>
              <w:t>;</w:t>
            </w:r>
            <w:r>
              <w:rPr>
                <w:rFonts w:ascii="宋体" w:hAnsi="宋体" w:cs="宋体" w:eastAsia="宋体" w:hint="default"/>
                <w:sz w:val="18"/>
                <w:szCs w:val="18"/>
              </w:rPr>
              <w:t>沈飒</w:t>
            </w:r>
            <w:r>
              <w:rPr>
                <w:rFonts w:ascii="Times New Roman" w:hAnsi="Times New Roman" w:cs="Times New Roman" w:eastAsia="Times New Roman" w:hint="default"/>
                <w:sz w:val="18"/>
                <w:szCs w:val="18"/>
              </w:rPr>
              <w:t>;</w:t>
            </w:r>
            <w:r>
              <w:rPr>
                <w:rFonts w:ascii="宋体" w:hAnsi="宋体" w:cs="宋体" w:eastAsia="宋体" w:hint="default"/>
                <w:sz w:val="18"/>
                <w:szCs w:val="18"/>
              </w:rPr>
              <w:t>陈绪</w:t>
            </w:r>
            <w:r>
              <w:rPr>
                <w:rFonts w:ascii="宋体" w:hAnsi="宋体" w:cs="宋体" w:eastAsia="宋体" w:hint="default"/>
                <w:spacing w:val="-2"/>
                <w:sz w:val="18"/>
                <w:szCs w:val="18"/>
              </w:rPr>
              <w:t> </w:t>
            </w:r>
            <w:r>
              <w:rPr>
                <w:rFonts w:ascii="宋体" w:hAnsi="宋体" w:cs="宋体" w:eastAsia="宋体" w:hint="default"/>
                <w:sz w:val="18"/>
                <w:szCs w:val="18"/>
              </w:rPr>
              <w:t>华</w:t>
            </w:r>
            <w:r>
              <w:rPr>
                <w:rFonts w:ascii="Times New Roman" w:hAnsi="Times New Roman" w:cs="Times New Roman" w:eastAsia="Times New Roman" w:hint="default"/>
                <w:sz w:val="18"/>
                <w:szCs w:val="18"/>
              </w:rPr>
              <w:t>;</w:t>
            </w:r>
            <w:r>
              <w:rPr>
                <w:rFonts w:ascii="宋体" w:hAnsi="宋体" w:cs="宋体" w:eastAsia="宋体" w:hint="default"/>
                <w:sz w:val="18"/>
                <w:szCs w:val="18"/>
              </w:rPr>
              <w:t>蔡迦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4" w:right="161"/>
              <w:jc w:val="left"/>
              <w:rPr>
                <w:rFonts w:ascii="宋体" w:hAnsi="宋体" w:cs="宋体" w:eastAsia="宋体" w:hint="default"/>
                <w:sz w:val="18"/>
                <w:szCs w:val="18"/>
              </w:rPr>
            </w:pPr>
            <w:r>
              <w:rPr>
                <w:rFonts w:ascii="宋体" w:hAnsi="宋体" w:cs="宋体" w:eastAsia="宋体" w:hint="default"/>
                <w:sz w:val="18"/>
                <w:szCs w:val="18"/>
              </w:rPr>
              <w:t>关于同业竞争 的承诺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不存在直接或间接地 从事任何与中科金财 所从事的业务构成同 业竞争的任何业务活 动，今后的任何时间 亦不会直接或间接地 以任何方式（包括但 不限于独资、合营、 合作和联营）参与或 进行任何与中科金财 所从事的业务有实质 性竞争或可能有实质 性竞争的业务活动。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3171"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02" w:lineRule="auto"/>
              <w:ind w:left="22" w:right="114"/>
              <w:jc w:val="both"/>
              <w:rPr>
                <w:rFonts w:ascii="宋体" w:hAnsi="宋体" w:cs="宋体" w:eastAsia="宋体" w:hint="default"/>
                <w:sz w:val="18"/>
                <w:szCs w:val="18"/>
              </w:rPr>
            </w:pPr>
            <w:r>
              <w:rPr>
                <w:rFonts w:ascii="宋体" w:hAnsi="宋体" w:cs="宋体" w:eastAsia="宋体" w:hint="default"/>
                <w:sz w:val="18"/>
                <w:szCs w:val="18"/>
              </w:rPr>
              <w:t>赫喆</w:t>
            </w:r>
            <w:r>
              <w:rPr>
                <w:rFonts w:ascii="Times New Roman" w:hAnsi="Times New Roman" w:cs="Times New Roman" w:eastAsia="Times New Roman" w:hint="default"/>
                <w:sz w:val="18"/>
                <w:szCs w:val="18"/>
              </w:rPr>
              <w:t>;</w:t>
            </w:r>
            <w:r>
              <w:rPr>
                <w:rFonts w:ascii="宋体" w:hAnsi="宋体" w:cs="宋体" w:eastAsia="宋体" w:hint="default"/>
                <w:sz w:val="18"/>
                <w:szCs w:val="18"/>
              </w:rPr>
              <w:t>杨承宏</w:t>
            </w:r>
            <w:r>
              <w:rPr>
                <w:rFonts w:ascii="Times New Roman" w:hAnsi="Times New Roman" w:cs="Times New Roman" w:eastAsia="Times New Roman" w:hint="default"/>
                <w:sz w:val="18"/>
                <w:szCs w:val="18"/>
              </w:rPr>
              <w:t>;</w:t>
            </w:r>
            <w:r>
              <w:rPr>
                <w:rFonts w:ascii="宋体" w:hAnsi="宋体" w:cs="宋体" w:eastAsia="宋体" w:hint="default"/>
                <w:sz w:val="18"/>
                <w:szCs w:val="18"/>
              </w:rPr>
              <w:t>谢晓</w:t>
            </w:r>
            <w:r>
              <w:rPr>
                <w:rFonts w:ascii="宋体" w:hAnsi="宋体" w:cs="宋体" w:eastAsia="宋体" w:hint="default"/>
                <w:spacing w:val="-2"/>
                <w:sz w:val="18"/>
                <w:szCs w:val="18"/>
              </w:rPr>
              <w:t> </w:t>
            </w:r>
            <w:r>
              <w:rPr>
                <w:rFonts w:ascii="宋体" w:hAnsi="宋体" w:cs="宋体" w:eastAsia="宋体" w:hint="default"/>
                <w:sz w:val="18"/>
                <w:szCs w:val="18"/>
              </w:rPr>
              <w:t>梅</w:t>
            </w:r>
            <w:r>
              <w:rPr>
                <w:rFonts w:ascii="Times New Roman" w:hAnsi="Times New Roman" w:cs="Times New Roman" w:eastAsia="Times New Roman" w:hint="default"/>
                <w:sz w:val="18"/>
                <w:szCs w:val="18"/>
              </w:rPr>
              <w:t>;</w:t>
            </w:r>
            <w:r>
              <w:rPr>
                <w:rFonts w:ascii="宋体" w:hAnsi="宋体" w:cs="宋体" w:eastAsia="宋体" w:hint="default"/>
                <w:sz w:val="18"/>
                <w:szCs w:val="18"/>
              </w:rPr>
              <w:t>周惠明</w:t>
            </w:r>
            <w:r>
              <w:rPr>
                <w:rFonts w:ascii="Times New Roman" w:hAnsi="Times New Roman" w:cs="Times New Roman" w:eastAsia="Times New Roman" w:hint="default"/>
                <w:sz w:val="18"/>
                <w:szCs w:val="18"/>
              </w:rPr>
              <w:t>;</w:t>
            </w:r>
            <w:r>
              <w:rPr>
                <w:rFonts w:ascii="宋体" w:hAnsi="宋体" w:cs="宋体" w:eastAsia="宋体" w:hint="default"/>
                <w:sz w:val="18"/>
                <w:szCs w:val="18"/>
              </w:rPr>
              <w:t>张伟</w:t>
            </w:r>
            <w:r>
              <w:rPr>
                <w:rFonts w:ascii="Times New Roman" w:hAnsi="Times New Roman" w:cs="Times New Roman" w:eastAsia="Times New Roman" w:hint="default"/>
                <w:sz w:val="18"/>
                <w:szCs w:val="18"/>
              </w:rPr>
              <w:t>;</w:t>
            </w:r>
            <w:r>
              <w:rPr>
                <w:rFonts w:ascii="宋体" w:hAnsi="宋体" w:cs="宋体" w:eastAsia="宋体" w:hint="default"/>
                <w:sz w:val="18"/>
                <w:szCs w:val="18"/>
              </w:rPr>
              <w:t>吴 红心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4" w:right="161"/>
              <w:jc w:val="both"/>
              <w:rPr>
                <w:rFonts w:ascii="宋体" w:hAnsi="宋体" w:cs="宋体" w:eastAsia="宋体" w:hint="default"/>
                <w:sz w:val="18"/>
                <w:szCs w:val="18"/>
              </w:rPr>
            </w:pPr>
            <w:r>
              <w:rPr>
                <w:rFonts w:ascii="宋体" w:hAnsi="宋体" w:cs="宋体" w:eastAsia="宋体" w:hint="default"/>
                <w:sz w:val="18"/>
                <w:szCs w:val="18"/>
              </w:rPr>
              <w:t>关于保持上市 公司独立性的 承诺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交易对方关于保持中 科金财和滨河创新独 立性， 一、保证中科金财、 滨河创新的人员独立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．保证本次交易完成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后中科金财、滨河创 新的劳动、人事及薪 酬管理与本人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22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56.25pt;height:61.4pt;mso-position-horizontal-relative:char;mso-position-vertical-relative:line" coordorigin="0,0" coordsize="1125,1228">
                  <v:group style="position:absolute;left:0;top:0;width:1125;height:1228" coordorigin="0,0" coordsize="1125,1228">
                    <v:shape style="position:absolute;left:0;top:0;width:1125;height:1228" coordorigin="0,0" coordsize="1125,1228" path="m0,1228l1125,1228,1125,0,0,0,0,1228xe" filled="true" fillcolor="#ffffff" stroked="false">
                      <v:path arrowok="t"/>
                      <v:fill type="solid"/>
                    </v:shape>
                  </v:group>
                </v:group>
              </w:pict>
            </w:r>
            <w:r>
              <w:rPr>
                <w:rFonts w:ascii="Times New Roman" w:hAnsi="Times New Roman" w:cs="Times New Roman" w:eastAsia="Times New Roman" w:hint="default"/>
                <w:position w:val="-24"/>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24"/>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277"/>
        <w:gridCol w:w="1700"/>
        <w:gridCol w:w="1134"/>
        <w:gridCol w:w="1134"/>
        <w:gridCol w:w="779"/>
      </w:tblGrid>
      <w:tr>
        <w:trPr>
          <w:trHeight w:val="317"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制的其他公司或者其</w:t>
            </w:r>
          </w:p>
        </w:tc>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他经济组织等关联方</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之间完全独立。</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．保</w:t>
            </w:r>
            <w:r>
              <w:rPr>
                <w:rFonts w:ascii="宋体" w:hAnsi="宋体" w:cs="宋体" w:eastAsia="宋体" w:hint="default"/>
                <w:sz w:val="18"/>
                <w:szCs w:val="18"/>
              </w:rPr>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证本次交易完成后中</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科金财、滨河创新的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高级管理人员均专职</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在中科金财、滨河创</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新任职并领取薪酬，</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其他公司、企业或者</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其他经济组织等关联</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方担任董事以外的职</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务。二、保证中科金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财、滨河创新的机构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．保证本次交</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易完成后中科金财、</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滨河创新构建健全的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公司法人治理结构，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拥有独立、完整的组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织机构。</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．保证本次</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交易完成后中科金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财、滨河创新的股东</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（大）会、董事会、</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监事会等依照法律、</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法规及中科金财、滨</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河创新公司章程独立</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行使职权。三、保证</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中科金财、滨河创新</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的资产独立、完整</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．保证本次交易完成</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后中科金财、滨河创</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新拥有与生产经营有</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关的独立、完整的资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产。</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．保证本次交易</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完成后中科金财、滨</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河创新的经营场所独</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其他公司、企业或者</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其他经济组织等关联</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方。</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．除正常经营性</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往来外，保证本次交</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易完成后中科金财、</w:t>
            </w: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277"/>
        <w:gridCol w:w="1700"/>
        <w:gridCol w:w="1134"/>
        <w:gridCol w:w="1134"/>
        <w:gridCol w:w="779"/>
      </w:tblGrid>
      <w:tr>
        <w:trPr>
          <w:trHeight w:val="317"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滨河创新不存在资</w:t>
            </w:r>
          </w:p>
        </w:tc>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金、资产被本人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制的其他公司、企业</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或者其他经济组织等</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关联方占用的情形。</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四、保证中科金财、</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滨河创新的业务独立</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．保证本次交易完成</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后中科金财、滨河创</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新拥有独立开展经营</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活动的相关资质，具</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有面向市场的独立、</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自主、持续的经营能</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力。</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．保证本次交易</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的其他公司、企业或</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者其他经济组织等关</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联方避免从事与中科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金财、滨河创新及其</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控制的其他公司、企</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业或者其他经济组织</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具有竞争关系的业</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务。</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．保证本次交易</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的其他公司、企业或</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者其他经济组织等关</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联方减少与中科金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财、滨河创新及其控</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制的其他公司、企业</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或者其他经济组织的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关联交易；对于确有</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必要且无法避免的关</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联交易，保证按市场</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原则和公允价格进行</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公平操作，并按相关</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法律、法规及规范性</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文件的规定履行相关</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审批程序及信息披露</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义务。五、保证中科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金财、滨河创新的财</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．保证中科</w:t>
            </w: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277"/>
        <w:gridCol w:w="1700"/>
        <w:gridCol w:w="1134"/>
        <w:gridCol w:w="1134"/>
        <w:gridCol w:w="781"/>
      </w:tblGrid>
      <w:tr>
        <w:trPr>
          <w:trHeight w:val="9723"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金财、滨河创新本次 交易完成后分别具备 独立的财务部门以及 独立的财务核算体 系，具有规范、独立 的财务会计制度。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．保证中科金财、滨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河创新本次交易完成 后独立在银行开户， 不与本人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 其他公司、企业或者 其他经济组织等关联 方共用银行账户。 </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．保证本次交易完成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后中科金财、滨河创 新的财务人员不在本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公司控制的其他公 司、企业或者其他经 济组织等关联方兼 </w:t>
            </w:r>
            <w:r>
              <w:rPr>
                <w:rFonts w:ascii="宋体" w:hAnsi="宋体" w:cs="宋体" w:eastAsia="宋体" w:hint="default"/>
                <w:spacing w:val="-7"/>
                <w:sz w:val="18"/>
                <w:szCs w:val="18"/>
              </w:rPr>
              <w:t>职。</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．保证本次交易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完成后中科金财、滨 河创新能够独立做出 </w:t>
            </w:r>
            <w:r>
              <w:rPr>
                <w:rFonts w:ascii="宋体" w:hAnsi="宋体" w:cs="宋体" w:eastAsia="宋体" w:hint="default"/>
                <w:spacing w:val="-3"/>
                <w:sz w:val="18"/>
                <w:szCs w:val="18"/>
              </w:rPr>
              <w:t>财务决策，本人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w:t>
            </w:r>
            <w:r>
              <w:rPr>
                <w:rFonts w:ascii="宋体" w:hAnsi="宋体" w:cs="宋体" w:eastAsia="宋体" w:hint="default"/>
                <w:spacing w:val="-86"/>
                <w:sz w:val="18"/>
                <w:szCs w:val="18"/>
              </w:rPr>
              <w:t> </w:t>
            </w:r>
            <w:r>
              <w:rPr>
                <w:rFonts w:ascii="宋体" w:hAnsi="宋体" w:cs="宋体" w:eastAsia="宋体" w:hint="default"/>
                <w:sz w:val="18"/>
                <w:szCs w:val="18"/>
              </w:rPr>
              <w:t>司不干预中科金财、 滨河创新的资金使 </w:t>
            </w:r>
            <w:r>
              <w:rPr>
                <w:rFonts w:ascii="宋体" w:hAnsi="宋体" w:cs="宋体" w:eastAsia="宋体" w:hint="default"/>
                <w:spacing w:val="-7"/>
                <w:sz w:val="18"/>
                <w:szCs w:val="18"/>
              </w:rPr>
              <w:t>用。</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．保证本次交易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完成后中科金财、滨 河创新依法独立纳 税。</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2"/>
              <w:ind w:left="22" w:right="114"/>
              <w:jc w:val="both"/>
              <w:rPr>
                <w:rFonts w:ascii="宋体" w:hAnsi="宋体" w:cs="宋体" w:eastAsia="宋体" w:hint="default"/>
                <w:sz w:val="18"/>
                <w:szCs w:val="18"/>
              </w:rPr>
            </w:pPr>
            <w:r>
              <w:rPr>
                <w:rFonts w:ascii="宋体" w:hAnsi="宋体" w:cs="宋体" w:eastAsia="宋体" w:hint="default"/>
                <w:sz w:val="18"/>
                <w:szCs w:val="18"/>
              </w:rPr>
              <w:t>赫喆</w:t>
            </w:r>
            <w:r>
              <w:rPr>
                <w:rFonts w:ascii="Times New Roman" w:hAnsi="Times New Roman" w:cs="Times New Roman" w:eastAsia="Times New Roman" w:hint="default"/>
                <w:sz w:val="18"/>
                <w:szCs w:val="18"/>
              </w:rPr>
              <w:t>;</w:t>
            </w:r>
            <w:r>
              <w:rPr>
                <w:rFonts w:ascii="宋体" w:hAnsi="宋体" w:cs="宋体" w:eastAsia="宋体" w:hint="default"/>
                <w:sz w:val="18"/>
                <w:szCs w:val="18"/>
              </w:rPr>
              <w:t>杨承宏</w:t>
            </w:r>
            <w:r>
              <w:rPr>
                <w:rFonts w:ascii="Times New Roman" w:hAnsi="Times New Roman" w:cs="Times New Roman" w:eastAsia="Times New Roman" w:hint="default"/>
                <w:sz w:val="18"/>
                <w:szCs w:val="18"/>
              </w:rPr>
              <w:t>;</w:t>
            </w:r>
            <w:r>
              <w:rPr>
                <w:rFonts w:ascii="宋体" w:hAnsi="宋体" w:cs="宋体" w:eastAsia="宋体" w:hint="default"/>
                <w:sz w:val="18"/>
                <w:szCs w:val="18"/>
              </w:rPr>
              <w:t>谢晓</w:t>
            </w:r>
            <w:r>
              <w:rPr>
                <w:rFonts w:ascii="宋体" w:hAnsi="宋体" w:cs="宋体" w:eastAsia="宋体" w:hint="default"/>
                <w:spacing w:val="-2"/>
                <w:sz w:val="18"/>
                <w:szCs w:val="18"/>
              </w:rPr>
              <w:t> </w:t>
            </w:r>
            <w:r>
              <w:rPr>
                <w:rFonts w:ascii="宋体" w:hAnsi="宋体" w:cs="宋体" w:eastAsia="宋体" w:hint="default"/>
                <w:sz w:val="18"/>
                <w:szCs w:val="18"/>
              </w:rPr>
              <w:t>梅</w:t>
            </w:r>
            <w:r>
              <w:rPr>
                <w:rFonts w:ascii="Times New Roman" w:hAnsi="Times New Roman" w:cs="Times New Roman" w:eastAsia="Times New Roman" w:hint="default"/>
                <w:sz w:val="18"/>
                <w:szCs w:val="18"/>
              </w:rPr>
              <w:t>;</w:t>
            </w:r>
            <w:r>
              <w:rPr>
                <w:rFonts w:ascii="宋体" w:hAnsi="宋体" w:cs="宋体" w:eastAsia="宋体" w:hint="default"/>
                <w:sz w:val="18"/>
                <w:szCs w:val="18"/>
              </w:rPr>
              <w:t>吴红心</w:t>
            </w:r>
            <w:r>
              <w:rPr>
                <w:rFonts w:ascii="Times New Roman" w:hAnsi="Times New Roman" w:cs="Times New Roman" w:eastAsia="Times New Roman" w:hint="default"/>
                <w:sz w:val="18"/>
                <w:szCs w:val="18"/>
              </w:rPr>
              <w:t>;</w:t>
            </w:r>
            <w:r>
              <w:rPr>
                <w:rFonts w:ascii="宋体" w:hAnsi="宋体" w:cs="宋体" w:eastAsia="宋体" w:hint="default"/>
                <w:sz w:val="18"/>
                <w:szCs w:val="18"/>
              </w:rPr>
              <w:t>张伟</w:t>
            </w:r>
            <w:r>
              <w:rPr>
                <w:rFonts w:ascii="Times New Roman" w:hAnsi="Times New Roman" w:cs="Times New Roman" w:eastAsia="Times New Roman" w:hint="default"/>
                <w:sz w:val="18"/>
                <w:szCs w:val="18"/>
              </w:rPr>
              <w:t>;</w:t>
            </w:r>
            <w:r>
              <w:rPr>
                <w:rFonts w:ascii="宋体" w:hAnsi="宋体" w:cs="宋体" w:eastAsia="宋体" w:hint="default"/>
                <w:sz w:val="18"/>
                <w:szCs w:val="18"/>
              </w:rPr>
              <w:t>周 惠明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4" w:right="161"/>
              <w:jc w:val="both"/>
              <w:rPr>
                <w:rFonts w:ascii="宋体" w:hAnsi="宋体" w:cs="宋体" w:eastAsia="宋体" w:hint="default"/>
                <w:sz w:val="18"/>
                <w:szCs w:val="18"/>
              </w:rPr>
            </w:pPr>
            <w:r>
              <w:rPr>
                <w:rFonts w:ascii="宋体" w:hAnsi="宋体" w:cs="宋体" w:eastAsia="宋体" w:hint="default"/>
                <w:sz w:val="18"/>
                <w:szCs w:val="18"/>
              </w:rPr>
              <w:t>关于同业竞争 和关联交易的 承诺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一、关于同业竞争：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．截至本承诺函签署</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日，本人及包括本人 控制的其他公司、企 业或者其他经济组织 等关联方未从事与中 科金财、滨河创新及 其控制的其他公司、 企业或者其他经济组 织存在同业竞争关系 </w:t>
            </w:r>
            <w:r>
              <w:rPr>
                <w:rFonts w:ascii="宋体" w:hAnsi="宋体" w:cs="宋体" w:eastAsia="宋体" w:hint="default"/>
                <w:spacing w:val="-7"/>
                <w:sz w:val="18"/>
                <w:szCs w:val="18"/>
              </w:rPr>
              <w:t>的业务。</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．在作为中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科金财的股东期间， 本人及包括本人控制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26"/>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277"/>
        <w:gridCol w:w="1700"/>
        <w:gridCol w:w="1134"/>
        <w:gridCol w:w="1134"/>
        <w:gridCol w:w="779"/>
      </w:tblGrid>
      <w:tr>
        <w:trPr>
          <w:trHeight w:val="317"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的其他公司、企业或</w:t>
            </w:r>
          </w:p>
        </w:tc>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者其他经济组织等关</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联方将避免以任何形</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式从事任何与中科金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财、滨河创新及其控</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制的其他公司、企业</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或者其他经济组织相</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同或相似且构成或可</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能构成竞争关系的业</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务，亦不从事任何可</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能损害中科金财、滨</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河创新及其控制的其</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他公司、企业或者其</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他经济组织利益的活</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动。如本人及其控制</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的其他公司、企业或</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者其他经济组织遇到</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中科金财、滨河创新</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及其控制的其他公</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司、企业或者其他经</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济组织主营业务范围</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内的业务机会，本人</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及其控制的其他公</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司、企业或者其他经</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济组织承诺将该等合</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作机会让予中科金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财、滨河创新及其控</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制的其他公司、企业</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或者其他经济组织。</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二、关于规范及减少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关联交易：本人在作</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为中科金财的股东期</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间，本人及所控制的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其他公司、企业或者</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其他经济组织将尽量</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减少并规范与中科金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财、滨河创新及其控</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制的其他公司、企业</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或者其他经济组织之</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间的关联交易。对于</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无法避免或有合理原</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因而发生的关联交</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易，本人及所控制的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其他公司、企业或者</w:t>
            </w: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277"/>
        <w:gridCol w:w="1700"/>
        <w:gridCol w:w="1134"/>
        <w:gridCol w:w="1134"/>
        <w:gridCol w:w="779"/>
      </w:tblGrid>
      <w:tr>
        <w:trPr>
          <w:trHeight w:val="847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其他经济组织将遵循 市场原则以公允、合 理的市场价格进行， 根据有关法律、法规 及规范性文件的规定 履行关联交易决策程 序，依法履行信息披 露义务和办理有关报 批程序，不利用股东 优势地位损害中科金 财及其他股东的合法 权益。本人若违反上 述承诺，将承担因此 而给中科金财、滨河 创新及其控制的其他 公司、企业或者其他 经济组织造成的一切 损失。三、关于资金 占用：除正常经营性 往来外，保证本次交 易完成后中科金财、 滨河创新不存在资 </w:t>
            </w:r>
            <w:r>
              <w:rPr>
                <w:rFonts w:ascii="宋体" w:hAnsi="宋体" w:cs="宋体" w:eastAsia="宋体" w:hint="default"/>
                <w:spacing w:val="-3"/>
                <w:sz w:val="18"/>
                <w:szCs w:val="18"/>
              </w:rPr>
              <w:t>金、资产被本人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w:t>
            </w:r>
            <w:r>
              <w:rPr>
                <w:rFonts w:ascii="宋体" w:hAnsi="宋体" w:cs="宋体" w:eastAsia="宋体" w:hint="default"/>
                <w:spacing w:val="-86"/>
                <w:sz w:val="18"/>
                <w:szCs w:val="18"/>
              </w:rPr>
              <w:t> </w:t>
            </w:r>
            <w:r>
              <w:rPr>
                <w:rFonts w:ascii="宋体" w:hAnsi="宋体" w:cs="宋体" w:eastAsia="宋体" w:hint="default"/>
                <w:sz w:val="18"/>
                <w:szCs w:val="18"/>
              </w:rPr>
              <w:t>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 制的其他公司、企业 或者其他经济组织等 关联方占用的情形。</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50"/>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4" w:right="161"/>
              <w:jc w:val="left"/>
              <w:rPr>
                <w:rFonts w:ascii="宋体" w:hAnsi="宋体" w:cs="宋体" w:eastAsia="宋体" w:hint="default"/>
                <w:sz w:val="18"/>
                <w:szCs w:val="18"/>
              </w:rPr>
            </w:pPr>
            <w:r>
              <w:rPr>
                <w:rFonts w:ascii="宋体" w:hAnsi="宋体" w:cs="宋体" w:eastAsia="宋体" w:hint="default"/>
                <w:sz w:val="18"/>
                <w:szCs w:val="18"/>
              </w:rPr>
              <w:t>关于募集资金 使用的承诺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使用闲置募集 资金购买保本型理财 产品</w:t>
            </w:r>
            <w:r>
              <w:rPr>
                <w:rFonts w:ascii="Times New Roman" w:hAnsi="Times New Roman" w:cs="Times New Roman" w:eastAsia="Times New Roman" w:hint="default"/>
                <w:sz w:val="18"/>
                <w:szCs w:val="18"/>
              </w:rPr>
              <w:t>”</w:t>
            </w:r>
            <w:r>
              <w:rPr>
                <w:rFonts w:ascii="宋体" w:hAnsi="宋体" w:cs="宋体" w:eastAsia="宋体" w:hint="default"/>
                <w:sz w:val="18"/>
                <w:szCs w:val="18"/>
              </w:rPr>
              <w:t>事项公司承诺 最近十二个月内，公 司未进行证券投资等 高风险投资，并承诺 本次利用闲置募集资 金购买保本型理财产 品后十二个月内不进 行证券投资等高风险 投资及为他人提供财 务资助并对外披露。 本次公司使用闲置募 集资金购买保本型理 财产品与公司募集资 金投资项目实施不相 抵触，不影响公司募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24"/>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277"/>
        <w:gridCol w:w="1700"/>
        <w:gridCol w:w="1134"/>
        <w:gridCol w:w="1134"/>
        <w:gridCol w:w="781"/>
      </w:tblGrid>
      <w:tr>
        <w:trPr>
          <w:trHeight w:val="1611"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7"/>
              <w:jc w:val="left"/>
              <w:rPr>
                <w:rFonts w:ascii="宋体" w:hAnsi="宋体" w:cs="宋体" w:eastAsia="宋体" w:hint="default"/>
                <w:sz w:val="18"/>
                <w:szCs w:val="18"/>
              </w:rPr>
            </w:pPr>
            <w:r>
              <w:rPr>
                <w:rFonts w:ascii="宋体" w:hAnsi="宋体" w:cs="宋体" w:eastAsia="宋体" w:hint="default"/>
                <w:sz w:val="18"/>
                <w:szCs w:val="18"/>
              </w:rPr>
              <w:t>集资金投资项目的正 常进行，不存在变相 改变募集资金投向和 损害股东利益的情 况。</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1985"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关于募集资金 使用的承诺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对外投资设立 中科金财</w:t>
            </w:r>
            <w:r>
              <w:rPr>
                <w:rFonts w:ascii="Times New Roman" w:hAnsi="Times New Roman" w:cs="Times New Roman" w:eastAsia="Times New Roman" w:hint="default"/>
                <w:sz w:val="18"/>
                <w:szCs w:val="18"/>
              </w:rPr>
              <w:t>-</w:t>
            </w:r>
            <w:r>
              <w:rPr>
                <w:rFonts w:ascii="宋体" w:hAnsi="宋体" w:cs="宋体" w:eastAsia="宋体" w:hint="default"/>
                <w:sz w:val="18"/>
                <w:szCs w:val="18"/>
              </w:rPr>
              <w:t>联创金融 科技专项投资基金</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的事项，公司承诺， 本次投资后的十二个 月内，公司不使用闲 置募集资金暂时补充 流动资金、将募集资 金投向变更为永久性 补充流动资金（不含 </w:t>
            </w:r>
            <w:r>
              <w:rPr>
                <w:rFonts w:ascii="宋体" w:hAnsi="宋体" w:cs="宋体" w:eastAsia="宋体" w:hint="default"/>
                <w:spacing w:val="-16"/>
                <w:sz w:val="18"/>
                <w:szCs w:val="18"/>
              </w:rPr>
              <w:t>节余募集资金）、将超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募资金永久性用于补 充流动资金或者归还 银行贷款。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26"/>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4458" w:hRule="exact"/>
        </w:trPr>
        <w:tc>
          <w:tcPr>
            <w:tcW w:w="1985"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关于募集资金 使用的承诺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对外投资设立 中科丰廪金融科技股 权投资基金（有限合 </w:t>
            </w:r>
            <w:r>
              <w:rPr>
                <w:rFonts w:ascii="宋体" w:hAnsi="宋体" w:cs="宋体" w:eastAsia="宋体" w:hint="default"/>
                <w:spacing w:val="-6"/>
                <w:sz w:val="18"/>
                <w:szCs w:val="18"/>
              </w:rPr>
              <w:t>伙）</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的事项，公司承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诺，本次投资后的十 二个月内，公司不使 用闲置募集资金暂时 补充流动资金、将募 集资金投向变更为永 久性补充流动资金</w:t>
            </w:r>
          </w:p>
          <w:p>
            <w:pPr>
              <w:pStyle w:val="TableParagraph"/>
              <w:spacing w:line="319" w:lineRule="auto" w:before="20"/>
              <w:ind w:left="22" w:right="20"/>
              <w:jc w:val="left"/>
              <w:rPr>
                <w:rFonts w:ascii="宋体" w:hAnsi="宋体" w:cs="宋体" w:eastAsia="宋体" w:hint="default"/>
                <w:sz w:val="18"/>
                <w:szCs w:val="18"/>
              </w:rPr>
            </w:pPr>
            <w:r>
              <w:rPr>
                <w:rFonts w:ascii="宋体" w:hAnsi="宋体" w:cs="宋体" w:eastAsia="宋体" w:hint="default"/>
                <w:sz w:val="18"/>
                <w:szCs w:val="18"/>
              </w:rPr>
              <w:t>（不含节余募集资 </w:t>
            </w:r>
            <w:r>
              <w:rPr>
                <w:rFonts w:ascii="宋体" w:hAnsi="宋体" w:cs="宋体" w:eastAsia="宋体" w:hint="default"/>
                <w:spacing w:val="-16"/>
                <w:sz w:val="18"/>
                <w:szCs w:val="18"/>
              </w:rPr>
              <w:t>金）、将超募资金永久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性用于补充流动资金 或者归还银行贷款。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26"/>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3171"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4" w:right="161"/>
              <w:jc w:val="left"/>
              <w:rPr>
                <w:rFonts w:ascii="宋体" w:hAnsi="宋体" w:cs="宋体" w:eastAsia="宋体" w:hint="default"/>
                <w:sz w:val="18"/>
                <w:szCs w:val="18"/>
              </w:rPr>
            </w:pPr>
            <w:r>
              <w:rPr>
                <w:rFonts w:ascii="宋体" w:hAnsi="宋体" w:cs="宋体" w:eastAsia="宋体" w:hint="default"/>
                <w:sz w:val="18"/>
                <w:szCs w:val="18"/>
              </w:rPr>
              <w:t>关于募集资金 使用的承诺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对外投资设立 股权投资基金</w:t>
            </w:r>
            <w:r>
              <w:rPr>
                <w:rFonts w:ascii="Times New Roman" w:hAnsi="Times New Roman" w:cs="Times New Roman" w:eastAsia="Times New Roman" w:hint="default"/>
                <w:sz w:val="18"/>
                <w:szCs w:val="18"/>
              </w:rPr>
              <w:t>”</w:t>
            </w:r>
            <w:r>
              <w:rPr>
                <w:rFonts w:ascii="宋体" w:hAnsi="宋体" w:cs="宋体" w:eastAsia="宋体" w:hint="default"/>
                <w:sz w:val="18"/>
                <w:szCs w:val="18"/>
              </w:rPr>
              <w:t>的事 项，公司承诺，本次 投资后的十二个月 内，公司不使用闲置 募集资金暂时补充流 动资金、将募集资金 投向变更为永久性补 充流动资金（不含节 </w:t>
            </w:r>
            <w:r>
              <w:rPr>
                <w:rFonts w:ascii="宋体" w:hAnsi="宋体" w:cs="宋体" w:eastAsia="宋体" w:hint="default"/>
                <w:spacing w:val="-16"/>
                <w:sz w:val="18"/>
                <w:szCs w:val="18"/>
              </w:rPr>
              <w:t>余募集资金）、将超募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26"/>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277"/>
        <w:gridCol w:w="1700"/>
        <w:gridCol w:w="1134"/>
        <w:gridCol w:w="1134"/>
        <w:gridCol w:w="779"/>
      </w:tblGrid>
      <w:tr>
        <w:trPr>
          <w:trHeight w:val="98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7"/>
              <w:jc w:val="both"/>
              <w:rPr>
                <w:rFonts w:ascii="宋体" w:hAnsi="宋体" w:cs="宋体" w:eastAsia="宋体" w:hint="default"/>
                <w:sz w:val="18"/>
                <w:szCs w:val="18"/>
              </w:rPr>
            </w:pPr>
            <w:r>
              <w:rPr>
                <w:rFonts w:ascii="宋体" w:hAnsi="宋体" w:cs="宋体" w:eastAsia="宋体" w:hint="default"/>
                <w:sz w:val="18"/>
                <w:szCs w:val="18"/>
              </w:rPr>
              <w:t>资金永久性用于补充 流动资金或者归还银 行贷款。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58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如承诺超期未履行完毕 </w:t>
            </w:r>
            <w:r>
              <w:rPr>
                <w:rFonts w:ascii="宋体" w:hAnsi="宋体" w:cs="宋体" w:eastAsia="宋体" w:hint="default"/>
                <w:spacing w:val="-5"/>
                <w:sz w:val="18"/>
                <w:szCs w:val="18"/>
              </w:rPr>
              <w:t>的，应当详细说明未完成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履行的具体原因及下一 步的工作计划</w:t>
            </w:r>
          </w:p>
        </w:tc>
        <w:tc>
          <w:tcPr>
            <w:tcW w:w="758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87"/>
        <w:ind w:right="0"/>
        <w:jc w:val="left"/>
      </w:pPr>
      <w:r>
        <w:rPr/>
        <w:t>公司报告期不存在控股股东及其关联方对上市公司的非经营性占用资金。</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2"/>
          <w:szCs w:val="12"/>
        </w:rPr>
      </w:pPr>
    </w:p>
    <w:p>
      <w:pPr>
        <w:pStyle w:val="BodyText"/>
        <w:spacing w:line="405" w:lineRule="auto" w:before="0"/>
        <w:ind w:right="0" w:firstLine="426"/>
        <w:jc w:val="left"/>
      </w:pPr>
      <w:r>
        <w:rPr>
          <w:spacing w:val="-5"/>
        </w:rPr>
        <w:t>执行《企业会计准则第</w:t>
      </w:r>
      <w:r>
        <w:rPr>
          <w:rFonts w:ascii="Times New Roman" w:hAnsi="Times New Roman" w:cs="Times New Roman" w:eastAsia="Times New Roman" w:hint="default"/>
          <w:spacing w:val="-5"/>
        </w:rPr>
        <w:t>42</w:t>
      </w:r>
      <w:r>
        <w:rPr>
          <w:spacing w:val="-5"/>
        </w:rPr>
        <w:t>号</w:t>
      </w:r>
      <w:r>
        <w:rPr>
          <w:rFonts w:ascii="Times New Roman" w:hAnsi="Times New Roman" w:cs="Times New Roman" w:eastAsia="Times New Roman" w:hint="default"/>
          <w:spacing w:val="-5"/>
        </w:rPr>
        <w:t>——</w:t>
      </w:r>
      <w:r>
        <w:rPr>
          <w:spacing w:val="-5"/>
        </w:rPr>
        <w:t>持有待售的非流动资产、处置组和终止经营》、《企业会计准则第</w:t>
      </w:r>
      <w:r>
        <w:rPr>
          <w:rFonts w:ascii="Times New Roman" w:hAnsi="Times New Roman" w:cs="Times New Roman" w:eastAsia="Times New Roman" w:hint="default"/>
          <w:spacing w:val="-5"/>
        </w:rPr>
        <w:t>16</w:t>
      </w:r>
      <w:r>
        <w:rPr>
          <w:spacing w:val="-5"/>
        </w:rPr>
        <w:t>号</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2"/>
          <w:w w:val="100"/>
        </w:rPr>
        <w:t> </w:t>
      </w:r>
      <w:r>
        <w:rPr/>
        <w:t>政府补助》和《财政部关于修订印发一般企业财务报表格式的通知》。</w:t>
      </w:r>
    </w:p>
    <w:p>
      <w:pPr>
        <w:pStyle w:val="BodyText"/>
        <w:spacing w:line="405" w:lineRule="auto" w:before="68"/>
        <w:ind w:left="154" w:right="1042" w:firstLine="426"/>
        <w:jc w:val="right"/>
      </w:pPr>
      <w:r>
        <w:rPr>
          <w:spacing w:val="-5"/>
        </w:rPr>
        <w:t>财政部于</w:t>
      </w:r>
      <w:r>
        <w:rPr>
          <w:rFonts w:ascii="Times New Roman" w:hAnsi="Times New Roman" w:cs="Times New Roman" w:eastAsia="Times New Roman" w:hint="default"/>
          <w:spacing w:val="-5"/>
        </w:rPr>
        <w:t>2017</w:t>
      </w:r>
      <w:r>
        <w:rPr>
          <w:spacing w:val="-5"/>
        </w:rPr>
        <w:t>年度发布了《企业会计准则第</w:t>
      </w:r>
      <w:r>
        <w:rPr>
          <w:rFonts w:ascii="Times New Roman" w:hAnsi="Times New Roman" w:cs="Times New Roman" w:eastAsia="Times New Roman" w:hint="default"/>
          <w:spacing w:val="-5"/>
        </w:rPr>
        <w:t>42</w:t>
      </w:r>
      <w:r>
        <w:rPr>
          <w:spacing w:val="-5"/>
        </w:rPr>
        <w:t>号</w:t>
      </w:r>
      <w:r>
        <w:rPr>
          <w:rFonts w:ascii="Times New Roman" w:hAnsi="Times New Roman" w:cs="Times New Roman" w:eastAsia="Times New Roman" w:hint="default"/>
          <w:spacing w:val="-5"/>
        </w:rPr>
        <w:t>——</w:t>
      </w:r>
      <w:r>
        <w:rPr>
          <w:spacing w:val="-5"/>
        </w:rPr>
        <w:t>持有待售的非流动资产、处置组和终止经营》，自</w:t>
      </w:r>
      <w:r>
        <w:rPr>
          <w:rFonts w:ascii="Times New Roman" w:hAnsi="Times New Roman" w:cs="Times New Roman" w:eastAsia="Times New Roman" w:hint="default"/>
          <w:spacing w:val="-5"/>
        </w:rPr>
        <w:t>2017</w:t>
      </w:r>
      <w:r>
        <w:rPr>
          <w:rFonts w:ascii="Times New Roman" w:hAnsi="Times New Roman" w:cs="Times New Roman" w:eastAsia="Times New Roman" w:hint="default"/>
          <w:w w:val="100"/>
        </w:rPr>
        <w:t> </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28</w:t>
      </w:r>
      <w:r>
        <w:rPr>
          <w:spacing w:val="-1"/>
        </w:rPr>
        <w:t>日起施行，对于施行日存在的持有待售的非流动资产、处置组和终止经营，要求采用未来适用法处理。</w:t>
      </w:r>
      <w:r>
        <w:rPr>
          <w:w w:val="100"/>
        </w:rPr>
        <w:t> </w:t>
      </w:r>
      <w:r>
        <w:rPr>
          <w:spacing w:val="-1"/>
        </w:rPr>
        <w:t>财政部于</w:t>
      </w:r>
      <w:r>
        <w:rPr>
          <w:rFonts w:ascii="Times New Roman" w:hAnsi="Times New Roman" w:cs="Times New Roman" w:eastAsia="Times New Roman" w:hint="default"/>
          <w:spacing w:val="-1"/>
        </w:rPr>
        <w:t>2017</w:t>
      </w:r>
      <w:r>
        <w:rPr>
          <w:spacing w:val="-1"/>
        </w:rPr>
        <w:t>年度修订了《企业会计准则第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政府补助》，修订后的准则自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12</w:t>
      </w:r>
      <w:r>
        <w:rPr>
          <w:spacing w:val="-1"/>
        </w:rPr>
        <w:t>日起施行，</w:t>
      </w:r>
    </w:p>
    <w:p>
      <w:pPr>
        <w:pStyle w:val="BodyText"/>
        <w:spacing w:line="405" w:lineRule="auto" w:before="38"/>
        <w:ind w:right="0"/>
        <w:jc w:val="left"/>
      </w:pPr>
      <w:r>
        <w:rPr>
          <w:spacing w:val="-1"/>
        </w:rPr>
        <w:t>对于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日存在的政府补助，要求采用未来适用法处理；对于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日至施行日新增的政府补助，</w:t>
      </w:r>
      <w:r>
        <w:rPr>
          <w:spacing w:val="-59"/>
        </w:rPr>
        <w:t> </w:t>
      </w:r>
      <w:r>
        <w:rPr>
          <w:spacing w:val="-59"/>
        </w:rPr>
      </w:r>
      <w:r>
        <w:rPr/>
        <w:t>也要求按照修订后的准则进行调整。</w:t>
      </w:r>
    </w:p>
    <w:p>
      <w:pPr>
        <w:pStyle w:val="BodyText"/>
        <w:spacing w:line="405" w:lineRule="auto" w:before="68"/>
        <w:ind w:right="0" w:firstLine="426"/>
        <w:jc w:val="left"/>
      </w:pPr>
      <w:r>
        <w:rPr>
          <w:spacing w:val="-1"/>
        </w:rPr>
        <w:t>财政部于</w:t>
      </w:r>
      <w:r>
        <w:rPr>
          <w:rFonts w:ascii="Times New Roman" w:hAnsi="Times New Roman" w:cs="Times New Roman" w:eastAsia="Times New Roman" w:hint="default"/>
          <w:spacing w:val="-1"/>
        </w:rPr>
        <w:t>2017</w:t>
      </w:r>
      <w:r>
        <w:rPr>
          <w:spacing w:val="-1"/>
        </w:rPr>
        <w:t>年度发布了《财政部关于修订印发一般企业财务报表格式的通知》，对一般企业财务报表格</w:t>
      </w:r>
      <w:r>
        <w:rPr>
          <w:w w:val="100"/>
        </w:rPr>
        <w:t> </w:t>
      </w:r>
      <w:r>
        <w:rPr/>
        <w:t>式进行了修订，适用于</w:t>
      </w:r>
      <w:r>
        <w:rPr>
          <w:rFonts w:ascii="Times New Roman" w:hAnsi="Times New Roman" w:cs="Times New Roman" w:eastAsia="Times New Roman" w:hint="default"/>
        </w:rPr>
        <w:t>2017</w:t>
      </w:r>
      <w:r>
        <w:rPr/>
        <w:t>年度及以后期间的财务报表。</w:t>
      </w:r>
    </w:p>
    <w:p>
      <w:pPr>
        <w:pStyle w:val="BodyText"/>
        <w:spacing w:line="240" w:lineRule="auto" w:before="38"/>
        <w:ind w:left="579" w:right="0"/>
        <w:jc w:val="left"/>
      </w:pPr>
      <w:r>
        <w:rPr/>
        <w:t>本公司执行上述三项规定的主要影响如下：</w:t>
      </w:r>
    </w:p>
    <w:p>
      <w:pPr>
        <w:spacing w:line="240" w:lineRule="auto" w:before="3"/>
        <w:rPr>
          <w:rFonts w:ascii="宋体" w:hAnsi="宋体" w:cs="宋体" w:eastAsia="宋体" w:hint="default"/>
          <w:sz w:val="10"/>
          <w:szCs w:val="10"/>
        </w:rPr>
      </w:pPr>
    </w:p>
    <w:tbl>
      <w:tblPr>
        <w:tblW w:w="0" w:type="auto"/>
        <w:jc w:val="left"/>
        <w:tblInd w:w="385" w:type="dxa"/>
        <w:tblLayout w:type="fixed"/>
        <w:tblCellMar>
          <w:top w:w="0" w:type="dxa"/>
          <w:left w:w="0" w:type="dxa"/>
          <w:bottom w:w="0" w:type="dxa"/>
          <w:right w:w="0" w:type="dxa"/>
        </w:tblCellMar>
        <w:tblLook w:val="01E0"/>
      </w:tblPr>
      <w:tblGrid>
        <w:gridCol w:w="4581"/>
        <w:gridCol w:w="4581"/>
      </w:tblGrid>
      <w:tr>
        <w:trPr>
          <w:trHeight w:val="347" w:hRule="exact"/>
        </w:trPr>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会计政策变更的内容和原因</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受影响的报表项目名称和金额</w:t>
            </w:r>
          </w:p>
        </w:tc>
      </w:tr>
      <w:tr>
        <w:trPr>
          <w:trHeight w:val="348" w:hRule="exact"/>
        </w:trPr>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pacing w:val="-2"/>
                <w:sz w:val="20"/>
                <w:szCs w:val="20"/>
              </w:rPr>
              <w:t>（</w:t>
            </w:r>
            <w:r>
              <w:rPr>
                <w:rFonts w:ascii="Times New Roman" w:hAnsi="Times New Roman" w:cs="Times New Roman" w:eastAsia="Times New Roman" w:hint="default"/>
                <w:spacing w:val="-2"/>
                <w:sz w:val="20"/>
                <w:szCs w:val="20"/>
              </w:rPr>
              <w:t>1</w:t>
            </w:r>
            <w:r>
              <w:rPr>
                <w:rFonts w:ascii="宋体" w:hAnsi="宋体" w:cs="宋体" w:eastAsia="宋体" w:hint="default"/>
                <w:spacing w:val="-2"/>
                <w:sz w:val="20"/>
                <w:szCs w:val="20"/>
              </w:rPr>
              <w:t>）在利润表中分别列示</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持续经营净利润</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和</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终止</w:t>
            </w:r>
            <w:r>
              <w:rPr>
                <w:rFonts w:ascii="宋体" w:hAnsi="宋体" w:cs="宋体" w:eastAsia="宋体" w:hint="default"/>
                <w:sz w:val="20"/>
                <w:szCs w:val="20"/>
              </w:rPr>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列示持续经营净利润本年金额</w:t>
            </w:r>
            <w:r>
              <w:rPr>
                <w:rFonts w:ascii="Times New Roman" w:hAnsi="Times New Roman" w:cs="Times New Roman" w:eastAsia="Times New Roman" w:hint="default"/>
                <w:sz w:val="20"/>
                <w:szCs w:val="20"/>
              </w:rPr>
              <w:t>-258,101,012.93</w:t>
            </w:r>
            <w:r>
              <w:rPr>
                <w:rFonts w:ascii="宋体" w:hAnsi="宋体" w:cs="宋体" w:eastAsia="宋体" w:hint="default"/>
                <w:sz w:val="20"/>
                <w:szCs w:val="20"/>
              </w:rPr>
              <w:t>元；列</w:t>
            </w:r>
          </w:p>
        </w:tc>
      </w:tr>
    </w:tbl>
    <w:p>
      <w:pPr>
        <w:spacing w:after="0" w:line="240" w:lineRule="auto"/>
        <w:jc w:val="center"/>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385" w:type="dxa"/>
        <w:tblLayout w:type="fixed"/>
        <w:tblCellMar>
          <w:top w:w="0" w:type="dxa"/>
          <w:left w:w="0" w:type="dxa"/>
          <w:bottom w:w="0" w:type="dxa"/>
          <w:right w:w="0" w:type="dxa"/>
        </w:tblCellMar>
        <w:tblLook w:val="01E0"/>
      </w:tblPr>
      <w:tblGrid>
        <w:gridCol w:w="4581"/>
        <w:gridCol w:w="4581"/>
      </w:tblGrid>
      <w:tr>
        <w:trPr>
          <w:trHeight w:val="971" w:hRule="exact"/>
        </w:trPr>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经营净利润</w:t>
            </w:r>
            <w:r>
              <w:rPr>
                <w:rFonts w:ascii="Times New Roman" w:hAnsi="Times New Roman" w:cs="Times New Roman" w:eastAsia="Times New Roman" w:hint="default"/>
                <w:sz w:val="20"/>
                <w:szCs w:val="20"/>
              </w:rPr>
              <w:t>”</w:t>
            </w:r>
            <w:r>
              <w:rPr>
                <w:rFonts w:ascii="宋体" w:hAnsi="宋体" w:cs="宋体" w:eastAsia="宋体" w:hint="default"/>
                <w:sz w:val="20"/>
                <w:szCs w:val="20"/>
              </w:rPr>
              <w:t>。比较数据相应调整。</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5"/>
              <w:ind w:left="2" w:right="0"/>
              <w:jc w:val="both"/>
              <w:rPr>
                <w:rFonts w:ascii="宋体" w:hAnsi="宋体" w:cs="宋体" w:eastAsia="宋体" w:hint="default"/>
                <w:sz w:val="20"/>
                <w:szCs w:val="20"/>
              </w:rPr>
            </w:pPr>
            <w:r>
              <w:rPr>
                <w:rFonts w:ascii="宋体" w:hAnsi="宋体" w:cs="宋体" w:eastAsia="宋体" w:hint="default"/>
                <w:sz w:val="20"/>
                <w:szCs w:val="20"/>
              </w:rPr>
              <w:t>示终止经营净利润本年金额</w:t>
            </w:r>
            <w:r>
              <w:rPr>
                <w:rFonts w:ascii="Times New Roman" w:hAnsi="Times New Roman" w:cs="Times New Roman" w:eastAsia="Times New Roman" w:hint="default"/>
                <w:sz w:val="20"/>
                <w:szCs w:val="20"/>
              </w:rPr>
              <w:t>0</w:t>
            </w:r>
            <w:r>
              <w:rPr>
                <w:rFonts w:ascii="宋体" w:hAnsi="宋体" w:cs="宋体" w:eastAsia="宋体" w:hint="default"/>
                <w:sz w:val="20"/>
                <w:szCs w:val="20"/>
              </w:rPr>
              <w:t>元，列示持续经营净利</w:t>
            </w:r>
            <w:r>
              <w:rPr>
                <w:rFonts w:ascii="宋体" w:hAnsi="宋体" w:cs="宋体" w:eastAsia="宋体" w:hint="default"/>
                <w:spacing w:val="-48"/>
                <w:sz w:val="20"/>
                <w:szCs w:val="20"/>
              </w:rPr>
              <w:t> </w:t>
            </w:r>
            <w:r>
              <w:rPr>
                <w:rFonts w:ascii="宋体" w:hAnsi="宋体" w:cs="宋体" w:eastAsia="宋体" w:hint="default"/>
                <w:spacing w:val="-48"/>
                <w:sz w:val="20"/>
                <w:szCs w:val="20"/>
              </w:rPr>
            </w:r>
            <w:r>
              <w:rPr>
                <w:rFonts w:ascii="宋体" w:hAnsi="宋体" w:cs="宋体" w:eastAsia="宋体" w:hint="default"/>
                <w:spacing w:val="-4"/>
                <w:w w:val="100"/>
                <w:sz w:val="20"/>
                <w:szCs w:val="20"/>
              </w:rPr>
              <w:t>润上年金额</w:t>
            </w:r>
            <w:r>
              <w:rPr>
                <w:rFonts w:ascii="Times New Roman" w:hAnsi="Times New Roman" w:cs="Times New Roman" w:eastAsia="Times New Roman" w:hint="default"/>
                <w:spacing w:val="-4"/>
                <w:w w:val="100"/>
                <w:sz w:val="20"/>
                <w:szCs w:val="20"/>
              </w:rPr>
              <w:t>177,741,759.34</w:t>
            </w:r>
            <w:r>
              <w:rPr>
                <w:rFonts w:ascii="宋体" w:hAnsi="宋体" w:cs="宋体" w:eastAsia="宋体" w:hint="default"/>
                <w:spacing w:val="-4"/>
                <w:w w:val="100"/>
                <w:sz w:val="20"/>
                <w:szCs w:val="20"/>
              </w:rPr>
              <w:t>元；列示终止经营净利润上</w:t>
            </w:r>
            <w:r>
              <w:rPr>
                <w:rFonts w:ascii="宋体" w:hAnsi="宋体" w:cs="宋体" w:eastAsia="宋体" w:hint="default"/>
                <w:spacing w:val="-80"/>
                <w:w w:val="100"/>
                <w:sz w:val="20"/>
                <w:szCs w:val="20"/>
              </w:rPr>
              <w:t> </w:t>
            </w:r>
            <w:r>
              <w:rPr>
                <w:rFonts w:ascii="宋体" w:hAnsi="宋体" w:cs="宋体" w:eastAsia="宋体" w:hint="default"/>
                <w:spacing w:val="-80"/>
                <w:w w:val="100"/>
                <w:sz w:val="20"/>
                <w:szCs w:val="20"/>
              </w:rPr>
            </w:r>
            <w:r>
              <w:rPr>
                <w:rFonts w:ascii="宋体" w:hAnsi="宋体" w:cs="宋体" w:eastAsia="宋体" w:hint="default"/>
                <w:sz w:val="20"/>
                <w:szCs w:val="20"/>
              </w:rPr>
              <w:t>年金额</w:t>
            </w:r>
            <w:r>
              <w:rPr>
                <w:rFonts w:ascii="Times New Roman" w:hAnsi="Times New Roman" w:cs="Times New Roman" w:eastAsia="Times New Roman" w:hint="default"/>
                <w:sz w:val="20"/>
                <w:szCs w:val="20"/>
              </w:rPr>
              <w:t>0</w:t>
            </w:r>
            <w:r>
              <w:rPr>
                <w:rFonts w:ascii="宋体" w:hAnsi="宋体" w:cs="宋体" w:eastAsia="宋体" w:hint="default"/>
                <w:sz w:val="20"/>
                <w:szCs w:val="20"/>
              </w:rPr>
              <w:t>元。</w:t>
            </w:r>
          </w:p>
        </w:tc>
      </w:tr>
      <w:tr>
        <w:trPr>
          <w:trHeight w:val="659" w:hRule="exact"/>
        </w:trPr>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5"/>
              <w:ind w:left="2" w:right="4"/>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）与本公司日常活动相关的政府补助，计入其他</w:t>
            </w:r>
            <w:r>
              <w:rPr>
                <w:rFonts w:ascii="宋体" w:hAnsi="宋体" w:cs="宋体" w:eastAsia="宋体" w:hint="default"/>
                <w:spacing w:val="-48"/>
                <w:sz w:val="20"/>
                <w:szCs w:val="20"/>
              </w:rPr>
              <w:t> </w:t>
            </w:r>
            <w:r>
              <w:rPr>
                <w:rFonts w:ascii="宋体" w:hAnsi="宋体" w:cs="宋体" w:eastAsia="宋体" w:hint="default"/>
                <w:spacing w:val="-48"/>
                <w:sz w:val="20"/>
                <w:szCs w:val="20"/>
              </w:rPr>
            </w:r>
            <w:r>
              <w:rPr>
                <w:rFonts w:ascii="宋体" w:hAnsi="宋体" w:cs="宋体" w:eastAsia="宋体" w:hint="default"/>
                <w:sz w:val="20"/>
                <w:szCs w:val="20"/>
              </w:rPr>
              <w:t>收益，不再计入营业外收入。比较数据不调整。</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其他收益：</w:t>
            </w:r>
            <w:r>
              <w:rPr>
                <w:rFonts w:ascii="Times New Roman" w:hAnsi="Times New Roman" w:cs="Times New Roman" w:eastAsia="Times New Roman" w:hint="default"/>
                <w:sz w:val="20"/>
                <w:szCs w:val="20"/>
              </w:rPr>
              <w:t>12,967,825.73</w:t>
            </w:r>
            <w:r>
              <w:rPr>
                <w:rFonts w:ascii="宋体" w:hAnsi="宋体" w:cs="宋体" w:eastAsia="宋体" w:hint="default"/>
                <w:sz w:val="20"/>
                <w:szCs w:val="20"/>
              </w:rPr>
              <w:t>元。</w:t>
            </w:r>
          </w:p>
        </w:tc>
      </w:tr>
      <w:tr>
        <w:trPr>
          <w:trHeight w:val="1284" w:hRule="exact"/>
        </w:trPr>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5"/>
              <w:ind w:left="2" w:right="1"/>
              <w:jc w:val="both"/>
              <w:rPr>
                <w:rFonts w:ascii="宋体" w:hAnsi="宋体" w:cs="宋体" w:eastAsia="宋体" w:hint="default"/>
                <w:sz w:val="20"/>
                <w:szCs w:val="20"/>
              </w:rPr>
            </w:pPr>
            <w:r>
              <w:rPr>
                <w:rFonts w:ascii="宋体" w:hAnsi="宋体" w:cs="宋体" w:eastAsia="宋体" w:hint="default"/>
                <w:spacing w:val="2"/>
                <w:sz w:val="20"/>
                <w:szCs w:val="20"/>
              </w:rPr>
              <w:t>（</w:t>
            </w:r>
            <w:r>
              <w:rPr>
                <w:rFonts w:ascii="Times New Roman" w:hAnsi="Times New Roman" w:cs="Times New Roman" w:eastAsia="Times New Roman" w:hint="default"/>
                <w:spacing w:val="2"/>
                <w:sz w:val="20"/>
                <w:szCs w:val="20"/>
              </w:rPr>
              <w:t>3</w:t>
            </w:r>
            <w:r>
              <w:rPr>
                <w:rFonts w:ascii="宋体" w:hAnsi="宋体" w:cs="宋体" w:eastAsia="宋体" w:hint="default"/>
                <w:spacing w:val="2"/>
                <w:sz w:val="20"/>
                <w:szCs w:val="20"/>
              </w:rPr>
              <w:t>）在利润表中新增</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资产处置收益</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项目，将部分</w:t>
            </w:r>
            <w:r>
              <w:rPr>
                <w:rFonts w:ascii="宋体" w:hAnsi="宋体" w:cs="宋体" w:eastAsia="宋体" w:hint="default"/>
                <w:spacing w:val="-75"/>
                <w:sz w:val="20"/>
                <w:szCs w:val="20"/>
              </w:rPr>
              <w:t> </w:t>
            </w:r>
            <w:r>
              <w:rPr>
                <w:rFonts w:ascii="宋体" w:hAnsi="宋体" w:cs="宋体" w:eastAsia="宋体" w:hint="default"/>
                <w:spacing w:val="-75"/>
                <w:sz w:val="20"/>
                <w:szCs w:val="20"/>
              </w:rPr>
            </w:r>
            <w:r>
              <w:rPr>
                <w:rFonts w:ascii="宋体" w:hAnsi="宋体" w:cs="宋体" w:eastAsia="宋体" w:hint="default"/>
                <w:sz w:val="20"/>
                <w:szCs w:val="20"/>
              </w:rPr>
              <w:t>原列示为</w:t>
            </w:r>
            <w:r>
              <w:rPr>
                <w:rFonts w:ascii="Times New Roman" w:hAnsi="Times New Roman" w:cs="Times New Roman" w:eastAsia="Times New Roman" w:hint="default"/>
                <w:sz w:val="20"/>
                <w:szCs w:val="20"/>
              </w:rPr>
              <w:t>“</w:t>
            </w:r>
            <w:r>
              <w:rPr>
                <w:rFonts w:ascii="宋体" w:hAnsi="宋体" w:cs="宋体" w:eastAsia="宋体" w:hint="default"/>
                <w:sz w:val="20"/>
                <w:szCs w:val="20"/>
              </w:rPr>
              <w:t>营业外收入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营业外支出</w:t>
            </w:r>
            <w:r>
              <w:rPr>
                <w:rFonts w:ascii="Times New Roman" w:hAnsi="Times New Roman" w:cs="Times New Roman" w:eastAsia="Times New Roman" w:hint="default"/>
                <w:sz w:val="20"/>
                <w:szCs w:val="20"/>
              </w:rPr>
              <w:t>”</w:t>
            </w:r>
            <w:r>
              <w:rPr>
                <w:rFonts w:ascii="宋体" w:hAnsi="宋体" w:cs="宋体" w:eastAsia="宋体" w:hint="default"/>
                <w:sz w:val="20"/>
                <w:szCs w:val="20"/>
              </w:rPr>
              <w:t>的资产处置损</w:t>
            </w:r>
            <w:r>
              <w:rPr>
                <w:rFonts w:ascii="宋体" w:hAnsi="宋体" w:cs="宋体" w:eastAsia="宋体" w:hint="default"/>
                <w:w w:val="100"/>
                <w:sz w:val="20"/>
                <w:szCs w:val="20"/>
              </w:rPr>
              <w:t> </w:t>
            </w:r>
            <w:r>
              <w:rPr>
                <w:rFonts w:ascii="宋体" w:hAnsi="宋体" w:cs="宋体" w:eastAsia="宋体" w:hint="default"/>
                <w:spacing w:val="6"/>
                <w:sz w:val="20"/>
                <w:szCs w:val="20"/>
              </w:rPr>
              <w:t>益重分类至</w:t>
            </w:r>
            <w:r>
              <w:rPr>
                <w:rFonts w:ascii="Times New Roman" w:hAnsi="Times New Roman" w:cs="Times New Roman" w:eastAsia="Times New Roman" w:hint="default"/>
                <w:spacing w:val="6"/>
                <w:sz w:val="20"/>
                <w:szCs w:val="20"/>
              </w:rPr>
              <w:t>“</w:t>
            </w:r>
            <w:r>
              <w:rPr>
                <w:rFonts w:ascii="宋体" w:hAnsi="宋体" w:cs="宋体" w:eastAsia="宋体" w:hint="default"/>
                <w:spacing w:val="6"/>
                <w:sz w:val="20"/>
                <w:szCs w:val="20"/>
              </w:rPr>
              <w:t>资产处置收益</w:t>
            </w:r>
            <w:r>
              <w:rPr>
                <w:rFonts w:ascii="Times New Roman" w:hAnsi="Times New Roman" w:cs="Times New Roman" w:eastAsia="Times New Roman" w:hint="default"/>
                <w:spacing w:val="6"/>
                <w:sz w:val="20"/>
                <w:szCs w:val="20"/>
              </w:rPr>
              <w:t>”</w:t>
            </w:r>
            <w:r>
              <w:rPr>
                <w:rFonts w:ascii="宋体" w:hAnsi="宋体" w:cs="宋体" w:eastAsia="宋体" w:hint="default"/>
                <w:spacing w:val="6"/>
                <w:sz w:val="20"/>
                <w:szCs w:val="20"/>
              </w:rPr>
              <w:t>项目。比较数据相应调</w:t>
            </w:r>
            <w:r>
              <w:rPr>
                <w:rFonts w:ascii="宋体" w:hAnsi="宋体" w:cs="宋体" w:eastAsia="宋体" w:hint="default"/>
                <w:spacing w:val="-60"/>
                <w:sz w:val="20"/>
                <w:szCs w:val="20"/>
              </w:rPr>
              <w:t> </w:t>
            </w:r>
            <w:r>
              <w:rPr>
                <w:rFonts w:ascii="宋体" w:hAnsi="宋体" w:cs="宋体" w:eastAsia="宋体" w:hint="default"/>
                <w:spacing w:val="-60"/>
                <w:sz w:val="20"/>
                <w:szCs w:val="20"/>
              </w:rPr>
            </w:r>
            <w:r>
              <w:rPr>
                <w:rFonts w:ascii="宋体" w:hAnsi="宋体" w:cs="宋体" w:eastAsia="宋体" w:hint="default"/>
                <w:sz w:val="20"/>
                <w:szCs w:val="20"/>
              </w:rPr>
              <w:t>整。</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5"/>
              <w:ind w:left="2" w:right="0"/>
              <w:jc w:val="both"/>
              <w:rPr>
                <w:rFonts w:ascii="宋体" w:hAnsi="宋体" w:cs="宋体" w:eastAsia="宋体" w:hint="default"/>
                <w:sz w:val="20"/>
                <w:szCs w:val="20"/>
              </w:rPr>
            </w:pPr>
            <w:r>
              <w:rPr>
                <w:rFonts w:ascii="宋体" w:hAnsi="宋体" w:cs="宋体" w:eastAsia="宋体" w:hint="default"/>
                <w:sz w:val="20"/>
                <w:szCs w:val="20"/>
              </w:rPr>
              <w:t>本期营业外收入减少</w:t>
            </w:r>
            <w:r>
              <w:rPr>
                <w:rFonts w:ascii="Times New Roman" w:hAnsi="Times New Roman" w:cs="Times New Roman" w:eastAsia="Times New Roman" w:hint="default"/>
                <w:sz w:val="20"/>
                <w:szCs w:val="20"/>
              </w:rPr>
              <w:t>100,936.38</w:t>
            </w:r>
            <w:r>
              <w:rPr>
                <w:rFonts w:ascii="宋体" w:hAnsi="宋体" w:cs="宋体" w:eastAsia="宋体" w:hint="default"/>
                <w:sz w:val="20"/>
                <w:szCs w:val="20"/>
              </w:rPr>
              <w:t>元，营业外支出减少</w:t>
            </w:r>
            <w:r>
              <w:rPr>
                <w:rFonts w:ascii="宋体" w:hAnsi="宋体" w:cs="宋体" w:eastAsia="宋体" w:hint="default"/>
                <w:spacing w:val="-48"/>
                <w:sz w:val="20"/>
                <w:szCs w:val="20"/>
              </w:rPr>
              <w:t> </w:t>
            </w:r>
            <w:r>
              <w:rPr>
                <w:rFonts w:ascii="宋体" w:hAnsi="宋体" w:cs="宋体" w:eastAsia="宋体" w:hint="default"/>
                <w:spacing w:val="-48"/>
                <w:sz w:val="20"/>
                <w:szCs w:val="20"/>
              </w:rPr>
            </w:r>
            <w:r>
              <w:rPr>
                <w:rFonts w:ascii="Times New Roman" w:hAnsi="Times New Roman" w:cs="Times New Roman" w:eastAsia="Times New Roman" w:hint="default"/>
                <w:spacing w:val="-2"/>
                <w:sz w:val="20"/>
                <w:szCs w:val="20"/>
              </w:rPr>
              <w:t>441,226.80</w:t>
            </w:r>
            <w:r>
              <w:rPr>
                <w:rFonts w:ascii="宋体" w:hAnsi="宋体" w:cs="宋体" w:eastAsia="宋体" w:hint="default"/>
                <w:spacing w:val="-2"/>
                <w:sz w:val="20"/>
                <w:szCs w:val="20"/>
              </w:rPr>
              <w:t>元，上期营业外收入减少</w:t>
            </w:r>
            <w:r>
              <w:rPr>
                <w:rFonts w:ascii="Times New Roman" w:hAnsi="Times New Roman" w:cs="Times New Roman" w:eastAsia="Times New Roman" w:hint="default"/>
                <w:spacing w:val="-2"/>
                <w:sz w:val="20"/>
                <w:szCs w:val="20"/>
              </w:rPr>
              <w:t>135,332.81</w:t>
            </w:r>
            <w:r>
              <w:rPr>
                <w:rFonts w:ascii="宋体" w:hAnsi="宋体" w:cs="宋体" w:eastAsia="宋体" w:hint="default"/>
                <w:spacing w:val="-2"/>
                <w:sz w:val="20"/>
                <w:szCs w:val="20"/>
              </w:rPr>
              <w:t>元，营</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业外支出减少</w:t>
            </w:r>
            <w:r>
              <w:rPr>
                <w:rFonts w:ascii="Times New Roman" w:hAnsi="Times New Roman" w:cs="Times New Roman" w:eastAsia="Times New Roman" w:hint="default"/>
                <w:sz w:val="20"/>
                <w:szCs w:val="20"/>
              </w:rPr>
              <w:t>26,833,870.52</w:t>
            </w:r>
            <w:r>
              <w:rPr>
                <w:rFonts w:ascii="宋体" w:hAnsi="宋体" w:cs="宋体" w:eastAsia="宋体" w:hint="default"/>
                <w:sz w:val="20"/>
                <w:szCs w:val="20"/>
              </w:rPr>
              <w:t>元，重分类至资产处置收</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益。</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54"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86"/>
        <w:ind w:right="0"/>
        <w:jc w:val="left"/>
      </w:pPr>
      <w:r>
        <w:rPr/>
        <w:t>公司报告期无重大会计差错更正需追溯重述的情况。</w:t>
      </w:r>
    </w:p>
    <w:p>
      <w:pPr>
        <w:spacing w:line="240" w:lineRule="auto" w:before="4"/>
        <w:rPr>
          <w:rFonts w:ascii="宋体" w:hAnsi="宋体" w:cs="宋体" w:eastAsia="宋体" w:hint="default"/>
          <w:sz w:val="24"/>
          <w:szCs w:val="24"/>
        </w:rPr>
      </w:pPr>
    </w:p>
    <w:p>
      <w:pPr>
        <w:pStyle w:val="Heading2"/>
        <w:spacing w:line="240" w:lineRule="auto"/>
        <w:ind w:left="154"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12"/>
          <w:szCs w:val="12"/>
        </w:rPr>
      </w:pPr>
    </w:p>
    <w:p>
      <w:pPr>
        <w:pStyle w:val="BodyText"/>
        <w:spacing w:line="405" w:lineRule="auto" w:before="0"/>
        <w:ind w:left="580" w:right="0"/>
        <w:jc w:val="left"/>
      </w:pPr>
      <w:r>
        <w:rPr/>
        <w:t>本年与上年比较新增加合并单位</w:t>
      </w:r>
      <w:r>
        <w:rPr>
          <w:rFonts w:ascii="Times New Roman" w:hAnsi="Times New Roman" w:cs="Times New Roman" w:eastAsia="Times New Roman" w:hint="default"/>
        </w:rPr>
        <w:t>6</w:t>
      </w:r>
      <w:r>
        <w:rPr/>
        <w:t>家，减少合并单位</w:t>
      </w:r>
      <w:r>
        <w:rPr>
          <w:rFonts w:ascii="Times New Roman" w:hAnsi="Times New Roman" w:cs="Times New Roman" w:eastAsia="Times New Roman" w:hint="default"/>
        </w:rPr>
        <w:t>1</w:t>
      </w:r>
      <w:r>
        <w:rPr/>
        <w:t>家。</w:t>
      </w:r>
      <w:r>
        <w:rPr>
          <w:w w:val="100"/>
        </w:rPr>
        <w:t> </w:t>
      </w:r>
      <w:r>
        <w:rPr>
          <w:spacing w:val="-1"/>
        </w:rPr>
        <w:t>本年因非同一控制下企业合并增加深圳中金财富互联网金融服务有限公司、华缔资产管理（北京）有限公</w:t>
      </w:r>
    </w:p>
    <w:p>
      <w:pPr>
        <w:pStyle w:val="BodyText"/>
        <w:spacing w:line="429" w:lineRule="auto" w:before="68"/>
        <w:ind w:left="154" w:right="0"/>
        <w:jc w:val="left"/>
      </w:pPr>
      <w:r>
        <w:rPr>
          <w:spacing w:val="-1"/>
        </w:rPr>
        <w:t>司；因投资设立增加中科金财保险经纪有限公司、霍尔果斯金财科技服务有限公司、香港中科金财科技有限公</w:t>
      </w:r>
      <w:r>
        <w:rPr>
          <w:spacing w:val="-63"/>
        </w:rPr>
        <w:t> </w:t>
      </w:r>
      <w:r>
        <w:rPr>
          <w:spacing w:val="-63"/>
        </w:rPr>
      </w:r>
      <w:r>
        <w:rPr/>
        <w:t>司、霍尔果斯滨河创新软件技术有限公司；因注销减少天津滨河顺通科技有限公司。</w:t>
      </w:r>
    </w:p>
    <w:p>
      <w:pPr>
        <w:spacing w:line="240" w:lineRule="auto" w:before="4"/>
        <w:rPr>
          <w:rFonts w:ascii="宋体" w:hAnsi="宋体" w:cs="宋体" w:eastAsia="宋体" w:hint="default"/>
          <w:sz w:val="18"/>
          <w:szCs w:val="18"/>
        </w:rPr>
      </w:pPr>
    </w:p>
    <w:p>
      <w:pPr>
        <w:pStyle w:val="Heading2"/>
        <w:spacing w:line="240" w:lineRule="auto"/>
        <w:ind w:left="154"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79</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张金华、郭晓清</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6"/>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86"/>
        <w:ind w:right="0"/>
        <w:jc w:val="left"/>
      </w:pPr>
      <w:r>
        <w:rPr/>
        <w:t>公司报告期未发生破产重整相关事项。</w:t>
      </w:r>
    </w:p>
    <w:p>
      <w:pPr>
        <w:spacing w:line="240" w:lineRule="auto" w:before="4"/>
        <w:rPr>
          <w:rFonts w:ascii="宋体" w:hAnsi="宋体" w:cs="宋体" w:eastAsia="宋体" w:hint="default"/>
          <w:sz w:val="24"/>
          <w:szCs w:val="24"/>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87"/>
        <w:ind w:right="0"/>
        <w:jc w:val="left"/>
      </w:pPr>
      <w:r>
        <w:rPr/>
        <w:t>本报告期公司无重大诉讼、仲裁事项。</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86"/>
        <w:ind w:right="0"/>
        <w:jc w:val="left"/>
      </w:pPr>
      <w:r>
        <w:rPr/>
        <w:t>公司报告期不存在处罚及整改情况。</w:t>
      </w:r>
    </w:p>
    <w:p>
      <w:pPr>
        <w:spacing w:line="240" w:lineRule="auto" w:before="4"/>
        <w:rPr>
          <w:rFonts w:ascii="宋体" w:hAnsi="宋体" w:cs="宋体" w:eastAsia="宋体" w:hint="default"/>
          <w:sz w:val="24"/>
          <w:szCs w:val="24"/>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12"/>
          <w:szCs w:val="12"/>
        </w:rPr>
      </w:pPr>
    </w:p>
    <w:p>
      <w:pPr>
        <w:pStyle w:val="BodyText"/>
        <w:spacing w:line="429" w:lineRule="auto" w:before="0"/>
        <w:ind w:left="154" w:right="0" w:firstLine="426"/>
        <w:jc w:val="left"/>
      </w:pPr>
      <w:r>
        <w:rPr>
          <w:spacing w:val="-1"/>
        </w:rPr>
        <w:t>报告期内，公司及控股股东、实际控制人依法诚信经营，信用状况良好，不存在未履行的法院生效判决、</w:t>
      </w:r>
      <w:r>
        <w:rPr>
          <w:w w:val="100"/>
        </w:rPr>
        <w:t> </w:t>
      </w:r>
      <w:r>
        <w:rPr/>
        <w:t>所负数额较大的债务到期未清偿等情况。</w:t>
      </w:r>
    </w:p>
    <w:p>
      <w:pPr>
        <w:spacing w:line="240" w:lineRule="auto" w:before="4"/>
        <w:rPr>
          <w:rFonts w:ascii="宋体" w:hAnsi="宋体" w:cs="宋体" w:eastAsia="宋体" w:hint="default"/>
          <w:sz w:val="18"/>
          <w:szCs w:val="18"/>
        </w:rPr>
      </w:pPr>
    </w:p>
    <w:p>
      <w:pPr>
        <w:pStyle w:val="Heading2"/>
        <w:spacing w:line="240" w:lineRule="auto"/>
        <w:ind w:left="154"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2"/>
          <w:szCs w:val="12"/>
        </w:rPr>
      </w:pPr>
    </w:p>
    <w:p>
      <w:pPr>
        <w:pStyle w:val="BodyText"/>
        <w:spacing w:line="410" w:lineRule="auto" w:before="0"/>
        <w:ind w:right="0" w:firstLine="471"/>
        <w:jc w:val="left"/>
      </w:pP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日公告了《第一期员工持股计划（草案）》，并于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日由第二次临时股东大</w:t>
      </w:r>
      <w:r>
        <w:rPr>
          <w:w w:val="100"/>
        </w:rPr>
        <w:t> </w:t>
      </w:r>
      <w:r>
        <w:rPr/>
        <w:t>会审议通过。公司第一期员工持股计划的管理人华泰证券（上海）资产管理有限公司通过二级市场购买（包括</w:t>
      </w:r>
      <w:r>
        <w:rPr>
          <w:w w:val="100"/>
        </w:rPr>
        <w:t> </w:t>
      </w:r>
      <w:r>
        <w:rPr>
          <w:spacing w:val="-2"/>
        </w:rPr>
        <w:t>大宗交易）的方式买入公司股票。截至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21</w:t>
      </w:r>
      <w:r>
        <w:rPr>
          <w:spacing w:val="-2"/>
        </w:rPr>
        <w:t>日，公司第一期员工持股计划已完成股票购买，购买公司股</w:t>
      </w:r>
      <w:r>
        <w:rPr>
          <w:spacing w:val="-73"/>
        </w:rPr>
        <w:t> </w:t>
      </w:r>
      <w:r>
        <w:rPr>
          <w:spacing w:val="-73"/>
        </w:rPr>
      </w:r>
      <w:r>
        <w:rPr>
          <w:spacing w:val="-2"/>
        </w:rPr>
        <w:t>票</w:t>
      </w:r>
      <w:r>
        <w:rPr>
          <w:rFonts w:ascii="Times New Roman" w:hAnsi="Times New Roman" w:cs="Times New Roman" w:eastAsia="Times New Roman" w:hint="default"/>
          <w:spacing w:val="-2"/>
        </w:rPr>
        <w:t>1,908,700</w:t>
      </w:r>
      <w:r>
        <w:rPr>
          <w:spacing w:val="-2"/>
        </w:rPr>
        <w:t>股，购买均价</w:t>
      </w:r>
      <w:r>
        <w:rPr>
          <w:rFonts w:ascii="Times New Roman" w:hAnsi="Times New Roman" w:cs="Times New Roman" w:eastAsia="Times New Roman" w:hint="default"/>
          <w:spacing w:val="-2"/>
        </w:rPr>
        <w:t>51.71</w:t>
      </w:r>
      <w:r>
        <w:rPr>
          <w:spacing w:val="-2"/>
        </w:rPr>
        <w:t>元</w:t>
      </w:r>
      <w:r>
        <w:rPr>
          <w:rFonts w:ascii="Times New Roman" w:hAnsi="Times New Roman" w:cs="Times New Roman" w:eastAsia="Times New Roman" w:hint="default"/>
          <w:spacing w:val="-2"/>
        </w:rPr>
        <w:t>/</w:t>
      </w:r>
      <w:r>
        <w:rPr>
          <w:spacing w:val="-2"/>
        </w:rPr>
        <w:t>股，占公司总股本的</w:t>
      </w:r>
      <w:r>
        <w:rPr>
          <w:rFonts w:ascii="Times New Roman" w:hAnsi="Times New Roman" w:cs="Times New Roman" w:eastAsia="Times New Roman" w:hint="default"/>
          <w:spacing w:val="-2"/>
        </w:rPr>
        <w:t>0.57%</w:t>
      </w:r>
      <w:r>
        <w:rPr>
          <w:spacing w:val="-2"/>
        </w:rPr>
        <w:t>，锁定期为</w:t>
      </w:r>
      <w:r>
        <w:rPr>
          <w:rFonts w:ascii="Times New Roman" w:hAnsi="Times New Roman" w:cs="Times New Roman" w:eastAsia="Times New Roman" w:hint="default"/>
          <w:spacing w:val="-2"/>
        </w:rPr>
        <w:t>12</w:t>
      </w:r>
      <w:r>
        <w:rPr>
          <w:spacing w:val="-2"/>
        </w:rPr>
        <w:t>个月。详见公司于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22</w:t>
      </w:r>
      <w:r>
        <w:rPr>
          <w:spacing w:val="-2"/>
        </w:rPr>
        <w:t>日发布</w:t>
      </w:r>
      <w:r>
        <w:rPr>
          <w:spacing w:val="-71"/>
        </w:rPr>
        <w:t> </w:t>
      </w:r>
      <w:r>
        <w:rPr>
          <w:spacing w:val="-71"/>
        </w:rPr>
      </w:r>
      <w:r>
        <w:rPr>
          <w:spacing w:val="-1"/>
        </w:rPr>
        <w:t>在巨潮资讯网（</w:t>
      </w:r>
      <w:hyperlink r:id="rId11">
        <w:r>
          <w:rPr>
            <w:rFonts w:ascii="Times New Roman" w:hAnsi="Times New Roman" w:cs="Times New Roman" w:eastAsia="Times New Roman" w:hint="default"/>
            <w:spacing w:val="-1"/>
          </w:rPr>
          <w:t>http://www.cninfo.com.cn/</w:t>
        </w:r>
      </w:hyperlink>
      <w:r>
        <w:rPr>
          <w:spacing w:val="-1"/>
        </w:rPr>
        <w:t>）上的《关于第一期员工持股计划完成股票购买的公告》。</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spacing w:val="-69"/>
        </w:rPr>
        <w:t> </w:t>
      </w:r>
      <w:r>
        <w:rPr>
          <w:rFonts w:ascii="Times New Roman" w:hAnsi="Times New Roman" w:cs="Times New Roman" w:eastAsia="Times New Roman" w:hint="default"/>
        </w:rPr>
        <w:t>21</w:t>
      </w:r>
      <w:r>
        <w:rPr/>
        <w:t>日，公司第一期员工持股计划</w:t>
      </w:r>
      <w:r>
        <w:rPr>
          <w:rFonts w:ascii="Times New Roman" w:hAnsi="Times New Roman" w:cs="Times New Roman" w:eastAsia="Times New Roman" w:hint="default"/>
        </w:rPr>
        <w:t>“</w:t>
      </w:r>
      <w:r>
        <w:rPr/>
        <w:t>华泰资管中科金财共同成长</w:t>
      </w:r>
      <w:r>
        <w:rPr>
          <w:rFonts w:ascii="Times New Roman" w:hAnsi="Times New Roman" w:cs="Times New Roman" w:eastAsia="Times New Roman" w:hint="default"/>
        </w:rPr>
        <w:t>1</w:t>
      </w:r>
      <w:r>
        <w:rPr/>
        <w:t>号集合资产管理计划</w:t>
      </w:r>
      <w:r>
        <w:rPr>
          <w:rFonts w:ascii="Times New Roman" w:hAnsi="Times New Roman" w:cs="Times New Roman" w:eastAsia="Times New Roman" w:hint="default"/>
        </w:rPr>
        <w:t>”</w:t>
      </w:r>
      <w:r>
        <w:rPr/>
        <w:t>所持有的公司股票全部出</w:t>
      </w:r>
      <w:r>
        <w:rPr>
          <w:w w:val="100"/>
        </w:rPr>
        <w:t> </w:t>
      </w:r>
      <w:r>
        <w:rPr>
          <w:spacing w:val="-1"/>
        </w:rPr>
        <w:t>售，总计卖出股票</w:t>
      </w:r>
      <w:r>
        <w:rPr>
          <w:rFonts w:ascii="Times New Roman" w:hAnsi="Times New Roman" w:cs="Times New Roman" w:eastAsia="Times New Roman" w:hint="default"/>
          <w:spacing w:val="-1"/>
        </w:rPr>
        <w:t>1,908,700</w:t>
      </w:r>
      <w:r>
        <w:rPr>
          <w:spacing w:val="-1"/>
        </w:rPr>
        <w:t>股。详见公司于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22</w:t>
      </w:r>
      <w:r>
        <w:rPr>
          <w:spacing w:val="-1"/>
        </w:rPr>
        <w:t>日发布在巨潮资讯网（</w:t>
      </w:r>
      <w:hyperlink r:id="rId11">
        <w:r>
          <w:rPr>
            <w:rFonts w:ascii="Times New Roman" w:hAnsi="Times New Roman" w:cs="Times New Roman" w:eastAsia="Times New Roman" w:hint="default"/>
            <w:spacing w:val="-1"/>
          </w:rPr>
          <w:t>http://www.cninfo.com.cn/</w:t>
        </w:r>
      </w:hyperlink>
      <w:r>
        <w:rPr>
          <w:spacing w:val="-1"/>
        </w:rPr>
        <w:t>）上的</w:t>
      </w:r>
    </w:p>
    <w:p>
      <w:pPr>
        <w:pStyle w:val="BodyText"/>
        <w:spacing w:line="429" w:lineRule="auto" w:before="34"/>
        <w:ind w:left="625" w:right="0" w:hanging="472"/>
        <w:jc w:val="left"/>
      </w:pPr>
      <w:r>
        <w:rPr/>
        <w:t>《关于第一期员工持股计划出售完毕及终止的公告》。</w:t>
      </w:r>
      <w:r>
        <w:rPr>
          <w:w w:val="100"/>
        </w:rPr>
        <w:t> </w:t>
      </w:r>
      <w:r>
        <w:rPr>
          <w:spacing w:val="-1"/>
        </w:rPr>
        <w:t>员工持股计划的完成，有利于实现股东、公司和员工利益的一致，健全公司长期、有效的激励约束机制，</w:t>
      </w:r>
    </w:p>
    <w:p>
      <w:pPr>
        <w:pStyle w:val="BodyText"/>
        <w:spacing w:line="429" w:lineRule="auto"/>
        <w:ind w:left="154" w:right="0"/>
        <w:jc w:val="left"/>
      </w:pPr>
      <w:r>
        <w:rPr>
          <w:spacing w:val="-1"/>
        </w:rPr>
        <w:t>提高员工的凝聚力和公司竞争力，有效调动员工的积极性和创造性，吸引和保留优秀管理人才和业务骨干，从</w:t>
      </w:r>
      <w:r>
        <w:rPr>
          <w:spacing w:val="-63"/>
        </w:rPr>
        <w:t> </w:t>
      </w:r>
      <w:r>
        <w:rPr>
          <w:spacing w:val="-63"/>
        </w:rPr>
      </w:r>
      <w:r>
        <w:rPr/>
        <w:t>而促进公司长期、持续、健康发展。</w:t>
      </w:r>
    </w:p>
    <w:p>
      <w:pPr>
        <w:spacing w:after="0" w:line="429"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86"/>
        <w:ind w:right="0"/>
        <w:jc w:val="left"/>
      </w:pPr>
      <w:r>
        <w:rPr/>
        <w:t>公司报告期未发生与日常经营相关的关联交易。</w:t>
      </w:r>
    </w:p>
    <w:p>
      <w:pPr>
        <w:spacing w:line="240" w:lineRule="auto" w:before="1"/>
        <w:rPr>
          <w:rFonts w:ascii="宋体" w:hAnsi="宋体" w:cs="宋体" w:eastAsia="宋体" w:hint="default"/>
          <w:sz w:val="26"/>
          <w:szCs w:val="26"/>
        </w:rPr>
      </w:pPr>
    </w:p>
    <w:p>
      <w:pPr>
        <w:pStyle w:val="Heading3"/>
        <w:spacing w:line="240" w:lineRule="auto"/>
        <w:ind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86"/>
        <w:ind w:right="0"/>
        <w:jc w:val="left"/>
      </w:pPr>
      <w:r>
        <w:rPr/>
        <w:t>公司报告期未发生资产或股权收购、出售的关联交易。</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86"/>
        <w:ind w:right="0"/>
        <w:jc w:val="left"/>
      </w:pPr>
      <w:r>
        <w:rPr/>
        <w:t>公司报告期未发生共同对外投资的关联交易。</w:t>
      </w:r>
    </w:p>
    <w:p>
      <w:pPr>
        <w:spacing w:line="240" w:lineRule="auto" w:before="1"/>
        <w:rPr>
          <w:rFonts w:ascii="宋体" w:hAnsi="宋体" w:cs="宋体" w:eastAsia="宋体" w:hint="default"/>
          <w:sz w:val="26"/>
          <w:szCs w:val="26"/>
        </w:rPr>
      </w:pPr>
    </w:p>
    <w:p>
      <w:pPr>
        <w:pStyle w:val="Heading3"/>
        <w:spacing w:line="240" w:lineRule="auto"/>
        <w:ind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87"/>
        <w:ind w:right="0"/>
        <w:jc w:val="left"/>
      </w:pPr>
      <w:r>
        <w:rPr/>
        <w:t>公司报告期不存在关联债权债务往来。</w:t>
      </w:r>
    </w:p>
    <w:p>
      <w:pPr>
        <w:spacing w:line="240" w:lineRule="auto" w:before="13"/>
        <w:rPr>
          <w:rFonts w:ascii="宋体" w:hAnsi="宋体" w:cs="宋体" w:eastAsia="宋体" w:hint="default"/>
          <w:sz w:val="25"/>
          <w:szCs w:val="25"/>
        </w:rPr>
      </w:pPr>
    </w:p>
    <w:p>
      <w:pPr>
        <w:pStyle w:val="Heading3"/>
        <w:spacing w:line="240" w:lineRule="auto"/>
        <w:ind w:left="153"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508" w:lineRule="auto" w:before="86"/>
        <w:ind w:left="153" w:right="7693" w:firstLine="0"/>
        <w:jc w:val="left"/>
        <w:rPr>
          <w:rFonts w:ascii="宋体" w:hAnsi="宋体" w:cs="宋体" w:eastAsia="宋体" w:hint="default"/>
          <w:sz w:val="21"/>
          <w:szCs w:val="21"/>
        </w:rPr>
      </w:pPr>
      <w:r>
        <w:rPr>
          <w:rFonts w:ascii="宋体" w:hAnsi="宋体" w:cs="宋体" w:eastAsia="宋体" w:hint="default"/>
          <w:sz w:val="20"/>
          <w:szCs w:val="20"/>
        </w:rPr>
        <w:t>公司报告期无其他重大关联交易。</w:t>
      </w:r>
      <w:r>
        <w:rPr>
          <w:rFonts w:ascii="宋体" w:hAnsi="宋体" w:cs="宋体" w:eastAsia="宋体" w:hint="default"/>
          <w:w w:val="100"/>
          <w:sz w:val="20"/>
          <w:szCs w:val="20"/>
        </w:rPr>
        <w:t> </w:t>
      </w:r>
      <w:bookmarkStart w:name="十七、重大合同及其履行情况" w:id="86"/>
      <w:bookmarkEnd w:id="86"/>
      <w:r>
        <w:rPr>
          <w:rFonts w:ascii="宋体" w:hAnsi="宋体" w:cs="宋体" w:eastAsia="宋体" w:hint="default"/>
          <w:w w:val="100"/>
          <w:sz w:val="20"/>
          <w:szCs w:val="20"/>
        </w:rPr>
      </w:r>
      <w:r>
        <w:rPr>
          <w:rFonts w:ascii="宋体" w:hAnsi="宋体" w:cs="宋体" w:eastAsia="宋体" w:hint="default"/>
          <w:b/>
          <w:bCs/>
          <w:w w:val="95"/>
          <w:sz w:val="24"/>
          <w:szCs w:val="24"/>
        </w:rPr>
        <w:t>十七、重大合同及其履行情况</w:t>
      </w:r>
      <w:r>
        <w:rPr>
          <w:rFonts w:ascii="宋体" w:hAnsi="宋体" w:cs="宋体" w:eastAsia="宋体" w:hint="default"/>
          <w:b/>
          <w:bCs/>
          <w:spacing w:val="29"/>
          <w:w w:val="95"/>
          <w:sz w:val="24"/>
          <w:szCs w:val="24"/>
        </w:rPr>
        <w:t> </w:t>
      </w:r>
      <w:bookmarkStart w:name="1、托管、承包、租赁事项情况" w:id="87"/>
      <w:bookmarkEnd w:id="87"/>
      <w:r>
        <w:rPr>
          <w:rFonts w:ascii="宋体" w:hAnsi="宋体" w:cs="宋体" w:eastAsia="宋体" w:hint="default"/>
          <w:b/>
          <w:bCs/>
          <w:spacing w:val="29"/>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pStyle w:val="Heading3"/>
        <w:spacing w:line="240" w:lineRule="auto" w:before="62"/>
        <w:ind w:left="153"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87"/>
        <w:ind w:right="0"/>
        <w:jc w:val="left"/>
      </w:pPr>
      <w:r>
        <w:rPr/>
        <w:t>公司报告期不存在托管情况。</w:t>
      </w:r>
    </w:p>
    <w:p>
      <w:pPr>
        <w:spacing w:line="240" w:lineRule="auto" w:before="13"/>
        <w:rPr>
          <w:rFonts w:ascii="宋体" w:hAnsi="宋体" w:cs="宋体" w:eastAsia="宋体" w:hint="default"/>
          <w:sz w:val="25"/>
          <w:szCs w:val="25"/>
        </w:rPr>
      </w:pPr>
    </w:p>
    <w:p>
      <w:pPr>
        <w:pStyle w:val="Heading3"/>
        <w:spacing w:line="240" w:lineRule="auto"/>
        <w:ind w:left="153"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86"/>
        <w:ind w:right="0"/>
        <w:jc w:val="left"/>
      </w:pPr>
      <w:r>
        <w:rPr/>
        <w:t>公司报告期不存在承包情况。</w:t>
      </w:r>
    </w:p>
    <w:p>
      <w:pPr>
        <w:spacing w:line="240" w:lineRule="auto" w:before="13"/>
        <w:rPr>
          <w:rFonts w:ascii="宋体" w:hAnsi="宋体" w:cs="宋体" w:eastAsia="宋体" w:hint="default"/>
          <w:sz w:val="25"/>
          <w:szCs w:val="25"/>
        </w:rPr>
      </w:pPr>
    </w:p>
    <w:p>
      <w:pPr>
        <w:pStyle w:val="Heading3"/>
        <w:spacing w:line="240" w:lineRule="auto"/>
        <w:ind w:left="153"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3"/>
        <w:rPr>
          <w:rFonts w:ascii="宋体" w:hAnsi="宋体" w:cs="宋体" w:eastAsia="宋体" w:hint="default"/>
          <w:sz w:val="25"/>
          <w:szCs w:val="25"/>
        </w:rPr>
      </w:pPr>
      <w:r>
        <w:rPr/>
        <w:pict>
          <v:group style="position:absolute;margin-left:143.539993pt;margin-top:319.759979pt;width:43.4pt;height:17.6pt;mso-position-horizontal-relative:page;mso-position-vertical-relative:page;z-index:-1132192" coordorigin="2871,6395" coordsize="868,352">
            <v:shape style="position:absolute;left:2871;top:6395;width:868;height:352" coordorigin="2871,6395" coordsize="868,352" path="m2871,6747l3738,6747,3738,6395,2871,6395,2871,6747xe" filled="true" fillcolor="#ffffff" stroked="false">
              <v:path arrowok="t"/>
              <v:fill type="solid"/>
            </v:shape>
            <w10:wrap type="none"/>
          </v:group>
        </w:pict>
      </w:r>
    </w:p>
    <w:p>
      <w:pPr>
        <w:pStyle w:val="BodyText"/>
        <w:spacing w:line="240" w:lineRule="auto" w:before="38"/>
        <w:ind w:right="0"/>
        <w:jc w:val="left"/>
      </w:pPr>
      <w:r>
        <w:rPr/>
        <w:t>公司报告期不存在租赁情况。</w:t>
      </w:r>
    </w:p>
    <w:p>
      <w:pPr>
        <w:spacing w:line="240" w:lineRule="auto" w:before="13"/>
        <w:rPr>
          <w:rFonts w:ascii="宋体" w:hAnsi="宋体" w:cs="宋体" w:eastAsia="宋体" w:hint="default"/>
          <w:sz w:val="25"/>
          <w:szCs w:val="25"/>
        </w:rPr>
      </w:pPr>
    </w:p>
    <w:p>
      <w:pPr>
        <w:pStyle w:val="Heading3"/>
        <w:spacing w:line="240" w:lineRule="auto"/>
        <w:ind w:left="153"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group style="position:absolute;margin-left:143.539993pt;margin-top:91.131744pt;width:43.4pt;height:17.6pt;mso-position-horizontal-relative:page;mso-position-vertical-relative:paragraph;z-index:-1132216" coordorigin="2871,1823" coordsize="868,352">
            <v:shape style="position:absolute;left:2871;top:1823;width:868;height:352" coordorigin="2871,1823" coordsize="868,352" path="m2871,2174l3738,2174,3738,1823,2871,1823,2871,2174xe" filled="true" fillcolor="#ffffff" stroked="false">
              <v:path arrowok="t"/>
              <v:fill type="solid"/>
            </v:shape>
            <w10:wrap type="none"/>
          </v:group>
        </w:pict>
      </w: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98"/>
        <w:gridCol w:w="917"/>
        <w:gridCol w:w="933"/>
        <w:gridCol w:w="1296"/>
        <w:gridCol w:w="1063"/>
        <w:gridCol w:w="1029"/>
        <w:gridCol w:w="1051"/>
        <w:gridCol w:w="796"/>
        <w:gridCol w:w="780"/>
      </w:tblGrid>
      <w:tr>
        <w:trPr>
          <w:trHeight w:val="40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69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11" w:right="-44"/>
              <w:jc w:val="left"/>
              <w:rPr>
                <w:rFonts w:ascii="宋体" w:hAnsi="宋体" w:cs="宋体" w:eastAsia="宋体" w:hint="default"/>
                <w:sz w:val="18"/>
                <w:szCs w:val="18"/>
              </w:rPr>
            </w:pPr>
            <w:r>
              <w:rPr>
                <w:rFonts w:ascii="宋体" w:hAnsi="宋体" w:cs="宋体" w:eastAsia="宋体" w:hint="default"/>
                <w:spacing w:val="-10"/>
                <w:sz w:val="18"/>
                <w:szCs w:val="18"/>
              </w:rPr>
              <w:t>华缔资产管理（北京）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91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2"/>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9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11" w:right="-44"/>
              <w:jc w:val="left"/>
              <w:rPr>
                <w:rFonts w:ascii="宋体" w:hAnsi="宋体" w:cs="宋体" w:eastAsia="宋体" w:hint="default"/>
                <w:sz w:val="18"/>
                <w:szCs w:val="18"/>
              </w:rPr>
            </w:pPr>
            <w:r>
              <w:rPr>
                <w:rFonts w:ascii="宋体" w:hAnsi="宋体" w:cs="宋体" w:eastAsia="宋体" w:hint="default"/>
                <w:spacing w:val="-10"/>
                <w:sz w:val="18"/>
                <w:szCs w:val="18"/>
              </w:rPr>
              <w:t>华缔资产管理（北京）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91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2"/>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18,804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18,754</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8" w:right="23"/>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 w:right="54"/>
              <w:jc w:val="left"/>
              <w:rPr>
                <w:rFonts w:ascii="宋体" w:hAnsi="宋体" w:cs="宋体" w:eastAsia="宋体" w:hint="default"/>
                <w:sz w:val="18"/>
                <w:szCs w:val="18"/>
              </w:rPr>
            </w:pPr>
            <w:r>
              <w:rPr>
                <w:rFonts w:ascii="宋体" w:hAnsi="宋体" w:cs="宋体" w:eastAsia="宋体" w:hint="default"/>
                <w:sz w:val="18"/>
                <w:szCs w:val="18"/>
              </w:rPr>
              <w:t>深圳中金财富互联网 金融服务有限公司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8" w:right="113"/>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48,304</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43,254</w:t>
            </w:r>
          </w:p>
        </w:tc>
      </w:tr>
      <w:tr>
        <w:trPr>
          <w:trHeight w:val="719" w:hRule="exact"/>
        </w:trPr>
        <w:tc>
          <w:tcPr>
            <w:tcW w:w="26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48,304</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43,254</w:t>
            </w:r>
          </w:p>
        </w:tc>
      </w:tr>
      <w:tr>
        <w:trPr>
          <w:trHeight w:val="396"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48,304</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43,254</w:t>
            </w:r>
          </w:p>
        </w:tc>
      </w:tr>
      <w:tr>
        <w:trPr>
          <w:trHeight w:val="714" w:hRule="exact"/>
        </w:trPr>
        <w:tc>
          <w:tcPr>
            <w:tcW w:w="26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48,304</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43,254</w:t>
            </w:r>
          </w:p>
        </w:tc>
      </w:tr>
      <w:tr>
        <w:trPr>
          <w:trHeight w:val="407"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17.18%</w:t>
            </w:r>
          </w:p>
        </w:tc>
      </w:tr>
      <w:tr>
        <w:trPr>
          <w:trHeight w:val="391"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left="11"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86"/>
        <w:ind w:right="0"/>
        <w:jc w:val="left"/>
      </w:pPr>
      <w:r>
        <w:rPr/>
        <w:t>公司报告期无违规对外担保情况。</w:t>
      </w:r>
    </w:p>
    <w:p>
      <w:pPr>
        <w:spacing w:line="240" w:lineRule="auto" w:before="1"/>
        <w:rPr>
          <w:rFonts w:ascii="宋体" w:hAnsi="宋体" w:cs="宋体" w:eastAsia="宋体" w:hint="default"/>
          <w:sz w:val="26"/>
          <w:szCs w:val="26"/>
        </w:rPr>
      </w:pPr>
    </w:p>
    <w:p>
      <w:pPr>
        <w:pStyle w:val="Heading3"/>
        <w:spacing w:line="240" w:lineRule="auto"/>
        <w:ind w:left="153" w:right="0"/>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5" w:space="678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122,465.64</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58,605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信托理财产品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47,644.04</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47,644.04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5,066.3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175,175.98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108,899.04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before="117"/>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275" w:space="246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273"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0"/>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20"/>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兴业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113.42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r>
              <w:rPr>
                <w:rFonts w:ascii="Times New Roman"/>
                <w:sz w:val="18"/>
              </w:rPr>
              <w:t>http:// </w:t>
            </w:r>
            <w:hyperlink r:id="rId12">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保本固 定收益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4.35%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87.72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r>
              <w:rPr>
                <w:rFonts w:ascii="Times New Roman"/>
                <w:sz w:val="18"/>
              </w:rPr>
              <w:t>http:// </w:t>
            </w:r>
            <w:hyperlink r:id="rId12">
              <w:r>
                <w:rPr>
                  <w:rFonts w:ascii="Times New Roman"/>
                  <w:spacing w:val="-4"/>
                  <w:sz w:val="18"/>
                </w:rPr>
                <w:t>www.</w:t>
              </w:r>
            </w:hyperlink>
            <w:r>
              <w:rPr>
                <w:rFonts w:ascii="Times New Roman"/>
                <w:sz w:val="18"/>
              </w:rPr>
              <w:t> cninfo</w:t>
            </w:r>
          </w:p>
        </w:tc>
      </w:tr>
    </w:tbl>
    <w:p>
      <w:pPr>
        <w:spacing w:after="0" w:line="362" w:lineRule="auto"/>
        <w:jc w:val="both"/>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674"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22"/>
              <w:jc w:val="left"/>
              <w:rPr>
                <w:rFonts w:ascii="Times New Roman" w:hAnsi="Times New Roman" w:cs="Times New Roman" w:eastAsia="Times New Roman" w:hint="default"/>
                <w:sz w:val="18"/>
                <w:szCs w:val="18"/>
              </w:rPr>
            </w:pPr>
            <w:r>
              <w:rPr>
                <w:rFonts w:ascii="Times New Roman"/>
                <w:sz w:val="18"/>
              </w:rPr>
              <w:t>.com.c n</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4.35%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81.39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r>
              <w:rPr>
                <w:rFonts w:ascii="Times New Roman"/>
                <w:sz w:val="18"/>
              </w:rPr>
              <w:t>http:// </w:t>
            </w:r>
            <w:hyperlink r:id="rId12">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77"/>
              <w:jc w:val="both"/>
              <w:rPr>
                <w:rFonts w:ascii="宋体" w:hAnsi="宋体" w:cs="宋体" w:eastAsia="宋体" w:hint="default"/>
                <w:sz w:val="18"/>
                <w:szCs w:val="18"/>
              </w:rPr>
            </w:pPr>
            <w:r>
              <w:rPr>
                <w:rFonts w:ascii="宋体" w:hAnsi="宋体" w:cs="宋体" w:eastAsia="宋体" w:hint="default"/>
                <w:sz w:val="18"/>
                <w:szCs w:val="18"/>
              </w:rPr>
              <w:t>渤海 国际 信托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97"/>
              <w:jc w:val="both"/>
              <w:rPr>
                <w:rFonts w:ascii="宋体" w:hAnsi="宋体" w:cs="宋体" w:eastAsia="宋体" w:hint="default"/>
                <w:sz w:val="18"/>
                <w:szCs w:val="18"/>
              </w:rPr>
            </w:pPr>
            <w:r>
              <w:rPr>
                <w:rFonts w:ascii="宋体" w:hAnsi="宋体" w:cs="宋体" w:eastAsia="宋体" w:hint="default"/>
                <w:sz w:val="18"/>
                <w:szCs w:val="18"/>
              </w:rPr>
              <w:t>信托 投资 公司</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31"/>
              <w:jc w:val="both"/>
              <w:rPr>
                <w:rFonts w:ascii="宋体" w:hAnsi="宋体" w:cs="宋体" w:eastAsia="宋体" w:hint="default"/>
                <w:sz w:val="18"/>
                <w:szCs w:val="18"/>
              </w:rPr>
            </w:pPr>
            <w:r>
              <w:rPr>
                <w:rFonts w:ascii="宋体" w:hAnsi="宋体" w:cs="宋体" w:eastAsia="宋体" w:hint="default"/>
                <w:sz w:val="18"/>
                <w:szCs w:val="18"/>
              </w:rPr>
              <w:t>优先级 浮动收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42,144</w:t>
            </w:r>
          </w:p>
          <w:p>
            <w:pPr>
              <w:pStyle w:val="TableParagraph"/>
              <w:spacing w:line="240" w:lineRule="auto" w:before="105"/>
              <w:ind w:left="317" w:right="0"/>
              <w:jc w:val="left"/>
              <w:rPr>
                <w:rFonts w:ascii="Times New Roman" w:hAnsi="Times New Roman" w:cs="Times New Roman" w:eastAsia="Times New Roman" w:hint="default"/>
                <w:sz w:val="18"/>
                <w:szCs w:val="18"/>
              </w:rPr>
            </w:pPr>
            <w:r>
              <w:rPr>
                <w:rFonts w:ascii="Times New Roman"/>
                <w:sz w:val="18"/>
              </w:rPr>
              <w:t>.04</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信托 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7"/>
              <w:jc w:val="both"/>
              <w:rPr>
                <w:rFonts w:ascii="宋体" w:hAnsi="宋体" w:cs="宋体" w:eastAsia="宋体" w:hint="default"/>
                <w:sz w:val="18"/>
                <w:szCs w:val="18"/>
              </w:rPr>
            </w:pPr>
            <w:r>
              <w:rPr>
                <w:rFonts w:ascii="宋体" w:hAnsi="宋体" w:cs="宋体" w:eastAsia="宋体" w:hint="default"/>
                <w:sz w:val="18"/>
                <w:szCs w:val="18"/>
              </w:rPr>
              <w:t>每月 偿还 部分 本金 及利 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6.50%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r>
              <w:rPr>
                <w:rFonts w:ascii="Times New Roman"/>
                <w:sz w:val="18"/>
              </w:rPr>
              <w:t>http:// </w:t>
            </w:r>
            <w:hyperlink r:id="rId12">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兴业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5.30%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9"/>
              <w:ind w:left="23" w:right="42"/>
              <w:jc w:val="both"/>
              <w:rPr>
                <w:rFonts w:ascii="Times New Roman" w:hAnsi="Times New Roman" w:cs="Times New Roman" w:eastAsia="Times New Roman" w:hint="default"/>
                <w:sz w:val="18"/>
                <w:szCs w:val="18"/>
              </w:rPr>
            </w:pPr>
            <w:r>
              <w:rPr>
                <w:rFonts w:ascii="Times New Roman"/>
                <w:sz w:val="18"/>
              </w:rPr>
              <w:t>http:// </w:t>
            </w:r>
            <w:hyperlink r:id="rId12">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714"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75,144</w:t>
            </w:r>
          </w:p>
          <w:p>
            <w:pPr>
              <w:pStyle w:val="TableParagraph"/>
              <w:spacing w:line="240" w:lineRule="auto" w:before="105"/>
              <w:ind w:left="317" w:right="0"/>
              <w:jc w:val="left"/>
              <w:rPr>
                <w:rFonts w:ascii="Times New Roman" w:hAnsi="Times New Roman" w:cs="Times New Roman" w:eastAsia="Times New Roman" w:hint="default"/>
                <w:sz w:val="18"/>
                <w:szCs w:val="18"/>
              </w:rPr>
            </w:pPr>
            <w:r>
              <w:rPr>
                <w:rFonts w:ascii="Times New Roman"/>
                <w:sz w:val="18"/>
              </w:rPr>
              <w:t>.04</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318.54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委托理财出现预期无法收回本金或存在其他可能导致减值的情形</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86"/>
        <w:ind w:right="0"/>
        <w:jc w:val="left"/>
      </w:pPr>
      <w:r>
        <w:rPr/>
        <w:t>公司报告期不存在委托贷款。</w:t>
      </w:r>
    </w:p>
    <w:p>
      <w:pPr>
        <w:spacing w:line="240" w:lineRule="auto" w:before="13"/>
        <w:rPr>
          <w:rFonts w:ascii="宋体" w:hAnsi="宋体" w:cs="宋体" w:eastAsia="宋体" w:hint="default"/>
          <w:sz w:val="25"/>
          <w:szCs w:val="25"/>
        </w:rPr>
      </w:pPr>
    </w:p>
    <w:p>
      <w:pPr>
        <w:pStyle w:val="Heading3"/>
        <w:spacing w:line="240" w:lineRule="auto"/>
        <w:ind w:left="153" w:right="0"/>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86"/>
        <w:ind w:right="0"/>
        <w:jc w:val="left"/>
      </w:pPr>
      <w:r>
        <w:rPr/>
        <w:t>公司报告期不存在其他重大合同。</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十八、社会责任情况" w:id="98"/>
      <w:bookmarkEnd w:id="98"/>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both"/>
        <w:rPr>
          <w:b w:val="0"/>
          <w:bCs w:val="0"/>
        </w:rPr>
      </w:pPr>
      <w:bookmarkStart w:name="1、履行社会责任情况" w:id="99"/>
      <w:bookmarkEnd w:id="99"/>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3"/>
        <w:rPr>
          <w:rFonts w:ascii="宋体" w:hAnsi="宋体" w:cs="宋体" w:eastAsia="宋体" w:hint="default"/>
          <w:b/>
          <w:bCs/>
          <w:sz w:val="31"/>
          <w:szCs w:val="31"/>
        </w:rPr>
      </w:pPr>
    </w:p>
    <w:p>
      <w:pPr>
        <w:pStyle w:val="BodyText"/>
        <w:spacing w:line="405" w:lineRule="auto" w:before="0"/>
        <w:ind w:right="0" w:firstLine="471"/>
        <w:jc w:val="left"/>
      </w:pPr>
      <w:r>
        <w:rPr>
          <w:spacing w:val="-2"/>
        </w:rPr>
        <w:t>公司上市后，在努力做好各项业务的同时，对社会责任有了更进一步的要求。</w:t>
      </w:r>
      <w:r>
        <w:rPr>
          <w:rFonts w:ascii="Times New Roman" w:hAnsi="Times New Roman" w:cs="Times New Roman" w:eastAsia="Times New Roman" w:hint="default"/>
          <w:spacing w:val="-2"/>
        </w:rPr>
        <w:t>2017</w:t>
      </w:r>
      <w:r>
        <w:rPr>
          <w:spacing w:val="-2"/>
        </w:rPr>
        <w:t>年，公司在保障股东权</w:t>
      </w:r>
      <w:r>
        <w:rPr>
          <w:w w:val="100"/>
        </w:rPr>
        <w:t> </w:t>
      </w:r>
      <w:r>
        <w:rPr/>
        <w:t>益、维护员工权益等方面取得了良好的进展，现总结如下：</w:t>
      </w:r>
    </w:p>
    <w:p>
      <w:pPr>
        <w:pStyle w:val="BodyText"/>
        <w:spacing w:line="429" w:lineRule="auto" w:before="68"/>
        <w:ind w:left="625" w:right="0"/>
        <w:jc w:val="left"/>
      </w:pPr>
      <w:r>
        <w:rPr/>
        <w:t>（一）股东与投资人的权益保护</w:t>
      </w:r>
      <w:r>
        <w:rPr>
          <w:w w:val="100"/>
        </w:rPr>
        <w:t> </w:t>
      </w:r>
      <w:r>
        <w:rPr>
          <w:spacing w:val="-2"/>
        </w:rPr>
        <w:t>公司严格按照《公司法》、《证券法》、《上市公司治理准则》等法律法规要求，不断完善公司治理，制</w:t>
      </w:r>
    </w:p>
    <w:p>
      <w:pPr>
        <w:pStyle w:val="BodyText"/>
        <w:spacing w:line="429" w:lineRule="auto"/>
        <w:ind w:right="1169"/>
        <w:jc w:val="both"/>
      </w:pPr>
      <w:r>
        <w:rPr>
          <w:spacing w:val="-1"/>
        </w:rPr>
        <w:t>定了《股东大会议事规则》、《董事会议事规则》、《监事会议事规则》、《对外投资管理制度》、《关联交</w:t>
      </w:r>
      <w:r>
        <w:rPr>
          <w:spacing w:val="-63"/>
        </w:rPr>
        <w:t> </w:t>
      </w:r>
      <w:r>
        <w:rPr>
          <w:spacing w:val="-63"/>
        </w:rPr>
      </w:r>
      <w:r>
        <w:rPr>
          <w:spacing w:val="-1"/>
        </w:rPr>
        <w:t>易决策制度》等制度，建立了以《公司章程》为基础的内控体系，以股东大会、董事会、监事会及管理层为主</w:t>
      </w:r>
      <w:r>
        <w:rPr>
          <w:spacing w:val="-63"/>
        </w:rPr>
        <w:t> </w:t>
      </w:r>
      <w:r>
        <w:rPr>
          <w:spacing w:val="-63"/>
        </w:rPr>
      </w:r>
      <w:r>
        <w:rPr/>
        <w:t>的决策与经营体系，从制度上切实保障全体股东及债权人的权益。</w:t>
      </w:r>
    </w:p>
    <w:p>
      <w:pPr>
        <w:pStyle w:val="BodyText"/>
        <w:spacing w:line="429" w:lineRule="auto"/>
        <w:ind w:right="0" w:firstLine="471"/>
        <w:jc w:val="left"/>
      </w:pPr>
      <w:r>
        <w:rPr/>
        <w:t>公司自成立以来，一直努力确保公司发展的持续性、成长性和竞争力，依法经营，稳步推进公司业务，逐</w:t>
      </w:r>
      <w:r>
        <w:rPr>
          <w:w w:val="100"/>
        </w:rPr>
        <w:t> </w:t>
      </w:r>
      <w:r>
        <w:rPr>
          <w:spacing w:val="-2"/>
        </w:rPr>
        <w:t>步巩固和深化在银行、企业、政府等行业客户中的市场领先地位，本着诚信勤勉、尽职守则的原则，努力经营，</w:t>
      </w:r>
      <w:r>
        <w:rPr>
          <w:spacing w:val="-79"/>
        </w:rPr>
        <w:t> </w:t>
      </w:r>
      <w:r>
        <w:rPr>
          <w:spacing w:val="-79"/>
        </w:rPr>
      </w:r>
      <w:r>
        <w:rPr/>
        <w:t>规范运作，实现了资产、所有者权益和营业总收入的稳定增长，为投资者创造稳定的回报。</w:t>
      </w:r>
    </w:p>
    <w:p>
      <w:pPr>
        <w:pStyle w:val="BodyText"/>
        <w:spacing w:line="240" w:lineRule="auto"/>
        <w:ind w:left="625" w:right="0"/>
        <w:jc w:val="left"/>
      </w:pPr>
      <w:r>
        <w:rPr/>
        <w:t>在保护股东权益方面，</w:t>
      </w:r>
      <w:r>
        <w:rPr>
          <w:rFonts w:ascii="Times New Roman" w:hAnsi="Times New Roman" w:cs="Times New Roman" w:eastAsia="Times New Roman" w:hint="default"/>
        </w:rPr>
        <w:t>2017</w:t>
      </w:r>
      <w:r>
        <w:rPr/>
        <w:t>年公司召开了三次股东大会，大会的召集、召开、表决程序均合法有效，符合</w:t>
      </w:r>
    </w:p>
    <w:p>
      <w:pPr>
        <w:spacing w:line="240" w:lineRule="auto" w:before="8"/>
        <w:rPr>
          <w:rFonts w:ascii="宋体" w:hAnsi="宋体" w:cs="宋体" w:eastAsia="宋体" w:hint="default"/>
          <w:sz w:val="14"/>
          <w:szCs w:val="14"/>
        </w:rPr>
      </w:pPr>
    </w:p>
    <w:p>
      <w:pPr>
        <w:pStyle w:val="BodyText"/>
        <w:spacing w:line="422" w:lineRule="auto" w:before="0"/>
        <w:ind w:right="1168"/>
        <w:jc w:val="both"/>
      </w:pPr>
      <w:r>
        <w:rPr>
          <w:spacing w:val="-1"/>
        </w:rPr>
        <w:t>《公司章程》及《股东大会议事规则》的规定，确保了股东对公司重大事项的知情权、参与权和表决权。信息</w:t>
      </w:r>
      <w:r>
        <w:rPr>
          <w:spacing w:val="-63"/>
        </w:rPr>
        <w:t> </w:t>
      </w:r>
      <w:r>
        <w:rPr>
          <w:spacing w:val="-63"/>
        </w:rPr>
      </w:r>
      <w:r>
        <w:rPr>
          <w:spacing w:val="-1"/>
        </w:rPr>
        <w:t>披露方面，公司严格按照深交所上市规则及规范运作指引的要求开展工作，所有达到信息披露标准的事项公司</w:t>
      </w:r>
      <w:r>
        <w:rPr>
          <w:spacing w:val="-63"/>
        </w:rPr>
        <w:t> </w:t>
      </w:r>
      <w:r>
        <w:rPr>
          <w:spacing w:val="-63"/>
        </w:rPr>
      </w:r>
      <w:r>
        <w:rPr>
          <w:spacing w:val="-1"/>
        </w:rPr>
        <w:t>都进行了公告，不存在应披露而未披露的信息。与此同时，公司积极开展与投资者的沟通交流工作，</w:t>
      </w:r>
      <w:r>
        <w:rPr>
          <w:rFonts w:ascii="Times New Roman" w:hAnsi="Times New Roman" w:cs="Times New Roman" w:eastAsia="Times New Roman" w:hint="default"/>
          <w:spacing w:val="-1"/>
        </w:rPr>
        <w:t>2017</w:t>
      </w:r>
      <w:r>
        <w:rPr>
          <w:spacing w:val="-1"/>
        </w:rPr>
        <w:t>年通</w:t>
      </w:r>
      <w:r>
        <w:rPr>
          <w:spacing w:val="-61"/>
        </w:rPr>
        <w:t> </w:t>
      </w:r>
      <w:r>
        <w:rPr/>
        <w:t>过电话交流、投资者互动平台等方式，搭建了与投资者沟通的桥梁，增进了投资者对公司价值的了解。</w:t>
      </w:r>
    </w:p>
    <w:p>
      <w:pPr>
        <w:pStyle w:val="BodyText"/>
        <w:spacing w:line="429" w:lineRule="auto" w:before="54"/>
        <w:ind w:left="625" w:right="0"/>
        <w:jc w:val="left"/>
      </w:pPr>
      <w:r>
        <w:rPr/>
        <w:t>（二）与供应商和客户精诚合作</w:t>
      </w:r>
      <w:r>
        <w:rPr>
          <w:w w:val="100"/>
        </w:rPr>
        <w:t> </w:t>
      </w:r>
      <w:r>
        <w:rPr>
          <w:spacing w:val="-2"/>
        </w:rPr>
        <w:t>公司相关物资的采购，均严格选择在工商部门登记注册、合法纳税并具备与所采购规模相匹配的生产制造</w:t>
      </w:r>
    </w:p>
    <w:p>
      <w:pPr>
        <w:pStyle w:val="BodyText"/>
        <w:spacing w:line="429" w:lineRule="auto"/>
        <w:ind w:left="625" w:right="0" w:hanging="472"/>
        <w:jc w:val="left"/>
      </w:pPr>
      <w:r>
        <w:rPr/>
        <w:t>设备的供应商，合法签订合同，实行互惠共赢，确保企业产品的质量信誉与消费者安全。</w:t>
      </w:r>
      <w:r>
        <w:rPr>
          <w:w w:val="100"/>
        </w:rPr>
        <w:t> </w:t>
      </w:r>
      <w:r>
        <w:rPr>
          <w:spacing w:val="-2"/>
        </w:rPr>
        <w:t>为了提高客户满意度，公司不断提高公司产品质量及研发水平，获得了实用新型专利证书以及包括计算机</w:t>
      </w:r>
    </w:p>
    <w:p>
      <w:pPr>
        <w:pStyle w:val="BodyText"/>
        <w:spacing w:line="405" w:lineRule="auto"/>
        <w:ind w:right="1130"/>
        <w:jc w:val="both"/>
      </w:pPr>
      <w:r>
        <w:rPr>
          <w:spacing w:val="-2"/>
        </w:rPr>
        <w:t>信息系统集成一级资质、</w:t>
      </w:r>
      <w:r>
        <w:rPr>
          <w:rFonts w:ascii="Times New Roman" w:hAnsi="Times New Roman" w:cs="Times New Roman" w:eastAsia="Times New Roman" w:hint="default"/>
          <w:spacing w:val="-2"/>
        </w:rPr>
        <w:t>ISO27001</w:t>
      </w:r>
      <w:r>
        <w:rPr>
          <w:spacing w:val="-2"/>
        </w:rPr>
        <w:t>信息安全管理体系认证、</w:t>
      </w:r>
      <w:r>
        <w:rPr>
          <w:rFonts w:ascii="Times New Roman" w:hAnsi="Times New Roman" w:cs="Times New Roman" w:eastAsia="Times New Roman" w:hint="default"/>
          <w:spacing w:val="-2"/>
        </w:rPr>
        <w:t>IS9001:2008</w:t>
      </w:r>
      <w:r>
        <w:rPr>
          <w:spacing w:val="-2"/>
        </w:rPr>
        <w:t>质量管理体系认证、银行</w:t>
      </w:r>
      <w:r>
        <w:rPr>
          <w:rFonts w:ascii="Times New Roman" w:hAnsi="Times New Roman" w:cs="Times New Roman" w:eastAsia="Times New Roman" w:hint="default"/>
          <w:spacing w:val="-2"/>
        </w:rPr>
        <w:t>AAA</w:t>
      </w:r>
      <w:r>
        <w:rPr>
          <w:spacing w:val="-2"/>
        </w:rPr>
        <w:t>级信用证</w:t>
      </w:r>
      <w:r>
        <w:rPr>
          <w:spacing w:val="-47"/>
        </w:rPr>
        <w:t> </w:t>
      </w:r>
      <w:r>
        <w:rPr>
          <w:spacing w:val="-47"/>
        </w:rPr>
      </w:r>
      <w:r>
        <w:rPr/>
        <w:t>书等各种资质，为客户提供优质的产品及服务，并不断提高公司行业声誉。</w:t>
      </w:r>
    </w:p>
    <w:p>
      <w:pPr>
        <w:pStyle w:val="BodyText"/>
        <w:spacing w:line="429" w:lineRule="auto" w:before="68"/>
        <w:ind w:left="625" w:right="0"/>
        <w:jc w:val="left"/>
      </w:pPr>
      <w:r>
        <w:rPr/>
        <w:t>（三）重视员工权益和个人发展</w:t>
      </w:r>
      <w:r>
        <w:rPr>
          <w:w w:val="100"/>
        </w:rPr>
        <w:t> </w:t>
      </w:r>
      <w:r>
        <w:rPr>
          <w:spacing w:val="-1"/>
        </w:rPr>
        <w:t>公司始终视人才为公司最重要的战略资源，是公司核心的生产要素。近年来在公司建立并推行了</w:t>
      </w:r>
      <w:r>
        <w:rPr>
          <w:rFonts w:ascii="Times New Roman" w:hAnsi="Times New Roman" w:cs="Times New Roman" w:eastAsia="Times New Roman" w:hint="default"/>
          <w:spacing w:val="-1"/>
        </w:rPr>
        <w:t>“</w:t>
      </w:r>
      <w:r>
        <w:rPr>
          <w:spacing w:val="-1"/>
        </w:rPr>
        <w:t>中科金</w:t>
      </w:r>
    </w:p>
    <w:p>
      <w:pPr>
        <w:pStyle w:val="BodyText"/>
        <w:spacing w:line="422" w:lineRule="auto" w:before="16"/>
        <w:ind w:right="0"/>
        <w:jc w:val="left"/>
      </w:pPr>
      <w:r>
        <w:rPr>
          <w:spacing w:val="-1"/>
        </w:rPr>
        <w:t>财多层级合伙人经营责任制</w:t>
      </w:r>
      <w:r>
        <w:rPr>
          <w:rFonts w:ascii="Times New Roman" w:hAnsi="Times New Roman" w:cs="Times New Roman" w:eastAsia="Times New Roman" w:hint="default"/>
          <w:spacing w:val="-1"/>
        </w:rPr>
        <w:t>”</w:t>
      </w:r>
      <w:r>
        <w:rPr>
          <w:spacing w:val="-1"/>
        </w:rPr>
        <w:t>，将公司划分为独立经营单元，通过建立与市场直接联系的独立核算制进行运营，</w:t>
      </w:r>
      <w:r>
        <w:rPr>
          <w:spacing w:val="-64"/>
        </w:rPr>
        <w:t> </w:t>
      </w:r>
      <w:r>
        <w:rPr>
          <w:spacing w:val="-64"/>
        </w:rPr>
      </w:r>
      <w:r>
        <w:rPr/>
        <w:t>调动员工参与经营管理，从而实现全员参与的经营模式。中科金财多层级合伙人经营责任制注重发现及培养经</w:t>
      </w:r>
      <w:r>
        <w:rPr>
          <w:w w:val="100"/>
        </w:rPr>
        <w:t> </w:t>
      </w:r>
      <w:r>
        <w:rPr/>
        <w:t>营人才，强调以客户为中心、全局观及组织协同性，打破了传统企业部门间的隔阂，有效调动员工参与经营管</w:t>
      </w:r>
      <w:r>
        <w:rPr>
          <w:w w:val="100"/>
        </w:rPr>
        <w:t> </w:t>
      </w:r>
      <w:r>
        <w:rPr/>
        <w:t>理的自主性和积极性，极大提升了员工的经营热情及主人翁意识。在实际经营过程中各经营单元体现出极强的</w:t>
      </w:r>
    </w:p>
    <w:p>
      <w:pPr>
        <w:spacing w:after="0" w:line="42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before="0"/>
        <w:ind w:right="0"/>
        <w:jc w:val="left"/>
      </w:pPr>
      <w:r>
        <w:rPr>
          <w:spacing w:val="-1"/>
        </w:rPr>
        <w:t>经营智慧与合作意识，大大降低了沟通成本、交易成本、营销成本及运营成本，操作风险大幅降低，劳动生产</w:t>
      </w:r>
      <w:r>
        <w:rPr>
          <w:spacing w:val="-63"/>
        </w:rPr>
        <w:t> </w:t>
      </w:r>
      <w:r>
        <w:rPr>
          <w:spacing w:val="-63"/>
        </w:rPr>
      </w:r>
      <w:r>
        <w:rPr/>
        <w:t>率大幅提高，同时吸引了大量的各领域精英加盟中科金财。</w:t>
      </w:r>
    </w:p>
    <w:p>
      <w:pPr>
        <w:pStyle w:val="BodyText"/>
        <w:spacing w:line="422" w:lineRule="auto"/>
        <w:ind w:right="1168" w:firstLine="471"/>
        <w:jc w:val="both"/>
      </w:pPr>
      <w:r>
        <w:rPr/>
        <w:t>公司一直非常注重提高员工的个人能力，通过各种培训及讲座提高员工业务能力和管理水平。</w:t>
      </w:r>
      <w:r>
        <w:rPr>
          <w:spacing w:val="-27"/>
        </w:rPr>
        <w:t> </w:t>
      </w:r>
      <w:r>
        <w:rPr>
          <w:rFonts w:ascii="Times New Roman" w:hAnsi="Times New Roman" w:cs="Times New Roman" w:eastAsia="Times New Roman" w:hint="default"/>
        </w:rPr>
        <w:t>2017</w:t>
      </w:r>
      <w:r>
        <w:rPr/>
        <w:t>年公</w:t>
      </w:r>
      <w:r>
        <w:rPr>
          <w:spacing w:val="-2"/>
          <w:w w:val="100"/>
        </w:rPr>
        <w:t> </w:t>
      </w:r>
      <w:r>
        <w:rPr>
          <w:spacing w:val="-1"/>
        </w:rPr>
        <w:t>司组织了包括新员工入职培训、在职员工业务培训、管理能力提升培训及其他单场讲座等多层次培训，事前通</w:t>
      </w:r>
      <w:r>
        <w:rPr>
          <w:spacing w:val="-63"/>
        </w:rPr>
        <w:t> </w:t>
      </w:r>
      <w:r>
        <w:rPr>
          <w:spacing w:val="-63"/>
        </w:rPr>
      </w:r>
      <w:r>
        <w:rPr>
          <w:spacing w:val="-1"/>
        </w:rPr>
        <w:t>过调查员工需求，寻求各种培训资源和渠道，来提高培训的有效性和效率，这些培训充分调动了员工学习积极</w:t>
      </w:r>
      <w:r>
        <w:rPr>
          <w:spacing w:val="-62"/>
        </w:rPr>
        <w:t> </w:t>
      </w:r>
      <w:r>
        <w:rPr>
          <w:spacing w:val="-62"/>
        </w:rPr>
      </w:r>
      <w:r>
        <w:rPr>
          <w:spacing w:val="-1"/>
        </w:rPr>
        <w:t>性，既能促进公司整体战略目标的实施，又能满足员工个人能力和职业发展的需求，实现企业和员工的共同进</w:t>
      </w:r>
      <w:r>
        <w:rPr>
          <w:spacing w:val="-63"/>
        </w:rPr>
        <w:t> </w:t>
      </w:r>
      <w:r>
        <w:rPr>
          <w:spacing w:val="-63"/>
        </w:rPr>
      </w:r>
      <w:r>
        <w:rPr/>
        <w:t>步，共同发展。</w:t>
      </w:r>
    </w:p>
    <w:p>
      <w:pPr>
        <w:pStyle w:val="BodyText"/>
        <w:spacing w:line="405" w:lineRule="auto" w:before="54"/>
        <w:ind w:right="1130" w:firstLine="471"/>
        <w:jc w:val="both"/>
      </w:pPr>
      <w:r>
        <w:rPr>
          <w:rFonts w:ascii="Times New Roman" w:hAnsi="Times New Roman" w:cs="Times New Roman" w:eastAsia="Times New Roman" w:hint="default"/>
          <w:spacing w:val="-2"/>
        </w:rPr>
        <w:t>2018</w:t>
      </w:r>
      <w:r>
        <w:rPr>
          <w:spacing w:val="-2"/>
        </w:rPr>
        <w:t>年，公司将继续努力提升公司自身业务水平，确保股东利益，促进员工发展与成长，进一步增强企业</w:t>
      </w:r>
      <w:r>
        <w:rPr>
          <w:w w:val="100"/>
        </w:rPr>
        <w:t> </w:t>
      </w:r>
      <w:r>
        <w:rPr/>
        <w:t>的社会责任感，实现商业利益与社会责任的和谐共赢。</w:t>
      </w:r>
    </w:p>
    <w:p>
      <w:pPr>
        <w:spacing w:line="240" w:lineRule="auto" w:before="7"/>
        <w:rPr>
          <w:rFonts w:ascii="宋体" w:hAnsi="宋体" w:cs="宋体" w:eastAsia="宋体" w:hint="default"/>
          <w:sz w:val="21"/>
          <w:szCs w:val="21"/>
        </w:rPr>
      </w:pPr>
    </w:p>
    <w:p>
      <w:pPr>
        <w:spacing w:line="532" w:lineRule="auto" w:before="0"/>
        <w:ind w:left="153" w:right="2809" w:firstLine="0"/>
        <w:jc w:val="left"/>
        <w:rPr>
          <w:rFonts w:ascii="宋体" w:hAnsi="宋体" w:cs="宋体" w:eastAsia="宋体" w:hint="default"/>
          <w:sz w:val="21"/>
          <w:szCs w:val="21"/>
        </w:rPr>
      </w:pPr>
      <w:bookmarkStart w:name="2、履行精准扶贫社会责任情况" w:id="100"/>
      <w:bookmarkEnd w:id="10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99"/>
          <w:sz w:val="21"/>
          <w:szCs w:val="21"/>
        </w:rPr>
        <w:t> </w:t>
      </w:r>
      <w:r>
        <w:rPr>
          <w:rFonts w:ascii="宋体" w:hAnsi="宋体" w:cs="宋体" w:eastAsia="宋体" w:hint="default"/>
          <w:spacing w:val="-1"/>
          <w:sz w:val="20"/>
          <w:szCs w:val="20"/>
        </w:rPr>
        <w:t>公司报告年度暂未开展精准扶贫工作，也暂无后续精准扶贫计划。</w:t>
      </w:r>
      <w:r>
        <w:rPr>
          <w:rFonts w:ascii="宋体" w:hAnsi="宋体" w:cs="宋体" w:eastAsia="宋体" w:hint="default"/>
          <w:spacing w:val="-77"/>
          <w:sz w:val="20"/>
          <w:szCs w:val="20"/>
        </w:rPr>
        <w:t> </w:t>
      </w:r>
      <w:r>
        <w:rPr>
          <w:rFonts w:ascii="宋体" w:hAnsi="宋体" w:cs="宋体" w:eastAsia="宋体" w:hint="default"/>
          <w:spacing w:val="-77"/>
          <w:sz w:val="20"/>
          <w:szCs w:val="20"/>
        </w:rPr>
      </w:r>
      <w:bookmarkStart w:name="3、环境保护相关的情况" w:id="101"/>
      <w:bookmarkEnd w:id="101"/>
      <w:r>
        <w:rPr>
          <w:rFonts w:ascii="宋体" w:hAnsi="宋体" w:cs="宋体" w:eastAsia="宋体" w:hint="default"/>
          <w:spacing w:val="-77"/>
          <w:sz w:val="20"/>
          <w:szCs w:val="20"/>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357" w:lineRule="auto" w:before="65"/>
        <w:ind w:left="153" w:right="5713"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line="240" w:lineRule="auto" w:before="5"/>
        <w:rPr>
          <w:rFonts w:ascii="宋体" w:hAnsi="宋体" w:cs="宋体" w:eastAsia="宋体" w:hint="default"/>
          <w:sz w:val="18"/>
          <w:szCs w:val="18"/>
        </w:rPr>
      </w:pPr>
    </w:p>
    <w:p>
      <w:pPr>
        <w:pStyle w:val="Heading2"/>
        <w:spacing w:line="240" w:lineRule="auto"/>
        <w:ind w:left="154" w:right="0"/>
        <w:jc w:val="left"/>
        <w:rPr>
          <w:b w:val="0"/>
          <w:bCs w:val="0"/>
        </w:rPr>
      </w:pPr>
      <w:bookmarkStart w:name="十九、其他重大事项的说明" w:id="102"/>
      <w:bookmarkEnd w:id="102"/>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77"/>
        <w:ind w:left="153" w:right="0" w:firstLine="0"/>
        <w:jc w:val="left"/>
        <w:rPr>
          <w:rFonts w:ascii="宋体" w:hAnsi="宋体" w:cs="宋体" w:eastAsia="宋体" w:hint="default"/>
          <w:sz w:val="21"/>
          <w:szCs w:val="21"/>
        </w:rPr>
      </w:pPr>
      <w:r>
        <w:rPr>
          <w:rFonts w:ascii="宋体" w:hAnsi="宋体" w:cs="宋体" w:eastAsia="宋体" w:hint="default"/>
          <w:sz w:val="21"/>
          <w:szCs w:val="21"/>
        </w:rPr>
        <w:t>公司报告期不存在需要说明的其他重大事项。</w:t>
      </w:r>
    </w:p>
    <w:p>
      <w:pPr>
        <w:spacing w:line="240" w:lineRule="auto" w:before="12"/>
        <w:rPr>
          <w:rFonts w:ascii="宋体" w:hAnsi="宋体" w:cs="宋体" w:eastAsia="宋体" w:hint="default"/>
          <w:sz w:val="23"/>
          <w:szCs w:val="23"/>
        </w:rPr>
      </w:pPr>
    </w:p>
    <w:p>
      <w:pPr>
        <w:pStyle w:val="Heading2"/>
        <w:spacing w:line="240" w:lineRule="auto"/>
        <w:ind w:left="154" w:right="0"/>
        <w:jc w:val="left"/>
        <w:rPr>
          <w:b w:val="0"/>
          <w:bCs w:val="0"/>
        </w:rPr>
      </w:pPr>
      <w:bookmarkStart w:name="二十、公司子公司重大事项" w:id="103"/>
      <w:bookmarkEnd w:id="103"/>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104"/>
      <w:bookmarkEnd w:id="104"/>
      <w:r>
        <w:rPr>
          <w:b w:val="0"/>
          <w:bCs w:val="0"/>
        </w:rPr>
      </w:r>
      <w:bookmarkStart w:name="_bookmark4" w:id="105"/>
      <w:bookmarkEnd w:id="10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116,991,8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34.66%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-54,930,1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-54,930,1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62,061,69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18.38%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4,668,319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1.38%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-4,668,31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-4,668,31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112,323,5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33.27%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-50,261,8</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-50,261,8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62,061,69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18.38%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18,533,30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5.49%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-18,533,3</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-18,533,3</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93,790,23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27.78%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-31,728,5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-31,728,5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62,061,69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18.38%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220,584,8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65.34%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54,930,16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54,930,16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275,514,9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81.62%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220,584,8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65.34%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54,930,16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54,930,16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275,514,9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81.62%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337,576,6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337,576,6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2"/>
          <w:szCs w:val="12"/>
        </w:rPr>
      </w:pPr>
    </w:p>
    <w:p>
      <w:pPr>
        <w:pStyle w:val="BodyText"/>
        <w:spacing w:line="405" w:lineRule="auto" w:before="0"/>
        <w:ind w:right="1118" w:firstLine="426"/>
        <w:jc w:val="left"/>
      </w:pPr>
      <w:r>
        <w:rPr>
          <w:rFonts w:ascii="Times New Roman" w:hAnsi="Times New Roman" w:cs="Times New Roman" w:eastAsia="Times New Roman" w:hint="default"/>
          <w:spacing w:val="-2"/>
        </w:rPr>
        <w:t>1.</w:t>
      </w:r>
      <w:r>
        <w:rPr>
          <w:spacing w:val="-2"/>
        </w:rPr>
        <w:t>公司非公开发行和重大资产重组中部分限售股分别于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8</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12</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17</w:t>
      </w:r>
      <w:r>
        <w:rPr>
          <w:spacing w:val="-2"/>
        </w:rPr>
        <w:t>日解</w:t>
      </w:r>
      <w:r>
        <w:rPr>
          <w:w w:val="100"/>
        </w:rPr>
        <w:t> </w:t>
      </w:r>
      <w:r>
        <w:rPr/>
        <w:t>除限售。</w:t>
      </w:r>
    </w:p>
    <w:p>
      <w:pPr>
        <w:pStyle w:val="BodyText"/>
        <w:spacing w:line="240" w:lineRule="auto" w:before="68"/>
        <w:ind w:left="579" w:right="0"/>
        <w:jc w:val="left"/>
      </w:pPr>
      <w:r>
        <w:rPr>
          <w:rFonts w:ascii="Times New Roman" w:hAnsi="Times New Roman" w:cs="Times New Roman" w:eastAsia="Times New Roman" w:hint="default"/>
        </w:rPr>
        <w:t>2.</w:t>
      </w:r>
      <w:r>
        <w:rPr/>
        <w:t>公司部分董事、监事锁定股数发生改变。</w:t>
      </w:r>
    </w:p>
    <w:p>
      <w:pPr>
        <w:spacing w:before="170"/>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340" w:lineRule="auto" w:before="42"/>
        <w:ind w:left="15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38" w:lineRule="auto" w:before="44"/>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42,819,688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42,819,688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每年度第一个交 易日解锁持股总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13,500,367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13,500,367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每年度第一个交 易日解锁持股总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赫喆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4,667,533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1,384,344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3,283,189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每年度第一个交 易日解锁持股总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1,248,400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2,448,400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每年度第一个交 易日解锁持股总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孙昕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每年度第一个交 易日解锁持股总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郭通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每年度第一个交 易日解锁持股总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天津滨河数据信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7,843,666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7,843,666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重组定增限售股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杨承宏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6,309,660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6,309,660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重组定增限售股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3,959,418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3,959,418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重组定增限售股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周惠明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3,959,418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3,959,418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重组定增限售股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吴红心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2,615,616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2,615,616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重组定增限售股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谢晓梅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2,399,646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2,399,646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重组定增限售股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27,658,772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27,658,772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116,991,859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56,130,540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62,061,694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68,208</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65,172</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16.91%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57,092,91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42,819,68</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14,273,23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40,200,000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4.98%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16,827,49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-1173000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13,500,36</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3,327,123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华夏幸福基业控 股股份公司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4.65%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天津滨河数据信 息技术有限公司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2.32%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7,843,666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7,843,666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7,000,000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赫喆</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1.95%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6,566,378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343000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3,283,189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3,283,189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杨承宏</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6,309,660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6,309,660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董书倩</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5,414,660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5,414,660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青岛城投金融控 股集团有限公司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4,668,319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4,668,319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4,668,000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3,264,533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1600000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2,448,400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816,133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华融国际信托有 限责任公司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2,754,007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2,754,007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3"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319" w:lineRule="auto" w:before="51"/>
              <w:ind w:left="15" w:right="21"/>
              <w:jc w:val="both"/>
              <w:rPr>
                <w:rFonts w:ascii="宋体" w:hAnsi="宋体" w:cs="宋体" w:eastAsia="宋体" w:hint="default"/>
                <w:sz w:val="18"/>
                <w:szCs w:val="18"/>
              </w:rPr>
            </w:pPr>
            <w:r>
              <w:rPr>
                <w:rFonts w:ascii="宋体" w:hAnsi="宋体" w:cs="宋体" w:eastAsia="宋体" w:hint="default"/>
                <w:spacing w:val="-1"/>
                <w:sz w:val="18"/>
                <w:szCs w:val="18"/>
              </w:rPr>
              <w:t>上述股东中朱烨东、沈飒为夫妻关系，杨承宏为公司股东朱烨东、沈飒的一致行动人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陈绪华之子，赫喆为公司股东朱烨东、沈飒的一致行动人蔡迦之子，天津滨河数据信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息技术有限公司是股东刘开同控制的企业，刘开同与董书倩为夫妻关系。除上述关系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外，公司未知上述其他股东是否存在其他关联关系或属于《上市公司股东持股变动信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息披露管理办法》中规定的一致行动人。</w:t>
            </w:r>
          </w:p>
        </w:tc>
      </w:tr>
      <w:tr>
        <w:trPr>
          <w:trHeight w:val="704"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10" w:space="0" w:color="D2D2D2"/>
              <w:right w:val="single" w:sz="4" w:space="0" w:color="000000"/>
            </w:tcBorders>
          </w:tcPr>
          <w:p>
            <w:pPr/>
          </w:p>
        </w:tc>
      </w:tr>
      <w:tr>
        <w:trPr>
          <w:trHeight w:val="473"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华夏幸福基业控股股份公司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15,700,000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14,273,230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14,273,230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天津滨河数据信息技术有限公司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7,843,666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7,843,666</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杨承宏</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6,309,660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6,309,660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董书倩</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5,414,660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5,414,660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4,668,319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4,668,319</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3,327,123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3,327,123</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赫喆</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3,283,189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3,283,189</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华融国际信托有限责任公司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2,754,007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2,754,007</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刘运龙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2,660,028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2,660,028</w:t>
            </w:r>
          </w:p>
        </w:tc>
      </w:tr>
      <w:tr>
        <w:trPr>
          <w:trHeight w:val="1650"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1"/>
                <w:sz w:val="18"/>
                <w:szCs w:val="18"/>
              </w:rPr>
              <w:t>上述股东中朱烨东、沈飒为夫妻关系，杨承宏为公司股东朱烨东、沈飒的一致行动人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陈绪华之子，赫喆为公司股东朱烨东、沈飒的一致行动人蔡迦之子，天津滨河数据信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息技术有限公司是股东刘开同控制的企业，刘开同与董书倩为夫妻关系。除上述关系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外，公司未知上述其他股东是否存在其他关联关系或属于《上市公司股东持股变动信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息披露管理办法》中规定的一致行动人。</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任北京中科金财科技股份有限公司副董事长兼总经理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86"/>
        <w:ind w:right="0"/>
        <w:jc w:val="left"/>
      </w:pPr>
      <w:r>
        <w:rPr/>
        <w:t>公司报告期控股股东未发生变更。</w:t>
      </w:r>
    </w:p>
    <w:p>
      <w:pPr>
        <w:spacing w:line="240" w:lineRule="auto" w:before="13"/>
        <w:rPr>
          <w:rFonts w:ascii="宋体" w:hAnsi="宋体" w:cs="宋体" w:eastAsia="宋体" w:hint="default"/>
          <w:sz w:val="25"/>
          <w:szCs w:val="25"/>
        </w:rPr>
      </w:pPr>
    </w:p>
    <w:p>
      <w:pPr>
        <w:pStyle w:val="Heading3"/>
        <w:spacing w:line="240" w:lineRule="auto"/>
        <w:ind w:left="153" w:right="0"/>
        <w:jc w:val="left"/>
        <w:rPr>
          <w:b w:val="0"/>
          <w:bCs w:val="0"/>
        </w:rPr>
      </w:pPr>
      <w:bookmarkStart w:name="3、公司实际控制人情况" w:id="116"/>
      <w:bookmarkEnd w:id="116"/>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
                <w:sz w:val="18"/>
                <w:szCs w:val="18"/>
              </w:rPr>
              <w:t>朱烨东任职于北京中科金财科技股份有限公司，担任董事长一职。沈飒任职于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北京中科金财科技股份有限公司，担任副董事长兼总经理一职。</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31" w:lineRule="auto" w:before="117"/>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z w:val="20"/>
          <w:szCs w:val="20"/>
        </w:rPr>
        <w:t>公司报告期实际控制人未发生变更。</w:t>
      </w:r>
      <w:r>
        <w:rPr>
          <w:rFonts w:ascii="宋体" w:hAnsi="宋体" w:cs="宋体" w:eastAsia="宋体" w:hint="default"/>
          <w:w w:val="100"/>
          <w:sz w:val="20"/>
          <w:szCs w:val="20"/>
        </w:rPr>
        <w:t> </w:t>
      </w:r>
      <w:r>
        <w:rPr>
          <w:rFonts w:ascii="宋体" w:hAnsi="宋体" w:cs="宋体" w:eastAsia="宋体" w:hint="default"/>
          <w:sz w:val="18"/>
          <w:szCs w:val="18"/>
        </w:rPr>
        <w:t>公司与实际控制人之间的产权及控制关系的方框图</w:t>
      </w:r>
    </w:p>
    <w:p>
      <w:pPr>
        <w:spacing w:line="240" w:lineRule="auto" w:before="4"/>
        <w:rPr>
          <w:rFonts w:ascii="宋体" w:hAnsi="宋体" w:cs="宋体" w:eastAsia="宋体" w:hint="default"/>
          <w:sz w:val="21"/>
          <w:szCs w:val="21"/>
        </w:rPr>
      </w:pPr>
    </w:p>
    <w:p>
      <w:pPr>
        <w:spacing w:line="2952" w:lineRule="exact"/>
        <w:ind w:left="2080"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3672865" cy="1874519"/>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3672865" cy="1874519"/>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7"/>
        <w:rPr>
          <w:rFonts w:ascii="宋体" w:hAnsi="宋体" w:cs="宋体" w:eastAsia="宋体" w:hint="default"/>
          <w:sz w:val="21"/>
          <w:szCs w:val="21"/>
        </w:rPr>
      </w:pPr>
    </w:p>
    <w:p>
      <w:pPr>
        <w:pStyle w:val="BodyText"/>
        <w:spacing w:line="240" w:lineRule="auto" w:before="0"/>
        <w:ind w:right="0"/>
        <w:jc w:val="left"/>
      </w:pPr>
      <w:r>
        <w:rPr/>
        <w:t>实际控制人通过信托或其他资产管理方式控制公司</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9"/>
      <w:bookmarkEnd w:id="119"/>
      <w:r>
        <w:rPr>
          <w:b w:val="0"/>
          <w:bCs w:val="0"/>
        </w:rPr>
      </w:r>
      <w:bookmarkStart w:name="_bookmark5" w:id="120"/>
      <w:bookmarkEnd w:id="120"/>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86"/>
        <w:ind w:right="0"/>
        <w:jc w:val="left"/>
      </w:pPr>
      <w:r>
        <w:rPr/>
        <w:t>报告期公司不存在优先股。</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1"/>
      <w:bookmarkEnd w:id="121"/>
      <w:r>
        <w:rPr>
          <w:b w:val="0"/>
          <w:bCs w:val="0"/>
        </w:rPr>
      </w:r>
      <w:bookmarkStart w:name="_bookmark6" w:id="122"/>
      <w:bookmarkEnd w:id="122"/>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1,664,533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3,264,533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副董事 长、总经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57,092,91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57,092,91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16,827,49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赵学荣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总经理兼 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贺岩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总经理兼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汪亮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白涛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司苗珍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郭通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张京辉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赫喆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6,223,378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6,566,378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汪亮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82,994,71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83,764,71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年年度股东大会选 举汪亮担任公司董事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赫喆</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任职情况" w:id="125"/>
      <w:bookmarkEnd w:id="125"/>
      <w:r>
        <w:rPr>
          <w:b w:val="0"/>
          <w:bCs w:val="0"/>
        </w:rPr>
      </w:r>
      <w:r>
        <w:rPr/>
        <w:t>三、任职情况</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left="625" w:right="2809" w:hanging="472"/>
        <w:jc w:val="left"/>
      </w:pPr>
      <w:r>
        <w:rPr>
          <w:spacing w:val="-1"/>
        </w:rPr>
        <w:t>公司现任董事、监事、高级管理人员专业背景、主要工作经历以及目前在公司的主要职责</w:t>
      </w:r>
      <w:r>
        <w:rPr>
          <w:spacing w:val="-70"/>
        </w:rPr>
        <w:t> </w:t>
      </w:r>
      <w:r>
        <w:rPr>
          <w:spacing w:val="-70"/>
        </w:rPr>
      </w:r>
      <w:r>
        <w:rPr/>
        <w:t>董事：</w:t>
      </w:r>
    </w:p>
    <w:p>
      <w:pPr>
        <w:pStyle w:val="BodyText"/>
        <w:spacing w:line="412" w:lineRule="auto"/>
        <w:ind w:right="1131" w:firstLine="471"/>
        <w:jc w:val="both"/>
      </w:pPr>
      <w:r>
        <w:rPr>
          <w:spacing w:val="-4"/>
        </w:rPr>
        <w:t>朱烨东，男，中国国籍，无境外永久居留权，</w:t>
      </w:r>
      <w:r>
        <w:rPr>
          <w:rFonts w:ascii="Times New Roman" w:hAnsi="Times New Roman" w:cs="Times New Roman" w:eastAsia="Times New Roman" w:hint="default"/>
          <w:spacing w:val="-4"/>
        </w:rPr>
        <w:t>1968 </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18"/>
        </w:rPr>
        <w:t> </w:t>
      </w:r>
      <w:r>
        <w:rPr>
          <w:spacing w:val="-3"/>
        </w:rPr>
        <w:t>月出生。南京理工大学计算机系软件专业学士、北</w:t>
      </w:r>
      <w:r>
        <w:rPr>
          <w:w w:val="100"/>
        </w:rPr>
        <w:t> </w:t>
      </w:r>
      <w:r>
        <w:rPr>
          <w:spacing w:val="-2"/>
        </w:rPr>
        <w:t>京大学经济学院金融学硕士、北京大学经济学院政治经济学博士、高级工程师，</w:t>
      </w:r>
      <w:r>
        <w:rPr>
          <w:rFonts w:ascii="Times New Roman" w:hAnsi="Times New Roman" w:cs="Times New Roman" w:eastAsia="Times New Roman" w:hint="default"/>
          <w:spacing w:val="-2"/>
        </w:rPr>
        <w:t>2007</w:t>
      </w:r>
      <w:r>
        <w:rPr>
          <w:rFonts w:ascii="Times New Roman" w:hAnsi="Times New Roman" w:cs="Times New Roman" w:eastAsia="Times New Roman" w:hint="default"/>
        </w:rPr>
        <w:t> </w:t>
      </w:r>
      <w:r>
        <w:rPr>
          <w:spacing w:val="-1"/>
        </w:rPr>
        <w:t>年获得信息产业部计算机</w:t>
      </w:r>
      <w:r>
        <w:rPr>
          <w:spacing w:val="-87"/>
        </w:rPr>
        <w:t> </w:t>
      </w:r>
      <w:r>
        <w:rPr>
          <w:spacing w:val="-87"/>
        </w:rPr>
      </w:r>
      <w:r>
        <w:rPr/>
        <w:t>信息系统集成高级项目经理证书。曾任北京大学北佳公司软件工程师，香港伟仕集团金融事业部总经理，北京</w:t>
      </w:r>
      <w:r>
        <w:rPr>
          <w:w w:val="100"/>
        </w:rPr>
        <w:t> </w:t>
      </w:r>
      <w:r>
        <w:rPr/>
        <w:t>奥德映真计算机技术有限公司董事、总经理，北京北大青鸟计算机智能技术有限公司董事、总经理等职，现任</w:t>
      </w:r>
    </w:p>
    <w:p>
      <w:pPr>
        <w:spacing w:after="0" w:line="41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0"/>
        <w:ind w:right="0"/>
        <w:jc w:val="left"/>
      </w:pPr>
      <w:r>
        <w:rPr/>
        <w:t>公司董事长。</w:t>
      </w:r>
    </w:p>
    <w:p>
      <w:pPr>
        <w:spacing w:line="240" w:lineRule="auto" w:before="10"/>
        <w:rPr>
          <w:rFonts w:ascii="宋体" w:hAnsi="宋体" w:cs="宋体" w:eastAsia="宋体" w:hint="default"/>
          <w:sz w:val="15"/>
          <w:szCs w:val="15"/>
        </w:rPr>
      </w:pPr>
    </w:p>
    <w:p>
      <w:pPr>
        <w:pStyle w:val="BodyText"/>
        <w:spacing w:line="422" w:lineRule="auto" w:before="0"/>
        <w:ind w:right="0" w:firstLine="471"/>
        <w:jc w:val="left"/>
      </w:pPr>
      <w:r>
        <w:rPr>
          <w:spacing w:val="-7"/>
        </w:rPr>
        <w:t>沈飒，女，中国国籍，无境外永久居留权，</w:t>
      </w:r>
      <w:r>
        <w:rPr>
          <w:rFonts w:ascii="Times New Roman" w:hAnsi="Times New Roman" w:cs="Times New Roman" w:eastAsia="Times New Roman" w:hint="default"/>
          <w:spacing w:val="-7"/>
        </w:rPr>
        <w:t>1973 </w:t>
      </w:r>
      <w:r>
        <w:rPr/>
        <w:t>年</w:t>
      </w: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spacing w:val="-4"/>
        </w:rPr>
        <w:t>月出生，北京大学经济学院金融专业硕士，中共党员。</w:t>
      </w:r>
      <w:r>
        <w:rPr>
          <w:w w:val="100"/>
        </w:rPr>
        <w:t> </w:t>
      </w:r>
      <w:r>
        <w:rPr/>
        <w:t>曾任北京奥德映真计算机技术有限公司销售经理、方正奥德集团公司大客户部销售总监、北京北大青鸟计算机</w:t>
      </w:r>
      <w:r>
        <w:rPr>
          <w:w w:val="100"/>
        </w:rPr>
        <w:t> </w:t>
      </w:r>
      <w:r>
        <w:rPr/>
        <w:t>智能技术有限公司营销副总经理、优利系统（中国）有限公司金融行业销售经理。长期从事政府、金融行业的</w:t>
      </w:r>
      <w:r>
        <w:rPr>
          <w:w w:val="100"/>
        </w:rPr>
        <w:t> </w:t>
      </w:r>
      <w:r>
        <w:rPr/>
        <w:t>市场开发及销售的管理工作，现任公司副董事长兼总经理。</w:t>
      </w:r>
    </w:p>
    <w:p>
      <w:pPr>
        <w:pStyle w:val="BodyText"/>
        <w:spacing w:line="240" w:lineRule="auto" w:before="54"/>
        <w:ind w:left="625" w:right="0"/>
        <w:jc w:val="left"/>
      </w:pPr>
      <w:r>
        <w:rPr/>
        <w:t>刘开同，男，中国国籍，无境外永久居留权，</w:t>
      </w:r>
      <w:r>
        <w:rPr>
          <w:rFonts w:ascii="Times New Roman" w:hAnsi="Times New Roman" w:cs="Times New Roman" w:eastAsia="Times New Roman" w:hint="default"/>
        </w:rPr>
        <w:t>1970</w:t>
      </w:r>
      <w:r>
        <w:rPr/>
        <w:t>年出生，清华大学工商管理专业，硕士学历。</w:t>
      </w:r>
      <w:r>
        <w:rPr>
          <w:rFonts w:ascii="Times New Roman" w:hAnsi="Times New Roman" w:cs="Times New Roman" w:eastAsia="Times New Roman" w:hint="default"/>
        </w:rPr>
        <w:t>2003</w:t>
      </w:r>
      <w:r>
        <w:rPr/>
        <w:t>年至</w:t>
      </w:r>
    </w:p>
    <w:p>
      <w:pPr>
        <w:spacing w:line="240" w:lineRule="auto" w:before="8"/>
        <w:rPr>
          <w:rFonts w:ascii="宋体" w:hAnsi="宋体" w:cs="宋体" w:eastAsia="宋体" w:hint="default"/>
          <w:sz w:val="14"/>
          <w:szCs w:val="14"/>
        </w:rPr>
      </w:pPr>
    </w:p>
    <w:p>
      <w:pPr>
        <w:pStyle w:val="BodyText"/>
        <w:spacing w:line="405" w:lineRule="auto" w:before="0"/>
        <w:ind w:left="625" w:right="1211" w:hanging="472"/>
        <w:jc w:val="left"/>
      </w:pPr>
      <w:r>
        <w:rPr>
          <w:rFonts w:ascii="Times New Roman" w:hAnsi="Times New Roman" w:cs="Times New Roman" w:eastAsia="Times New Roman" w:hint="default"/>
        </w:rPr>
        <w:t>2007</w:t>
      </w:r>
      <w:r>
        <w:rPr/>
        <w:t>年，任职于广州御银科技股份有限公司，历任客户经理、区域营销总监，现任公司董事。</w:t>
      </w:r>
      <w:r>
        <w:rPr>
          <w:w w:val="100"/>
        </w:rPr>
        <w:t> </w:t>
      </w:r>
      <w:r>
        <w:rPr/>
        <w:t>赵学荣，女，中国国籍，无境外永久居留权，</w:t>
      </w:r>
      <w:r>
        <w:rPr>
          <w:rFonts w:ascii="Times New Roman" w:hAnsi="Times New Roman" w:cs="Times New Roman" w:eastAsia="Times New Roman" w:hint="default"/>
        </w:rPr>
        <w:t>1973</w:t>
      </w:r>
      <w:r>
        <w:rPr>
          <w:rFonts w:ascii="Times New Roman" w:hAnsi="Times New Roman" w:cs="Times New Roman" w:eastAsia="Times New Roman" w:hint="default"/>
          <w:spacing w:val="20"/>
        </w:rPr>
        <w:t> </w:t>
      </w:r>
      <w:r>
        <w:rPr/>
        <w:t>年出生，中国人民大学财务会计专业本科毕业，高级</w:t>
      </w:r>
    </w:p>
    <w:p>
      <w:pPr>
        <w:pStyle w:val="BodyText"/>
        <w:spacing w:line="417" w:lineRule="auto" w:before="38"/>
        <w:ind w:right="1169"/>
        <w:jc w:val="both"/>
      </w:pPr>
      <w:r>
        <w:rPr>
          <w:spacing w:val="-1"/>
        </w:rPr>
        <w:t>会计师。曾任香港伟仕集团北京伟仕科技发展公司会计、北京奥德映真计算机技术有限公司财务主管、财务部</w:t>
      </w:r>
      <w:r>
        <w:rPr>
          <w:spacing w:val="-63"/>
        </w:rPr>
        <w:t> </w:t>
      </w:r>
      <w:r>
        <w:rPr>
          <w:spacing w:val="-63"/>
        </w:rPr>
      </w:r>
      <w:r>
        <w:rPr/>
        <w:t>经理、北京北大青鸟计算机智能技术有限公司财务经理。从事财务管理工作近</w:t>
      </w:r>
      <w:r>
        <w:rPr>
          <w:rFonts w:ascii="Times New Roman" w:hAnsi="Times New Roman" w:cs="Times New Roman" w:eastAsia="Times New Roman" w:hint="default"/>
        </w:rPr>
        <w:t>20 </w:t>
      </w:r>
      <w:r>
        <w:rPr/>
        <w:t>年，具有丰富的</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类企业财</w:t>
      </w:r>
      <w:r>
        <w:rPr>
          <w:w w:val="100"/>
        </w:rPr>
        <w:t> </w:t>
      </w:r>
      <w:r>
        <w:rPr/>
        <w:t>务核算与管理经验。现任公司董事、副总经理兼财务总监。</w:t>
      </w:r>
    </w:p>
    <w:p>
      <w:pPr>
        <w:pStyle w:val="BodyText"/>
        <w:spacing w:line="417" w:lineRule="auto" w:before="58"/>
        <w:ind w:right="1130" w:firstLine="471"/>
        <w:jc w:val="both"/>
      </w:pPr>
      <w:r>
        <w:rPr>
          <w:spacing w:val="-3"/>
        </w:rPr>
        <w:t>贺岩，男，中国国籍，无境外永久居留权，</w:t>
      </w:r>
      <w:r>
        <w:rPr>
          <w:rFonts w:ascii="Times New Roman" w:hAnsi="Times New Roman" w:cs="Times New Roman" w:eastAsia="Times New Roman" w:hint="default"/>
          <w:spacing w:val="-3"/>
        </w:rPr>
        <w:t>1978</w:t>
      </w:r>
      <w:r>
        <w:rPr>
          <w:rFonts w:ascii="Times New Roman" w:hAnsi="Times New Roman" w:cs="Times New Roman" w:eastAsia="Times New Roman" w:hint="default"/>
          <w:spacing w:val="2"/>
        </w:rPr>
        <w:t> </w:t>
      </w:r>
      <w:r>
        <w:rPr/>
        <w:t>年出生，南开大学</w:t>
      </w:r>
      <w:r>
        <w:rPr>
          <w:rFonts w:ascii="Times New Roman" w:hAnsi="Times New Roman" w:cs="Times New Roman" w:eastAsia="Times New Roman" w:hint="default"/>
        </w:rPr>
        <w:t>EMBA</w:t>
      </w:r>
      <w:r>
        <w:rPr/>
        <w:t>，硕士学历。</w:t>
      </w:r>
      <w:r>
        <w:rPr>
          <w:rFonts w:ascii="Times New Roman" w:hAnsi="Times New Roman" w:cs="Times New Roman" w:eastAsia="Times New Roman" w:hint="default"/>
        </w:rPr>
        <w:t>2007</w:t>
      </w:r>
      <w:r>
        <w:rPr/>
        <w:t>年取得深圳证</w:t>
      </w:r>
      <w:r>
        <w:rPr>
          <w:w w:val="100"/>
        </w:rPr>
        <w:t> </w:t>
      </w:r>
      <w:r>
        <w:rPr/>
        <w:t>券交易所董事会秘书资格证书。曾任广州中加贸易有限公司副总经理，北京中科金财科技股份有限公司董事会</w:t>
      </w:r>
      <w:r>
        <w:rPr>
          <w:w w:val="100"/>
        </w:rPr>
        <w:t> </w:t>
      </w:r>
      <w:r>
        <w:rPr/>
        <w:t>办公室主任、证券事务代表，现任公司董事、副总经理兼董事会秘书。</w:t>
      </w:r>
    </w:p>
    <w:p>
      <w:pPr>
        <w:pStyle w:val="BodyText"/>
        <w:spacing w:line="405" w:lineRule="auto" w:before="58"/>
        <w:ind w:right="1031" w:firstLine="471"/>
        <w:jc w:val="both"/>
      </w:pPr>
      <w:r>
        <w:rPr>
          <w:spacing w:val="-4"/>
        </w:rPr>
        <w:t>汪亮，男，中国国籍，无境外永久居留权，</w:t>
      </w:r>
      <w:r>
        <w:rPr>
          <w:rFonts w:ascii="Times New Roman" w:hAnsi="Times New Roman" w:cs="Times New Roman" w:eastAsia="Times New Roman" w:hint="default"/>
          <w:spacing w:val="-4"/>
        </w:rPr>
        <w:t>1982</w:t>
      </w:r>
      <w:r>
        <w:rPr>
          <w:spacing w:val="-4"/>
        </w:rPr>
        <w:t>年出生。毕业于北京城市学院生物计算机专业，大专学历。</w:t>
      </w:r>
      <w:r>
        <w:rPr>
          <w:w w:val="100"/>
        </w:rPr>
        <w:t> </w:t>
      </w:r>
      <w:r>
        <w:rPr/>
        <w:t>现任北京中科金财科技股份有限公司董事、政府行业总监。</w:t>
      </w:r>
    </w:p>
    <w:p>
      <w:pPr>
        <w:pStyle w:val="BodyText"/>
        <w:spacing w:line="405" w:lineRule="auto" w:before="68"/>
        <w:ind w:right="1097" w:firstLine="471"/>
        <w:jc w:val="both"/>
      </w:pPr>
      <w:r>
        <w:rPr>
          <w:spacing w:val="-1"/>
        </w:rPr>
        <w:t>白涛，女，中国国籍，无境外永久居留权，</w:t>
      </w:r>
      <w:r>
        <w:rPr>
          <w:rFonts w:ascii="Times New Roman" w:hAnsi="Times New Roman" w:cs="Times New Roman" w:eastAsia="Times New Roman" w:hint="default"/>
          <w:spacing w:val="-1"/>
        </w:rPr>
        <w:t>1965</w:t>
      </w:r>
      <w:r>
        <w:rPr>
          <w:spacing w:val="-1"/>
        </w:rPr>
        <w:t>年出生。北京大学法学学士、美国康乃尔大学法学博士。</w:t>
      </w:r>
      <w:r>
        <w:rPr>
          <w:w w:val="100"/>
        </w:rPr>
        <w:t> </w:t>
      </w:r>
      <w:r>
        <w:rPr/>
        <w:t>曾任职于中信律师事务所、北京市通商律师事务所，现任北京市君合律师事务所合伙人，兼任公司独立董事。</w:t>
      </w:r>
    </w:p>
    <w:p>
      <w:pPr>
        <w:pStyle w:val="BodyText"/>
        <w:spacing w:line="422" w:lineRule="auto" w:before="68"/>
        <w:ind w:right="1130" w:firstLine="471"/>
        <w:jc w:val="both"/>
      </w:pPr>
      <w:r>
        <w:rPr>
          <w:spacing w:val="-2"/>
        </w:rPr>
        <w:t>赵燕，女，中国国籍，无境外永久居留权，</w:t>
      </w:r>
      <w:r>
        <w:rPr>
          <w:rFonts w:ascii="Times New Roman" w:hAnsi="Times New Roman" w:cs="Times New Roman" w:eastAsia="Times New Roman" w:hint="default"/>
          <w:spacing w:val="-2"/>
        </w:rPr>
        <w:t>1972</w:t>
      </w:r>
      <w:r>
        <w:rPr>
          <w:spacing w:val="-2"/>
        </w:rPr>
        <w:t>年出生。北方工业大学会计专业，本科学历，中国注册会</w:t>
      </w:r>
      <w:r>
        <w:rPr>
          <w:w w:val="100"/>
        </w:rPr>
        <w:t> </w:t>
      </w:r>
      <w:r>
        <w:rPr/>
        <w:t>计师、注册评估师、高级会计师。历任五联联合会计师事务所有限公司部门经理、北京五联方圆会计师事务所</w:t>
      </w:r>
      <w:r>
        <w:rPr>
          <w:w w:val="100"/>
        </w:rPr>
        <w:t> </w:t>
      </w:r>
      <w:r>
        <w:rPr/>
        <w:t>有限公司所长助理、国富浩华会计师事务所有限公司副主任会计师等职，现任瑞华会计师事务所（特殊普通合</w:t>
      </w:r>
      <w:r>
        <w:rPr>
          <w:w w:val="100"/>
        </w:rPr>
        <w:t> </w:t>
      </w:r>
      <w:r>
        <w:rPr/>
        <w:t>伙）合伙人，兼任公司独立董事。</w:t>
      </w:r>
    </w:p>
    <w:p>
      <w:pPr>
        <w:pStyle w:val="BodyText"/>
        <w:spacing w:line="405" w:lineRule="auto" w:before="54"/>
        <w:ind w:right="1031" w:firstLine="471"/>
        <w:jc w:val="both"/>
      </w:pPr>
      <w:r>
        <w:rPr>
          <w:spacing w:val="-4"/>
        </w:rPr>
        <w:t>顾凌云，男，中国国籍，美国永久居留权，</w:t>
      </w:r>
      <w:r>
        <w:rPr>
          <w:rFonts w:ascii="Times New Roman" w:hAnsi="Times New Roman" w:cs="Times New Roman" w:eastAsia="Times New Roman" w:hint="default"/>
          <w:spacing w:val="-4"/>
        </w:rPr>
        <w:t>1976</w:t>
      </w:r>
      <w:r>
        <w:rPr>
          <w:spacing w:val="-4"/>
        </w:rPr>
        <w:t>年出生，美国卡内基梅隆大学计算机科学专业，博士学历。</w:t>
      </w:r>
      <w:r>
        <w:rPr>
          <w:w w:val="100"/>
        </w:rPr>
        <w:t> </w:t>
      </w:r>
      <w:r>
        <w:rPr/>
        <w:t>曾任</w:t>
      </w:r>
      <w:r>
        <w:rPr>
          <w:rFonts w:ascii="Times New Roman" w:hAnsi="Times New Roman" w:cs="Times New Roman" w:eastAsia="Times New Roman" w:hint="default"/>
        </w:rPr>
        <w:t>IDG</w:t>
      </w:r>
      <w:r>
        <w:rPr/>
        <w:t>资本驻站企业家兼投资顾问，现任上海冰鉴信息科技有限公司董事长兼</w:t>
      </w:r>
      <w:r>
        <w:rPr>
          <w:rFonts w:ascii="Times New Roman" w:hAnsi="Times New Roman" w:cs="Times New Roman" w:eastAsia="Times New Roman" w:hint="default"/>
        </w:rPr>
        <w:t>CEO</w:t>
      </w:r>
      <w:r>
        <w:rPr/>
        <w:t>，兼任公司独立董事。</w:t>
      </w:r>
    </w:p>
    <w:p>
      <w:pPr>
        <w:pStyle w:val="BodyText"/>
        <w:spacing w:line="429" w:lineRule="auto" w:before="38"/>
        <w:ind w:left="625" w:right="1118"/>
        <w:jc w:val="left"/>
      </w:pPr>
      <w:r>
        <w:rPr/>
        <w:t>监事：</w:t>
      </w:r>
      <w:r>
        <w:rPr>
          <w:w w:val="100"/>
        </w:rPr>
        <w:t> </w:t>
      </w:r>
      <w:r>
        <w:rPr>
          <w:spacing w:val="-2"/>
        </w:rPr>
        <w:t>孙昕，男，中国国籍，无境外永久居留权，</w:t>
      </w:r>
      <w:r>
        <w:rPr>
          <w:rFonts w:ascii="Times New Roman" w:hAnsi="Times New Roman" w:cs="Times New Roman" w:eastAsia="Times New Roman" w:hint="default"/>
          <w:spacing w:val="-2"/>
        </w:rPr>
        <w:t>1975</w:t>
      </w:r>
      <w:r>
        <w:rPr>
          <w:spacing w:val="-2"/>
        </w:rPr>
        <w:t>年出生。毕业于沈阳航空航天大学计算机及应用专业，本</w:t>
      </w:r>
    </w:p>
    <w:p>
      <w:pPr>
        <w:pStyle w:val="BodyText"/>
        <w:spacing w:line="429" w:lineRule="auto" w:before="16"/>
        <w:ind w:left="625" w:right="0" w:hanging="472"/>
        <w:jc w:val="left"/>
      </w:pPr>
      <w:r>
        <w:rPr/>
        <w:t>科学历。现任北京中科金财科技股份有限公司监事会主席、金融技术应用事业群总经理。</w:t>
      </w:r>
      <w:r>
        <w:rPr>
          <w:w w:val="100"/>
        </w:rPr>
        <w:t> </w:t>
      </w:r>
      <w:r>
        <w:rPr>
          <w:spacing w:val="-4"/>
        </w:rPr>
        <w:t>司苗珍，女，中国国籍，无境外永久居留权，</w:t>
      </w:r>
      <w:r>
        <w:rPr>
          <w:rFonts w:ascii="Times New Roman" w:hAnsi="Times New Roman" w:cs="Times New Roman" w:eastAsia="Times New Roman" w:hint="default"/>
          <w:spacing w:val="-4"/>
        </w:rPr>
        <w:t>1989</w:t>
      </w:r>
      <w:r>
        <w:rPr>
          <w:spacing w:val="-4"/>
        </w:rPr>
        <w:t>年出生，毕业于东北大学秦皇岛分校电子信息工程专业，</w:t>
      </w:r>
    </w:p>
    <w:p>
      <w:pPr>
        <w:pStyle w:val="BodyText"/>
        <w:spacing w:line="405" w:lineRule="auto" w:before="16"/>
        <w:ind w:right="1168"/>
        <w:jc w:val="both"/>
      </w:pPr>
      <w:r>
        <w:rPr>
          <w:spacing w:val="-1"/>
        </w:rPr>
        <w:t>本科学历。自</w:t>
      </w:r>
      <w:r>
        <w:rPr>
          <w:rFonts w:ascii="Times New Roman" w:hAnsi="Times New Roman" w:cs="Times New Roman" w:eastAsia="Times New Roman" w:hint="default"/>
          <w:spacing w:val="-1"/>
        </w:rPr>
        <w:t>2012</w:t>
      </w:r>
      <w:r>
        <w:rPr>
          <w:spacing w:val="-1"/>
        </w:rPr>
        <w:t>年毕业加入公司至今，从事公司业务群内部运营管理和总裁日常管理，现任公司监事、总裁</w:t>
      </w:r>
      <w:r>
        <w:rPr>
          <w:spacing w:val="-60"/>
        </w:rPr>
        <w:t> </w:t>
      </w:r>
      <w:r>
        <w:rPr>
          <w:spacing w:val="-60"/>
        </w:rPr>
      </w:r>
      <w:r>
        <w:rPr/>
        <w:t>办公室经理。</w:t>
      </w:r>
    </w:p>
    <w:p>
      <w:pPr>
        <w:spacing w:after="0" w:line="405"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05" w:lineRule="auto" w:before="0"/>
        <w:ind w:left="154" w:right="1131" w:firstLine="471"/>
        <w:jc w:val="both"/>
      </w:pPr>
      <w:r>
        <w:rPr/>
        <w:t>郭通，男，中国国籍，无境外永久居留权，</w:t>
      </w:r>
      <w:r>
        <w:rPr>
          <w:rFonts w:ascii="Times New Roman" w:hAnsi="Times New Roman" w:cs="Times New Roman" w:eastAsia="Times New Roman" w:hint="default"/>
        </w:rPr>
        <w:t>1979</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7</w:t>
      </w:r>
      <w:r>
        <w:rPr/>
        <w:t>月出生。哈尔滨工业大学计算机及应用专业学士、高</w:t>
      </w:r>
      <w:r>
        <w:rPr>
          <w:w w:val="100"/>
        </w:rPr>
        <w:t> </w:t>
      </w:r>
      <w:r>
        <w:rPr>
          <w:spacing w:val="-3"/>
        </w:rPr>
        <w:t>级工程师，</w:t>
      </w:r>
      <w:r>
        <w:rPr>
          <w:rFonts w:ascii="Times New Roman" w:hAnsi="Times New Roman" w:cs="Times New Roman" w:eastAsia="Times New Roman" w:hint="default"/>
          <w:spacing w:val="-3"/>
        </w:rPr>
        <w:t>2006</w:t>
      </w:r>
      <w:r>
        <w:rPr>
          <w:rFonts w:ascii="Times New Roman" w:hAnsi="Times New Roman" w:cs="Times New Roman" w:eastAsia="Times New Roman" w:hint="default"/>
          <w:spacing w:val="7"/>
        </w:rPr>
        <w:t> </w:t>
      </w:r>
      <w:r>
        <w:rPr/>
        <w:t>年获得信息产业部计算机信息系统集成项目经理证书。曾任北京联想集团有限公司高性能服务</w:t>
      </w:r>
      <w:r>
        <w:rPr>
          <w:w w:val="100"/>
        </w:rPr>
        <w:t> </w:t>
      </w:r>
      <w:r>
        <w:rPr/>
        <w:t>器事业部技术支持工程师，现任公司</w:t>
      </w:r>
      <w:r>
        <w:rPr>
          <w:rFonts w:ascii="Times New Roman" w:hAnsi="Times New Roman" w:cs="Times New Roman" w:eastAsia="Times New Roman" w:hint="default"/>
        </w:rPr>
        <w:t>IT</w:t>
      </w:r>
      <w:r>
        <w:rPr/>
        <w:t>服务实施部经理。</w:t>
      </w:r>
    </w:p>
    <w:p>
      <w:pPr>
        <w:pStyle w:val="BodyText"/>
        <w:spacing w:line="429" w:lineRule="auto" w:before="38"/>
        <w:ind w:left="625" w:right="6793"/>
        <w:jc w:val="left"/>
      </w:pPr>
      <w:r>
        <w:rPr/>
        <w:t>高级管理人员：</w:t>
      </w:r>
      <w:r>
        <w:rPr>
          <w:w w:val="100"/>
        </w:rPr>
        <w:t> </w:t>
      </w:r>
      <w:r>
        <w:rPr>
          <w:spacing w:val="-1"/>
        </w:rPr>
        <w:t>沈飒，现任公司总经理，简历同上。</w:t>
      </w:r>
    </w:p>
    <w:p>
      <w:pPr>
        <w:pStyle w:val="BodyText"/>
        <w:spacing w:line="429" w:lineRule="auto"/>
        <w:ind w:left="625" w:right="0"/>
        <w:jc w:val="left"/>
      </w:pPr>
      <w:r>
        <w:rPr/>
        <w:t>贺岩，现任公司董事、副总经理兼董事会秘书，简历同上。</w:t>
      </w:r>
      <w:r>
        <w:rPr>
          <w:w w:val="100"/>
        </w:rPr>
        <w:t> </w:t>
      </w:r>
      <w:r>
        <w:rPr/>
        <w:t>赵学荣，现任公司董事、副总经理兼财务总监，简历同上。</w:t>
      </w:r>
      <w:r>
        <w:rPr>
          <w:w w:val="100"/>
        </w:rPr>
        <w:t> </w:t>
      </w:r>
      <w:r>
        <w:rPr>
          <w:spacing w:val="-1"/>
        </w:rPr>
        <w:t>张京辉，男，中国国籍，无境外永久居留权，</w:t>
      </w:r>
      <w:r>
        <w:rPr>
          <w:rFonts w:ascii="Times New Roman" w:hAnsi="Times New Roman" w:cs="Times New Roman" w:eastAsia="Times New Roman" w:hint="default"/>
          <w:spacing w:val="-1"/>
        </w:rPr>
        <w:t>1971</w:t>
      </w:r>
      <w:r>
        <w:rPr>
          <w:spacing w:val="-1"/>
        </w:rPr>
        <w:t>年出生，北京信息工程学院计算机软件专业本科毕业，</w:t>
      </w:r>
    </w:p>
    <w:p>
      <w:pPr>
        <w:pStyle w:val="BodyText"/>
        <w:spacing w:line="422" w:lineRule="auto" w:before="16"/>
        <w:ind w:left="0" w:right="1130"/>
        <w:jc w:val="right"/>
      </w:pPr>
      <w:r>
        <w:rPr>
          <w:spacing w:val="-1"/>
        </w:rPr>
        <w:t>学士学位。曾任光大国际信托投资公司系统集成公司软件开发工程师、项目经理，美国优利系统（中国）有限</w:t>
      </w:r>
      <w:r>
        <w:rPr>
          <w:w w:val="100"/>
        </w:rPr>
        <w:t> </w:t>
      </w:r>
      <w:r>
        <w:rPr>
          <w:spacing w:val="-1"/>
        </w:rPr>
        <w:t>公司高级顾问、专业服务部经理、解决方案经理，美国太阳系统（中国）有限公司解决方案和专业服务销售经</w:t>
      </w:r>
      <w:r>
        <w:rPr>
          <w:w w:val="100"/>
        </w:rPr>
        <w:t> </w:t>
      </w:r>
      <w:r>
        <w:rPr>
          <w:spacing w:val="-1"/>
        </w:rPr>
        <w:t>理，亚美亚（中国）系统有限公司解决方案经理，在产品研发、专业服务管理以及业务咨询领域近</w:t>
      </w:r>
      <w:r>
        <w:rPr>
          <w:rFonts w:ascii="Times New Roman" w:hAnsi="Times New Roman" w:cs="Times New Roman" w:eastAsia="Times New Roman" w:hint="default"/>
          <w:spacing w:val="-1"/>
        </w:rPr>
        <w:t>20</w:t>
      </w:r>
      <w:r>
        <w:rPr>
          <w:spacing w:val="-1"/>
        </w:rPr>
        <w:t>年工作经</w:t>
      </w:r>
      <w:r>
        <w:rPr>
          <w:w w:val="100"/>
        </w:rPr>
        <w:t> </w:t>
      </w:r>
      <w:r>
        <w:rPr>
          <w:spacing w:val="-1"/>
        </w:rPr>
        <w:t>验。现任北京中科金财科技股份有限公司副总经理，主要负责公司银行技术体系的技术开发和技术管理工作。</w:t>
      </w:r>
      <w:r>
        <w:rPr>
          <w:w w:val="100"/>
        </w:rPr>
        <w:t> </w:t>
      </w:r>
      <w:r>
        <w:rPr>
          <w:spacing w:val="-3"/>
        </w:rPr>
        <w:t>李烁，男，中国国籍，无境外永久居留权，</w:t>
      </w:r>
      <w:r>
        <w:rPr>
          <w:rFonts w:ascii="Times New Roman" w:hAnsi="Times New Roman" w:cs="Times New Roman" w:eastAsia="Times New Roman" w:hint="default"/>
          <w:spacing w:val="-3"/>
        </w:rPr>
        <w:t>1973</w:t>
      </w:r>
      <w:r>
        <w:rPr>
          <w:spacing w:val="-3"/>
        </w:rPr>
        <w:t>年出生，中共党员，东北财经大学</w:t>
      </w:r>
      <w:r>
        <w:rPr>
          <w:rFonts w:ascii="Times New Roman" w:hAnsi="Times New Roman" w:cs="Times New Roman" w:eastAsia="Times New Roman" w:hint="default"/>
          <w:spacing w:val="-3"/>
        </w:rPr>
        <w:t>MBA</w:t>
      </w:r>
      <w:r>
        <w:rPr>
          <w:spacing w:val="-3"/>
        </w:rPr>
        <w:t>。曾任大连银行总</w:t>
      </w:r>
      <w:r>
        <w:rPr>
          <w:w w:val="100"/>
        </w:rPr>
        <w:t> </w:t>
      </w:r>
      <w:r>
        <w:rPr>
          <w:spacing w:val="-1"/>
        </w:rPr>
        <w:t>行办公室秘书、浦发银行大连高新园区支行副行长、浦发银行大连分行贵宾理财中心总经理、浦发银行大连长</w:t>
      </w:r>
      <w:r>
        <w:rPr>
          <w:w w:val="100"/>
        </w:rPr>
        <w:t> </w:t>
      </w:r>
      <w:r>
        <w:rPr>
          <w:spacing w:val="-1"/>
        </w:rPr>
        <w:t>春路支行行长、广发银行大连分行副行长，曾分管公司银行、贸易融资、金融市场、资产管理、小企业金融、</w:t>
      </w:r>
      <w:r>
        <w:rPr>
          <w:w w:val="100"/>
        </w:rPr>
        <w:t> </w:t>
      </w:r>
      <w:r>
        <w:rPr>
          <w:spacing w:val="-1"/>
        </w:rPr>
        <w:t>财富管理等多个部门，银行从业</w:t>
      </w:r>
      <w:r>
        <w:rPr>
          <w:rFonts w:ascii="Times New Roman" w:hAnsi="Times New Roman" w:cs="Times New Roman" w:eastAsia="Times New Roman" w:hint="default"/>
          <w:spacing w:val="-1"/>
        </w:rPr>
        <w:t>20</w:t>
      </w:r>
      <w:r>
        <w:rPr>
          <w:spacing w:val="-1"/>
        </w:rPr>
        <w:t>年，具有丰富的银行信贷、资产管理、金融同业业务管理经验，熟悉现代企</w:t>
      </w:r>
    </w:p>
    <w:p>
      <w:pPr>
        <w:pStyle w:val="BodyText"/>
        <w:spacing w:line="240" w:lineRule="auto" w:before="23"/>
        <w:ind w:right="0"/>
        <w:jc w:val="left"/>
      </w:pPr>
      <w:r>
        <w:rPr/>
        <w:t>业管理制度，现任公司副总经理。</w:t>
      </w:r>
    </w:p>
    <w:p>
      <w:pPr>
        <w:spacing w:line="240" w:lineRule="auto" w:before="2"/>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北京市君合律师事务所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上海冰鉴信息科技有限公司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董事长兼</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CEO</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上海冰鉴企业征信服务有限公司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董事长兼</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CEO</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上海冰鉴文化传播合伙企业（有限合伙）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南京冰鉴信息科技有限公司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董事长兼</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CEO</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常州冰鉴信息科技有限公司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董事长兼</w:t>
            </w:r>
          </w:p>
          <w:p>
            <w:pPr>
              <w:pStyle w:val="TableParagraph"/>
              <w:spacing w:line="240" w:lineRule="auto" w:before="117"/>
              <w:ind w:left="23" w:right="0"/>
              <w:jc w:val="left"/>
              <w:rPr>
                <w:rFonts w:ascii="Times New Roman" w:hAnsi="Times New Roman" w:cs="Times New Roman" w:eastAsia="Times New Roman" w:hint="default"/>
                <w:sz w:val="18"/>
                <w:szCs w:val="18"/>
              </w:rPr>
            </w:pPr>
            <w:r>
              <w:rPr>
                <w:rFonts w:ascii="Times New Roman"/>
                <w:sz w:val="18"/>
              </w:rPr>
              <w:t>CEO</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成都冰鉴信息科技有限公司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董事长兼</w:t>
            </w:r>
          </w:p>
          <w:p>
            <w:pPr>
              <w:pStyle w:val="TableParagraph"/>
              <w:spacing w:line="240" w:lineRule="auto" w:before="117"/>
              <w:ind w:left="23" w:right="0"/>
              <w:jc w:val="left"/>
              <w:rPr>
                <w:rFonts w:ascii="Times New Roman" w:hAnsi="Times New Roman" w:cs="Times New Roman" w:eastAsia="Times New Roman" w:hint="default"/>
                <w:sz w:val="18"/>
                <w:szCs w:val="18"/>
              </w:rPr>
            </w:pPr>
            <w:r>
              <w:rPr>
                <w:rFonts w:ascii="Times New Roman"/>
                <w:sz w:val="18"/>
              </w:rPr>
              <w:t>CEO</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南京锐驰鼎欣科技股份有限公司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南京本立道生数据科技有限公司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成都量化金服大数据技术服务有限公司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7"/>
        <w:rPr>
          <w:rFonts w:ascii="宋体" w:hAnsi="宋体" w:cs="宋体" w:eastAsia="宋体" w:hint="default"/>
          <w:sz w:val="13"/>
          <w:szCs w:val="13"/>
        </w:rPr>
      </w:pPr>
    </w:p>
    <w:p>
      <w:pPr>
        <w:pStyle w:val="BodyText"/>
        <w:spacing w:line="429" w:lineRule="auto" w:before="0"/>
        <w:ind w:right="1169" w:firstLine="361"/>
        <w:jc w:val="both"/>
      </w:pPr>
      <w:r>
        <w:rPr/>
        <w:t>高级管理人员报酬由董事会薪酬与考核委员会提出方案，经董事会审议通过后方可实施；董事的报酬由董</w:t>
      </w:r>
      <w:r>
        <w:rPr>
          <w:w w:val="100"/>
        </w:rPr>
        <w:t> </w:t>
      </w:r>
      <w:r>
        <w:rPr>
          <w:spacing w:val="-1"/>
        </w:rPr>
        <w:t>事会薪酬与考核委员会提出方案，经董事会审议通过后，报送股东大会审议通过方可实施；监事的报酬由监事</w:t>
      </w:r>
      <w:r>
        <w:rPr>
          <w:spacing w:val="-63"/>
        </w:rPr>
        <w:t> </w:t>
      </w:r>
      <w:r>
        <w:rPr>
          <w:spacing w:val="-63"/>
        </w:rPr>
      </w:r>
      <w:r>
        <w:rPr/>
        <w:t>会提出方案，经股东大会通过后方可实施。</w:t>
      </w:r>
    </w:p>
    <w:p>
      <w:pPr>
        <w:pStyle w:val="BodyText"/>
        <w:spacing w:line="240" w:lineRule="auto"/>
        <w:ind w:right="0"/>
        <w:jc w:val="left"/>
      </w:pPr>
      <w:r>
        <w:rPr/>
        <w:t>确定依据：</w:t>
      </w:r>
    </w:p>
    <w:p>
      <w:pPr>
        <w:spacing w:line="240" w:lineRule="auto" w:before="10"/>
        <w:rPr>
          <w:rFonts w:ascii="宋体" w:hAnsi="宋体" w:cs="宋体" w:eastAsia="宋体" w:hint="default"/>
          <w:sz w:val="15"/>
          <w:szCs w:val="15"/>
        </w:rPr>
      </w:pPr>
    </w:p>
    <w:p>
      <w:pPr>
        <w:pStyle w:val="BodyText"/>
        <w:spacing w:line="429" w:lineRule="auto" w:before="0"/>
        <w:ind w:right="1168" w:firstLine="402"/>
        <w:jc w:val="both"/>
      </w:pPr>
      <w:r>
        <w:rPr>
          <w:spacing w:val="-1"/>
        </w:rPr>
        <w:t>董事、监事及高级管理人员的报酬根据管理岗位的主要范围、职责、重要性以及其它相关企业相关岗位的</w:t>
      </w:r>
      <w:r>
        <w:rPr>
          <w:w w:val="100"/>
        </w:rPr>
        <w:t> </w:t>
      </w:r>
      <w:r>
        <w:rPr/>
        <w:t>薪酬水平确定。</w:t>
      </w:r>
    </w:p>
    <w:p>
      <w:pPr>
        <w:pStyle w:val="BodyText"/>
        <w:spacing w:line="240" w:lineRule="auto"/>
        <w:ind w:right="0"/>
        <w:jc w:val="left"/>
      </w:pPr>
      <w:r>
        <w:rPr/>
        <w:t>公司报告期内董事、监事和高级管理人员报酬情况</w:t>
      </w:r>
    </w:p>
    <w:p>
      <w:pPr>
        <w:spacing w:line="240" w:lineRule="auto" w:before="2"/>
        <w:rPr>
          <w:rFonts w:ascii="宋体" w:hAnsi="宋体" w:cs="宋体" w:eastAsia="宋体" w:hint="default"/>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副董事长、总经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赵学荣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董事、副总经理 兼财务总监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贺岩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董事、副总经理 兼董事会秘书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司苗珍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张京辉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赫喆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451.31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7"/>
      <w:bookmarkEnd w:id="127"/>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1,048</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1,048</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中高职及以下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left="153" w:right="0"/>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3"/>
        <w:rPr>
          <w:rFonts w:ascii="宋体" w:hAnsi="宋体" w:cs="宋体" w:eastAsia="宋体" w:hint="default"/>
          <w:b/>
          <w:bCs/>
          <w:sz w:val="31"/>
          <w:szCs w:val="31"/>
        </w:rPr>
      </w:pPr>
    </w:p>
    <w:p>
      <w:pPr>
        <w:pStyle w:val="BodyText"/>
        <w:spacing w:line="422" w:lineRule="auto" w:before="0"/>
        <w:ind w:right="0" w:firstLine="426"/>
        <w:jc w:val="left"/>
      </w:pPr>
      <w:r>
        <w:rPr>
          <w:spacing w:val="-2"/>
        </w:rPr>
        <w:t>公司实行中科金财多层级合伙人经营责任制模式，让全体员工参与经营管理，实现</w:t>
      </w:r>
      <w:r>
        <w:rPr>
          <w:rFonts w:ascii="Times New Roman" w:hAnsi="Times New Roman" w:cs="Times New Roman" w:eastAsia="Times New Roman" w:hint="default"/>
          <w:spacing w:val="-2"/>
        </w:rPr>
        <w:t>“</w:t>
      </w:r>
      <w:r>
        <w:rPr>
          <w:spacing w:val="-2"/>
        </w:rPr>
        <w:t>全员参与</w:t>
      </w:r>
      <w:r>
        <w:rPr>
          <w:rFonts w:ascii="Times New Roman" w:hAnsi="Times New Roman" w:cs="Times New Roman" w:eastAsia="Times New Roman" w:hint="default"/>
          <w:spacing w:val="-2"/>
        </w:rPr>
        <w:t>”</w:t>
      </w:r>
      <w:r>
        <w:rPr>
          <w:spacing w:val="-2"/>
        </w:rPr>
        <w:t>的经营理念。</w:t>
      </w:r>
      <w:r>
        <w:rPr>
          <w:w w:val="100"/>
        </w:rPr>
        <w:t> </w:t>
      </w:r>
      <w:r>
        <w:rPr/>
        <w:t>公司向员工提供稳定且有竞争力的薪酬，经营者可以确定各自的薪酬总量，通过经营会计核算，实现收入最大</w:t>
      </w:r>
      <w:r>
        <w:rPr>
          <w:w w:val="100"/>
        </w:rPr>
        <w:t> </w:t>
      </w:r>
      <w:r>
        <w:rPr/>
        <w:t>化，成本最小化。将薪酬及绩效挂钩，通过利润分享及股权分享，以充分调动员工的积极性和主动性，充分发</w:t>
      </w:r>
      <w:r>
        <w:rPr>
          <w:w w:val="100"/>
        </w:rPr>
        <w:t> </w:t>
      </w:r>
      <w:r>
        <w:rPr/>
        <w:t>挥薪酬吸引、保留、激励人才的战略作用。</w:t>
      </w:r>
    </w:p>
    <w:p>
      <w:pPr>
        <w:spacing w:line="240" w:lineRule="auto" w:before="6"/>
        <w:rPr>
          <w:rFonts w:ascii="宋体" w:hAnsi="宋体" w:cs="宋体" w:eastAsia="宋体" w:hint="default"/>
          <w:sz w:val="20"/>
          <w:szCs w:val="20"/>
        </w:rPr>
      </w:pPr>
    </w:p>
    <w:p>
      <w:pPr>
        <w:pStyle w:val="Heading3"/>
        <w:spacing w:line="240" w:lineRule="auto"/>
        <w:ind w:left="153" w:right="0"/>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right="1130" w:firstLine="471"/>
        <w:jc w:val="both"/>
      </w:pPr>
      <w:r>
        <w:rPr>
          <w:spacing w:val="-2"/>
        </w:rPr>
        <w:t>公司建立核心人才数据库，开展培训建设，通过线上、线下、内训、外训多种培训方式，进行人才的开发</w:t>
      </w:r>
      <w:r>
        <w:rPr>
          <w:w w:val="100"/>
        </w:rPr>
        <w:t> </w:t>
      </w:r>
      <w:r>
        <w:rPr/>
        <w:t>和培养，有效扩大了人才建设的广度和深度。公司通过</w:t>
      </w:r>
      <w:r>
        <w:rPr>
          <w:rFonts w:ascii="宋体" w:hAnsi="宋体" w:cs="宋体" w:eastAsia="宋体" w:hint="default"/>
        </w:rPr>
        <w:t>e-learning</w:t>
      </w:r>
      <w:r>
        <w:rPr/>
        <w:t>系统，将公司的战略模式、经营指导、业务</w:t>
      </w:r>
      <w:r>
        <w:rPr>
          <w:w w:val="100"/>
        </w:rPr>
        <w:t> </w:t>
      </w:r>
      <w:r>
        <w:rPr/>
        <w:t>培训全部上线，并将培训与绩效、员工转正挂钩，提高员工培训覆盖率，符合公司“全员参与”的经营理念。</w:t>
      </w:r>
    </w:p>
    <w:p>
      <w:pPr>
        <w:spacing w:line="240" w:lineRule="auto" w:before="0"/>
        <w:rPr>
          <w:rFonts w:ascii="宋体" w:hAnsi="宋体" w:cs="宋体" w:eastAsia="宋体" w:hint="default"/>
          <w:sz w:val="20"/>
          <w:szCs w:val="20"/>
        </w:rPr>
      </w:pPr>
    </w:p>
    <w:p>
      <w:pPr>
        <w:pStyle w:val="Heading3"/>
        <w:spacing w:line="240" w:lineRule="auto"/>
        <w:ind w:left="153" w:right="0"/>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1"/>
        <w:jc w:val="center"/>
        <w:rPr>
          <w:b w:val="0"/>
          <w:bCs w:val="0"/>
        </w:rPr>
      </w:pPr>
      <w:bookmarkStart w:name="第九节 公司治理" w:id="132"/>
      <w:bookmarkEnd w:id="132"/>
      <w:r>
        <w:rPr>
          <w:b w:val="0"/>
          <w:bCs w:val="0"/>
        </w:rPr>
      </w:r>
      <w:bookmarkStart w:name="_bookmark7" w:id="133"/>
      <w:bookmarkEnd w:id="133"/>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right="0" w:firstLine="426"/>
        <w:jc w:val="left"/>
      </w:pPr>
      <w:r>
        <w:rPr/>
        <w:t>公司严格按照《公司法》、《证券法》、《上市公司治理准则》、《深圳证券交易所股票上市规则》等法</w:t>
      </w:r>
      <w:r>
        <w:rPr>
          <w:w w:val="100"/>
        </w:rPr>
        <w:t> </w:t>
      </w:r>
      <w:r>
        <w:rPr>
          <w:spacing w:val="-2"/>
        </w:rPr>
        <w:t>律、法规的要求，不断完善公司治理结构，建立健全内部管理和控制制度，规范公司运作，提高公司治理水平。</w:t>
      </w:r>
      <w:r>
        <w:rPr>
          <w:spacing w:val="-79"/>
        </w:rPr>
        <w:t> </w:t>
      </w:r>
      <w:r>
        <w:rPr>
          <w:spacing w:val="-79"/>
        </w:rPr>
      </w:r>
      <w:r>
        <w:rPr/>
        <w:t>截止报告期末，公司已经形成了较为完善的法人治理结构，形成了完善的决策机制、监督机制和执行机制，公</w:t>
      </w:r>
      <w:r>
        <w:rPr>
          <w:w w:val="100"/>
        </w:rPr>
        <w:t> </w:t>
      </w:r>
      <w:r>
        <w:rPr/>
        <w:t>司治理的实际情况与《公司法》和中国证监会相关规定的要求不存在差异。具体情况如下：</w:t>
      </w:r>
    </w:p>
    <w:p>
      <w:pPr>
        <w:pStyle w:val="BodyText"/>
        <w:spacing w:line="429" w:lineRule="auto"/>
        <w:ind w:left="579" w:right="0"/>
        <w:jc w:val="left"/>
      </w:pPr>
      <w:r>
        <w:rPr/>
        <w:t>（一）关于股东与股东大会</w:t>
      </w:r>
      <w:r>
        <w:rPr>
          <w:w w:val="100"/>
        </w:rPr>
        <w:t> </w:t>
      </w:r>
      <w:r>
        <w:rPr>
          <w:spacing w:val="-1"/>
        </w:rPr>
        <w:t>股东大会是公司的最高权力机构，公司依据《公司法》、《公司章程》、《上市公司治理准则》等文件制</w:t>
      </w:r>
    </w:p>
    <w:p>
      <w:pPr>
        <w:pStyle w:val="BodyText"/>
        <w:spacing w:line="429" w:lineRule="auto"/>
        <w:ind w:right="1169"/>
        <w:jc w:val="both"/>
      </w:pPr>
      <w:r>
        <w:rPr>
          <w:spacing w:val="-1"/>
        </w:rPr>
        <w:t>定了《股东大会议事规则》，规范了股东大会召集、召开、表决程序，平等对待所有股东，积极采用网络投票</w:t>
      </w:r>
      <w:r>
        <w:rPr>
          <w:spacing w:val="-63"/>
        </w:rPr>
        <w:t> </w:t>
      </w:r>
      <w:r>
        <w:rPr>
          <w:spacing w:val="-63"/>
        </w:rPr>
      </w:r>
      <w:r>
        <w:rPr>
          <w:spacing w:val="-1"/>
        </w:rPr>
        <w:t>等形式，扩大中小股东参与度，保证股东对公司重大事项的知情权和参与权，确保全体股东尤其是中小股东享</w:t>
      </w:r>
      <w:r>
        <w:rPr>
          <w:spacing w:val="-63"/>
        </w:rPr>
        <w:t> </w:t>
      </w:r>
      <w:r>
        <w:rPr>
          <w:spacing w:val="-63"/>
        </w:rPr>
      </w:r>
      <w:r>
        <w:rPr/>
        <w:t>有平等地位，充分行使自己的权利。</w:t>
      </w:r>
    </w:p>
    <w:p>
      <w:pPr>
        <w:pStyle w:val="BodyText"/>
        <w:spacing w:line="429" w:lineRule="auto"/>
        <w:ind w:left="579" w:right="0"/>
        <w:jc w:val="left"/>
      </w:pPr>
      <w:r>
        <w:rPr/>
        <w:t>（二）关于公司与控股股东</w:t>
      </w:r>
      <w:r>
        <w:rPr>
          <w:w w:val="100"/>
        </w:rPr>
        <w:t> </w:t>
      </w:r>
      <w:r>
        <w:rPr>
          <w:spacing w:val="-3"/>
        </w:rPr>
        <w:t>公司拥有独立的业务和自主经营能力，在业务、人员、资产、机构、财务上独立于控股股东，公司董事会、</w:t>
      </w:r>
    </w:p>
    <w:p>
      <w:pPr>
        <w:pStyle w:val="BodyText"/>
        <w:spacing w:line="240" w:lineRule="auto"/>
        <w:ind w:right="0"/>
        <w:jc w:val="both"/>
      </w:pPr>
      <w:r>
        <w:rPr>
          <w:w w:val="100"/>
        </w:rPr>
        <w:t>监事会</w:t>
      </w:r>
      <w:r>
        <w:rPr>
          <w:spacing w:val="-2"/>
          <w:w w:val="100"/>
        </w:rPr>
        <w:t>和</w:t>
      </w:r>
      <w:r>
        <w:rPr>
          <w:w w:val="100"/>
        </w:rPr>
        <w:t>内</w:t>
      </w:r>
      <w:r>
        <w:rPr>
          <w:spacing w:val="-2"/>
          <w:w w:val="100"/>
        </w:rPr>
        <w:t>部</w:t>
      </w:r>
      <w:r>
        <w:rPr>
          <w:w w:val="100"/>
        </w:rPr>
        <w:t>机构独</w:t>
      </w:r>
      <w:r>
        <w:rPr>
          <w:spacing w:val="-2"/>
          <w:w w:val="100"/>
        </w:rPr>
        <w:t>立</w:t>
      </w:r>
      <w:r>
        <w:rPr>
          <w:w w:val="100"/>
        </w:rPr>
        <w:t>运</w:t>
      </w:r>
      <w:r>
        <w:rPr>
          <w:spacing w:val="-2"/>
          <w:w w:val="100"/>
        </w:rPr>
        <w:t>作</w:t>
      </w:r>
      <w:r>
        <w:rPr>
          <w:spacing w:val="-44"/>
          <w:w w:val="100"/>
        </w:rPr>
        <w:t>。</w:t>
      </w:r>
      <w:r>
        <w:rPr>
          <w:w w:val="100"/>
        </w:rPr>
        <w:t>公</w:t>
      </w:r>
      <w:r>
        <w:rPr>
          <w:spacing w:val="-2"/>
          <w:w w:val="100"/>
        </w:rPr>
        <w:t>司</w:t>
      </w:r>
      <w:r>
        <w:rPr>
          <w:w w:val="100"/>
        </w:rPr>
        <w:t>控股</w:t>
      </w:r>
      <w:r>
        <w:rPr>
          <w:spacing w:val="-2"/>
          <w:w w:val="100"/>
        </w:rPr>
        <w:t>股</w:t>
      </w:r>
      <w:r>
        <w:rPr>
          <w:w w:val="100"/>
        </w:rPr>
        <w:t>东严格</w:t>
      </w:r>
      <w:r>
        <w:rPr>
          <w:spacing w:val="-2"/>
          <w:w w:val="100"/>
        </w:rPr>
        <w:t>根</w:t>
      </w:r>
      <w:r>
        <w:rPr>
          <w:spacing w:val="-44"/>
          <w:w w:val="100"/>
        </w:rPr>
        <w:t>据</w:t>
      </w:r>
      <w:r>
        <w:rPr>
          <w:spacing w:val="-2"/>
          <w:w w:val="100"/>
        </w:rPr>
        <w:t>《</w:t>
      </w:r>
      <w:r>
        <w:rPr>
          <w:w w:val="100"/>
        </w:rPr>
        <w:t>上市公</w:t>
      </w:r>
      <w:r>
        <w:rPr>
          <w:spacing w:val="-2"/>
          <w:w w:val="100"/>
        </w:rPr>
        <w:t>司</w:t>
      </w:r>
      <w:r>
        <w:rPr>
          <w:w w:val="100"/>
        </w:rPr>
        <w:t>治</w:t>
      </w:r>
      <w:r>
        <w:rPr>
          <w:spacing w:val="-2"/>
          <w:w w:val="100"/>
        </w:rPr>
        <w:t>理</w:t>
      </w:r>
      <w:r>
        <w:rPr>
          <w:w w:val="100"/>
        </w:rPr>
        <w:t>准则</w:t>
      </w:r>
      <w:r>
        <w:rPr>
          <w:spacing w:val="-45"/>
          <w:w w:val="100"/>
        </w:rPr>
        <w:t>》</w:t>
      </w:r>
      <w:r>
        <w:rPr>
          <w:spacing w:val="-88"/>
          <w:w w:val="100"/>
        </w:rPr>
        <w:t>、</w:t>
      </w:r>
      <w:r>
        <w:rPr>
          <w:w w:val="100"/>
        </w:rPr>
        <w:t>《</w:t>
      </w:r>
      <w:r>
        <w:rPr>
          <w:spacing w:val="-2"/>
          <w:w w:val="100"/>
        </w:rPr>
        <w:t>深</w:t>
      </w:r>
      <w:r>
        <w:rPr>
          <w:w w:val="100"/>
        </w:rPr>
        <w:t>圳证券</w:t>
      </w:r>
      <w:r>
        <w:rPr>
          <w:spacing w:val="-2"/>
          <w:w w:val="100"/>
        </w:rPr>
        <w:t>交</w:t>
      </w:r>
      <w:r>
        <w:rPr>
          <w:w w:val="100"/>
        </w:rPr>
        <w:t>易</w:t>
      </w:r>
      <w:r>
        <w:rPr>
          <w:spacing w:val="-2"/>
          <w:w w:val="100"/>
        </w:rPr>
        <w:t>所</w:t>
      </w:r>
      <w:r>
        <w:rPr>
          <w:w w:val="100"/>
        </w:rPr>
        <w:t>股票上</w:t>
      </w:r>
      <w:r>
        <w:rPr>
          <w:spacing w:val="-2"/>
          <w:w w:val="100"/>
        </w:rPr>
        <w:t>市</w:t>
      </w:r>
      <w:r>
        <w:rPr>
          <w:w w:val="100"/>
        </w:rPr>
        <w:t>规</w:t>
      </w:r>
      <w:r>
        <w:rPr>
          <w:spacing w:val="-2"/>
          <w:w w:val="100"/>
        </w:rPr>
        <w:t>则</w:t>
      </w:r>
      <w:r>
        <w:rPr>
          <w:spacing w:val="-44"/>
          <w:w w:val="100"/>
        </w:rPr>
        <w:t>》</w:t>
      </w:r>
      <w:r>
        <w:rPr>
          <w:w w:val="100"/>
        </w:rPr>
        <w:t>、</w:t>
      </w:r>
    </w:p>
    <w:p>
      <w:pPr>
        <w:spacing w:line="240" w:lineRule="auto" w:before="10"/>
        <w:rPr>
          <w:rFonts w:ascii="宋体" w:hAnsi="宋体" w:cs="宋体" w:eastAsia="宋体" w:hint="default"/>
          <w:sz w:val="15"/>
          <w:szCs w:val="15"/>
        </w:rPr>
      </w:pPr>
    </w:p>
    <w:p>
      <w:pPr>
        <w:pStyle w:val="BodyText"/>
        <w:spacing w:line="429" w:lineRule="auto" w:before="0"/>
        <w:ind w:right="1169"/>
        <w:jc w:val="both"/>
      </w:pPr>
      <w:r>
        <w:rPr>
          <w:spacing w:val="-1"/>
        </w:rPr>
        <w:t>《公司章程》规范股东行为，通过股东大会行使股东权利，未发生超越股东大会及董事会而直接或间接干预公</w:t>
      </w:r>
      <w:r>
        <w:rPr>
          <w:spacing w:val="-63"/>
        </w:rPr>
        <w:t> </w:t>
      </w:r>
      <w:r>
        <w:rPr>
          <w:spacing w:val="-63"/>
        </w:rPr>
      </w:r>
      <w:r>
        <w:rPr/>
        <w:t>司经营与决策的行为。</w:t>
      </w:r>
    </w:p>
    <w:p>
      <w:pPr>
        <w:pStyle w:val="BodyText"/>
        <w:spacing w:line="429" w:lineRule="auto"/>
        <w:ind w:left="579" w:right="0"/>
        <w:jc w:val="left"/>
      </w:pPr>
      <w:r>
        <w:rPr/>
        <w:t>（三）关于董事与董事会</w:t>
      </w:r>
      <w:r>
        <w:rPr>
          <w:w w:val="100"/>
        </w:rPr>
        <w:t> </w:t>
      </w:r>
      <w:r>
        <w:rPr>
          <w:spacing w:val="-1"/>
        </w:rPr>
        <w:t>公司严格按照《公司法》、《公司章程》等相关法律法规选举产生董事人选，公司目前有独立董事三名，</w:t>
      </w:r>
    </w:p>
    <w:p>
      <w:pPr>
        <w:pStyle w:val="BodyText"/>
        <w:spacing w:line="429" w:lineRule="auto"/>
        <w:ind w:right="1132"/>
        <w:jc w:val="both"/>
      </w:pPr>
      <w:r>
        <w:rPr>
          <w:spacing w:val="-4"/>
        </w:rPr>
        <w:t>占全体董事的三分之一，董事会人数及人员构成符合法律法规和《公司章程》的要求。公司董事会严格按照《公</w:t>
      </w:r>
      <w:r>
        <w:rPr>
          <w:spacing w:val="-80"/>
        </w:rPr>
        <w:t> </w:t>
      </w:r>
      <w:r>
        <w:rPr>
          <w:spacing w:val="-80"/>
        </w:rPr>
      </w:r>
      <w:r>
        <w:rPr/>
        <w:t>司章程》、《独立董事工作制度》及《董事会议事规则》、《深圳证券交易所中小企业板上市公司规范运作指</w:t>
      </w:r>
      <w:r>
        <w:rPr>
          <w:w w:val="100"/>
        </w:rPr>
        <w:t> </w:t>
      </w:r>
      <w:r>
        <w:rPr/>
        <w:t>引》等相关规定召集召开董事会，各董事按要求出席董事会，认真审议各项议案，勤勉尽责。独立董事独立履</w:t>
      </w:r>
      <w:r>
        <w:rPr>
          <w:w w:val="100"/>
        </w:rPr>
        <w:t> </w:t>
      </w:r>
      <w:r>
        <w:rPr/>
        <w:t>行职责，维护公司整体利益，尤其关注中小股东的合法权益不受损害，对重要及重大事项发表独立意见。</w:t>
      </w:r>
    </w:p>
    <w:p>
      <w:pPr>
        <w:pStyle w:val="BodyText"/>
        <w:spacing w:line="429" w:lineRule="auto"/>
        <w:ind w:left="579" w:right="0"/>
        <w:jc w:val="left"/>
      </w:pPr>
      <w:r>
        <w:rPr/>
        <w:t>（四）关于监事与监事会</w:t>
      </w:r>
      <w:r>
        <w:rPr>
          <w:w w:val="100"/>
        </w:rPr>
        <w:t> </w:t>
      </w:r>
      <w:r>
        <w:rPr>
          <w:spacing w:val="-1"/>
        </w:rPr>
        <w:t>公司严格按照《公司法》、《公司章程》等相关法律法规选举产生监事人选，公司监事会由</w:t>
      </w:r>
      <w:r>
        <w:rPr>
          <w:rFonts w:ascii="Times New Roman" w:hAnsi="Times New Roman" w:cs="Times New Roman" w:eastAsia="Times New Roman" w:hint="default"/>
          <w:spacing w:val="-1"/>
        </w:rPr>
        <w:t>3</w:t>
      </w:r>
      <w:r>
        <w:rPr>
          <w:spacing w:val="-1"/>
        </w:rPr>
        <w:t>名监事组成，</w:t>
      </w:r>
    </w:p>
    <w:p>
      <w:pPr>
        <w:pStyle w:val="BodyText"/>
        <w:spacing w:line="429" w:lineRule="auto" w:before="16"/>
        <w:ind w:right="1169"/>
        <w:jc w:val="both"/>
      </w:pPr>
      <w:r>
        <w:rPr>
          <w:spacing w:val="-1"/>
        </w:rPr>
        <w:t>监事会人数及人员构成符合法律法规的要求。公司监事会严格按照《公司章程》及《监事会议事规则》等相关</w:t>
      </w:r>
      <w:r>
        <w:rPr>
          <w:spacing w:val="-63"/>
        </w:rPr>
        <w:t> </w:t>
      </w:r>
      <w:r>
        <w:rPr>
          <w:spacing w:val="-63"/>
        </w:rPr>
      </w:r>
      <w:r>
        <w:rPr>
          <w:spacing w:val="-1"/>
        </w:rPr>
        <w:t>规定召集召开监事会，各监事按要求出席监事会，认真履行职责，对公司重大事项、关联交易、财务状况等进</w:t>
      </w:r>
      <w:r>
        <w:rPr>
          <w:spacing w:val="-63"/>
        </w:rPr>
        <w:t> </w:t>
      </w:r>
      <w:r>
        <w:rPr>
          <w:spacing w:val="-63"/>
        </w:rPr>
      </w:r>
      <w:r>
        <w:rPr/>
        <w:t>行监督并发表意见，维护了公司及股东的合法权益。</w:t>
      </w:r>
    </w:p>
    <w:p>
      <w:pPr>
        <w:spacing w:after="0" w:line="42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before="0"/>
        <w:ind w:left="579" w:right="0"/>
        <w:jc w:val="left"/>
      </w:pPr>
      <w:r>
        <w:rPr/>
        <w:t>（五）关于信息披露与透明度</w:t>
      </w:r>
      <w:r>
        <w:rPr>
          <w:w w:val="100"/>
        </w:rPr>
        <w:t> </w:t>
      </w:r>
      <w:r>
        <w:rPr>
          <w:spacing w:val="-1"/>
        </w:rPr>
        <w:t>公司严格执行《信息披露管理制度》、《董事会秘书工作制度》、《内幕信息知情人管理制度》等，由董</w:t>
      </w:r>
    </w:p>
    <w:p>
      <w:pPr>
        <w:pStyle w:val="BodyText"/>
        <w:spacing w:line="240" w:lineRule="auto"/>
        <w:ind w:right="0"/>
        <w:jc w:val="both"/>
      </w:pPr>
      <w:r>
        <w:rPr>
          <w:spacing w:val="-6"/>
        </w:rPr>
        <w:t>事会秘书负责信息披露工作，建立投资者专线电话、电子邮箱，提高公司运作的透明度。公司指定《证券时报》、</w:t>
      </w:r>
    </w:p>
    <w:p>
      <w:pPr>
        <w:spacing w:line="240" w:lineRule="auto" w:before="10"/>
        <w:rPr>
          <w:rFonts w:ascii="宋体" w:hAnsi="宋体" w:cs="宋体" w:eastAsia="宋体" w:hint="default"/>
          <w:sz w:val="15"/>
          <w:szCs w:val="15"/>
        </w:rPr>
      </w:pPr>
    </w:p>
    <w:p>
      <w:pPr>
        <w:pStyle w:val="BodyText"/>
        <w:spacing w:line="429" w:lineRule="auto" w:before="0"/>
        <w:ind w:right="0"/>
        <w:jc w:val="left"/>
      </w:pPr>
      <w:r>
        <w:rPr>
          <w:spacing w:val="-1"/>
        </w:rPr>
        <w:t>《证券日报》、《中国证券报》、《上海证券报》及巨潮资讯网作为本公司信息披露的法定媒体，严格按照有</w:t>
      </w:r>
      <w:r>
        <w:rPr>
          <w:spacing w:val="-63"/>
        </w:rPr>
        <w:t> </w:t>
      </w:r>
      <w:r>
        <w:rPr>
          <w:spacing w:val="-63"/>
        </w:rPr>
      </w:r>
      <w:r>
        <w:rPr/>
        <w:t>关规定真实、准确、完整、及时地披露有关信息，确保公司所有股东能够以平等的机会获取信息。</w:t>
      </w:r>
    </w:p>
    <w:p>
      <w:pPr>
        <w:pStyle w:val="BodyText"/>
        <w:spacing w:line="429" w:lineRule="auto"/>
        <w:ind w:left="579" w:right="0"/>
        <w:jc w:val="left"/>
      </w:pPr>
      <w:r>
        <w:rPr/>
        <w:t>（六）关于相关利益者</w:t>
      </w:r>
      <w:r>
        <w:rPr>
          <w:w w:val="100"/>
        </w:rPr>
        <w:t> </w:t>
      </w:r>
      <w:r>
        <w:rPr>
          <w:spacing w:val="-3"/>
        </w:rPr>
        <w:t>公司充分尊重和维护相关利益者的合法权益，积极加强与相关利益者的沟通和交流，推动公司持续、稳定、</w:t>
      </w:r>
    </w:p>
    <w:p>
      <w:pPr>
        <w:pStyle w:val="BodyText"/>
        <w:spacing w:line="240" w:lineRule="auto"/>
        <w:ind w:right="0"/>
        <w:jc w:val="both"/>
      </w:pPr>
      <w:r>
        <w:rPr/>
        <w:t>健康地发展。公司的治理情况符合中国证监会有关上市公司治理的规范性文件要求。</w:t>
      </w:r>
    </w:p>
    <w:p>
      <w:pPr>
        <w:spacing w:line="240" w:lineRule="auto" w:before="10"/>
        <w:rPr>
          <w:rFonts w:ascii="宋体" w:hAnsi="宋体" w:cs="宋体" w:eastAsia="宋体" w:hint="default"/>
          <w:sz w:val="15"/>
          <w:szCs w:val="15"/>
        </w:rPr>
      </w:pPr>
    </w:p>
    <w:p>
      <w:pPr>
        <w:pStyle w:val="BodyText"/>
        <w:spacing w:line="429" w:lineRule="auto" w:before="0"/>
        <w:ind w:left="580" w:right="0"/>
        <w:jc w:val="left"/>
      </w:pPr>
      <w:r>
        <w:rPr/>
        <w:t>（七）关于公司与投资者</w:t>
      </w:r>
      <w:r>
        <w:rPr>
          <w:w w:val="100"/>
        </w:rPr>
        <w:t> </w:t>
      </w:r>
      <w:r>
        <w:rPr>
          <w:spacing w:val="-1"/>
        </w:rPr>
        <w:t>公司严格执行《投资者关系管理制度》、《机构投资者接待管理办法》，公司董事会秘书为投资者关系管</w:t>
      </w:r>
    </w:p>
    <w:p>
      <w:pPr>
        <w:pStyle w:val="BodyText"/>
        <w:spacing w:line="429" w:lineRule="auto"/>
        <w:ind w:left="154" w:right="0"/>
        <w:jc w:val="left"/>
      </w:pPr>
      <w:r>
        <w:rPr>
          <w:spacing w:val="-1"/>
        </w:rPr>
        <w:t>理负责人，组织实施投资者关系的日常管理工作。报告期内，公司通过电话、接待投资者现场调研、深交所投</w:t>
      </w:r>
      <w:r>
        <w:rPr>
          <w:spacing w:val="-63"/>
        </w:rPr>
        <w:t> </w:t>
      </w:r>
      <w:r>
        <w:rPr>
          <w:spacing w:val="-63"/>
        </w:rPr>
      </w:r>
      <w:r>
        <w:rPr/>
        <w:t>资者关系互动平台等方式，加强与投资者的沟通。</w:t>
      </w:r>
    </w:p>
    <w:p>
      <w:pPr>
        <w:pStyle w:val="BodyText"/>
        <w:spacing w:line="429" w:lineRule="auto"/>
        <w:ind w:left="580" w:right="0"/>
        <w:jc w:val="left"/>
      </w:pPr>
      <w:r>
        <w:rPr/>
        <w:t>（八）关于绩效评价与激励约束机制</w:t>
      </w:r>
      <w:r>
        <w:rPr>
          <w:w w:val="100"/>
        </w:rPr>
        <w:t> </w:t>
      </w:r>
      <w:r>
        <w:rPr>
          <w:spacing w:val="-1"/>
        </w:rPr>
        <w:t>公司逐步完善和建立公正、透明的董事、监事及高级管理人员绩效评价体系和激励约束机制，高级管理人</w:t>
      </w:r>
    </w:p>
    <w:p>
      <w:pPr>
        <w:pStyle w:val="BodyText"/>
        <w:spacing w:line="429" w:lineRule="auto"/>
        <w:ind w:left="154" w:right="1169"/>
        <w:jc w:val="both"/>
      </w:pPr>
      <w:r>
        <w:rPr>
          <w:spacing w:val="-1"/>
        </w:rPr>
        <w:t>员的聘任公开、透明，符合有关法律法规和公司内部规章制度的要求。本公司高级管理人员实行年薪制，年薪</w:t>
      </w:r>
      <w:r>
        <w:rPr>
          <w:spacing w:val="-63"/>
        </w:rPr>
        <w:t> </w:t>
      </w:r>
      <w:r>
        <w:rPr>
          <w:spacing w:val="-63"/>
        </w:rPr>
      </w:r>
      <w:r>
        <w:rPr>
          <w:spacing w:val="-1"/>
        </w:rPr>
        <w:t>与年度经营指标完成情况挂钩，同时根据《公司章程》中对高级管理人员履职行为、权限和职责的规定进行综</w:t>
      </w:r>
      <w:r>
        <w:rPr>
          <w:spacing w:val="-63"/>
        </w:rPr>
        <w:t> </w:t>
      </w:r>
      <w:r>
        <w:rPr>
          <w:spacing w:val="-63"/>
        </w:rPr>
      </w:r>
      <w:r>
        <w:rPr/>
        <w:t>合考评。</w:t>
      </w:r>
    </w:p>
    <w:p>
      <w:pPr>
        <w:spacing w:before="27"/>
        <w:ind w:left="154"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86"/>
        <w:ind w:right="0"/>
        <w:jc w:val="both"/>
      </w:pPr>
      <w:r>
        <w:rPr/>
        <w:t>公司治理的实际状况与中国证监会发布的有关上市公司治理的规范性文件不存在重大差异。</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4"/>
        <w:rPr>
          <w:rFonts w:ascii="宋体" w:hAnsi="宋体" w:cs="宋体" w:eastAsia="宋体" w:hint="default"/>
          <w:b/>
          <w:bCs/>
          <w:sz w:val="31"/>
          <w:szCs w:val="31"/>
        </w:rPr>
      </w:pPr>
    </w:p>
    <w:p>
      <w:pPr>
        <w:pStyle w:val="BodyText"/>
        <w:spacing w:line="240" w:lineRule="auto" w:before="0"/>
        <w:ind w:left="625" w:right="0"/>
        <w:jc w:val="left"/>
      </w:pPr>
      <w:r>
        <w:rPr>
          <w:spacing w:val="-4"/>
        </w:rPr>
        <w:t>公司与控股股东在业务、人员、资产、机构、财务等方面完全分开，具有独立完整的业务及自主经营能力。</w:t>
      </w:r>
    </w:p>
    <w:p>
      <w:pPr>
        <w:spacing w:line="240" w:lineRule="auto" w:before="10"/>
        <w:rPr>
          <w:rFonts w:ascii="宋体" w:hAnsi="宋体" w:cs="宋体" w:eastAsia="宋体" w:hint="default"/>
          <w:sz w:val="15"/>
          <w:szCs w:val="15"/>
        </w:rPr>
      </w:pPr>
    </w:p>
    <w:p>
      <w:pPr>
        <w:pStyle w:val="BodyText"/>
        <w:spacing w:line="405" w:lineRule="auto" w:before="0"/>
        <w:ind w:right="0" w:firstLine="471"/>
        <w:jc w:val="left"/>
      </w:pPr>
      <w:r>
        <w:rPr>
          <w:spacing w:val="-3"/>
        </w:rPr>
        <w:t>（一）业务独立：公司拥有独立完整的业务体系及自主经营能力</w:t>
      </w:r>
      <w:r>
        <w:rPr>
          <w:rFonts w:ascii="Times New Roman" w:hAnsi="Times New Roman" w:cs="Times New Roman" w:eastAsia="Times New Roman" w:hint="default"/>
          <w:spacing w:val="-3"/>
        </w:rPr>
        <w:t>,</w:t>
      </w:r>
      <w:r>
        <w:rPr>
          <w:spacing w:val="-3"/>
        </w:rPr>
        <w:t>能够面向市场独立经营、核算和决策，独</w:t>
      </w:r>
      <w:r>
        <w:rPr>
          <w:w w:val="100"/>
        </w:rPr>
        <w:t> </w:t>
      </w:r>
      <w:r>
        <w:rPr/>
        <w:t>立承担责任与风险。公司的业务开展完全独立于控股股东，不存在受制于公司股东及其它关联方的情况。</w:t>
      </w:r>
    </w:p>
    <w:p>
      <w:pPr>
        <w:pStyle w:val="BodyText"/>
        <w:spacing w:line="422" w:lineRule="auto" w:before="68"/>
        <w:ind w:right="0" w:firstLine="471"/>
        <w:jc w:val="left"/>
      </w:pPr>
      <w:r>
        <w:rPr/>
        <w:t>（二）人员独立：公司董事</w:t>
      </w:r>
      <w:r>
        <w:rPr>
          <w:rFonts w:ascii="Times New Roman" w:hAnsi="Times New Roman" w:cs="Times New Roman" w:eastAsia="Times New Roman" w:hint="default"/>
        </w:rPr>
        <w:t>(</w:t>
      </w:r>
      <w:r>
        <w:rPr/>
        <w:t>含独立董事</w:t>
      </w:r>
      <w:r>
        <w:rPr>
          <w:rFonts w:ascii="Times New Roman" w:hAnsi="Times New Roman" w:cs="Times New Roman" w:eastAsia="Times New Roman" w:hint="default"/>
        </w:rPr>
        <w:t>)</w:t>
      </w:r>
      <w:r>
        <w:rPr/>
        <w:t>、监事及高级管理人员严格按照《公司法》、《公司章程》的有</w:t>
      </w:r>
      <w:r>
        <w:rPr>
          <w:w w:val="100"/>
        </w:rPr>
        <w:t> </w:t>
      </w:r>
      <w:r>
        <w:rPr/>
        <w:t>关规定产生，公司的总经理、副总经理、财务负责人、董事会秘书等高级管理人员均在公司专职工作并领取薪</w:t>
      </w:r>
      <w:r>
        <w:rPr>
          <w:w w:val="100"/>
        </w:rPr>
        <w:t> </w:t>
      </w:r>
      <w:r>
        <w:rPr/>
        <w:t>酬，不存在在关联企业兼职领薪的情况；公司高级管理人员的任免均由公司董事会通过合法程序决定，不存在</w:t>
      </w:r>
      <w:r>
        <w:rPr>
          <w:w w:val="100"/>
        </w:rPr>
        <w:t> </w:t>
      </w:r>
      <w:r>
        <w:rPr>
          <w:spacing w:val="-2"/>
        </w:rPr>
        <w:t>控股股东干涉人事任免决定的现象；公司拥有独立的员工队伍，并已建立较为完善的劳动用工和人事管理制度。</w:t>
      </w:r>
      <w:r>
        <w:rPr>
          <w:spacing w:val="-77"/>
        </w:rPr>
        <w:t> </w:t>
      </w:r>
      <w:r>
        <w:rPr>
          <w:spacing w:val="-77"/>
        </w:rPr>
      </w:r>
      <w:r>
        <w:rPr/>
        <w:t>公司已依据国家的法律法规与公司全体员工签定了劳动合同并缴纳社会保险费用，公司拥有独立的劳动用工权</w:t>
      </w:r>
    </w:p>
    <w:p>
      <w:pPr>
        <w:spacing w:after="0" w:line="42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0"/>
        <w:ind w:right="0"/>
        <w:jc w:val="left"/>
      </w:pPr>
      <w:r>
        <w:rPr/>
        <w:t>利，不存在受控股股东控制的情形。</w:t>
      </w:r>
    </w:p>
    <w:p>
      <w:pPr>
        <w:spacing w:line="240" w:lineRule="auto" w:before="10"/>
        <w:rPr>
          <w:rFonts w:ascii="宋体" w:hAnsi="宋体" w:cs="宋体" w:eastAsia="宋体" w:hint="default"/>
          <w:sz w:val="15"/>
          <w:szCs w:val="15"/>
        </w:rPr>
      </w:pPr>
    </w:p>
    <w:p>
      <w:pPr>
        <w:pStyle w:val="BodyText"/>
        <w:spacing w:line="429" w:lineRule="auto" w:before="0"/>
        <w:ind w:right="1132" w:firstLine="471"/>
        <w:jc w:val="both"/>
      </w:pPr>
      <w:r>
        <w:rPr>
          <w:spacing w:val="-2"/>
        </w:rPr>
        <w:t>（三）资产独立：公司的资产完整，拥有与生产经营范围相适应的各项资质、设备、专利等资产。公司的</w:t>
      </w:r>
      <w:r>
        <w:rPr>
          <w:w w:val="100"/>
        </w:rPr>
        <w:t> </w:t>
      </w:r>
      <w:r>
        <w:rPr/>
        <w:t>各项资产均不存在被抵押、质押的情况，并对其拥有完整的所有权。公司资产独立于公司控股股东，对所有资</w:t>
      </w:r>
      <w:r>
        <w:rPr>
          <w:w w:val="100"/>
        </w:rPr>
        <w:t> </w:t>
      </w:r>
      <w:r>
        <w:rPr/>
        <w:t>产有完全的控制支配权，不存在资产、资金被控股股东占用而损害公司利益的情况，亦不存在为股东和其他个</w:t>
      </w:r>
      <w:r>
        <w:rPr>
          <w:w w:val="100"/>
        </w:rPr>
        <w:t> </w:t>
      </w:r>
      <w:r>
        <w:rPr/>
        <w:t>人提供担保的情形。</w:t>
      </w:r>
    </w:p>
    <w:p>
      <w:pPr>
        <w:pStyle w:val="BodyText"/>
        <w:spacing w:line="429" w:lineRule="auto"/>
        <w:ind w:right="1132" w:firstLine="471"/>
        <w:jc w:val="both"/>
      </w:pPr>
      <w:r>
        <w:rPr>
          <w:spacing w:val="-2"/>
        </w:rPr>
        <w:t>（四）机构独立：本公司依照《公司法》和《公司章程》的规定，设置了股东大会、董事会、监事会，制</w:t>
      </w:r>
      <w:r>
        <w:rPr>
          <w:w w:val="100"/>
        </w:rPr>
        <w:t> </w:t>
      </w:r>
      <w:r>
        <w:rPr/>
        <w:t>定了议事规则，公司独立行使经营管理职权，独立于公司的控股股东、实际控制人及其控制的其他企业，不存</w:t>
      </w:r>
      <w:r>
        <w:rPr>
          <w:w w:val="100"/>
        </w:rPr>
        <w:t> </w:t>
      </w:r>
      <w:r>
        <w:rPr/>
        <w:t>在机构混同的情形。公司的办公场所独立于股东单位，不存在混合经营、合署办公的情形。</w:t>
      </w:r>
    </w:p>
    <w:p>
      <w:pPr>
        <w:pStyle w:val="BodyText"/>
        <w:spacing w:line="429" w:lineRule="auto"/>
        <w:ind w:right="1130" w:firstLine="471"/>
        <w:jc w:val="both"/>
      </w:pPr>
      <w:r>
        <w:rPr>
          <w:spacing w:val="-2"/>
        </w:rPr>
        <w:t>（五）财务独立：公司设立了独立的财务部门，配备了专职财务人员，建立了独立的会计核算体系和财务</w:t>
      </w:r>
      <w:r>
        <w:rPr>
          <w:w w:val="100"/>
        </w:rPr>
        <w:t> </w:t>
      </w:r>
      <w:r>
        <w:rPr/>
        <w:t>管理制度。公司在银行独立开户，依法独立纳税，具有独立作出财务决策的能力。</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三、同业竞争情况" w:id="136"/>
      <w:bookmarkEnd w:id="136"/>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spacing w:before="44"/>
        <w:ind w:left="0" w:right="1148" w:firstLine="0"/>
        <w:jc w:val="right"/>
        <w:rPr>
          <w:rFonts w:ascii="宋体" w:hAnsi="宋体" w:cs="宋体" w:eastAsia="宋体" w:hint="default"/>
          <w:sz w:val="18"/>
          <w:szCs w:val="18"/>
        </w:rPr>
      </w:pPr>
      <w:r>
        <w:rPr/>
        <w:pict>
          <v:shape style="position:absolute;margin-left:56.459999pt;margin-top:-114.518272pt;width:479.1pt;height:324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3"/>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《北京中科金财科 技股份有限公司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w:t>
                        </w:r>
                        <w:r>
                          <w:rPr>
                            <w:rFonts w:ascii="宋体" w:hAnsi="宋体" w:cs="宋体" w:eastAsia="宋体" w:hint="default"/>
                            <w:spacing w:val="-10"/>
                            <w:sz w:val="18"/>
                            <w:szCs w:val="18"/>
                          </w:rPr>
                          <w:t>会决议公告》刊登于</w:t>
                        </w:r>
                      </w:p>
                      <w:p>
                        <w:pPr>
                          <w:pStyle w:val="TableParagraph"/>
                          <w:spacing w:line="316" w:lineRule="auto" w:before="22"/>
                          <w:ind w:left="23" w:right="20"/>
                          <w:jc w:val="left"/>
                          <w:rPr>
                            <w:rFonts w:ascii="宋体" w:hAnsi="宋体" w:cs="宋体" w:eastAsia="宋体" w:hint="default"/>
                            <w:sz w:val="18"/>
                            <w:szCs w:val="18"/>
                          </w:rPr>
                        </w:pPr>
                        <w:r>
                          <w:rPr>
                            <w:rFonts w:ascii="宋体" w:hAnsi="宋体" w:cs="宋体" w:eastAsia="宋体" w:hint="default"/>
                            <w:spacing w:val="-27"/>
                            <w:sz w:val="18"/>
                            <w:szCs w:val="18"/>
                          </w:rPr>
                          <w:t>《证券时报》、《证券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0"/>
                            <w:sz w:val="18"/>
                            <w:szCs w:val="18"/>
                          </w:rPr>
                          <w:t>日报》、《中国证券</w:t>
                        </w:r>
                        <w:r>
                          <w:rPr>
                            <w:rFonts w:ascii="宋体" w:hAnsi="宋体" w:cs="宋体" w:eastAsia="宋体" w:hint="default"/>
                            <w:sz w:val="18"/>
                            <w:szCs w:val="18"/>
                          </w:rPr>
                          <w:t> </w:t>
                        </w:r>
                        <w:r>
                          <w:rPr>
                            <w:rFonts w:ascii="宋体" w:hAnsi="宋体" w:cs="宋体" w:eastAsia="宋体" w:hint="default"/>
                            <w:spacing w:val="-20"/>
                            <w:sz w:val="18"/>
                            <w:szCs w:val="18"/>
                          </w:rPr>
                          <w:t>报》、《上海证券报</w:t>
                        </w:r>
                        <w:r>
                          <w:rPr>
                            <w:rFonts w:ascii="宋体" w:hAnsi="宋体" w:cs="宋体" w:eastAsia="宋体" w:hint="default"/>
                            <w:sz w:val="18"/>
                            <w:szCs w:val="18"/>
                          </w:rPr>
                          <w:t> 及巨潮资讯网</w:t>
                        </w:r>
                      </w:p>
                      <w:p>
                        <w:pPr>
                          <w:pStyle w:val="TableParagraph"/>
                          <w:spacing w:line="362" w:lineRule="auto" w:before="58"/>
                          <w:ind w:left="23" w:right="31"/>
                          <w:jc w:val="left"/>
                          <w:rPr>
                            <w:rFonts w:ascii="Times New Roman" w:hAnsi="Times New Roman" w:cs="Times New Roman" w:eastAsia="Times New Roman" w:hint="default"/>
                            <w:sz w:val="18"/>
                            <w:szCs w:val="18"/>
                          </w:rPr>
                        </w:pPr>
                        <w:hyperlink r:id="rId14">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285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9"/>
                          <w:jc w:val="right"/>
                          <w:rPr>
                            <w:rFonts w:ascii="Times New Roman" w:hAnsi="Times New Roman" w:cs="Times New Roman" w:eastAsia="Times New Roman" w:hint="default"/>
                            <w:sz w:val="18"/>
                            <w:szCs w:val="18"/>
                          </w:rPr>
                        </w:pPr>
                        <w:r>
                          <w:rPr>
                            <w:rFonts w:ascii="Times New Roman"/>
                            <w:sz w:val="18"/>
                          </w:rPr>
                          <w:t>22.35%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《北京中科金财科 技股份有限公司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 </w:t>
                        </w:r>
                        <w:r>
                          <w:rPr>
                            <w:rFonts w:ascii="宋体" w:hAnsi="宋体" w:cs="宋体" w:eastAsia="宋体" w:hint="default"/>
                            <w:spacing w:val="-20"/>
                            <w:sz w:val="18"/>
                            <w:szCs w:val="18"/>
                          </w:rPr>
                          <w:t>刊登于《证券时报》</w:t>
                        </w:r>
                        <w:r>
                          <w:rPr>
                            <w:rFonts w:ascii="宋体" w:hAnsi="宋体" w:cs="宋体" w:eastAsia="宋体" w:hint="default"/>
                            <w:sz w:val="18"/>
                            <w:szCs w:val="18"/>
                          </w:rPr>
                        </w:r>
                      </w:p>
                      <w:p>
                        <w:pPr>
                          <w:pStyle w:val="TableParagraph"/>
                          <w:spacing w:line="316" w:lineRule="auto" w:before="21"/>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《证券日报》、《中国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报》及巨潮资讯网</w:t>
                        </w:r>
                      </w:p>
                      <w:p>
                        <w:pPr>
                          <w:pStyle w:val="TableParagraph"/>
                          <w:spacing w:line="240" w:lineRule="auto" w:before="58"/>
                          <w:ind w:left="23" w:right="0"/>
                          <w:jc w:val="left"/>
                          <w:rPr>
                            <w:rFonts w:ascii="Times New Roman" w:hAnsi="Times New Roman" w:cs="Times New Roman" w:eastAsia="Times New Roman" w:hint="default"/>
                            <w:sz w:val="18"/>
                            <w:szCs w:val="18"/>
                          </w:rPr>
                        </w:pPr>
                        <w:hyperlink r:id="rId14">
                          <w:r>
                            <w:rPr>
                              <w:rFonts w:ascii="Times New Roman"/>
                              <w:sz w:val="18"/>
                            </w:rPr>
                            <w:t>http://www.cninfo.co</w:t>
                          </w:r>
                        </w:hyperlink>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0" w:right="1148"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before="44"/>
        <w:ind w:left="0" w:right="1148" w:firstLine="0"/>
        <w:jc w:val="right"/>
        <w:rPr>
          <w:rFonts w:ascii="宋体" w:hAnsi="宋体" w:cs="宋体" w:eastAsia="宋体" w:hint="default"/>
          <w:sz w:val="18"/>
          <w:szCs w:val="18"/>
        </w:rPr>
      </w:pPr>
      <w:r>
        <w:rPr/>
        <w:pict>
          <v:shape style="position:absolute;margin-left:56.459999pt;margin-top:-65.728302pt;width:479.1pt;height:179.1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m.cn</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《北京中科金财科 技股份有限公司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股东大会决议公告 </w:t>
                        </w:r>
                        <w:r>
                          <w:rPr>
                            <w:rFonts w:ascii="宋体" w:hAnsi="宋体" w:cs="宋体" w:eastAsia="宋体" w:hint="default"/>
                            <w:spacing w:val="-20"/>
                            <w:sz w:val="18"/>
                            <w:szCs w:val="18"/>
                          </w:rPr>
                          <w:t>刊登于《证券时报》</w:t>
                        </w:r>
                        <w:r>
                          <w:rPr>
                            <w:rFonts w:ascii="宋体" w:hAnsi="宋体" w:cs="宋体" w:eastAsia="宋体" w:hint="default"/>
                            <w:sz w:val="18"/>
                            <w:szCs w:val="18"/>
                          </w:rPr>
                        </w:r>
                      </w:p>
                      <w:p>
                        <w:pPr>
                          <w:pStyle w:val="TableParagraph"/>
                          <w:spacing w:line="316" w:lineRule="auto" w:before="20"/>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《证券日报》、《中国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报》及巨潮资讯网</w:t>
                        </w:r>
                      </w:p>
                      <w:p>
                        <w:pPr>
                          <w:pStyle w:val="TableParagraph"/>
                          <w:spacing w:line="362" w:lineRule="auto" w:before="58"/>
                          <w:ind w:left="23" w:right="31"/>
                          <w:jc w:val="left"/>
                          <w:rPr>
                            <w:rFonts w:ascii="Times New Roman" w:hAnsi="Times New Roman" w:cs="Times New Roman" w:eastAsia="Times New Roman" w:hint="default"/>
                            <w:sz w:val="18"/>
                            <w:szCs w:val="18"/>
                          </w:rPr>
                        </w:pPr>
                        <w:hyperlink r:id="rId14">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bl>
                <w:p>
                  <w:pPr/>
                </w:p>
              </w:txbxContent>
            </v:textbox>
            <w10:wrap type="none"/>
          </v:shape>
        </w:pict>
      </w:r>
      <w:r>
        <w:rPr>
          <w:rFonts w:ascii="宋体" w:hAnsi="宋体" w:cs="宋体" w:eastAsia="宋体" w:hint="default"/>
          <w:sz w:val="18"/>
          <w:szCs w:val="18"/>
        </w:rPr>
        <w:t>》</w:t>
      </w:r>
    </w:p>
    <w:p>
      <w:pPr>
        <w:spacing w:before="76"/>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3"/>
        <w:spacing w:line="240" w:lineRule="auto" w:before="35"/>
        <w:ind w:right="0"/>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白涛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赵燕</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顾凌云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line="357"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86"/>
        <w:ind w:right="0"/>
        <w:jc w:val="left"/>
      </w:pPr>
      <w:r>
        <w:rPr/>
        <w:t>报告期内独立董事对公司有关事项未提出异议。</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240" w:lineRule="auto" w:before="101"/>
        <w:ind w:left="579" w:right="0"/>
        <w:jc w:val="left"/>
      </w:pPr>
      <w:r>
        <w:rPr/>
        <w:t>公司独立董事在</w:t>
      </w:r>
      <w:r>
        <w:rPr>
          <w:rFonts w:ascii="Times New Roman" w:hAnsi="Times New Roman" w:cs="Times New Roman" w:eastAsia="Times New Roman" w:hint="default"/>
        </w:rPr>
        <w:t>2017</w:t>
      </w:r>
      <w:r>
        <w:rPr/>
        <w:t>年度勤勉尽责，积极了解公司的生产经营情况和财务状况；及时关注经济形势以及市</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before="0"/>
        <w:ind w:right="1169"/>
        <w:jc w:val="both"/>
      </w:pPr>
      <w:r>
        <w:rPr>
          <w:spacing w:val="-1"/>
        </w:rPr>
        <w:t>场变化对公司经营状况的影响；关注传媒、网络有关公司的相关报道；及时获悉公司重大事项的进展情况，定</w:t>
      </w:r>
      <w:r>
        <w:rPr>
          <w:spacing w:val="-63"/>
        </w:rPr>
        <w:t> </w:t>
      </w:r>
      <w:r>
        <w:rPr>
          <w:spacing w:val="-63"/>
        </w:rPr>
      </w:r>
      <w:r>
        <w:rPr>
          <w:spacing w:val="-1"/>
        </w:rPr>
        <w:t>期审阅公司提供的定期报告、临时公告；对报告期内公司发生的相关事项出具了独立、公正的独立董事意见，</w:t>
      </w:r>
      <w:r>
        <w:rPr>
          <w:spacing w:val="-63"/>
        </w:rPr>
        <w:t> </w:t>
      </w:r>
      <w:r>
        <w:rPr>
          <w:spacing w:val="-63"/>
        </w:rPr>
      </w:r>
      <w:r>
        <w:rPr/>
        <w:t>有效地履行了独立董事的职责，维护了公司和中小股东的合法权益。</w:t>
      </w:r>
    </w:p>
    <w:p>
      <w:pPr>
        <w:spacing w:line="240" w:lineRule="auto" w:before="4"/>
        <w:rPr>
          <w:rFonts w:ascii="宋体" w:hAnsi="宋体" w:cs="宋体" w:eastAsia="宋体" w:hint="default"/>
          <w:sz w:val="18"/>
          <w:szCs w:val="18"/>
        </w:rPr>
      </w:pPr>
    </w:p>
    <w:p>
      <w:pPr>
        <w:pStyle w:val="Heading2"/>
        <w:spacing w:line="240" w:lineRule="auto"/>
        <w:ind w:right="0"/>
        <w:jc w:val="both"/>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3"/>
        <w:rPr>
          <w:rFonts w:ascii="宋体" w:hAnsi="宋体" w:cs="宋体" w:eastAsia="宋体" w:hint="default"/>
          <w:b/>
          <w:bCs/>
          <w:sz w:val="31"/>
          <w:szCs w:val="31"/>
        </w:rPr>
      </w:pPr>
    </w:p>
    <w:p>
      <w:pPr>
        <w:pStyle w:val="BodyText"/>
        <w:spacing w:line="405" w:lineRule="auto" w:before="0"/>
        <w:ind w:left="625" w:right="0"/>
        <w:jc w:val="left"/>
      </w:pPr>
      <w:r>
        <w:rPr>
          <w:rFonts w:ascii="Times New Roman" w:hAnsi="Times New Roman" w:cs="Times New Roman" w:eastAsia="Times New Roman" w:hint="default"/>
        </w:rPr>
        <w:t>1.</w:t>
      </w:r>
      <w:r>
        <w:rPr/>
        <w:t>战略委员会</w:t>
      </w:r>
      <w:r>
        <w:rPr>
          <w:w w:val="100"/>
        </w:rPr>
        <w:t> </w:t>
      </w:r>
      <w:r>
        <w:rPr>
          <w:spacing w:val="-4"/>
        </w:rPr>
        <w:t>报告期内，战略委员会根据《董事会战略委员会工作制度》及其他有关规定积极开展工作，认真履行职责。</w:t>
      </w:r>
    </w:p>
    <w:p>
      <w:pPr>
        <w:pStyle w:val="BodyText"/>
        <w:spacing w:line="429" w:lineRule="auto" w:before="68"/>
        <w:ind w:left="154" w:right="1169"/>
        <w:jc w:val="both"/>
      </w:pPr>
      <w:r>
        <w:rPr>
          <w:spacing w:val="-1"/>
        </w:rPr>
        <w:t>报告期内，战略委员会向董事会提出的建议，明晰了公司的经营策略，对公司持续稳定健康的发展起到了及其</w:t>
      </w:r>
      <w:r>
        <w:rPr>
          <w:spacing w:val="-63"/>
        </w:rPr>
        <w:t> </w:t>
      </w:r>
      <w:r>
        <w:rPr>
          <w:spacing w:val="-63"/>
        </w:rPr>
      </w:r>
      <w:r>
        <w:rPr/>
        <w:t>重要的促进作用，对公司重要投资事项进行深入的分析研究，为公司发展战略的实施提出了合理的建议。</w:t>
      </w:r>
    </w:p>
    <w:p>
      <w:pPr>
        <w:pStyle w:val="BodyText"/>
        <w:spacing w:line="405" w:lineRule="auto"/>
        <w:ind w:left="625" w:right="1118"/>
        <w:jc w:val="left"/>
      </w:pPr>
      <w:r>
        <w:rPr>
          <w:rFonts w:ascii="Times New Roman" w:hAnsi="Times New Roman" w:cs="Times New Roman" w:eastAsia="Times New Roman" w:hint="default"/>
        </w:rPr>
        <w:t>2.</w:t>
      </w:r>
      <w:r>
        <w:rPr/>
        <w:t>审计委员会</w:t>
      </w:r>
      <w:r>
        <w:rPr>
          <w:w w:val="100"/>
        </w:rPr>
        <w:t> </w:t>
      </w:r>
      <w:r>
        <w:rPr>
          <w:spacing w:val="-2"/>
        </w:rPr>
        <w:t>报告期内，审计委员会根据《公司董事会审计委员会工作制度》及其他有关规定积极开展工作，认真履行</w:t>
      </w:r>
    </w:p>
    <w:p>
      <w:pPr>
        <w:pStyle w:val="BodyText"/>
        <w:spacing w:line="417" w:lineRule="auto" w:before="68"/>
        <w:ind w:left="154" w:right="1129"/>
        <w:jc w:val="both"/>
      </w:pPr>
      <w:r>
        <w:rPr>
          <w:spacing w:val="-2"/>
        </w:rPr>
        <w:t>职责，本着勤勉尽责的原则，充分发挥监督作用，维护审计的独立性，审计委员会共召开</w:t>
      </w:r>
      <w:r>
        <w:rPr>
          <w:rFonts w:ascii="Times New Roman" w:hAnsi="Times New Roman" w:cs="Times New Roman" w:eastAsia="Times New Roman" w:hint="default"/>
          <w:spacing w:val="-2"/>
        </w:rPr>
        <w:t>5</w:t>
      </w:r>
      <w:r>
        <w:rPr>
          <w:spacing w:val="-2"/>
        </w:rPr>
        <w:t>次会议，审议通过了</w:t>
      </w:r>
      <w:r>
        <w:rPr>
          <w:spacing w:val="-79"/>
        </w:rPr>
        <w:t> </w:t>
      </w:r>
      <w:r>
        <w:rPr>
          <w:spacing w:val="-79"/>
        </w:rPr>
      </w:r>
      <w:r>
        <w:rPr/>
        <w:t>审计部</w:t>
      </w:r>
      <w:r>
        <w:rPr>
          <w:rFonts w:ascii="Times New Roman" w:hAnsi="Times New Roman" w:cs="Times New Roman" w:eastAsia="Times New Roman" w:hint="default"/>
        </w:rPr>
        <w:t>2017</w:t>
      </w:r>
      <w:r>
        <w:rPr/>
        <w:t>年各项审计工作汇报，对公司内部控制建立健全情况和财务审计情况进行了监督检查。审核了公司</w:t>
      </w:r>
      <w:r>
        <w:rPr>
          <w:w w:val="100"/>
        </w:rPr>
        <w:t> </w:t>
      </w:r>
      <w:r>
        <w:rPr/>
        <w:t>所有重要的会计政策，定期了解公司财务状况和经营情况，督促和指导公司审计部门对公司财务管理运行情况</w:t>
      </w:r>
      <w:r>
        <w:rPr>
          <w:w w:val="100"/>
        </w:rPr>
        <w:t> </w:t>
      </w:r>
      <w:r>
        <w:rPr/>
        <w:t>进行定期和不定期的检查和评估，委员会认为公司内控制度体系符合法律、法规及《公司章程》的要求，适应</w:t>
      </w:r>
      <w:r>
        <w:rPr>
          <w:w w:val="100"/>
        </w:rPr>
        <w:t> </w:t>
      </w:r>
      <w:r>
        <w:rPr/>
        <w:t>当前公司生产经营实际情况的需要。</w:t>
      </w:r>
    </w:p>
    <w:p>
      <w:pPr>
        <w:pStyle w:val="BodyText"/>
        <w:spacing w:line="405" w:lineRule="auto" w:before="58"/>
        <w:ind w:left="625" w:right="0"/>
        <w:jc w:val="left"/>
      </w:pPr>
      <w:r>
        <w:rPr>
          <w:rFonts w:ascii="Times New Roman" w:hAnsi="Times New Roman" w:cs="Times New Roman" w:eastAsia="Times New Roman" w:hint="default"/>
        </w:rPr>
        <w:t>3.</w:t>
      </w:r>
      <w:r>
        <w:rPr/>
        <w:t>薪酬与考核委员会</w:t>
      </w:r>
      <w:r>
        <w:rPr>
          <w:w w:val="100"/>
        </w:rPr>
        <w:t> </w:t>
      </w:r>
      <w:r>
        <w:rPr>
          <w:spacing w:val="-1"/>
        </w:rPr>
        <w:t>报告期内，薪酬与考核委员会根据《董事会薪酬与考核委员会工作制度》及其他有关规定积极开展工作，</w:t>
      </w:r>
    </w:p>
    <w:p>
      <w:pPr>
        <w:pStyle w:val="BodyText"/>
        <w:spacing w:line="417" w:lineRule="auto" w:before="68"/>
        <w:ind w:left="154" w:right="1169"/>
        <w:jc w:val="both"/>
      </w:pPr>
      <w:r>
        <w:rPr/>
        <w:t>认真履行职责。报告期内，薪酬与考核委员会召开了</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次会议，根据《公司章程》及《公司董事会薪酬与考核</w:t>
      </w:r>
      <w:r>
        <w:rPr>
          <w:w w:val="100"/>
        </w:rPr>
        <w:t> </w:t>
      </w:r>
      <w:r>
        <w:rPr>
          <w:spacing w:val="-1"/>
        </w:rPr>
        <w:t>委员会工作制度》，结合公司经营规模等实际情况并参照行业薪酬水平，对公司董事、监事和高级管理人员的</w:t>
      </w:r>
      <w:r>
        <w:rPr>
          <w:spacing w:val="-63"/>
        </w:rPr>
        <w:t> </w:t>
      </w:r>
      <w:r>
        <w:rPr>
          <w:spacing w:val="-63"/>
        </w:rPr>
      </w:r>
      <w:r>
        <w:rPr/>
        <w:t>薪酬情况进行了审核，并对公司薪酬体系的改善提出了合理化的建议。</w:t>
      </w:r>
    </w:p>
    <w:p>
      <w:pPr>
        <w:pStyle w:val="BodyText"/>
        <w:spacing w:line="405" w:lineRule="auto" w:before="58"/>
        <w:ind w:left="625" w:right="1118"/>
        <w:jc w:val="left"/>
      </w:pPr>
      <w:r>
        <w:rPr>
          <w:rFonts w:ascii="Times New Roman" w:hAnsi="Times New Roman" w:cs="Times New Roman" w:eastAsia="Times New Roman" w:hint="default"/>
        </w:rPr>
        <w:t>4.</w:t>
      </w:r>
      <w:r>
        <w:rPr/>
        <w:t>提名委员会</w:t>
      </w:r>
      <w:r>
        <w:rPr>
          <w:w w:val="100"/>
        </w:rPr>
        <w:t> </w:t>
      </w:r>
      <w:r>
        <w:rPr>
          <w:spacing w:val="-2"/>
        </w:rPr>
        <w:t>报告期内，提名委员会根据《公司董事会提名委员会工作制度》及其他有关规定积极开展工作，认真履行</w:t>
      </w:r>
    </w:p>
    <w:p>
      <w:pPr>
        <w:pStyle w:val="BodyText"/>
        <w:spacing w:line="429" w:lineRule="auto" w:before="68"/>
        <w:ind w:right="0"/>
        <w:jc w:val="left"/>
      </w:pPr>
      <w:r>
        <w:rPr>
          <w:spacing w:val="-2"/>
        </w:rPr>
        <w:t>职责。报告期内，提名委员会对公司董事的任职资格及公司董监高人员构成情况等相关事宜进行了认真的审核，</w:t>
      </w:r>
      <w:r>
        <w:rPr>
          <w:spacing w:val="-78"/>
        </w:rPr>
        <w:t> </w:t>
      </w:r>
      <w:r>
        <w:rPr>
          <w:spacing w:val="-78"/>
        </w:rPr>
      </w:r>
      <w:r>
        <w:rPr/>
        <w:t>认为公司新任董事具有丰富的行业经验和管理经验，完全胜任其工作。</w:t>
      </w:r>
    </w:p>
    <w:p>
      <w:pPr>
        <w:spacing w:line="240" w:lineRule="auto" w:before="4"/>
        <w:rPr>
          <w:rFonts w:ascii="宋体" w:hAnsi="宋体" w:cs="宋体" w:eastAsia="宋体" w:hint="default"/>
          <w:sz w:val="18"/>
          <w:szCs w:val="18"/>
        </w:rPr>
      </w:pPr>
    </w:p>
    <w:p>
      <w:pPr>
        <w:pStyle w:val="Heading2"/>
        <w:spacing w:line="240" w:lineRule="auto"/>
        <w:ind w:right="0"/>
        <w:jc w:val="both"/>
        <w:rPr>
          <w:b w:val="0"/>
          <w:bCs w:val="0"/>
        </w:rPr>
      </w:pPr>
      <w:bookmarkStart w:name="七、监事会工作情况" w:id="145"/>
      <w:bookmarkEnd w:id="145"/>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87"/>
        <w:ind w:right="0"/>
        <w:jc w:val="both"/>
      </w:pPr>
      <w:r>
        <w:rPr/>
        <w:t>监事会对报告期内的监督事项无异议。</w:t>
      </w:r>
    </w:p>
    <w:p>
      <w:pPr>
        <w:spacing w:after="0" w:line="240" w:lineRule="auto"/>
        <w:jc w:val="both"/>
        <w:sectPr>
          <w:pgSz w:w="11910" w:h="16840"/>
          <w:pgMar w:header="747" w:footer="979" w:top="1060" w:bottom="1160" w:left="980" w:right="0"/>
        </w:sectPr>
      </w:pPr>
    </w:p>
    <w:p>
      <w:pPr>
        <w:spacing w:line="240" w:lineRule="auto" w:before="8"/>
        <w:rPr>
          <w:rFonts w:ascii="宋体" w:hAnsi="宋体" w:cs="宋体" w:eastAsia="宋体" w:hint="default"/>
          <w:sz w:val="23"/>
          <w:szCs w:val="23"/>
        </w:rPr>
      </w:pPr>
      <w:r>
        <w:rPr/>
        <w:pict>
          <v:group style="position:absolute;margin-left:383.980011pt;margin-top:683.200012pt;width:154.3pt;height:31.25pt;mso-position-horizontal-relative:page;mso-position-vertical-relative:page;z-index:-1132096" coordorigin="7680,13664" coordsize="3086,625">
            <v:group style="position:absolute;left:7680;top:13664;width:2996;height:312" coordorigin="7680,13664" coordsize="2996,312">
              <v:shape style="position:absolute;left:7680;top:13664;width:2996;height:312" coordorigin="7680,13664" coordsize="2996,312" path="m7680,13976l10675,13976,10675,13664,7680,13664,7680,13976xe" filled="true" fillcolor="#ffffff" stroked="false">
                <v:path arrowok="t"/>
                <v:fill type="solid"/>
              </v:shape>
            </v:group>
            <v:group style="position:absolute;left:7680;top:13976;width:2996;height:313" coordorigin="7680,13976" coordsize="2996,313">
              <v:shape style="position:absolute;left:7680;top:13976;width:2996;height:313" coordorigin="7680,13976" coordsize="2996,313" path="m7680,14288l10675,14288,10675,13976,7680,13976,7680,14288xe" filled="true" fillcolor="#ffffff" stroked="false">
                <v:path arrowok="t"/>
                <v:fill type="solid"/>
              </v:shape>
              <v:shape style="position:absolute;left:10585;top:1404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p>
      <w:pPr>
        <w:pStyle w:val="Heading2"/>
        <w:spacing w:line="240" w:lineRule="auto" w:before="26"/>
        <w:ind w:right="0"/>
        <w:jc w:val="left"/>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4"/>
        <w:rPr>
          <w:rFonts w:ascii="宋体" w:hAnsi="宋体" w:cs="宋体" w:eastAsia="宋体" w:hint="default"/>
          <w:b/>
          <w:bCs/>
          <w:sz w:val="31"/>
          <w:szCs w:val="31"/>
        </w:rPr>
      </w:pPr>
    </w:p>
    <w:p>
      <w:pPr>
        <w:pStyle w:val="BodyText"/>
        <w:spacing w:line="422" w:lineRule="auto" w:before="0"/>
        <w:ind w:right="0" w:firstLine="426"/>
        <w:jc w:val="left"/>
      </w:pPr>
      <w:r>
        <w:rPr>
          <w:spacing w:val="-3"/>
          <w:w w:val="100"/>
        </w:rPr>
        <w:t>公司建立了较为合理的高级管理人员的绩效评价标准和激励约束机制，根据高级管理人员的年度履职情况、</w:t>
      </w:r>
      <w:r>
        <w:rPr>
          <w:w w:val="100"/>
        </w:rPr>
        <w:t> </w:t>
      </w:r>
      <w:r>
        <w:rPr>
          <w:spacing w:val="-4"/>
        </w:rPr>
        <w:t>绩效考核结果和公司经营业绩的情况决定其年度薪酬。</w:t>
      </w:r>
      <w:r>
        <w:rPr>
          <w:rFonts w:ascii="Times New Roman" w:hAnsi="Times New Roman" w:cs="Times New Roman" w:eastAsia="Times New Roman" w:hint="default"/>
          <w:spacing w:val="-4"/>
        </w:rPr>
        <w:t>2017</w:t>
      </w:r>
      <w:r>
        <w:rPr>
          <w:spacing w:val="-4"/>
        </w:rPr>
        <w:t>年公司高级管理人员能够严格按照《公司法》、《公</w:t>
      </w:r>
      <w:r>
        <w:rPr>
          <w:spacing w:val="-70"/>
        </w:rPr>
        <w:t> </w:t>
      </w:r>
      <w:r>
        <w:rPr>
          <w:spacing w:val="-70"/>
        </w:rPr>
      </w:r>
      <w:r>
        <w:rPr>
          <w:spacing w:val="-2"/>
        </w:rPr>
        <w:t>司章程》及国家有关法律法规认真履行职责，积极落实公司股东大会和董事会相关决议，认真履行了工作职责，</w:t>
      </w:r>
      <w:r>
        <w:rPr>
          <w:spacing w:val="-77"/>
        </w:rPr>
        <w:t> </w:t>
      </w:r>
      <w:r>
        <w:rPr>
          <w:spacing w:val="-77"/>
        </w:rPr>
      </w:r>
      <w:r>
        <w:rPr/>
        <w:t>较好的完成了既定目标。公司各项考评及激励机制执行情况良好，起到了应有的激励和约束作用。</w:t>
      </w:r>
    </w:p>
    <w:p>
      <w:pPr>
        <w:spacing w:line="240" w:lineRule="auto" w:before="10"/>
        <w:rPr>
          <w:rFonts w:ascii="宋体" w:hAnsi="宋体" w:cs="宋体" w:eastAsia="宋体" w:hint="default"/>
          <w:sz w:val="18"/>
          <w:szCs w:val="18"/>
        </w:rPr>
      </w:pPr>
    </w:p>
    <w:p>
      <w:pPr>
        <w:pStyle w:val="Heading2"/>
        <w:spacing w:line="240" w:lineRule="auto"/>
        <w:ind w:right="0"/>
        <w:jc w:val="left"/>
        <w:rPr>
          <w:b w:val="0"/>
          <w:bCs w:val="0"/>
        </w:rPr>
      </w:pPr>
      <w:bookmarkStart w:name="九、内部控制评价报告" w:id="147"/>
      <w:bookmarkEnd w:id="147"/>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41"/>
        <w:gridCol w:w="303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73"/>
                <w:sz w:val="18"/>
                <w:szCs w:val="18"/>
              </w:rPr>
              <w:t> </w:t>
            </w:r>
            <w:hyperlink r:id="rId11">
              <w:r>
                <w:rPr>
                  <w:rFonts w:ascii="Times New Roman" w:hAnsi="Times New Roman" w:cs="Times New Roman" w:eastAsia="Times New Roman" w:hint="default"/>
                  <w:sz w:val="18"/>
                  <w:szCs w:val="18"/>
                </w:rPr>
                <w:t>http://www.cninfo.com.cn/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314"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w:t>
            </w:r>
            <w:r>
              <w:rPr>
                <w:rFonts w:ascii="宋体" w:hAnsi="宋体" w:cs="宋体" w:eastAsia="宋体" w:hint="default"/>
                <w:spacing w:val="-5"/>
                <w:sz w:val="18"/>
                <w:szCs w:val="18"/>
              </w:rPr>
              <w:t>定性标准如下：（</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）财务报告重大缺陷的</w:t>
            </w:r>
            <w:r>
              <w:rPr>
                <w:rFonts w:ascii="宋体" w:hAnsi="宋体" w:cs="宋体" w:eastAsia="宋体" w:hint="default"/>
                <w:spacing w:val="-85"/>
                <w:sz w:val="18"/>
                <w:szCs w:val="18"/>
              </w:rPr>
              <w:t> </w:t>
            </w:r>
            <w:r>
              <w:rPr>
                <w:rFonts w:ascii="宋体" w:hAnsi="宋体" w:cs="宋体" w:eastAsia="宋体" w:hint="default"/>
                <w:sz w:val="18"/>
                <w:szCs w:val="18"/>
              </w:rPr>
              <w:t>迹象包括：①公司董事、监事和高级管理 人员的舞弊行为；②公司因责任事故更正 已公布的财务报告；③注册会计师发现的 却未被公司内部控制识别的当期财务报告 中的重大错报；④审计委员会和审计部对 公司的对外财务报告和财务报告内部控制 </w:t>
            </w:r>
            <w:r>
              <w:rPr>
                <w:rFonts w:ascii="宋体" w:hAnsi="宋体" w:cs="宋体" w:eastAsia="宋体" w:hint="default"/>
                <w:spacing w:val="-5"/>
                <w:sz w:val="18"/>
                <w:szCs w:val="18"/>
              </w:rPr>
              <w:t>监督无效。（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）财务报告重要缺陷的迹象</w:t>
            </w:r>
            <w:r>
              <w:rPr>
                <w:rFonts w:ascii="宋体" w:hAnsi="宋体" w:cs="宋体" w:eastAsia="宋体" w:hint="default"/>
                <w:spacing w:val="-85"/>
                <w:sz w:val="18"/>
                <w:szCs w:val="18"/>
              </w:rPr>
              <w:t> </w:t>
            </w:r>
            <w:r>
              <w:rPr>
                <w:rFonts w:ascii="宋体" w:hAnsi="宋体" w:cs="宋体" w:eastAsia="宋体" w:hint="default"/>
                <w:sz w:val="18"/>
                <w:szCs w:val="18"/>
              </w:rPr>
              <w:t>包括：①未依照公认会计准则选择和应用 会计政策；②关键岗位人员舞弊；③合规 性监管职能失效，存在违反法规的行为， 该行为对财务报告的可靠性产生重大影 </w:t>
            </w:r>
            <w:r>
              <w:rPr>
                <w:rFonts w:ascii="宋体" w:hAnsi="宋体" w:cs="宋体" w:eastAsia="宋体" w:hint="default"/>
                <w:spacing w:val="-4"/>
                <w:sz w:val="18"/>
                <w:szCs w:val="18"/>
              </w:rPr>
              <w:t>响；④业务过程控制存在一项或多项缺陷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不能合理保证编制的财务报表达到真实、 </w:t>
            </w:r>
            <w:r>
              <w:rPr>
                <w:rFonts w:ascii="宋体" w:hAnsi="宋体" w:cs="宋体" w:eastAsia="宋体" w:hint="default"/>
                <w:spacing w:val="-5"/>
                <w:sz w:val="18"/>
                <w:szCs w:val="18"/>
              </w:rPr>
              <w:t>完整的目标。（</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）一般缺陷是指除上述重</w:t>
            </w:r>
            <w:r>
              <w:rPr>
                <w:rFonts w:ascii="宋体" w:hAnsi="宋体" w:cs="宋体" w:eastAsia="宋体" w:hint="default"/>
                <w:spacing w:val="-85"/>
                <w:sz w:val="18"/>
                <w:szCs w:val="18"/>
              </w:rPr>
              <w:t> </w:t>
            </w:r>
            <w:r>
              <w:rPr>
                <w:rFonts w:ascii="宋体" w:hAnsi="宋体" w:cs="宋体" w:eastAsia="宋体" w:hint="default"/>
                <w:sz w:val="18"/>
                <w:szCs w:val="18"/>
              </w:rPr>
              <w:t>大缺陷、重要缺陷之外的其他控制缺陷。</w:t>
            </w:r>
          </w:p>
        </w:tc>
        <w:tc>
          <w:tcPr>
            <w:tcW w:w="3039"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4" w:lineRule="auto"/>
              <w:ind w:left="4" w:right="2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9"/>
                <w:sz w:val="18"/>
                <w:szCs w:val="18"/>
              </w:rPr>
              <w:t>评价的定性标准如下：（</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）非财务报告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重大缺陷的迹象包括：①公司经营活动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严重违反国家法律法规，受到重大处 </w:t>
            </w:r>
            <w:r>
              <w:rPr>
                <w:rFonts w:ascii="宋体" w:hAnsi="宋体" w:cs="宋体" w:eastAsia="宋体" w:hint="default"/>
                <w:spacing w:val="-4"/>
                <w:sz w:val="18"/>
                <w:szCs w:val="18"/>
              </w:rPr>
              <w:t>罚；②媒体负面新闻频频曝光，对公司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声誉造成重大损害；③重要业务缺乏制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度控制或制度系统性失效；④内部控制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评价的结果特别是重大缺陷未得到整 </w:t>
            </w:r>
            <w:r>
              <w:rPr>
                <w:rFonts w:ascii="宋体" w:hAnsi="宋体" w:cs="宋体" w:eastAsia="宋体" w:hint="default"/>
                <w:spacing w:val="-9"/>
                <w:sz w:val="18"/>
                <w:szCs w:val="18"/>
              </w:rPr>
              <w:t>改。（</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）非财务报告重要缺陷的迹象包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括：①公司违反国家法律法规受到轻微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处罚；②重要业务制度控制或系统存在</w:t>
            </w:r>
          </w:p>
          <w:p>
            <w:pPr>
              <w:pStyle w:val="TableParagraph"/>
              <w:spacing w:line="196" w:lineRule="exact" w:before="20"/>
              <w:ind w:left="4" w:right="0"/>
              <w:jc w:val="left"/>
              <w:rPr>
                <w:rFonts w:ascii="宋体" w:hAnsi="宋体" w:cs="宋体" w:eastAsia="宋体" w:hint="default"/>
                <w:sz w:val="18"/>
                <w:szCs w:val="18"/>
              </w:rPr>
            </w:pPr>
            <w:r>
              <w:rPr>
                <w:rFonts w:ascii="宋体" w:hAnsi="宋体" w:cs="宋体" w:eastAsia="宋体" w:hint="default"/>
                <w:sz w:val="18"/>
                <w:szCs w:val="18"/>
              </w:rPr>
              <w:t>缺陷；③内部控制重要缺陷未得到整</w:t>
            </w:r>
          </w:p>
          <w:p>
            <w:pPr>
              <w:pStyle w:val="TableParagraph"/>
              <w:spacing w:line="156"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4" w:right="0"/>
              <w:jc w:val="left"/>
              <w:rPr>
                <w:rFonts w:ascii="宋体" w:hAnsi="宋体" w:cs="宋体" w:eastAsia="宋体" w:hint="default"/>
                <w:sz w:val="18"/>
                <w:szCs w:val="18"/>
              </w:rPr>
            </w:pPr>
            <w:r>
              <w:rPr>
                <w:rFonts w:ascii="宋体" w:hAnsi="宋体" w:cs="宋体" w:eastAsia="宋体" w:hint="default"/>
                <w:sz w:val="18"/>
                <w:szCs w:val="18"/>
              </w:rPr>
              <w:t>改</w:t>
            </w:r>
            <w:r>
              <w:rPr>
                <w:rFonts w:ascii="宋体" w:hAnsi="宋体" w:cs="宋体" w:eastAsia="宋体" w:hint="default"/>
                <w:spacing w:val="-168"/>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78"/>
                <w:sz w:val="18"/>
                <w:szCs w:val="18"/>
              </w:rPr>
              <w:t>）</w:t>
            </w:r>
            <w:r>
              <w:rPr>
                <w:rFonts w:ascii="宋体" w:hAnsi="宋体" w:cs="宋体" w:eastAsia="宋体" w:hint="default"/>
                <w:sz w:val="18"/>
                <w:szCs w:val="18"/>
              </w:rPr>
              <w:t>一般</w:t>
            </w:r>
            <w:r>
              <w:rPr>
                <w:rFonts w:ascii="宋体" w:hAnsi="宋体" w:cs="宋体" w:eastAsia="宋体" w:hint="default"/>
                <w:spacing w:val="1"/>
                <w:sz w:val="18"/>
                <w:szCs w:val="18"/>
              </w:rPr>
              <w:t>缺</w:t>
            </w:r>
            <w:r>
              <w:rPr>
                <w:rFonts w:ascii="宋体" w:hAnsi="宋体" w:cs="宋体" w:eastAsia="宋体" w:hint="default"/>
                <w:sz w:val="18"/>
                <w:szCs w:val="18"/>
              </w:rPr>
              <w:t>陷是指除上述重大缺陷</w:t>
            </w:r>
          </w:p>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重要缺陷之外的其他控制缺陷。</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2502"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r>
        <w:rPr/>
        <w:pict>
          <v:shape style="position:absolute;margin-left:277.643005pt;margin-top:72.47998pt;width:257.3pt;height:109.25pt;mso-position-horizontal-relative:page;mso-position-vertical-relative:page;z-index:-1132048" type="#_x0000_t202" filled="false" stroked="false">
            <v:textbox inset="0,0,0,0">
              <w:txbxContent>
                <w:p>
                  <w:pPr>
                    <w:spacing w:line="240" w:lineRule="auto" w:before="0"/>
                    <w:rPr>
                      <w:rFonts w:ascii="宋体" w:hAnsi="宋体" w:cs="宋体" w:eastAsia="宋体" w:hint="default"/>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定量标准以合并税前利润、</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570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定量标准如下： 资产总额作为衡量指标。内部控制缺陷可 能导致或导致的损失与利润表相关的，以 当期合并税前利润指标衡量。如果该缺陷 单独或连同其他缺陷可能导致的财务报告 错报金额小于合并税前利润的</w:t>
            </w:r>
            <w:r>
              <w:rPr>
                <w:rFonts w:ascii="宋体" w:hAnsi="宋体" w:cs="宋体" w:eastAsia="宋体" w:hint="default"/>
                <w:spacing w:val="-46"/>
                <w:sz w:val="18"/>
                <w:szCs w:val="18"/>
              </w:rPr>
              <w:t> </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，则认定</w:t>
            </w:r>
            <w:r>
              <w:rPr>
                <w:rFonts w:ascii="宋体" w:hAnsi="宋体" w:cs="宋体" w:eastAsia="宋体" w:hint="default"/>
                <w:sz w:val="18"/>
                <w:szCs w:val="18"/>
              </w:rPr>
              <w:t> </w:t>
            </w:r>
            <w:r>
              <w:rPr>
                <w:rFonts w:ascii="宋体" w:hAnsi="宋体" w:cs="宋体" w:eastAsia="宋体" w:hint="default"/>
                <w:spacing w:val="-5"/>
                <w:sz w:val="18"/>
                <w:szCs w:val="18"/>
              </w:rPr>
              <w:t>为一般缺陷；如果超过合并税前利润的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，则为重要缺陷；如果超过合并</w:t>
            </w:r>
            <w:r>
              <w:rPr>
                <w:rFonts w:ascii="宋体" w:hAnsi="宋体" w:cs="宋体" w:eastAsia="宋体" w:hint="default"/>
                <w:sz w:val="18"/>
                <w:szCs w:val="18"/>
              </w:rPr>
              <w:t> 税前利润的</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，则认定为重大缺陷。内部</w:t>
            </w:r>
            <w:r>
              <w:rPr>
                <w:rFonts w:ascii="宋体" w:hAnsi="宋体" w:cs="宋体" w:eastAsia="宋体" w:hint="default"/>
                <w:sz w:val="18"/>
                <w:szCs w:val="18"/>
              </w:rPr>
              <w:t> 控制缺陷可能导致或导致的损失与资产管 </w:t>
            </w:r>
            <w:r>
              <w:rPr>
                <w:rFonts w:ascii="宋体" w:hAnsi="宋体" w:cs="宋体" w:eastAsia="宋体" w:hint="default"/>
                <w:spacing w:val="-9"/>
                <w:sz w:val="18"/>
                <w:szCs w:val="18"/>
              </w:rPr>
              <w:t>理相关的，以当</w:t>
            </w:r>
            <w:r>
              <w:rPr>
                <w:rFonts w:ascii="宋体" w:hAnsi="宋体" w:cs="宋体" w:eastAsia="宋体" w:hint="default"/>
                <w:sz w:val="18"/>
                <w:szCs w:val="18"/>
              </w:rPr>
              <w:t> 如果该缺陷单独或连同其他缺陷可能导致 的财务报告错报金额小于合并资产总额的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，则认定为一般缺陷；如果超过合并 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认定为重要缺 </w:t>
            </w:r>
            <w:r>
              <w:rPr>
                <w:rFonts w:ascii="宋体" w:hAnsi="宋体" w:cs="宋体" w:eastAsia="宋体" w:hint="default"/>
                <w:spacing w:val="-4"/>
                <w:sz w:val="18"/>
                <w:szCs w:val="18"/>
              </w:rPr>
              <w:t>陷；如果超过合并资产总额</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，则认定为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重大缺陷。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184" w:lineRule="exact"/>
              <w:ind w:right="-51"/>
              <w:jc w:val="left"/>
              <w:rPr>
                <w:rFonts w:ascii="宋体" w:hAnsi="宋体" w:cs="宋体" w:eastAsia="宋体" w:hint="default"/>
                <w:sz w:val="20"/>
                <w:szCs w:val="20"/>
              </w:rPr>
            </w:pPr>
            <w:r>
              <w:rPr>
                <w:rFonts w:ascii="宋体" w:hAnsi="宋体" w:cs="宋体" w:eastAsia="宋体" w:hint="default"/>
                <w:position w:val="-43"/>
                <w:sz w:val="20"/>
                <w:szCs w:val="20"/>
              </w:rPr>
              <w:pict>
                <v:group style="width:152.1pt;height:109.25pt;mso-position-horizontal-relative:char;mso-position-vertical-relative:line" coordorigin="0,0" coordsize="3042,2185">
                  <v:group style="position:absolute;left:0;top:0;width:3042;height:2185" coordorigin="0,0" coordsize="3042,2185">
                    <v:shape style="position:absolute;left:0;top:0;width:3042;height:2185" coordorigin="0,0" coordsize="3042,2185" path="m0,2184l3041,2184,3041,0,0,0,0,2184xe" filled="true" fillcolor="#ffffff" stroked="false">
                      <v:path arrowok="t"/>
                      <v:fill type="solid"/>
                    </v:shape>
                  </v:group>
                </v:group>
              </w:pict>
            </w:r>
            <w:r>
              <w:rPr>
                <w:rFonts w:ascii="宋体" w:hAnsi="宋体" w:cs="宋体" w:eastAsia="宋体" w:hint="default"/>
                <w:position w:val="-43"/>
                <w:sz w:val="20"/>
                <w:szCs w:val="20"/>
              </w:rPr>
            </w:r>
          </w:p>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4"/>
                <w:sz w:val="18"/>
                <w:szCs w:val="18"/>
              </w:rPr>
              <w:t>评价的定量标准如下：非财务报告内部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控制缺陷评价的定量标准参照财务报 告内部控制缺陷评价的定量标准执行。</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r>
        <w:rPr/>
        <w:pict>
          <v:shape style="position:absolute;margin-left:277.634003pt;margin-top:-201.964386pt;width:257.3pt;height:109.2pt;mso-position-horizontal-relative:page;mso-position-vertical-relative:paragraph;z-index:-1132024"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期合并资产总额指标衡量。</w:t>
                  </w:r>
                </w:p>
              </w:txbxContent>
            </v:textbox>
            <w10:wrap type="none"/>
          </v:shape>
        </w:pict>
      </w:r>
      <w:r>
        <w:rPr/>
        <w:pict>
          <v:group style="position:absolute;margin-left:382.839996pt;margin-top:-201.964386pt;width:152.1pt;height:109.2pt;mso-position-horizontal-relative:page;mso-position-vertical-relative:paragraph;z-index:-1132000" coordorigin="7657,-4039" coordsize="3042,2184">
            <v:shape style="position:absolute;left:7657;top:-4039;width:3042;height:2184" coordorigin="7657,-4039" coordsize="3042,2184" path="m7657,-1855l10698,-1855,10698,-4039,7657,-4039,7657,-1855xe" filled="true" fillcolor="#ffffff" stroked="false">
              <v:path arrowok="t"/>
              <v:fill type="solid"/>
            </v:shape>
            <w10:wrap type="none"/>
          </v:group>
        </w:pict>
      </w:r>
      <w:bookmarkStart w:name="十、内部控制审计报告或鉴证报告" w:id="150"/>
      <w:bookmarkEnd w:id="150"/>
      <w:r>
        <w:rPr>
          <w:b w:val="0"/>
          <w:bCs w:val="0"/>
        </w:rPr>
      </w:r>
      <w:r>
        <w:rPr/>
        <w:t>十、内部控制审计报告或鉴证报告</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1"/>
      <w:bookmarkEnd w:id="151"/>
      <w:r>
        <w:rPr>
          <w:b w:val="0"/>
          <w:bCs w:val="0"/>
        </w:rPr>
      </w:r>
      <w:bookmarkStart w:name="_bookmark8" w:id="152"/>
      <w:bookmarkEnd w:id="152"/>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十一节 财务报告" w:id="153"/>
      <w:bookmarkEnd w:id="153"/>
      <w:r>
        <w:rPr>
          <w:b w:val="0"/>
          <w:bCs w:val="0"/>
        </w:rPr>
      </w:r>
      <w:bookmarkStart w:name="_bookmark9" w:id="154"/>
      <w:bookmarkEnd w:id="154"/>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5"/>
      <w:bookmarkEnd w:id="15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ZB10697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张金华、郭晓清</w:t>
            </w:r>
          </w:p>
        </w:tc>
      </w:tr>
    </w:tbl>
    <w:p>
      <w:pPr>
        <w:spacing w:before="51"/>
        <w:ind w:left="2424" w:right="3400"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pStyle w:val="BodyText"/>
        <w:spacing w:line="240" w:lineRule="auto" w:before="98"/>
        <w:ind w:left="2424" w:right="3400"/>
        <w:jc w:val="center"/>
      </w:pPr>
      <w:r>
        <w:rPr/>
        <w:t>审计报告</w:t>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29" w:lineRule="auto" w:before="167"/>
        <w:ind w:left="580" w:right="-1" w:hanging="426"/>
        <w:jc w:val="left"/>
      </w:pPr>
      <w:r>
        <w:rPr>
          <w:spacing w:val="-1"/>
        </w:rPr>
        <w:t>北京中科金财科技股份有限公司全体股东：</w:t>
      </w:r>
      <w:r>
        <w:rPr>
          <w:spacing w:val="-86"/>
        </w:rPr>
        <w:t> </w:t>
      </w:r>
      <w:r>
        <w:rPr>
          <w:spacing w:val="-86"/>
        </w:rPr>
      </w:r>
      <w:r>
        <w:rPr/>
        <w:t>一、对财务报表出具的审计报告</w:t>
      </w:r>
    </w:p>
    <w:p>
      <w:pPr>
        <w:pStyle w:val="BodyText"/>
        <w:spacing w:line="240" w:lineRule="auto"/>
        <w:ind w:left="580" w:right="-1"/>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审计意见</w:t>
      </w:r>
    </w:p>
    <w:p>
      <w:pPr>
        <w:pStyle w:val="BodyText"/>
        <w:spacing w:line="240" w:lineRule="auto" w:before="38"/>
        <w:ind w:left="154" w:right="0"/>
        <w:jc w:val="left"/>
      </w:pPr>
      <w:r>
        <w:rPr/>
        <w:br w:type="column"/>
      </w:r>
      <w:r>
        <w:rPr/>
        <w:t>信会师报字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ZB10697</w:t>
      </w:r>
      <w:r>
        <w:rPr/>
        <w:t>号</w:t>
      </w:r>
    </w:p>
    <w:p>
      <w:pPr>
        <w:spacing w:after="0" w:line="240" w:lineRule="auto"/>
        <w:jc w:val="left"/>
        <w:sectPr>
          <w:type w:val="continuous"/>
          <w:pgSz w:w="11910" w:h="16840"/>
          <w:pgMar w:top="1060" w:bottom="1160" w:left="980" w:right="0"/>
          <w:cols w:num="2" w:equalWidth="0">
            <w:col w:w="3955" w:space="2996"/>
            <w:col w:w="3979"/>
          </w:cols>
        </w:sectPr>
      </w:pPr>
    </w:p>
    <w:p>
      <w:pPr>
        <w:spacing w:line="240" w:lineRule="auto" w:before="9"/>
        <w:rPr>
          <w:rFonts w:ascii="宋体" w:hAnsi="宋体" w:cs="宋体" w:eastAsia="宋体" w:hint="default"/>
          <w:sz w:val="11"/>
          <w:szCs w:val="11"/>
        </w:rPr>
      </w:pPr>
    </w:p>
    <w:p>
      <w:pPr>
        <w:pStyle w:val="BodyText"/>
        <w:spacing w:line="405" w:lineRule="auto" w:before="38"/>
        <w:ind w:left="154" w:right="1141" w:firstLine="426"/>
        <w:jc w:val="both"/>
      </w:pPr>
      <w:r>
        <w:rPr>
          <w:spacing w:val="-1"/>
        </w:rPr>
        <w:t>我们审计了北京中科金财科技股份有限公司（以下简称中科金财）财务报表，包括</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w:t>
      </w:r>
      <w:r>
        <w:rPr>
          <w:w w:val="100"/>
        </w:rPr>
        <w:t> </w:t>
      </w:r>
      <w:r>
        <w:rPr/>
        <w:t>及母公司资产负债表，</w:t>
      </w:r>
      <w:r>
        <w:rPr>
          <w:rFonts w:ascii="Times New Roman" w:hAnsi="Times New Roman" w:cs="Times New Roman" w:eastAsia="Times New Roman" w:hint="default"/>
        </w:rPr>
        <w:t>2017</w:t>
      </w:r>
      <w:r>
        <w:rPr/>
        <w:t>年度的合并及母公司利润表、合并及母公司现金流量表、合并及母公司股东权益变</w:t>
      </w:r>
      <w:r>
        <w:rPr>
          <w:w w:val="100"/>
        </w:rPr>
        <w:t> </w:t>
      </w:r>
      <w:r>
        <w:rPr/>
        <w:t>动表以及相关财务报表附注。</w:t>
      </w:r>
    </w:p>
    <w:p>
      <w:pPr>
        <w:pStyle w:val="BodyText"/>
        <w:spacing w:line="405" w:lineRule="auto" w:before="68"/>
        <w:ind w:left="154" w:right="1141" w:firstLine="426"/>
        <w:jc w:val="both"/>
      </w:pPr>
      <w:r>
        <w:rPr>
          <w:spacing w:val="-1"/>
        </w:rPr>
        <w:t>我们认为，后附的财务报表在所有重大方面按照企业会计准则的规定编制，公允反映了中科金财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2017</w:t>
      </w:r>
      <w:r>
        <w:rPr/>
        <w:t>年度的合并及母公司经营成果和现金流量。</w:t>
      </w:r>
    </w:p>
    <w:p>
      <w:pPr>
        <w:pStyle w:val="BodyText"/>
        <w:spacing w:line="405" w:lineRule="auto" w:before="38"/>
        <w:ind w:left="580"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形成审计意见的基础</w:t>
      </w:r>
      <w:r>
        <w:rPr>
          <w:w w:val="100"/>
        </w:rPr>
        <w:t> </w:t>
      </w:r>
      <w:r>
        <w:rPr>
          <w:spacing w:val="-1"/>
        </w:rPr>
        <w:t>我们按照中国注册会计师审计准则的规定执行了审计工作。审计报告的</w:t>
      </w:r>
      <w:r>
        <w:rPr>
          <w:rFonts w:ascii="Times New Roman" w:hAnsi="Times New Roman" w:cs="Times New Roman" w:eastAsia="Times New Roman" w:hint="default"/>
          <w:spacing w:val="-1"/>
        </w:rPr>
        <w:t>“</w:t>
      </w:r>
      <w:r>
        <w:rPr>
          <w:spacing w:val="-1"/>
        </w:rPr>
        <w:t>注册会计师对财务报表审计的责</w:t>
      </w:r>
    </w:p>
    <w:p>
      <w:pPr>
        <w:pStyle w:val="BodyText"/>
        <w:spacing w:line="417" w:lineRule="auto" w:before="38"/>
        <w:ind w:right="1132"/>
        <w:jc w:val="both"/>
      </w:pPr>
      <w:r>
        <w:rPr>
          <w:spacing w:val="-2"/>
        </w:rPr>
        <w:t>任</w:t>
      </w:r>
      <w:r>
        <w:rPr>
          <w:rFonts w:ascii="Times New Roman" w:hAnsi="Times New Roman" w:cs="Times New Roman" w:eastAsia="Times New Roman" w:hint="default"/>
          <w:spacing w:val="-2"/>
        </w:rPr>
        <w:t>”</w:t>
      </w:r>
      <w:r>
        <w:rPr>
          <w:spacing w:val="-2"/>
        </w:rPr>
        <w:t>部分进一步阐述了我们在这些准则下的责任。按照中国注册会计师职业道德守则，我们独立于中科金财，并</w:t>
      </w:r>
      <w:r>
        <w:rPr>
          <w:spacing w:val="-67"/>
        </w:rPr>
        <w:t> </w:t>
      </w:r>
      <w:r>
        <w:rPr>
          <w:spacing w:val="-67"/>
        </w:rPr>
      </w:r>
      <w:r>
        <w:rPr/>
        <w:t>履行了职业道德方面的其他责任。我们相信，我们获取的审计证据是充分、适当的，为发表审计意见提供了基</w:t>
      </w:r>
      <w:r>
        <w:rPr>
          <w:w w:val="100"/>
        </w:rPr>
        <w:t> </w:t>
      </w:r>
      <w:r>
        <w:rPr/>
        <w:t>础。</w:t>
      </w:r>
    </w:p>
    <w:p>
      <w:pPr>
        <w:pStyle w:val="BodyText"/>
        <w:spacing w:line="405" w:lineRule="auto" w:before="58"/>
        <w:ind w:left="580"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关键审计事项</w:t>
      </w:r>
      <w:r>
        <w:rPr>
          <w:w w:val="100"/>
        </w:rPr>
        <w:t> </w:t>
      </w:r>
      <w:r>
        <w:rPr>
          <w:spacing w:val="-1"/>
        </w:rPr>
        <w:t>关键审计事项是我们根据职业判断，认为对本期财务报表审计最为重要的事项。这些事项的应对以对财务</w:t>
      </w:r>
    </w:p>
    <w:p>
      <w:pPr>
        <w:pStyle w:val="BodyText"/>
        <w:spacing w:line="429" w:lineRule="auto" w:before="68"/>
        <w:ind w:left="154" w:right="1169"/>
        <w:jc w:val="both"/>
      </w:pPr>
      <w:r>
        <w:rPr/>
        <w:pict>
          <v:shape style="position:absolute;margin-left:77.760002pt;margin-top:46.579689pt;width:440.2pt;height:18.150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28"/>
                    <w:gridCol w:w="4354"/>
                  </w:tblGrid>
                  <w:tr>
                    <w:trPr>
                      <w:trHeight w:val="348" w:hRule="exact"/>
                    </w:trPr>
                    <w:tc>
                      <w:tcPr>
                        <w:tcW w:w="4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关键审计事项</w:t>
                        </w:r>
                      </w:p>
                    </w:tc>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该事项在审计中是如何应对的</w:t>
                        </w:r>
                      </w:p>
                    </w:tc>
                  </w:tr>
                </w:tbl>
                <w:p>
                  <w:pPr/>
                </w:p>
              </w:txbxContent>
            </v:textbox>
            <w10:wrap type="none"/>
          </v:shape>
        </w:pict>
      </w:r>
      <w:r>
        <w:rPr>
          <w:spacing w:val="-1"/>
        </w:rPr>
        <w:t>报表整体进行审计并形成审计意见为背景，我们不对这些事项单独发表意见。我们确定下列事项是需要在审计</w:t>
      </w:r>
      <w:r>
        <w:rPr>
          <w:spacing w:val="-63"/>
        </w:rPr>
        <w:t> </w:t>
      </w:r>
      <w:r>
        <w:rPr>
          <w:spacing w:val="-63"/>
        </w:rPr>
      </w:r>
      <w:r>
        <w:rPr/>
        <w:t>报告中沟通的关键审计事项。</w:t>
      </w:r>
    </w:p>
    <w:p>
      <w:pPr>
        <w:spacing w:after="0" w:line="429" w:lineRule="auto"/>
        <w:jc w:val="both"/>
        <w:sectPr>
          <w:type w:val="continuous"/>
          <w:pgSz w:w="11910" w:h="16840"/>
          <w:pgMar w:top="1060" w:bottom="1160" w:left="980" w:right="0"/>
        </w:sectPr>
      </w:pPr>
    </w:p>
    <w:p>
      <w:pPr>
        <w:spacing w:line="240" w:lineRule="auto" w:before="0"/>
        <w:rPr>
          <w:rFonts w:ascii="宋体" w:hAnsi="宋体" w:cs="宋体" w:eastAsia="宋体" w:hint="default"/>
          <w:sz w:val="20"/>
          <w:szCs w:val="20"/>
        </w:rPr>
      </w:pPr>
      <w:r>
        <w:rPr/>
        <w:pict>
          <v:shape style="position:absolute;margin-left:77.760002pt;margin-top:71.999985pt;width:440.2pt;height:694.2pt;mso-position-horizontal-relative:page;mso-position-vertical-relative:page;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28"/>
                    <w:gridCol w:w="4354"/>
                  </w:tblGrid>
                  <w:tr>
                    <w:trPr>
                      <w:trHeight w:val="347" w:hRule="exact"/>
                    </w:trPr>
                    <w:tc>
                      <w:tcPr>
                        <w:tcW w:w="87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（一）商誉的减值</w:t>
                        </w:r>
                      </w:p>
                    </w:tc>
                  </w:tr>
                  <w:tr>
                    <w:trPr>
                      <w:trHeight w:val="7836" w:hRule="exact"/>
                    </w:trPr>
                    <w:tc>
                      <w:tcPr>
                        <w:tcW w:w="442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6"/>
                          <w:jc w:val="left"/>
                          <w:rPr>
                            <w:rFonts w:ascii="宋体" w:hAnsi="宋体" w:cs="宋体" w:eastAsia="宋体" w:hint="default"/>
                            <w:sz w:val="20"/>
                            <w:szCs w:val="20"/>
                          </w:rPr>
                        </w:pPr>
                        <w:r>
                          <w:rPr>
                            <w:rFonts w:ascii="宋体" w:hAnsi="宋体" w:cs="宋体" w:eastAsia="宋体" w:hint="default"/>
                            <w:sz w:val="20"/>
                            <w:szCs w:val="20"/>
                          </w:rPr>
                          <w:t>商誉减值的会计政策详情及分析请参阅合并财务报</w:t>
                        </w:r>
                        <w:r>
                          <w:rPr>
                            <w:rFonts w:ascii="宋体" w:hAnsi="宋体" w:cs="宋体" w:eastAsia="宋体" w:hint="default"/>
                            <w:w w:val="100"/>
                            <w:sz w:val="20"/>
                            <w:szCs w:val="20"/>
                          </w:rPr>
                          <w:t> </w:t>
                        </w:r>
                        <w:r>
                          <w:rPr>
                            <w:rFonts w:ascii="宋体" w:hAnsi="宋体" w:cs="宋体" w:eastAsia="宋体" w:hint="default"/>
                            <w:sz w:val="20"/>
                            <w:szCs w:val="20"/>
                          </w:rPr>
                          <w:t>表附注“三、重要会计政策和会计估计”注释十九</w:t>
                        </w:r>
                        <w:r>
                          <w:rPr>
                            <w:rFonts w:ascii="宋体" w:hAnsi="宋体" w:cs="宋体" w:eastAsia="宋体" w:hint="default"/>
                            <w:w w:val="100"/>
                            <w:sz w:val="20"/>
                            <w:szCs w:val="20"/>
                          </w:rPr>
                          <w:t> </w:t>
                        </w:r>
                        <w:r>
                          <w:rPr>
                            <w:rFonts w:ascii="宋体" w:hAnsi="宋体" w:cs="宋体" w:eastAsia="宋体" w:hint="default"/>
                            <w:sz w:val="20"/>
                            <w:szCs w:val="20"/>
                          </w:rPr>
                          <w:t>所述的会计政策及“五、合并财务报表项目附注”</w:t>
                        </w:r>
                        <w:r>
                          <w:rPr>
                            <w:rFonts w:ascii="宋体" w:hAnsi="宋体" w:cs="宋体" w:eastAsia="宋体" w:hint="default"/>
                            <w:w w:val="100"/>
                            <w:sz w:val="20"/>
                            <w:szCs w:val="20"/>
                          </w:rPr>
                          <w:t> </w:t>
                        </w:r>
                        <w:r>
                          <w:rPr>
                            <w:rFonts w:ascii="宋体" w:hAnsi="宋体" w:cs="宋体" w:eastAsia="宋体" w:hint="default"/>
                            <w:sz w:val="20"/>
                            <w:szCs w:val="20"/>
                          </w:rPr>
                          <w:t>注释十四。</w:t>
                        </w:r>
                        <w:r>
                          <w:rPr>
                            <w:rFonts w:ascii="宋体" w:hAnsi="宋体" w:cs="宋体" w:eastAsia="宋体" w:hint="default"/>
                            <w:w w:val="100"/>
                            <w:sz w:val="20"/>
                            <w:szCs w:val="20"/>
                          </w:rPr>
                          <w:t> </w:t>
                        </w:r>
                        <w:r>
                          <w:rPr>
                            <w:rFonts w:ascii="宋体" w:hAnsi="宋体" w:cs="宋体" w:eastAsia="宋体" w:hint="default"/>
                            <w:sz w:val="20"/>
                            <w:szCs w:val="20"/>
                          </w:rPr>
                          <w:t>截至</w:t>
                        </w:r>
                        <w:r>
                          <w:rPr>
                            <w:rFonts w:ascii="宋体" w:hAnsi="宋体" w:cs="宋体" w:eastAsia="宋体" w:hint="default"/>
                            <w:sz w:val="20"/>
                            <w:szCs w:val="20"/>
                          </w:rPr>
                          <w:t>2017</w:t>
                        </w:r>
                        <w:r>
                          <w:rPr>
                            <w:rFonts w:ascii="宋体" w:hAnsi="宋体" w:cs="宋体" w:eastAsia="宋体" w:hint="default"/>
                            <w:sz w:val="20"/>
                            <w:szCs w:val="20"/>
                          </w:rPr>
                          <w:t>年</w:t>
                        </w:r>
                        <w:r>
                          <w:rPr>
                            <w:rFonts w:ascii="宋体" w:hAnsi="宋体" w:cs="宋体" w:eastAsia="宋体" w:hint="default"/>
                            <w:sz w:val="20"/>
                            <w:szCs w:val="20"/>
                          </w:rPr>
                          <w:t>12</w:t>
                        </w:r>
                        <w:r>
                          <w:rPr>
                            <w:rFonts w:ascii="宋体" w:hAnsi="宋体" w:cs="宋体" w:eastAsia="宋体" w:hint="default"/>
                            <w:sz w:val="20"/>
                            <w:szCs w:val="20"/>
                          </w:rPr>
                          <w:t>月</w:t>
                        </w:r>
                        <w:r>
                          <w:rPr>
                            <w:rFonts w:ascii="宋体" w:hAnsi="宋体" w:cs="宋体" w:eastAsia="宋体" w:hint="default"/>
                            <w:sz w:val="20"/>
                            <w:szCs w:val="20"/>
                          </w:rPr>
                          <w:t>31</w:t>
                        </w:r>
                        <w:r>
                          <w:rPr>
                            <w:rFonts w:ascii="宋体" w:hAnsi="宋体" w:cs="宋体" w:eastAsia="宋体" w:hint="default"/>
                            <w:sz w:val="20"/>
                            <w:szCs w:val="20"/>
                          </w:rPr>
                          <w:t>日，中科金财商誉的账面价值合</w:t>
                        </w:r>
                        <w:r>
                          <w:rPr>
                            <w:rFonts w:ascii="宋体" w:hAnsi="宋体" w:cs="宋体" w:eastAsia="宋体" w:hint="default"/>
                            <w:w w:val="100"/>
                            <w:sz w:val="20"/>
                            <w:szCs w:val="20"/>
                          </w:rPr>
                          <w:t> </w:t>
                        </w:r>
                        <w:r>
                          <w:rPr>
                            <w:rFonts w:ascii="宋体" w:hAnsi="宋体" w:cs="宋体" w:eastAsia="宋体" w:hint="default"/>
                            <w:sz w:val="20"/>
                            <w:szCs w:val="20"/>
                          </w:rPr>
                          <w:t>计人民币</w:t>
                        </w:r>
                        <w:r>
                          <w:rPr>
                            <w:rFonts w:ascii="宋体" w:hAnsi="宋体" w:cs="宋体" w:eastAsia="宋体" w:hint="default"/>
                            <w:sz w:val="20"/>
                            <w:szCs w:val="20"/>
                          </w:rPr>
                          <w:t>7.01</w:t>
                        </w:r>
                        <w:r>
                          <w:rPr>
                            <w:rFonts w:ascii="宋体" w:hAnsi="宋体" w:cs="宋体" w:eastAsia="宋体" w:hint="default"/>
                            <w:sz w:val="20"/>
                            <w:szCs w:val="20"/>
                          </w:rPr>
                          <w:t>亿元，相应的减值准备余额为人民币</w:t>
                        </w:r>
                        <w:r>
                          <w:rPr>
                            <w:rFonts w:ascii="宋体" w:hAnsi="宋体" w:cs="宋体" w:eastAsia="宋体" w:hint="default"/>
                            <w:w w:val="100"/>
                            <w:sz w:val="20"/>
                            <w:szCs w:val="20"/>
                          </w:rPr>
                          <w:t> </w:t>
                        </w:r>
                        <w:r>
                          <w:rPr>
                            <w:rFonts w:ascii="宋体" w:hAnsi="宋体" w:cs="宋体" w:eastAsia="宋体" w:hint="default"/>
                            <w:sz w:val="20"/>
                            <w:szCs w:val="20"/>
                          </w:rPr>
                          <w:t>3.73</w:t>
                        </w:r>
                        <w:r>
                          <w:rPr>
                            <w:rFonts w:ascii="宋体" w:hAnsi="宋体" w:cs="宋体" w:eastAsia="宋体" w:hint="default"/>
                            <w:sz w:val="20"/>
                            <w:szCs w:val="20"/>
                          </w:rPr>
                          <w:t>亿元。</w:t>
                        </w:r>
                        <w:r>
                          <w:rPr>
                            <w:rFonts w:ascii="宋体" w:hAnsi="宋体" w:cs="宋体" w:eastAsia="宋体" w:hint="default"/>
                            <w:w w:val="100"/>
                            <w:sz w:val="20"/>
                            <w:szCs w:val="20"/>
                          </w:rPr>
                          <w:t> </w:t>
                        </w:r>
                        <w:r>
                          <w:rPr>
                            <w:rFonts w:ascii="宋体" w:hAnsi="宋体" w:cs="宋体" w:eastAsia="宋体" w:hint="default"/>
                            <w:sz w:val="20"/>
                            <w:szCs w:val="20"/>
                          </w:rPr>
                          <w:t>管理层每年评估商誉可能出现减值的情况。商誉的</w:t>
                        </w:r>
                        <w:r>
                          <w:rPr>
                            <w:rFonts w:ascii="宋体" w:hAnsi="宋体" w:cs="宋体" w:eastAsia="宋体" w:hint="default"/>
                            <w:w w:val="100"/>
                            <w:sz w:val="20"/>
                            <w:szCs w:val="20"/>
                          </w:rPr>
                          <w:t> </w:t>
                        </w:r>
                        <w:r>
                          <w:rPr>
                            <w:rFonts w:ascii="宋体" w:hAnsi="宋体" w:cs="宋体" w:eastAsia="宋体" w:hint="default"/>
                            <w:sz w:val="20"/>
                            <w:szCs w:val="20"/>
                          </w:rPr>
                          <w:t>减值评估结果由管理层依据其聘任的外部评估师编</w:t>
                        </w:r>
                        <w:r>
                          <w:rPr>
                            <w:rFonts w:ascii="宋体" w:hAnsi="宋体" w:cs="宋体" w:eastAsia="宋体" w:hint="default"/>
                            <w:w w:val="100"/>
                            <w:sz w:val="20"/>
                            <w:szCs w:val="20"/>
                          </w:rPr>
                          <w:t> </w:t>
                        </w:r>
                        <w:r>
                          <w:rPr>
                            <w:rFonts w:ascii="宋体" w:hAnsi="宋体" w:cs="宋体" w:eastAsia="宋体" w:hint="default"/>
                            <w:sz w:val="20"/>
                            <w:szCs w:val="20"/>
                          </w:rPr>
                          <w:t>制的估值报告进行确定。减值评估是依据所编制的</w:t>
                        </w:r>
                        <w:r>
                          <w:rPr>
                            <w:rFonts w:ascii="宋体" w:hAnsi="宋体" w:cs="宋体" w:eastAsia="宋体" w:hint="default"/>
                            <w:w w:val="100"/>
                            <w:sz w:val="20"/>
                            <w:szCs w:val="20"/>
                          </w:rPr>
                          <w:t> </w:t>
                        </w:r>
                        <w:r>
                          <w:rPr>
                            <w:rFonts w:ascii="宋体" w:hAnsi="宋体" w:cs="宋体" w:eastAsia="宋体" w:hint="default"/>
                            <w:sz w:val="20"/>
                            <w:szCs w:val="20"/>
                          </w:rPr>
                          <w:t>折现现金流预测而估计商誉的使用价值。折现现金</w:t>
                        </w:r>
                        <w:r>
                          <w:rPr>
                            <w:rFonts w:ascii="宋体" w:hAnsi="宋体" w:cs="宋体" w:eastAsia="宋体" w:hint="default"/>
                            <w:w w:val="100"/>
                            <w:sz w:val="20"/>
                            <w:szCs w:val="20"/>
                          </w:rPr>
                          <w:t> </w:t>
                        </w:r>
                        <w:r>
                          <w:rPr>
                            <w:rFonts w:ascii="宋体" w:hAnsi="宋体" w:cs="宋体" w:eastAsia="宋体" w:hint="default"/>
                            <w:sz w:val="20"/>
                            <w:szCs w:val="20"/>
                          </w:rPr>
                          <w:t>流预测的编制涉及运用重大判断和估计，特别是确</w:t>
                        </w:r>
                        <w:r>
                          <w:rPr>
                            <w:rFonts w:ascii="宋体" w:hAnsi="宋体" w:cs="宋体" w:eastAsia="宋体" w:hint="default"/>
                            <w:w w:val="100"/>
                            <w:sz w:val="20"/>
                            <w:szCs w:val="20"/>
                          </w:rPr>
                          <w:t> </w:t>
                        </w:r>
                        <w:r>
                          <w:rPr>
                            <w:rFonts w:ascii="宋体" w:hAnsi="宋体" w:cs="宋体" w:eastAsia="宋体" w:hint="default"/>
                            <w:sz w:val="20"/>
                            <w:szCs w:val="20"/>
                          </w:rPr>
                          <w:t>定收入增长率、永续增长率、成本上涨，以及确定</w:t>
                        </w:r>
                        <w:r>
                          <w:rPr>
                            <w:rFonts w:ascii="宋体" w:hAnsi="宋体" w:cs="宋体" w:eastAsia="宋体" w:hint="default"/>
                            <w:w w:val="100"/>
                            <w:sz w:val="20"/>
                            <w:szCs w:val="20"/>
                          </w:rPr>
                          <w:t> </w:t>
                        </w:r>
                        <w:r>
                          <w:rPr>
                            <w:rFonts w:ascii="宋体" w:hAnsi="宋体" w:cs="宋体" w:eastAsia="宋体" w:hint="default"/>
                            <w:sz w:val="20"/>
                            <w:szCs w:val="20"/>
                          </w:rPr>
                          <w:t>所应用的风险调整折现率时均存在固有不确定性和</w:t>
                        </w:r>
                        <w:r>
                          <w:rPr>
                            <w:rFonts w:ascii="宋体" w:hAnsi="宋体" w:cs="宋体" w:eastAsia="宋体" w:hint="default"/>
                            <w:w w:val="100"/>
                            <w:sz w:val="20"/>
                            <w:szCs w:val="20"/>
                          </w:rPr>
                          <w:t> </w:t>
                        </w:r>
                        <w:r>
                          <w:rPr>
                            <w:rFonts w:ascii="宋体" w:hAnsi="宋体" w:cs="宋体" w:eastAsia="宋体" w:hint="default"/>
                            <w:sz w:val="20"/>
                            <w:szCs w:val="20"/>
                          </w:rPr>
                          <w:t>可能受到管理层偏好的影响。</w:t>
                        </w:r>
                        <w:r>
                          <w:rPr>
                            <w:rFonts w:ascii="宋体" w:hAnsi="宋体" w:cs="宋体" w:eastAsia="宋体" w:hint="default"/>
                            <w:w w:val="100"/>
                            <w:sz w:val="20"/>
                            <w:szCs w:val="20"/>
                          </w:rPr>
                          <w:t> </w:t>
                        </w:r>
                        <w:r>
                          <w:rPr>
                            <w:rFonts w:ascii="宋体" w:hAnsi="宋体" w:cs="宋体" w:eastAsia="宋体" w:hint="default"/>
                            <w:sz w:val="20"/>
                            <w:szCs w:val="20"/>
                          </w:rPr>
                          <w:t>由于商誉的减值预测和折现未来现金流量涉及固有</w:t>
                        </w:r>
                        <w:r>
                          <w:rPr>
                            <w:rFonts w:ascii="宋体" w:hAnsi="宋体" w:cs="宋体" w:eastAsia="宋体" w:hint="default"/>
                            <w:w w:val="100"/>
                            <w:sz w:val="20"/>
                            <w:szCs w:val="20"/>
                          </w:rPr>
                          <w:t> </w:t>
                        </w:r>
                        <w:r>
                          <w:rPr>
                            <w:rFonts w:ascii="宋体" w:hAnsi="宋体" w:cs="宋体" w:eastAsia="宋体" w:hint="default"/>
                            <w:sz w:val="20"/>
                            <w:szCs w:val="20"/>
                          </w:rPr>
                          <w:t>不确定性，以及管理层在选用假设和估计时可能出</w:t>
                        </w:r>
                        <w:r>
                          <w:rPr>
                            <w:rFonts w:ascii="宋体" w:hAnsi="宋体" w:cs="宋体" w:eastAsia="宋体" w:hint="default"/>
                            <w:w w:val="100"/>
                            <w:sz w:val="20"/>
                            <w:szCs w:val="20"/>
                          </w:rPr>
                          <w:t> </w:t>
                        </w:r>
                        <w:r>
                          <w:rPr>
                            <w:rFonts w:ascii="宋体" w:hAnsi="宋体" w:cs="宋体" w:eastAsia="宋体" w:hint="default"/>
                            <w:sz w:val="20"/>
                            <w:szCs w:val="20"/>
                          </w:rPr>
                          <w:t>现偏好的风险，我们将评估商誉的减值视为中科金</w:t>
                        </w:r>
                        <w:r>
                          <w:rPr>
                            <w:rFonts w:ascii="宋体" w:hAnsi="宋体" w:cs="宋体" w:eastAsia="宋体" w:hint="default"/>
                            <w:w w:val="100"/>
                            <w:sz w:val="20"/>
                            <w:szCs w:val="20"/>
                          </w:rPr>
                          <w:t> </w:t>
                        </w:r>
                        <w:r>
                          <w:rPr>
                            <w:rFonts w:ascii="宋体" w:hAnsi="宋体" w:cs="宋体" w:eastAsia="宋体" w:hint="default"/>
                            <w:sz w:val="20"/>
                            <w:szCs w:val="20"/>
                          </w:rPr>
                          <w:t>财的关键审计事项。</w:t>
                        </w:r>
                      </w:p>
                    </w:tc>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
                          <w:jc w:val="left"/>
                          <w:rPr>
                            <w:rFonts w:ascii="宋体" w:hAnsi="宋体" w:cs="宋体" w:eastAsia="宋体" w:hint="default"/>
                            <w:sz w:val="20"/>
                            <w:szCs w:val="20"/>
                          </w:rPr>
                        </w:pPr>
                        <w:r>
                          <w:rPr>
                            <w:rFonts w:ascii="宋体" w:hAnsi="宋体" w:cs="宋体" w:eastAsia="宋体" w:hint="default"/>
                            <w:sz w:val="20"/>
                            <w:szCs w:val="20"/>
                          </w:rPr>
                          <w:t>与商誉减值有关的审计程序包括：</w:t>
                        </w:r>
                        <w:r>
                          <w:rPr>
                            <w:rFonts w:ascii="宋体" w:hAnsi="宋体" w:cs="宋体" w:eastAsia="宋体" w:hint="default"/>
                            <w:w w:val="100"/>
                            <w:sz w:val="20"/>
                            <w:szCs w:val="20"/>
                          </w:rPr>
                          <w:t> </w:t>
                        </w:r>
                        <w:r>
                          <w:rPr>
                            <w:rFonts w:ascii="宋体" w:hAnsi="宋体" w:cs="宋体" w:eastAsia="宋体" w:hint="default"/>
                            <w:sz w:val="20"/>
                            <w:szCs w:val="20"/>
                          </w:rPr>
                          <w:t>1</w:t>
                        </w:r>
                        <w:r>
                          <w:rPr>
                            <w:rFonts w:ascii="宋体" w:hAnsi="宋体" w:cs="宋体" w:eastAsia="宋体" w:hint="default"/>
                            <w:sz w:val="20"/>
                            <w:szCs w:val="20"/>
                          </w:rPr>
                          <w:t>、我们评估及测试了与商誉减值测试相关的内部</w:t>
                        </w:r>
                        <w:r>
                          <w:rPr>
                            <w:rFonts w:ascii="宋体" w:hAnsi="宋体" w:cs="宋体" w:eastAsia="宋体" w:hint="default"/>
                            <w:w w:val="100"/>
                            <w:sz w:val="20"/>
                            <w:szCs w:val="20"/>
                          </w:rPr>
                          <w:t> </w:t>
                        </w:r>
                        <w:r>
                          <w:rPr>
                            <w:rFonts w:ascii="宋体" w:hAnsi="宋体" w:cs="宋体" w:eastAsia="宋体" w:hint="default"/>
                            <w:spacing w:val="-4"/>
                            <w:sz w:val="20"/>
                            <w:szCs w:val="20"/>
                          </w:rPr>
                          <w:t>控制的设计及执行有效性，包括关键假设的采用及</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减值计提金额的复核及审批；</w:t>
                        </w:r>
                        <w:r>
                          <w:rPr>
                            <w:rFonts w:ascii="宋体" w:hAnsi="宋体" w:cs="宋体" w:eastAsia="宋体" w:hint="default"/>
                            <w:w w:val="100"/>
                            <w:sz w:val="20"/>
                            <w:szCs w:val="20"/>
                          </w:rPr>
                          <w:t> </w:t>
                        </w:r>
                        <w:r>
                          <w:rPr>
                            <w:rFonts w:ascii="宋体" w:hAnsi="宋体" w:cs="宋体" w:eastAsia="宋体" w:hint="default"/>
                            <w:sz w:val="20"/>
                            <w:szCs w:val="20"/>
                          </w:rPr>
                          <w:t>2</w:t>
                        </w:r>
                        <w:r>
                          <w:rPr>
                            <w:rFonts w:ascii="宋体" w:hAnsi="宋体" w:cs="宋体" w:eastAsia="宋体" w:hint="default"/>
                            <w:sz w:val="20"/>
                            <w:szCs w:val="20"/>
                          </w:rPr>
                          <w:t>、评价管理层委聘的外部估值专家的胜任能力、</w:t>
                        </w:r>
                        <w:r>
                          <w:rPr>
                            <w:rFonts w:ascii="宋体" w:hAnsi="宋体" w:cs="宋体" w:eastAsia="宋体" w:hint="default"/>
                            <w:w w:val="100"/>
                            <w:sz w:val="20"/>
                            <w:szCs w:val="20"/>
                          </w:rPr>
                          <w:t> </w:t>
                        </w:r>
                        <w:r>
                          <w:rPr>
                            <w:rFonts w:ascii="宋体" w:hAnsi="宋体" w:cs="宋体" w:eastAsia="宋体" w:hint="default"/>
                            <w:sz w:val="20"/>
                            <w:szCs w:val="20"/>
                          </w:rPr>
                          <w:t>专业素质和客观性；</w:t>
                        </w:r>
                        <w:r>
                          <w:rPr>
                            <w:rFonts w:ascii="宋体" w:hAnsi="宋体" w:cs="宋体" w:eastAsia="宋体" w:hint="default"/>
                            <w:w w:val="100"/>
                            <w:sz w:val="20"/>
                            <w:szCs w:val="20"/>
                          </w:rPr>
                          <w:t> </w:t>
                        </w:r>
                        <w:r>
                          <w:rPr>
                            <w:rFonts w:ascii="宋体" w:hAnsi="宋体" w:cs="宋体" w:eastAsia="宋体" w:hint="default"/>
                            <w:sz w:val="20"/>
                            <w:szCs w:val="20"/>
                          </w:rPr>
                          <w:t>3</w:t>
                        </w:r>
                        <w:r>
                          <w:rPr>
                            <w:rFonts w:ascii="宋体" w:hAnsi="宋体" w:cs="宋体" w:eastAsia="宋体" w:hint="default"/>
                            <w:sz w:val="20"/>
                            <w:szCs w:val="20"/>
                          </w:rPr>
                          <w:t>、通过参考行业惯例，评估了管理层进行现金流</w:t>
                        </w:r>
                        <w:r>
                          <w:rPr>
                            <w:rFonts w:ascii="宋体" w:hAnsi="宋体" w:cs="宋体" w:eastAsia="宋体" w:hint="default"/>
                            <w:w w:val="100"/>
                            <w:sz w:val="20"/>
                            <w:szCs w:val="20"/>
                          </w:rPr>
                          <w:t> </w:t>
                        </w:r>
                        <w:r>
                          <w:rPr>
                            <w:rFonts w:ascii="宋体" w:hAnsi="宋体" w:cs="宋体" w:eastAsia="宋体" w:hint="default"/>
                            <w:sz w:val="20"/>
                            <w:szCs w:val="20"/>
                          </w:rPr>
                          <w:t>量预测时使用的估值方法的适当性；</w:t>
                        </w:r>
                        <w:r>
                          <w:rPr>
                            <w:rFonts w:ascii="宋体" w:hAnsi="宋体" w:cs="宋体" w:eastAsia="宋体" w:hint="default"/>
                            <w:w w:val="100"/>
                            <w:sz w:val="20"/>
                            <w:szCs w:val="20"/>
                          </w:rPr>
                          <w:t> </w:t>
                        </w:r>
                        <w:r>
                          <w:rPr>
                            <w:rFonts w:ascii="宋体" w:hAnsi="宋体" w:cs="宋体" w:eastAsia="宋体" w:hint="default"/>
                            <w:sz w:val="20"/>
                            <w:szCs w:val="20"/>
                          </w:rPr>
                          <w:t>4</w:t>
                        </w:r>
                        <w:r>
                          <w:rPr>
                            <w:rFonts w:ascii="宋体" w:hAnsi="宋体" w:cs="宋体" w:eastAsia="宋体" w:hint="default"/>
                            <w:sz w:val="20"/>
                            <w:szCs w:val="20"/>
                          </w:rPr>
                          <w:t>、通过将收入增长率、永续增长率和成本上涨等</w:t>
                        </w:r>
                        <w:r>
                          <w:rPr>
                            <w:rFonts w:ascii="宋体" w:hAnsi="宋体" w:cs="宋体" w:eastAsia="宋体" w:hint="default"/>
                            <w:w w:val="100"/>
                            <w:sz w:val="20"/>
                            <w:szCs w:val="20"/>
                          </w:rPr>
                          <w:t> </w:t>
                        </w:r>
                        <w:r>
                          <w:rPr>
                            <w:rFonts w:ascii="宋体" w:hAnsi="宋体" w:cs="宋体" w:eastAsia="宋体" w:hint="default"/>
                            <w:spacing w:val="-4"/>
                            <w:sz w:val="20"/>
                            <w:szCs w:val="20"/>
                          </w:rPr>
                          <w:t>关键输入值与过往业绩、管理层预算和预测及行业</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4"/>
                            <w:sz w:val="20"/>
                            <w:szCs w:val="20"/>
                          </w:rPr>
                          <w:t>报告进行比较，审慎评价编制折现现金流预测中采</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用的关键假设及判断；</w:t>
                        </w:r>
                        <w:r>
                          <w:rPr>
                            <w:rFonts w:ascii="宋体" w:hAnsi="宋体" w:cs="宋体" w:eastAsia="宋体" w:hint="default"/>
                            <w:w w:val="100"/>
                            <w:sz w:val="20"/>
                            <w:szCs w:val="20"/>
                          </w:rPr>
                          <w:t> </w:t>
                        </w:r>
                        <w:r>
                          <w:rPr>
                            <w:rFonts w:ascii="宋体" w:hAnsi="宋体" w:cs="宋体" w:eastAsia="宋体" w:hint="default"/>
                            <w:sz w:val="20"/>
                            <w:szCs w:val="20"/>
                          </w:rPr>
                          <w:t>5</w:t>
                        </w:r>
                        <w:r>
                          <w:rPr>
                            <w:rFonts w:ascii="宋体" w:hAnsi="宋体" w:cs="宋体" w:eastAsia="宋体" w:hint="default"/>
                            <w:sz w:val="20"/>
                            <w:szCs w:val="20"/>
                          </w:rPr>
                          <w:t>、基于同行业可比公司的市场数据重新计算折现</w:t>
                        </w:r>
                        <w:r>
                          <w:rPr>
                            <w:rFonts w:ascii="宋体" w:hAnsi="宋体" w:cs="宋体" w:eastAsia="宋体" w:hint="default"/>
                            <w:w w:val="100"/>
                            <w:sz w:val="20"/>
                            <w:szCs w:val="20"/>
                          </w:rPr>
                          <w:t> </w:t>
                        </w:r>
                        <w:r>
                          <w:rPr>
                            <w:rFonts w:ascii="宋体" w:hAnsi="宋体" w:cs="宋体" w:eastAsia="宋体" w:hint="default"/>
                            <w:spacing w:val="-4"/>
                            <w:sz w:val="20"/>
                            <w:szCs w:val="20"/>
                          </w:rPr>
                          <w:t>率，并将我们的计算结果与管理层计算预计未来现</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4"/>
                            <w:sz w:val="20"/>
                            <w:szCs w:val="20"/>
                          </w:rPr>
                          <w:t>金流量现值时采用的折现率进行比较，以评价其计</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算预计未来现金流量现值时采用的折现率；</w:t>
                        </w:r>
                        <w:r>
                          <w:rPr>
                            <w:rFonts w:ascii="宋体" w:hAnsi="宋体" w:cs="宋体" w:eastAsia="宋体" w:hint="default"/>
                            <w:w w:val="100"/>
                            <w:sz w:val="20"/>
                            <w:szCs w:val="20"/>
                          </w:rPr>
                          <w:t> </w:t>
                        </w:r>
                        <w:r>
                          <w:rPr>
                            <w:rFonts w:ascii="宋体" w:hAnsi="宋体" w:cs="宋体" w:eastAsia="宋体" w:hint="default"/>
                            <w:sz w:val="20"/>
                            <w:szCs w:val="20"/>
                          </w:rPr>
                          <w:t>6</w:t>
                        </w:r>
                        <w:r>
                          <w:rPr>
                            <w:rFonts w:ascii="宋体" w:hAnsi="宋体" w:cs="宋体" w:eastAsia="宋体" w:hint="default"/>
                            <w:sz w:val="20"/>
                            <w:szCs w:val="20"/>
                          </w:rPr>
                          <w:t>、对预测收入和采用的折现率等关键假设进行敏</w:t>
                        </w:r>
                        <w:r>
                          <w:rPr>
                            <w:rFonts w:ascii="宋体" w:hAnsi="宋体" w:cs="宋体" w:eastAsia="宋体" w:hint="default"/>
                            <w:w w:val="100"/>
                            <w:sz w:val="20"/>
                            <w:szCs w:val="20"/>
                          </w:rPr>
                          <w:t> </w:t>
                        </w:r>
                        <w:r>
                          <w:rPr>
                            <w:rFonts w:ascii="宋体" w:hAnsi="宋体" w:cs="宋体" w:eastAsia="宋体" w:hint="default"/>
                            <w:spacing w:val="-4"/>
                            <w:sz w:val="20"/>
                            <w:szCs w:val="20"/>
                          </w:rPr>
                          <w:t>感性分析，以评价关键假设的变化对减值评估结果</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的影响以及考虑对关键假设的选择是否存在管理</w:t>
                        </w:r>
                        <w:r>
                          <w:rPr>
                            <w:rFonts w:ascii="宋体" w:hAnsi="宋体" w:cs="宋体" w:eastAsia="宋体" w:hint="default"/>
                            <w:w w:val="100"/>
                            <w:sz w:val="20"/>
                            <w:szCs w:val="20"/>
                          </w:rPr>
                          <w:t> </w:t>
                        </w:r>
                        <w:r>
                          <w:rPr>
                            <w:rFonts w:ascii="宋体" w:hAnsi="宋体" w:cs="宋体" w:eastAsia="宋体" w:hint="default"/>
                            <w:sz w:val="20"/>
                            <w:szCs w:val="20"/>
                          </w:rPr>
                          <w:t>层偏向的迹象；</w:t>
                        </w:r>
                        <w:r>
                          <w:rPr>
                            <w:rFonts w:ascii="宋体" w:hAnsi="宋体" w:cs="宋体" w:eastAsia="宋体" w:hint="default"/>
                            <w:w w:val="100"/>
                            <w:sz w:val="20"/>
                            <w:szCs w:val="20"/>
                          </w:rPr>
                          <w:t> </w:t>
                        </w:r>
                        <w:r>
                          <w:rPr>
                            <w:rFonts w:ascii="宋体" w:hAnsi="宋体" w:cs="宋体" w:eastAsia="宋体" w:hint="default"/>
                            <w:sz w:val="20"/>
                            <w:szCs w:val="20"/>
                          </w:rPr>
                          <w:t>7</w:t>
                        </w:r>
                        <w:r>
                          <w:rPr>
                            <w:rFonts w:ascii="宋体" w:hAnsi="宋体" w:cs="宋体" w:eastAsia="宋体" w:hint="default"/>
                            <w:sz w:val="20"/>
                            <w:szCs w:val="20"/>
                          </w:rPr>
                          <w:t>、通过对比上一年度的预测和本年度的业绩进行</w:t>
                        </w:r>
                        <w:r>
                          <w:rPr>
                            <w:rFonts w:ascii="宋体" w:hAnsi="宋体" w:cs="宋体" w:eastAsia="宋体" w:hint="default"/>
                            <w:w w:val="100"/>
                            <w:sz w:val="20"/>
                            <w:szCs w:val="20"/>
                          </w:rPr>
                          <w:t> </w:t>
                        </w:r>
                        <w:r>
                          <w:rPr>
                            <w:rFonts w:ascii="宋体" w:hAnsi="宋体" w:cs="宋体" w:eastAsia="宋体" w:hint="default"/>
                            <w:spacing w:val="-4"/>
                            <w:sz w:val="20"/>
                            <w:szCs w:val="20"/>
                          </w:rPr>
                          <w:t>追溯性审核，以评估管理层预测过程的可靠性和历</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史准确性；</w:t>
                        </w:r>
                        <w:r>
                          <w:rPr>
                            <w:rFonts w:ascii="宋体" w:hAnsi="宋体" w:cs="宋体" w:eastAsia="宋体" w:hint="default"/>
                            <w:w w:val="100"/>
                            <w:sz w:val="20"/>
                            <w:szCs w:val="20"/>
                          </w:rPr>
                          <w:t> </w:t>
                        </w:r>
                        <w:r>
                          <w:rPr>
                            <w:rFonts w:ascii="宋体" w:hAnsi="宋体" w:cs="宋体" w:eastAsia="宋体" w:hint="default"/>
                            <w:spacing w:val="-4"/>
                            <w:sz w:val="20"/>
                            <w:szCs w:val="20"/>
                          </w:rPr>
                          <w:t>执行上述审计程序获取的证据，能够支持中科金财</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管理层对商誉减值的估计。</w:t>
                        </w:r>
                      </w:p>
                    </w:tc>
                  </w:tr>
                  <w:tr>
                    <w:trPr>
                      <w:trHeight w:val="347" w:hRule="exact"/>
                    </w:trPr>
                    <w:tc>
                      <w:tcPr>
                        <w:tcW w:w="87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（二）资金信托计划事项</w:t>
                        </w:r>
                      </w:p>
                    </w:tc>
                  </w:tr>
                  <w:tr>
                    <w:trPr>
                      <w:trHeight w:val="5340" w:hRule="exact"/>
                    </w:trPr>
                    <w:tc>
                      <w:tcPr>
                        <w:tcW w:w="442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17"/>
                          <w:jc w:val="both"/>
                          <w:rPr>
                            <w:rFonts w:ascii="宋体" w:hAnsi="宋体" w:cs="宋体" w:eastAsia="宋体" w:hint="default"/>
                            <w:sz w:val="20"/>
                            <w:szCs w:val="20"/>
                          </w:rPr>
                        </w:pPr>
                        <w:r>
                          <w:rPr>
                            <w:rFonts w:ascii="宋体" w:hAnsi="宋体" w:cs="宋体" w:eastAsia="宋体" w:hint="default"/>
                            <w:sz w:val="20"/>
                            <w:szCs w:val="20"/>
                          </w:rPr>
                          <w:t>请参阅财务报表附注“三、重要会计政策和会计估</w:t>
                        </w:r>
                        <w:r>
                          <w:rPr>
                            <w:rFonts w:ascii="宋体" w:hAnsi="宋体" w:cs="宋体" w:eastAsia="宋体" w:hint="default"/>
                            <w:w w:val="100"/>
                            <w:sz w:val="20"/>
                            <w:szCs w:val="20"/>
                          </w:rPr>
                          <w:t> </w:t>
                        </w:r>
                        <w:r>
                          <w:rPr>
                            <w:rFonts w:ascii="宋体" w:hAnsi="宋体" w:cs="宋体" w:eastAsia="宋体" w:hint="default"/>
                            <w:sz w:val="20"/>
                            <w:szCs w:val="20"/>
                          </w:rPr>
                          <w:t>计”注释十所述的会计政策及“五、合并财务报表</w:t>
                        </w:r>
                        <w:r>
                          <w:rPr>
                            <w:rFonts w:ascii="宋体" w:hAnsi="宋体" w:cs="宋体" w:eastAsia="宋体" w:hint="default"/>
                            <w:w w:val="100"/>
                            <w:sz w:val="20"/>
                            <w:szCs w:val="20"/>
                          </w:rPr>
                          <w:t> </w:t>
                        </w:r>
                        <w:r>
                          <w:rPr>
                            <w:rFonts w:ascii="宋体" w:hAnsi="宋体" w:cs="宋体" w:eastAsia="宋体" w:hint="default"/>
                            <w:spacing w:val="-8"/>
                            <w:w w:val="100"/>
                            <w:sz w:val="20"/>
                            <w:szCs w:val="20"/>
                          </w:rPr>
                          <w:t>项目附注”注释七及十七。截至</w:t>
                        </w:r>
                        <w:r>
                          <w:rPr>
                            <w:rFonts w:ascii="宋体" w:hAnsi="宋体" w:cs="宋体" w:eastAsia="宋体" w:hint="default"/>
                            <w:w w:val="100"/>
                            <w:sz w:val="20"/>
                            <w:szCs w:val="20"/>
                          </w:rPr>
                          <w:t> </w:t>
                        </w:r>
                        <w:r>
                          <w:rPr>
                            <w:rFonts w:ascii="宋体" w:hAnsi="宋体" w:cs="宋体" w:eastAsia="宋体" w:hint="default"/>
                            <w:w w:val="100"/>
                            <w:sz w:val="20"/>
                            <w:szCs w:val="20"/>
                          </w:rPr>
                          <w:t>2017 </w:t>
                        </w:r>
                        <w:r>
                          <w:rPr>
                            <w:rFonts w:ascii="宋体" w:hAnsi="宋体" w:cs="宋体" w:eastAsia="宋体" w:hint="default"/>
                            <w:w w:val="100"/>
                            <w:sz w:val="20"/>
                            <w:szCs w:val="20"/>
                          </w:rPr>
                          <w:t>年 </w:t>
                        </w:r>
                        <w:r>
                          <w:rPr>
                            <w:rFonts w:ascii="宋体" w:hAnsi="宋体" w:cs="宋体" w:eastAsia="宋体" w:hint="default"/>
                            <w:spacing w:val="-1"/>
                            <w:w w:val="100"/>
                            <w:sz w:val="20"/>
                            <w:szCs w:val="20"/>
                          </w:rPr>
                          <w:t>12</w:t>
                        </w:r>
                        <w:r>
                          <w:rPr>
                            <w:rFonts w:ascii="宋体" w:hAnsi="宋体" w:cs="宋体" w:eastAsia="宋体" w:hint="default"/>
                            <w:w w:val="100"/>
                            <w:sz w:val="20"/>
                            <w:szCs w:val="20"/>
                          </w:rPr>
                          <w:t> </w:t>
                        </w:r>
                        <w:r>
                          <w:rPr>
                            <w:rFonts w:ascii="宋体" w:hAnsi="宋体" w:cs="宋体" w:eastAsia="宋体" w:hint="default"/>
                            <w:w w:val="100"/>
                            <w:sz w:val="20"/>
                            <w:szCs w:val="20"/>
                          </w:rPr>
                          <w:t>月</w:t>
                        </w:r>
                        <w:r>
                          <w:rPr>
                            <w:rFonts w:ascii="宋体" w:hAnsi="宋体" w:cs="宋体" w:eastAsia="宋体" w:hint="default"/>
                            <w:spacing w:val="7"/>
                            <w:w w:val="100"/>
                            <w:sz w:val="20"/>
                            <w:szCs w:val="20"/>
                          </w:rPr>
                          <w:t> </w:t>
                        </w:r>
                        <w:r>
                          <w:rPr>
                            <w:rFonts w:ascii="宋体" w:hAnsi="宋体" w:cs="宋体" w:eastAsia="宋体" w:hint="default"/>
                            <w:w w:val="100"/>
                            <w:sz w:val="20"/>
                            <w:szCs w:val="20"/>
                          </w:rPr>
                          <w:t>31 </w:t>
                        </w:r>
                        <w:r>
                          <w:rPr>
                            <w:rFonts w:ascii="宋体" w:hAnsi="宋体" w:cs="宋体" w:eastAsia="宋体" w:hint="default"/>
                            <w:spacing w:val="-9"/>
                            <w:w w:val="100"/>
                            <w:sz w:val="20"/>
                            <w:szCs w:val="20"/>
                          </w:rPr>
                          <w:t>日，中科金财子公司自渤海国际信托股份有限公司、</w:t>
                        </w:r>
                        <w:r>
                          <w:rPr>
                            <w:rFonts w:ascii="宋体" w:hAnsi="宋体" w:cs="宋体" w:eastAsia="宋体" w:hint="default"/>
                            <w:spacing w:val="-82"/>
                            <w:w w:val="100"/>
                            <w:sz w:val="20"/>
                            <w:szCs w:val="20"/>
                          </w:rPr>
                          <w:t> </w:t>
                        </w:r>
                        <w:r>
                          <w:rPr>
                            <w:rFonts w:ascii="宋体" w:hAnsi="宋体" w:cs="宋体" w:eastAsia="宋体" w:hint="default"/>
                            <w:spacing w:val="-82"/>
                            <w:w w:val="100"/>
                            <w:sz w:val="20"/>
                            <w:szCs w:val="20"/>
                          </w:rPr>
                        </w:r>
                        <w:r>
                          <w:rPr>
                            <w:rFonts w:ascii="宋体" w:hAnsi="宋体" w:cs="宋体" w:eastAsia="宋体" w:hint="default"/>
                            <w:sz w:val="20"/>
                            <w:szCs w:val="20"/>
                          </w:rPr>
                          <w:t>西藏信托有限公司、四川信托有限公司认购单一信</w:t>
                        </w:r>
                        <w:r>
                          <w:rPr>
                            <w:rFonts w:ascii="宋体" w:hAnsi="宋体" w:cs="宋体" w:eastAsia="宋体" w:hint="default"/>
                            <w:w w:val="100"/>
                            <w:sz w:val="20"/>
                            <w:szCs w:val="20"/>
                          </w:rPr>
                          <w:t> </w:t>
                        </w:r>
                        <w:r>
                          <w:rPr>
                            <w:rFonts w:ascii="宋体" w:hAnsi="宋体" w:cs="宋体" w:eastAsia="宋体" w:hint="default"/>
                            <w:sz w:val="20"/>
                            <w:szCs w:val="20"/>
                          </w:rPr>
                          <w:t>托、劣后级信托计划（以下简称“信托计划”），</w:t>
                        </w:r>
                        <w:r>
                          <w:rPr>
                            <w:rFonts w:ascii="宋体" w:hAnsi="宋体" w:cs="宋体" w:eastAsia="宋体" w:hint="default"/>
                            <w:w w:val="100"/>
                            <w:sz w:val="20"/>
                            <w:szCs w:val="20"/>
                          </w:rPr>
                          <w:t> </w:t>
                        </w:r>
                        <w:r>
                          <w:rPr>
                            <w:rFonts w:ascii="宋体" w:hAnsi="宋体" w:cs="宋体" w:eastAsia="宋体" w:hint="default"/>
                            <w:sz w:val="20"/>
                            <w:szCs w:val="20"/>
                          </w:rPr>
                          <w:t>期末累计认购金额</w:t>
                        </w:r>
                        <w:r>
                          <w:rPr>
                            <w:rFonts w:ascii="宋体" w:hAnsi="宋体" w:cs="宋体" w:eastAsia="宋体" w:hint="default"/>
                            <w:sz w:val="20"/>
                            <w:szCs w:val="20"/>
                          </w:rPr>
                          <w:t>11.97</w:t>
                        </w:r>
                        <w:r>
                          <w:rPr>
                            <w:rFonts w:ascii="宋体" w:hAnsi="宋体" w:cs="宋体" w:eastAsia="宋体" w:hint="default"/>
                            <w:sz w:val="20"/>
                            <w:szCs w:val="20"/>
                          </w:rPr>
                          <w:t>亿元，信托产品余额</w:t>
                        </w:r>
                        <w:r>
                          <w:rPr>
                            <w:rFonts w:ascii="宋体" w:hAnsi="宋体" w:cs="宋体" w:eastAsia="宋体" w:hint="default"/>
                            <w:sz w:val="20"/>
                            <w:szCs w:val="20"/>
                          </w:rPr>
                          <w:t>13.06</w:t>
                        </w:r>
                        <w:r>
                          <w:rPr>
                            <w:rFonts w:ascii="宋体" w:hAnsi="宋体" w:cs="宋体" w:eastAsia="宋体" w:hint="default"/>
                            <w:w w:val="100"/>
                            <w:sz w:val="20"/>
                            <w:szCs w:val="20"/>
                          </w:rPr>
                          <w:t> </w:t>
                        </w:r>
                        <w:r>
                          <w:rPr>
                            <w:rFonts w:ascii="宋体" w:hAnsi="宋体" w:cs="宋体" w:eastAsia="宋体" w:hint="default"/>
                            <w:sz w:val="20"/>
                            <w:szCs w:val="20"/>
                          </w:rPr>
                          <w:t>亿元。该信托计划金额重大，需确定是否应该合并</w:t>
                        </w:r>
                        <w:r>
                          <w:rPr>
                            <w:rFonts w:ascii="宋体" w:hAnsi="宋体" w:cs="宋体" w:eastAsia="宋体" w:hint="default"/>
                            <w:w w:val="100"/>
                            <w:sz w:val="20"/>
                            <w:szCs w:val="20"/>
                          </w:rPr>
                          <w:t> </w:t>
                        </w:r>
                        <w:r>
                          <w:rPr>
                            <w:rFonts w:ascii="宋体" w:hAnsi="宋体" w:cs="宋体" w:eastAsia="宋体" w:hint="default"/>
                            <w:sz w:val="20"/>
                            <w:szCs w:val="20"/>
                          </w:rPr>
                          <w:t>该信托计划，以及信托计划作为金融资产如何在财</w:t>
                        </w:r>
                        <w:r>
                          <w:rPr>
                            <w:rFonts w:ascii="宋体" w:hAnsi="宋体" w:cs="宋体" w:eastAsia="宋体" w:hint="default"/>
                            <w:w w:val="100"/>
                            <w:sz w:val="20"/>
                            <w:szCs w:val="20"/>
                          </w:rPr>
                          <w:t> </w:t>
                        </w:r>
                        <w:r>
                          <w:rPr>
                            <w:rFonts w:ascii="宋体" w:hAnsi="宋体" w:cs="宋体" w:eastAsia="宋体" w:hint="default"/>
                            <w:sz w:val="20"/>
                            <w:szCs w:val="20"/>
                          </w:rPr>
                          <w:t>务报表进行合理列报，上述事项均涉及管理层作出</w:t>
                        </w:r>
                        <w:r>
                          <w:rPr>
                            <w:rFonts w:ascii="宋体" w:hAnsi="宋体" w:cs="宋体" w:eastAsia="宋体" w:hint="default"/>
                            <w:w w:val="100"/>
                            <w:sz w:val="20"/>
                            <w:szCs w:val="20"/>
                          </w:rPr>
                          <w:t> </w:t>
                        </w:r>
                        <w:r>
                          <w:rPr>
                            <w:rFonts w:ascii="宋体" w:hAnsi="宋体" w:cs="宋体" w:eastAsia="宋体" w:hint="default"/>
                            <w:sz w:val="20"/>
                            <w:szCs w:val="20"/>
                          </w:rPr>
                          <w:t>评估和判断，因此我们将信托计划事项作为关键审</w:t>
                        </w:r>
                        <w:r>
                          <w:rPr>
                            <w:rFonts w:ascii="宋体" w:hAnsi="宋体" w:cs="宋体" w:eastAsia="宋体" w:hint="default"/>
                            <w:w w:val="100"/>
                            <w:sz w:val="20"/>
                            <w:szCs w:val="20"/>
                          </w:rPr>
                          <w:t> </w:t>
                        </w:r>
                        <w:r>
                          <w:rPr>
                            <w:rFonts w:ascii="宋体" w:hAnsi="宋体" w:cs="宋体" w:eastAsia="宋体" w:hint="default"/>
                            <w:sz w:val="20"/>
                            <w:szCs w:val="20"/>
                          </w:rPr>
                          <w:t>计事项进行关注。</w:t>
                        </w:r>
                      </w:p>
                    </w:tc>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应对此关键事项有关的审计程序包括：</w:t>
                        </w:r>
                      </w:p>
                      <w:p>
                        <w:pPr>
                          <w:pStyle w:val="TableParagraph"/>
                          <w:spacing w:line="285" w:lineRule="auto" w:before="50"/>
                          <w:ind w:left="2" w:right="33"/>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）对此投资业务的关键内控设计和执行情况进</w:t>
                        </w:r>
                        <w:r>
                          <w:rPr>
                            <w:rFonts w:ascii="宋体" w:hAnsi="宋体" w:cs="宋体" w:eastAsia="宋体" w:hint="default"/>
                            <w:w w:val="100"/>
                            <w:sz w:val="20"/>
                            <w:szCs w:val="20"/>
                          </w:rPr>
                          <w:t> </w:t>
                        </w:r>
                        <w:r>
                          <w:rPr>
                            <w:rFonts w:ascii="宋体" w:hAnsi="宋体" w:cs="宋体" w:eastAsia="宋体" w:hint="default"/>
                            <w:sz w:val="20"/>
                            <w:szCs w:val="20"/>
                          </w:rPr>
                          <w:t>行了解和测试，评价投资业务的内部控制是否有</w:t>
                        </w:r>
                        <w:r>
                          <w:rPr>
                            <w:rFonts w:ascii="宋体" w:hAnsi="宋体" w:cs="宋体" w:eastAsia="宋体" w:hint="default"/>
                            <w:w w:val="100"/>
                            <w:sz w:val="20"/>
                            <w:szCs w:val="20"/>
                          </w:rPr>
                          <w:t> </w:t>
                        </w:r>
                        <w:r>
                          <w:rPr>
                            <w:rFonts w:ascii="宋体" w:hAnsi="宋体" w:cs="宋体" w:eastAsia="宋体" w:hint="default"/>
                            <w:sz w:val="20"/>
                            <w:szCs w:val="20"/>
                          </w:rPr>
                          <w:t>效；</w:t>
                        </w:r>
                      </w:p>
                      <w:p>
                        <w:pPr>
                          <w:pStyle w:val="TableParagraph"/>
                          <w:spacing w:line="285" w:lineRule="auto" w:before="12"/>
                          <w:ind w:left="2" w:right="33"/>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）获取并查阅公司管理层投资决策文件，对管</w:t>
                        </w:r>
                        <w:r>
                          <w:rPr>
                            <w:rFonts w:ascii="宋体" w:hAnsi="宋体" w:cs="宋体" w:eastAsia="宋体" w:hint="default"/>
                            <w:w w:val="100"/>
                            <w:sz w:val="20"/>
                            <w:szCs w:val="20"/>
                          </w:rPr>
                          <w:t> </w:t>
                        </w:r>
                        <w:r>
                          <w:rPr>
                            <w:rFonts w:ascii="宋体" w:hAnsi="宋体" w:cs="宋体" w:eastAsia="宋体" w:hint="default"/>
                            <w:sz w:val="20"/>
                            <w:szCs w:val="20"/>
                          </w:rPr>
                          <w:t>理层进行访谈，了解认购信托计划的目的和动因</w:t>
                        </w:r>
                      </w:p>
                      <w:p>
                        <w:pPr>
                          <w:pStyle w:val="TableParagraph"/>
                          <w:spacing w:line="285" w:lineRule="auto" w:before="12"/>
                          <w:ind w:left="2" w:right="33"/>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3</w:t>
                        </w:r>
                        <w:r>
                          <w:rPr>
                            <w:rFonts w:ascii="宋体" w:hAnsi="宋体" w:cs="宋体" w:eastAsia="宋体" w:hint="default"/>
                            <w:sz w:val="20"/>
                            <w:szCs w:val="20"/>
                          </w:rPr>
                          <w:t>）审查认购信托计划付款单据等相关文件，检</w:t>
                        </w:r>
                        <w:r>
                          <w:rPr>
                            <w:rFonts w:ascii="宋体" w:hAnsi="宋体" w:cs="宋体" w:eastAsia="宋体" w:hint="default"/>
                            <w:w w:val="100"/>
                            <w:sz w:val="20"/>
                            <w:szCs w:val="20"/>
                          </w:rPr>
                          <w:t> </w:t>
                        </w:r>
                        <w:r>
                          <w:rPr>
                            <w:rFonts w:ascii="宋体" w:hAnsi="宋体" w:cs="宋体" w:eastAsia="宋体" w:hint="default"/>
                            <w:sz w:val="20"/>
                            <w:szCs w:val="20"/>
                          </w:rPr>
                          <w:t>查相关手续是否完成；</w:t>
                        </w:r>
                      </w:p>
                      <w:p>
                        <w:pPr>
                          <w:pStyle w:val="TableParagraph"/>
                          <w:spacing w:line="240" w:lineRule="auto" w:before="12"/>
                          <w:ind w:left="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4</w:t>
                        </w:r>
                        <w:r>
                          <w:rPr>
                            <w:rFonts w:ascii="宋体" w:hAnsi="宋体" w:cs="宋体" w:eastAsia="宋体" w:hint="default"/>
                            <w:sz w:val="20"/>
                            <w:szCs w:val="20"/>
                          </w:rPr>
                          <w:t>）实施函证程序，并与回函信息进行核对；</w:t>
                        </w:r>
                      </w:p>
                      <w:p>
                        <w:pPr>
                          <w:pStyle w:val="TableParagraph"/>
                          <w:spacing w:line="285" w:lineRule="auto" w:before="50"/>
                          <w:ind w:left="2" w:right="1"/>
                          <w:jc w:val="left"/>
                          <w:rPr>
                            <w:rFonts w:ascii="宋体" w:hAnsi="宋体" w:cs="宋体" w:eastAsia="宋体" w:hint="default"/>
                            <w:sz w:val="20"/>
                            <w:szCs w:val="20"/>
                          </w:rPr>
                        </w:pPr>
                        <w:r>
                          <w:rPr>
                            <w:rFonts w:ascii="宋体" w:hAnsi="宋体" w:cs="宋体" w:eastAsia="宋体" w:hint="default"/>
                            <w:spacing w:val="-4"/>
                            <w:sz w:val="20"/>
                            <w:szCs w:val="20"/>
                          </w:rPr>
                          <w:t>（</w:t>
                        </w:r>
                        <w:r>
                          <w:rPr>
                            <w:rFonts w:ascii="宋体" w:hAnsi="宋体" w:cs="宋体" w:eastAsia="宋体" w:hint="default"/>
                            <w:spacing w:val="-4"/>
                            <w:sz w:val="20"/>
                            <w:szCs w:val="20"/>
                          </w:rPr>
                          <w:t>5</w:t>
                        </w:r>
                        <w:r>
                          <w:rPr>
                            <w:rFonts w:ascii="宋体" w:hAnsi="宋体" w:cs="宋体" w:eastAsia="宋体" w:hint="default"/>
                            <w:spacing w:val="-4"/>
                            <w:sz w:val="20"/>
                            <w:szCs w:val="20"/>
                          </w:rPr>
                          <w:t>）获取并查阅资金计划合同、信托计划说明书</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4"/>
                            <w:sz w:val="20"/>
                            <w:szCs w:val="20"/>
                          </w:rPr>
                          <w:t>了解信托计划中对信托财产的管理、运用和处分的</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4"/>
                            <w:sz w:val="20"/>
                            <w:szCs w:val="20"/>
                          </w:rPr>
                          <w:t>决策机制及相应流程，分析信托计划的委托人和受</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4"/>
                            <w:sz w:val="20"/>
                            <w:szCs w:val="20"/>
                          </w:rPr>
                          <w:t>托人的权利，评估公司对该项信托计划的权利、可</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4"/>
                            <w:sz w:val="20"/>
                            <w:szCs w:val="20"/>
                          </w:rPr>
                          <w:t>变回报、以及运用权力影响可变回报的能力，判断</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公司对该项信托计划是否构成控制；</w:t>
                        </w:r>
                      </w:p>
                      <w:p>
                        <w:pPr>
                          <w:pStyle w:val="TableParagraph"/>
                          <w:spacing w:line="285" w:lineRule="auto" w:before="12"/>
                          <w:ind w:left="2" w:right="1"/>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6</w:t>
                        </w:r>
                        <w:r>
                          <w:rPr>
                            <w:rFonts w:ascii="宋体" w:hAnsi="宋体" w:cs="宋体" w:eastAsia="宋体" w:hint="default"/>
                            <w:sz w:val="20"/>
                            <w:szCs w:val="20"/>
                          </w:rPr>
                          <w:t>）分析信托计划合同的相关约定，并结合管理</w:t>
                        </w:r>
                        <w:r>
                          <w:rPr>
                            <w:rFonts w:ascii="宋体" w:hAnsi="宋体" w:cs="宋体" w:eastAsia="宋体" w:hint="default"/>
                            <w:w w:val="100"/>
                            <w:sz w:val="20"/>
                            <w:szCs w:val="20"/>
                          </w:rPr>
                          <w:t> </w:t>
                        </w:r>
                        <w:r>
                          <w:rPr>
                            <w:rFonts w:ascii="宋体" w:hAnsi="宋体" w:cs="宋体" w:eastAsia="宋体" w:hint="default"/>
                            <w:spacing w:val="-4"/>
                            <w:sz w:val="20"/>
                            <w:szCs w:val="20"/>
                          </w:rPr>
                          <w:t>层认购信托计划的目的和动因，判断对该项金融资</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spacing w:line="240" w:lineRule="auto" w:before="38"/>
        <w:ind w:left="0" w:right="1503"/>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0"/>
        <w:ind w:left="0" w:right="1470"/>
        <w:jc w:val="right"/>
      </w:pPr>
      <w:r>
        <w:rPr>
          <w:w w:val="100"/>
        </w:rPr>
        <w:t>，</w:t>
      </w:r>
    </w:p>
    <w:p>
      <w:pPr>
        <w:spacing w:after="0" w:line="240" w:lineRule="auto"/>
        <w:jc w:val="right"/>
        <w:sectPr>
          <w:pgSz w:w="11910" w:h="16840"/>
          <w:pgMar w:header="747" w:footer="979" w:top="1060" w:bottom="1160" w:left="980" w:right="0"/>
        </w:sectPr>
      </w:pPr>
    </w:p>
    <w:p>
      <w:pPr>
        <w:spacing w:line="240" w:lineRule="auto" w:before="12"/>
        <w:rPr>
          <w:rFonts w:ascii="宋体" w:hAnsi="宋体" w:cs="宋体" w:eastAsia="宋体" w:hint="default"/>
          <w:sz w:val="27"/>
          <w:szCs w:val="27"/>
        </w:rPr>
      </w:pPr>
    </w:p>
    <w:p>
      <w:pPr>
        <w:spacing w:line="1392" w:lineRule="exact"/>
        <w:ind w:left="575" w:right="0" w:firstLine="0"/>
        <w:rPr>
          <w:rFonts w:ascii="宋体" w:hAnsi="宋体" w:cs="宋体" w:eastAsia="宋体" w:hint="default"/>
          <w:sz w:val="20"/>
          <w:szCs w:val="20"/>
        </w:rPr>
      </w:pPr>
      <w:r>
        <w:rPr>
          <w:rFonts w:ascii="宋体" w:hAnsi="宋体" w:cs="宋体" w:eastAsia="宋体" w:hint="default"/>
          <w:position w:val="-27"/>
          <w:sz w:val="20"/>
          <w:szCs w:val="20"/>
        </w:rPr>
        <w:pict>
          <v:group style="width:439.8pt;height:69.650pt;mso-position-horizontal-relative:char;mso-position-vertical-relative:line" coordorigin="0,0" coordsize="8796,1393">
            <v:group style="position:absolute;left:14;top:14;width:4414;height:2" coordorigin="14,14" coordsize="4414,2">
              <v:shape style="position:absolute;left:14;top:14;width:4414;height:2" coordorigin="14,14" coordsize="4414,0" path="m14,14l4428,14e" filled="false" stroked="true" strokeweight=".72pt" strokecolor="#000000">
                <v:path arrowok="t"/>
              </v:shape>
            </v:group>
            <v:group style="position:absolute;left:4442;top:14;width:4340;height:2" coordorigin="4442,14" coordsize="4340,2">
              <v:shape style="position:absolute;left:4442;top:14;width:4340;height:2" coordorigin="4442,14" coordsize="4340,0" path="m4442,14l8782,14e" filled="false" stroked="true" strokeweight=".72pt" strokecolor="#000000">
                <v:path arrowok="t"/>
              </v:shape>
            </v:group>
            <v:group style="position:absolute;left:7;top:7;width:2;height:1378" coordorigin="7,7" coordsize="2,1378">
              <v:shape style="position:absolute;left:7;top:7;width:2;height:1378" coordorigin="7,7" coordsize="0,1378" path="m7,7l7,1385e" filled="false" stroked="true" strokeweight=".72pt" strokecolor="#000000">
                <v:path arrowok="t"/>
              </v:shape>
            </v:group>
            <v:group style="position:absolute;left:14;top:1378;width:4414;height:2" coordorigin="14,1378" coordsize="4414,2">
              <v:shape style="position:absolute;left:14;top:1378;width:4414;height:2" coordorigin="14,1378" coordsize="4414,0" path="m14,1378l4428,1378e" filled="false" stroked="true" strokeweight=".74pt" strokecolor="#000000">
                <v:path arrowok="t"/>
              </v:shape>
            </v:group>
            <v:group style="position:absolute;left:4435;top:7;width:2;height:1378" coordorigin="4435,7" coordsize="2,1378">
              <v:shape style="position:absolute;left:4435;top:7;width:2;height:1378" coordorigin="4435,7" coordsize="0,1378" path="m4435,7l4435,1385e" filled="false" stroked="true" strokeweight=".72pt" strokecolor="#000000">
                <v:path arrowok="t"/>
              </v:shape>
            </v:group>
            <v:group style="position:absolute;left:4442;top:1378;width:4340;height:2" coordorigin="4442,1378" coordsize="4340,2">
              <v:shape style="position:absolute;left:4442;top:1378;width:4340;height:2" coordorigin="4442,1378" coordsize="4340,0" path="m4442,1378l8782,1378e" filled="false" stroked="true" strokeweight=".74pt" strokecolor="#000000">
                <v:path arrowok="t"/>
              </v:shape>
            </v:group>
            <v:group style="position:absolute;left:8789;top:7;width:2;height:1378" coordorigin="8789,7" coordsize="2,1378">
              <v:shape style="position:absolute;left:8789;top:7;width:2;height:1378" coordorigin="8789,7" coordsize="0,1378" path="m8789,7l8789,1385e" filled="false" stroked="true" strokeweight=".72pt" strokecolor="#000000">
                <v:path arrowok="t"/>
              </v:shape>
              <v:shape style="position:absolute;left:4435;top:14;width:4354;height:1364" type="#_x0000_t202" filled="false" stroked="false">
                <v:textbox inset="0,0,0,0">
                  <w:txbxContent>
                    <w:p>
                      <w:pPr>
                        <w:spacing w:line="304" w:lineRule="auto" w:before="12"/>
                        <w:ind w:left="9" w:right="2" w:firstLine="0"/>
                        <w:jc w:val="left"/>
                        <w:rPr>
                          <w:rFonts w:ascii="宋体" w:hAnsi="宋体" w:cs="宋体" w:eastAsia="宋体" w:hint="default"/>
                          <w:sz w:val="20"/>
                          <w:szCs w:val="20"/>
                        </w:rPr>
                      </w:pPr>
                      <w:r>
                        <w:rPr>
                          <w:rFonts w:ascii="宋体" w:hAnsi="宋体" w:cs="宋体" w:eastAsia="宋体" w:hint="default"/>
                          <w:sz w:val="20"/>
                          <w:szCs w:val="20"/>
                        </w:rPr>
                        <w:t>产的分类、计量和列报是否正确；</w:t>
                      </w:r>
                      <w:r>
                        <w:rPr>
                          <w:rFonts w:ascii="宋体" w:hAnsi="宋体" w:cs="宋体" w:eastAsia="宋体" w:hint="default"/>
                          <w:w w:val="100"/>
                          <w:sz w:val="20"/>
                          <w:szCs w:val="20"/>
                        </w:rPr>
                        <w:t> </w:t>
                      </w:r>
                      <w:r>
                        <w:rPr>
                          <w:rFonts w:ascii="宋体" w:hAnsi="宋体" w:cs="宋体" w:eastAsia="宋体" w:hint="default"/>
                          <w:spacing w:val="-4"/>
                          <w:sz w:val="20"/>
                          <w:szCs w:val="20"/>
                        </w:rPr>
                        <w:t>通过实施以上程序，根据所取得的审计证据，我们</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5"/>
                          <w:sz w:val="20"/>
                          <w:szCs w:val="20"/>
                        </w:rPr>
                        <w:t>认为管理层对信托计划事项所做出的评估和判断</w:t>
                      </w:r>
                      <w:r>
                        <w:rPr>
                          <w:rFonts w:ascii="宋体" w:hAnsi="宋体" w:cs="宋体" w:eastAsia="宋体" w:hint="default"/>
                          <w:sz w:val="20"/>
                          <w:szCs w:val="20"/>
                        </w:rPr>
                      </w:r>
                    </w:p>
                    <w:p>
                      <w:pPr>
                        <w:spacing w:line="259" w:lineRule="exact" w:before="0"/>
                        <w:ind w:left="9" w:right="0" w:firstLine="0"/>
                        <w:jc w:val="left"/>
                        <w:rPr>
                          <w:rFonts w:ascii="宋体" w:hAnsi="宋体" w:cs="宋体" w:eastAsia="宋体" w:hint="default"/>
                          <w:sz w:val="20"/>
                          <w:szCs w:val="20"/>
                        </w:rPr>
                      </w:pPr>
                      <w:r>
                        <w:rPr>
                          <w:rFonts w:ascii="宋体" w:hAnsi="宋体" w:cs="宋体" w:eastAsia="宋体" w:hint="default"/>
                          <w:sz w:val="20"/>
                          <w:szCs w:val="20"/>
                        </w:rPr>
                        <w:t>是合理的，相关披露是恰当的。</w:t>
                      </w:r>
                    </w:p>
                  </w:txbxContent>
                </v:textbox>
                <w10:wrap type="none"/>
              </v:shape>
            </v:group>
          </v:group>
        </w:pict>
      </w:r>
      <w:r>
        <w:rPr>
          <w:rFonts w:ascii="宋体" w:hAnsi="宋体" w:cs="宋体" w:eastAsia="宋体" w:hint="default"/>
          <w:position w:val="-27"/>
          <w:sz w:val="20"/>
          <w:szCs w:val="20"/>
        </w:rPr>
      </w:r>
    </w:p>
    <w:p>
      <w:pPr>
        <w:pStyle w:val="BodyText"/>
        <w:spacing w:line="405" w:lineRule="auto" w:before="65"/>
        <w:ind w:left="580" w:right="1118"/>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其他信息</w:t>
      </w:r>
      <w:r>
        <w:rPr>
          <w:spacing w:val="-98"/>
        </w:rPr>
        <w:t> </w:t>
      </w:r>
      <w:r>
        <w:rPr>
          <w:spacing w:val="-1"/>
        </w:rPr>
        <w:t>中科金财管理层（以下简称管理层）对其他信息负责。其他信息包括中科金财</w:t>
      </w:r>
      <w:r>
        <w:rPr>
          <w:rFonts w:ascii="Times New Roman" w:hAnsi="Times New Roman" w:cs="Times New Roman" w:eastAsia="Times New Roman" w:hint="default"/>
          <w:spacing w:val="-1"/>
        </w:rPr>
        <w:t>2017</w:t>
      </w:r>
      <w:r>
        <w:rPr>
          <w:spacing w:val="-1"/>
        </w:rPr>
        <w:t>年年度报告中涵盖的信</w:t>
      </w:r>
    </w:p>
    <w:p>
      <w:pPr>
        <w:pStyle w:val="BodyText"/>
        <w:spacing w:line="429" w:lineRule="auto" w:before="38"/>
        <w:ind w:left="580" w:right="0" w:hanging="426"/>
        <w:jc w:val="left"/>
      </w:pPr>
      <w:r>
        <w:rPr/>
        <w:t>息，但不包括财务报表和我们的审计报告。</w:t>
      </w:r>
      <w:r>
        <w:rPr>
          <w:w w:val="100"/>
        </w:rPr>
        <w:t> </w:t>
      </w:r>
      <w:r>
        <w:rPr/>
        <w:t>我们对财务报表发表的审计意见不涵盖其他信息，我们也不对其他信息发表任何形式的鉴证结论。</w:t>
      </w:r>
      <w:r>
        <w:rPr>
          <w:w w:val="100"/>
        </w:rPr>
        <w:t> </w:t>
      </w:r>
      <w:r>
        <w:rPr>
          <w:spacing w:val="-1"/>
        </w:rPr>
        <w:t>结合我们对财务报表的审计，我们的责任是阅读其他信息，在此过程中，考虑其他信息是否与财务报表或</w:t>
      </w:r>
    </w:p>
    <w:p>
      <w:pPr>
        <w:pStyle w:val="BodyText"/>
        <w:spacing w:line="429" w:lineRule="auto"/>
        <w:ind w:left="579" w:right="0" w:hanging="426"/>
        <w:jc w:val="left"/>
      </w:pPr>
      <w:r>
        <w:rPr/>
        <w:t>我们在审计过程中了解到的情况存在重大不一致或者似乎存在重大错报。</w:t>
      </w:r>
      <w:r>
        <w:rPr>
          <w:w w:val="100"/>
        </w:rPr>
        <w:t> </w:t>
      </w:r>
      <w:r>
        <w:rPr>
          <w:spacing w:val="-1"/>
        </w:rPr>
        <w:t>基于我们已执行的工作，如果我们确定其他信息存在重大错报，我们应当报告该事实。在这方面，我们无</w:t>
      </w:r>
    </w:p>
    <w:p>
      <w:pPr>
        <w:pStyle w:val="BodyText"/>
        <w:spacing w:line="240" w:lineRule="auto"/>
        <w:ind w:right="0"/>
        <w:jc w:val="left"/>
      </w:pPr>
      <w:r>
        <w:rPr/>
        <w:t>任何事项需要报告。</w:t>
      </w:r>
    </w:p>
    <w:p>
      <w:pPr>
        <w:spacing w:line="240" w:lineRule="auto" w:before="10"/>
        <w:rPr>
          <w:rFonts w:ascii="宋体" w:hAnsi="宋体" w:cs="宋体" w:eastAsia="宋体" w:hint="default"/>
          <w:sz w:val="15"/>
          <w:szCs w:val="15"/>
        </w:rPr>
      </w:pPr>
    </w:p>
    <w:p>
      <w:pPr>
        <w:pStyle w:val="BodyText"/>
        <w:spacing w:line="405" w:lineRule="auto" w:before="0"/>
        <w:ind w:left="580"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管理层和治理层对财务报表的责任</w:t>
      </w:r>
      <w:r>
        <w:rPr>
          <w:w w:val="100"/>
        </w:rPr>
        <w:t> </w:t>
      </w:r>
      <w:r>
        <w:rPr>
          <w:spacing w:val="-1"/>
        </w:rPr>
        <w:t>管理层负责按照企业会计准则的规定编制财务报表，使其实现公允反映，并设计、执行和维护必要的内部</w:t>
      </w:r>
    </w:p>
    <w:p>
      <w:pPr>
        <w:pStyle w:val="BodyText"/>
        <w:spacing w:line="429" w:lineRule="auto" w:before="68"/>
        <w:ind w:left="580" w:right="0" w:hanging="426"/>
        <w:jc w:val="left"/>
      </w:pPr>
      <w:r>
        <w:rPr/>
        <w:t>控制，以使财务报表不存在由于舞弊或错误导致的重大错报。</w:t>
      </w:r>
      <w:r>
        <w:rPr>
          <w:w w:val="100"/>
        </w:rPr>
        <w:t> </w:t>
      </w:r>
      <w:r>
        <w:rPr>
          <w:spacing w:val="-1"/>
        </w:rPr>
        <w:t>在编制财务报表时，管理层负责评估中科金财的持续经营能力，披露与持续经营相关的事项（如适用），</w:t>
      </w:r>
    </w:p>
    <w:p>
      <w:pPr>
        <w:pStyle w:val="BodyText"/>
        <w:spacing w:line="429" w:lineRule="auto"/>
        <w:ind w:left="580" w:right="1118" w:hanging="426"/>
        <w:jc w:val="left"/>
      </w:pPr>
      <w:r>
        <w:rPr>
          <w:spacing w:val="-1"/>
        </w:rPr>
        <w:t>并运用持续经营假设，除非计划进行清算、终止运营或别无其他现实的选择。</w:t>
      </w:r>
      <w:r>
        <w:rPr>
          <w:spacing w:val="-73"/>
        </w:rPr>
        <w:t> </w:t>
      </w:r>
      <w:r>
        <w:rPr>
          <w:spacing w:val="-73"/>
        </w:rPr>
      </w:r>
      <w:r>
        <w:rPr/>
        <w:t>治理层负责监督中科金财的财务报告过程。</w:t>
      </w:r>
    </w:p>
    <w:p>
      <w:pPr>
        <w:pStyle w:val="BodyText"/>
        <w:spacing w:line="405" w:lineRule="auto"/>
        <w:ind w:left="580" w:right="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注册会计师对财务报表审计的责任</w:t>
      </w:r>
      <w:r>
        <w:rPr>
          <w:w w:val="100"/>
        </w:rPr>
        <w:t> </w:t>
      </w:r>
      <w:r>
        <w:rPr>
          <w:spacing w:val="-1"/>
        </w:rPr>
        <w:t>我们的目标是对财务报表整体是否不存在由于舞弊或错误导致的重大错报获取合理保证，并出具包含审计</w:t>
      </w:r>
    </w:p>
    <w:p>
      <w:pPr>
        <w:pStyle w:val="BodyText"/>
        <w:spacing w:line="429" w:lineRule="auto" w:before="68"/>
        <w:ind w:left="154" w:right="1169"/>
        <w:jc w:val="both"/>
      </w:pPr>
      <w:r>
        <w:rPr>
          <w:spacing w:val="-1"/>
        </w:rPr>
        <w:t>意见的审计报告。合理保证是高水平的保证，但并不能保证按照审计准则执行的审计在某一重大错报存在时总</w:t>
      </w:r>
      <w:r>
        <w:rPr>
          <w:spacing w:val="-63"/>
        </w:rPr>
        <w:t> </w:t>
      </w:r>
      <w:r>
        <w:rPr>
          <w:spacing w:val="-63"/>
        </w:rPr>
      </w:r>
      <w:r>
        <w:rPr>
          <w:spacing w:val="-1"/>
        </w:rPr>
        <w:t>能发现。错报可能由于舞弊或错误导致，如果合理预期错报单独或汇总起来可能影响财务报表使用者依据财务</w:t>
      </w:r>
      <w:r>
        <w:rPr>
          <w:spacing w:val="-63"/>
        </w:rPr>
        <w:t> </w:t>
      </w:r>
      <w:r>
        <w:rPr>
          <w:spacing w:val="-63"/>
        </w:rPr>
      </w:r>
      <w:r>
        <w:rPr/>
        <w:t>报表作出的经济决策，则通常认为错报是重大的。</w:t>
      </w:r>
    </w:p>
    <w:p>
      <w:pPr>
        <w:pStyle w:val="BodyText"/>
        <w:spacing w:line="240" w:lineRule="auto"/>
        <w:ind w:left="580" w:right="0"/>
        <w:jc w:val="left"/>
      </w:pPr>
      <w:r>
        <w:rPr/>
        <w:t>在按照审计准则执行审计工作的过程中，我们运用职业判断，并保持职业怀疑。同时，我们也执行以下工</w:t>
      </w:r>
    </w:p>
    <w:p>
      <w:pPr>
        <w:spacing w:line="240" w:lineRule="auto" w:before="10"/>
        <w:rPr>
          <w:rFonts w:ascii="宋体" w:hAnsi="宋体" w:cs="宋体" w:eastAsia="宋体" w:hint="default"/>
          <w:sz w:val="15"/>
          <w:szCs w:val="15"/>
        </w:rPr>
      </w:pPr>
    </w:p>
    <w:p>
      <w:pPr>
        <w:pStyle w:val="BodyText"/>
        <w:spacing w:line="240" w:lineRule="auto" w:before="0"/>
        <w:ind w:left="154" w:right="0"/>
        <w:jc w:val="left"/>
      </w:pPr>
      <w:r>
        <w:rPr/>
        <w:t>作：</w:t>
      </w:r>
    </w:p>
    <w:p>
      <w:pPr>
        <w:spacing w:line="240" w:lineRule="auto" w:before="10"/>
        <w:rPr>
          <w:rFonts w:ascii="宋体" w:hAnsi="宋体" w:cs="宋体" w:eastAsia="宋体" w:hint="default"/>
          <w:sz w:val="15"/>
          <w:szCs w:val="15"/>
        </w:rPr>
      </w:pPr>
    </w:p>
    <w:p>
      <w:pPr>
        <w:pStyle w:val="BodyText"/>
        <w:spacing w:line="422" w:lineRule="auto" w:before="0"/>
        <w:ind w:right="1130" w:firstLine="426"/>
        <w:jc w:val="both"/>
      </w:pPr>
      <w:r>
        <w:rPr>
          <w:spacing w:val="-3"/>
        </w:rPr>
        <w:t>（</w:t>
      </w:r>
      <w:r>
        <w:rPr>
          <w:rFonts w:ascii="Times New Roman" w:hAnsi="Times New Roman" w:cs="Times New Roman" w:eastAsia="Times New Roman" w:hint="default"/>
          <w:spacing w:val="-3"/>
        </w:rPr>
        <w:t>1</w:t>
      </w:r>
      <w:r>
        <w:rPr>
          <w:spacing w:val="-3"/>
        </w:rPr>
        <w:t>）识别和评估由于舞弊或错误导致的财务报表重大错报风险，设计和实施审计程序以应对这些风险，并</w:t>
      </w:r>
      <w:r>
        <w:rPr>
          <w:w w:val="100"/>
        </w:rPr>
        <w:t> </w:t>
      </w:r>
      <w:r>
        <w:rPr/>
        <w:t>获取充分、适当的审计证据，作为发表审计意见的基础。由于舞弊可能涉及串通、伪造、故意遗漏、虚假陈述</w:t>
      </w:r>
      <w:r>
        <w:rPr>
          <w:w w:val="100"/>
        </w:rPr>
        <w:t> </w:t>
      </w:r>
      <w:r>
        <w:rPr/>
        <w:t>或凌驾于内部控制之上，未能发现由于舞弊导致的重大错报的风险高于未能发现由于错误导致的重大错报的风</w:t>
      </w:r>
      <w:r>
        <w:rPr>
          <w:w w:val="100"/>
        </w:rPr>
        <w:t> </w:t>
      </w:r>
      <w:r>
        <w:rPr/>
        <w:t>险。</w:t>
      </w:r>
    </w:p>
    <w:p>
      <w:pPr>
        <w:pStyle w:val="BodyText"/>
        <w:spacing w:line="240" w:lineRule="auto" w:before="54"/>
        <w:ind w:left="579"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spacing w:line="240" w:lineRule="auto" w:before="8"/>
        <w:rPr>
          <w:rFonts w:ascii="宋体" w:hAnsi="宋体" w:cs="宋体" w:eastAsia="宋体" w:hint="default"/>
          <w:sz w:val="14"/>
          <w:szCs w:val="14"/>
        </w:rPr>
      </w:pPr>
    </w:p>
    <w:p>
      <w:pPr>
        <w:pStyle w:val="BodyText"/>
        <w:spacing w:line="240" w:lineRule="auto" w:before="0"/>
        <w:ind w:left="580"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2" w:lineRule="auto" w:before="0"/>
        <w:ind w:right="1130" w:firstLine="426"/>
        <w:jc w:val="both"/>
      </w:pPr>
      <w:r>
        <w:rPr>
          <w:spacing w:val="-3"/>
        </w:rPr>
        <w:t>（</w:t>
      </w:r>
      <w:r>
        <w:rPr>
          <w:rFonts w:ascii="Times New Roman" w:hAnsi="Times New Roman" w:cs="Times New Roman" w:eastAsia="Times New Roman" w:hint="default"/>
          <w:spacing w:val="-3"/>
        </w:rPr>
        <w:t>4</w:t>
      </w:r>
      <w:r>
        <w:rPr>
          <w:spacing w:val="-3"/>
        </w:rPr>
        <w:t>）对管理层使用持续经营假设的恰当性得出结论。同时，根据获取的审计证据，就可能导致对中科金财</w:t>
      </w:r>
      <w:r>
        <w:rPr>
          <w:w w:val="100"/>
        </w:rPr>
        <w:t> </w:t>
      </w:r>
      <w:r>
        <w:rPr/>
        <w:t>持续经营能力产生重大疑虑的事项或情况是否存在重大不确定性得出结论。如果我们得出结论认为存在重大不</w:t>
      </w:r>
      <w:r>
        <w:rPr>
          <w:w w:val="100"/>
        </w:rPr>
        <w:t> </w:t>
      </w:r>
      <w:r>
        <w:rPr/>
        <w:t>确定性，审计准则要求我们在审计报告中提请报表使用者注意财务报表中的相关披露；如果披露不充分，我们</w:t>
      </w:r>
      <w:r>
        <w:rPr>
          <w:w w:val="100"/>
        </w:rPr>
        <w:t> </w:t>
      </w:r>
      <w:r>
        <w:rPr/>
        <w:t>应当发表非无保留意见。我们的结论基于截至审计报告日可获得的信息。然而，未来的事项或情况可能导致中</w:t>
      </w:r>
      <w:r>
        <w:rPr>
          <w:w w:val="100"/>
        </w:rPr>
        <w:t> </w:t>
      </w:r>
      <w:r>
        <w:rPr/>
        <w:t>科金财不能持续经营。</w:t>
      </w:r>
    </w:p>
    <w:p>
      <w:pPr>
        <w:pStyle w:val="BodyText"/>
        <w:spacing w:line="240" w:lineRule="auto" w:before="54"/>
        <w:ind w:left="579" w:right="0"/>
        <w:jc w:val="left"/>
      </w:pPr>
      <w:r>
        <w:rPr>
          <w:spacing w:val="-5"/>
        </w:rPr>
        <w:t>（</w:t>
      </w:r>
      <w:r>
        <w:rPr>
          <w:rFonts w:ascii="Times New Roman" w:hAnsi="Times New Roman" w:cs="Times New Roman" w:eastAsia="Times New Roman" w:hint="default"/>
          <w:spacing w:val="-5"/>
        </w:rPr>
        <w:t>5</w:t>
      </w:r>
      <w:r>
        <w:rPr>
          <w:spacing w:val="-5"/>
        </w:rPr>
        <w:t>）评价财务报表的总体列报、结构和内容（包括披露），并评价财务报表是否公允反映相关交易和事项。</w:t>
      </w:r>
    </w:p>
    <w:p>
      <w:pPr>
        <w:spacing w:line="240" w:lineRule="auto" w:before="8"/>
        <w:rPr>
          <w:rFonts w:ascii="宋体" w:hAnsi="宋体" w:cs="宋体" w:eastAsia="宋体" w:hint="default"/>
          <w:sz w:val="14"/>
          <w:szCs w:val="14"/>
        </w:rPr>
      </w:pPr>
    </w:p>
    <w:p>
      <w:pPr>
        <w:pStyle w:val="BodyText"/>
        <w:spacing w:line="405" w:lineRule="auto" w:before="0"/>
        <w:ind w:right="1042" w:firstLine="426"/>
        <w:jc w:val="both"/>
      </w:pPr>
      <w:r>
        <w:rPr>
          <w:spacing w:val="-1"/>
        </w:rPr>
        <w:t>（</w:t>
      </w:r>
      <w:r>
        <w:rPr>
          <w:rFonts w:ascii="Times New Roman" w:hAnsi="Times New Roman" w:cs="Times New Roman" w:eastAsia="Times New Roman" w:hint="default"/>
          <w:spacing w:val="-1"/>
        </w:rPr>
        <w:t>6</w:t>
      </w:r>
      <w:r>
        <w:rPr>
          <w:spacing w:val="-1"/>
        </w:rPr>
        <w:t>）就中科金财中实体或业务活动的财务信息获取充分、适当的审计证据，以对财务报表发表审计意见。</w:t>
      </w:r>
      <w:r>
        <w:rPr>
          <w:w w:val="100"/>
        </w:rPr>
        <w:t> </w:t>
      </w:r>
      <w:r>
        <w:rPr/>
        <w:t>我们负责指导、监督和执行集团审计，并对审计意见承担全部责任。</w:t>
      </w:r>
    </w:p>
    <w:p>
      <w:pPr>
        <w:pStyle w:val="BodyText"/>
        <w:spacing w:line="429" w:lineRule="auto" w:before="68"/>
        <w:ind w:right="1142" w:firstLine="426"/>
        <w:jc w:val="both"/>
      </w:pPr>
      <w:r>
        <w:rPr>
          <w:spacing w:val="-1"/>
        </w:rPr>
        <w:t>我们与治理层就计划的审计范围、时间安排和重大审计发现等事项进行沟通，包括沟通我们在审计中识别</w:t>
      </w:r>
      <w:r>
        <w:rPr>
          <w:w w:val="100"/>
        </w:rPr>
        <w:t> </w:t>
      </w:r>
      <w:r>
        <w:rPr/>
        <w:t>出的值得关注的内部控制缺陷。</w:t>
      </w:r>
    </w:p>
    <w:p>
      <w:pPr>
        <w:pStyle w:val="BodyText"/>
        <w:spacing w:line="429" w:lineRule="auto"/>
        <w:ind w:right="1142" w:firstLine="426"/>
        <w:jc w:val="both"/>
      </w:pPr>
      <w:r>
        <w:rPr>
          <w:spacing w:val="-1"/>
        </w:rPr>
        <w:t>我们还就已遵守与独立性相关的职业道德要求向治理层提供声明，并与治理层沟通可能被合理认为影响我</w:t>
      </w:r>
      <w:r>
        <w:rPr>
          <w:w w:val="100"/>
        </w:rPr>
        <w:t> </w:t>
      </w:r>
      <w:r>
        <w:rPr/>
        <w:t>们独立性的所有关系和其他事项，以及相关的防范措施（如适用）。</w:t>
      </w:r>
    </w:p>
    <w:p>
      <w:pPr>
        <w:pStyle w:val="BodyText"/>
        <w:spacing w:line="429" w:lineRule="auto"/>
        <w:ind w:right="1142" w:firstLine="426"/>
        <w:jc w:val="both"/>
      </w:pPr>
      <w:r>
        <w:rPr>
          <w:spacing w:val="-1"/>
        </w:rPr>
        <w:t>从与治理层沟通过的事项中，我们确定哪些事项对本期财务报表审计最为重要，因而构成关键审计事项。</w:t>
      </w:r>
      <w:r>
        <w:rPr>
          <w:w w:val="100"/>
        </w:rPr>
        <w:t> </w:t>
      </w:r>
      <w:r>
        <w:rPr/>
        <w:t>我们在审计报告中描述这些事项，除非法律法规禁止公开披露这些事项，或在极少数情形下，如果合理预期在</w:t>
      </w:r>
      <w:r>
        <w:rPr>
          <w:w w:val="100"/>
        </w:rPr>
        <w:t> </w:t>
      </w:r>
      <w:r>
        <w:rPr/>
        <w:t>审计报告中沟通某事项造成的负面后果超过在公众利益方面产生的益处，我们确定不应在审计报告中沟通该事</w:t>
      </w:r>
      <w:r>
        <w:rPr>
          <w:w w:val="100"/>
        </w:rPr>
        <w:t> </w:t>
      </w:r>
      <w:r>
        <w:rPr/>
        <w:t>项。</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二、财务报表" w:id="156"/>
      <w:bookmarkEnd w:id="156"/>
      <w:r>
        <w:rPr>
          <w:b w:val="0"/>
          <w:bCs w:val="0"/>
        </w:rPr>
      </w:r>
      <w:r>
        <w:rPr/>
        <w:t>二、财务报表</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0"/>
        <w:jc w:val="left"/>
      </w:pPr>
      <w:r>
        <w:rPr/>
        <w:t>财务附注中报表的单位为：人民币元</w:t>
      </w:r>
    </w:p>
    <w:p>
      <w:pPr>
        <w:spacing w:line="240" w:lineRule="auto" w:before="13"/>
        <w:rPr>
          <w:rFonts w:ascii="宋体" w:hAnsi="宋体" w:cs="宋体" w:eastAsia="宋体" w:hint="default"/>
          <w:sz w:val="25"/>
          <w:szCs w:val="25"/>
        </w:rPr>
      </w:pPr>
    </w:p>
    <w:p>
      <w:pPr>
        <w:pStyle w:val="Heading3"/>
        <w:spacing w:line="240" w:lineRule="auto"/>
        <w:ind w:left="153" w:right="0"/>
        <w:jc w:val="left"/>
        <w:rPr>
          <w:b w:val="0"/>
          <w:bCs w:val="0"/>
        </w:rPr>
      </w:pPr>
      <w:bookmarkStart w:name="1、合并资产负债表" w:id="157"/>
      <w:bookmarkEnd w:id="15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编制单位：北京中科金财科技股份有限公司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575" w:space="50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677,014,224.38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744,234,729.32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8,137,514.49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15,819,408.67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91,638,649.96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75,864,050.49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6,159,904.41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20,532,649.50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64,796,993.48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38,610,879.54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458,110,365.52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283,664,703.12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2,097,788,069.28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1,069,916,633.93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3,403,645,721.52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2,248,643,054.57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19,248,400.00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150,148,400.00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308,678,354.19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344,667,072.99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28,697,969.27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45,318,385.37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76,282.04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1,075,348.71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77,938,706.58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116,032,496.38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42,594,598.91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19,258,498.39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328,615,904.09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696,991,143.95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1,557,866.93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3,913,919.15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15,526,828.46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14,306,505.46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322,990,025.18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14,036,112.82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1,145,924,935.65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1,405,747,883.22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4,549,570,657.17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3,654,390,937.79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270,960,365.89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272,518,102.26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162,404,314.69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322,657,725.68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312,520,269.25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9,965,860.99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23,398,325.46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19,925,775.84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27,323,104.30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11,124,445.50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11,124,445.50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155,095,955.99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46,595,507.53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280,137,562.92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550,595,620.43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211,555.56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1,893,431,415.50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588,297,522.29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220,782,000.00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94,617,770.41</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7,634,245.36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15,987,539.34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102,252,015.77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236,769,539.34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1,995,683,431.27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825,067,061.63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337,576,686.00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337,576,686.00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1,773,201,926.11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1,773,131,516.37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1,121.95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63,243,798.06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51,874,852.07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343,508,039.25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608,374,942.46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2,517,531,571.37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2,770,957,996.90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36,355,654.53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58,365,879.26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2,553,887,225.90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2,829,323,876.16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4,549,570,657.17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3,654,390,937.79</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法定代表人：朱烨东</w:t>
        <w:tab/>
        <w:t>主管会计工作负责人：赵学荣</w:t>
        <w:tab/>
        <w:t>会计机构负责人：洪珊</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58"/>
      <w:bookmarkEnd w:id="15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347,126,239.47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372,645,660.66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8,137,514.49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9,819,408.67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67,534,743.14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41,898,932.49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3,703,117.44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14,966,510.66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524,568,713.44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47,791,361.81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446,266,148.23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269,103,188.47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538,318,627.05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915,180,644.78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1,935,655,103.26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1,671,405,707.54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1,892,955,051.50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1,391,361,975.21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13,753,916.19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22,300,280.12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61,727,772.47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84,663,555.83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41,662,648.01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19,258,498.39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86,726.74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11,472,333.76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10,743,665.18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22,990,025.18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14,036,112.82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2,049,448,473.85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1,678,164,087.55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3,985,103,577.11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3,349,569,795.09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270,938,365.89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267,144,793.44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149,015,135.01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321,539,019.43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295,573,980.81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7,370,664.08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10,974,444.91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15,241,107.86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10,270,231.59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11,124,445.50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11,124,445.50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27,499,039.18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46,125,330.24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280,137,562.92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1,201,444,998.30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527,783,568.06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220,782,000.00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94,617,770.41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7,634,245.36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15,987,539.34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102,252,015.77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236,769,539.34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1,303,697,014.07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764,553,107.40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337,576,686.00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337,576,686.00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1,775,741,179.64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1,775,741,179.64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63,243,798.06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51,916,927.09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504,844,899.34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419,781,894.96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2,681,406,563.04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2,585,016,687.69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3,985,103,577.11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3,349,569,795.09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59"/>
      <w:bookmarkEnd w:id="15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1,226,017,671.63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1,380,123,898.84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1,226,017,671.63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1,380,123,898.84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1,558,521,723.13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1,242,435,881.64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872,785,100.34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1,000,287,625.19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5,260,166.73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5,750,757.90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45,035,159.71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39,987,822.40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235,754,052.26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190,494,171.83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10,499,115.45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2,676,799.58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389,188,128.64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3,238,704.74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74,304,927.09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60,684,790.52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108.179985pt;width:157.7pt;height:19.650pt;mso-position-horizontal-relative:page;mso-position-vertical-relative:page;z-index:-1131880" coordorigin="4242,2164" coordsize="3154,393">
            <v:shape style="position:absolute;left:4242;top:2164;width:3154;height:393" coordorigin="4242,2164" coordsize="3154,393" path="m4242,2556l7396,2556,7396,2164,4242,2164,4242,2556xe" filled="true" fillcolor="#ffffff" stroked="false">
              <v:path arrowok="t"/>
              <v:fill type="solid"/>
            </v:shape>
            <w10:wrap type="none"/>
          </v:group>
        </w:pict>
      </w:r>
      <w:r>
        <w:rPr/>
        <w:pict>
          <v:group style="position:absolute;margin-left:212.119995pt;margin-top:244.399979pt;width:157.7pt;height:19.650pt;mso-position-horizontal-relative:page;mso-position-vertical-relative:page;z-index:-1131856" coordorigin="4242,4888" coordsize="3154,393">
            <v:shape style="position:absolute;left:4242;top:4888;width:3154;height:393" coordorigin="4242,4888" coordsize="3154,393" path="m4242,5280l7396,5280,7396,4888,4242,4888,4242,52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30"/>
        <w:gridCol w:w="2181"/>
        <w:gridCol w:w="3278"/>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8,645,464.58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12,731,283.04</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-340,290.42</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-26,698,537.71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12,967,825.73</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-245,571,589.10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171,674,270.01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551,747.66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29,162,615.29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114,798.79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2,607,239.36</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3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67" w:right="0"/>
              <w:jc w:val="left"/>
              <w:rPr>
                <w:rFonts w:ascii="Times New Roman" w:hAnsi="Times New Roman" w:cs="Times New Roman" w:eastAsia="Times New Roman" w:hint="default"/>
                <w:sz w:val="18"/>
                <w:szCs w:val="18"/>
              </w:rPr>
            </w:pPr>
            <w:r>
              <w:rPr>
                <w:rFonts w:ascii="Times New Roman"/>
                <w:sz w:val="18"/>
              </w:rPr>
              <w:t>-245,134,640.23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198,229,645.94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12,966,372.70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20,487,886.60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-258,101,012.93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177,741,759.34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-258,101,012.93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177,741,759.34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-236,661,197.94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177,933,924.25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-21,439,814.99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-192,164.91</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1,121.95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-31,771.66</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1,121.95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-56,589.38</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1,121.95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-56,589.38</w:t>
            </w:r>
            <w:r>
              <w:rPr>
                <w:rFonts w:ascii="Times New Roman"/>
                <w:sz w:val="18"/>
              </w:rPr>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1,121.95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-56,589.38</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24,817.72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-258,099,890.98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177,709,987.68</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-236,660,075.99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177,877,334.87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-21,439,814.99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-167,347.19</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-0.70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-0.70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r>
    </w:tbl>
    <w:p>
      <w:pPr>
        <w:tabs>
          <w:tab w:pos="3664" w:val="left" w:leader="none"/>
          <w:tab w:pos="7895" w:val="left" w:leader="none"/>
        </w:tabs>
        <w:spacing w:line="592" w:lineRule="auto" w:before="51"/>
        <w:ind w:left="153"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法定代表人：朱烨东</w:t>
        <w:tab/>
        <w:t>主管会计工作负责人：赵学荣</w:t>
        <w:tab/>
        <w:t>会计机构负责人：洪珊 </w:t>
      </w:r>
      <w:bookmarkStart w:name="4、母公司利润表" w:id="160"/>
      <w:bookmarkEnd w:id="160"/>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1,101,689,599.97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1,144,178,972.49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845,792,853.61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927,874,545.42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3,568,573.01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3,097,809.29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32,229,925.88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34,001,363.19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142,923,210.33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143,885,812.54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14,287,263.25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8,011,938.49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712,541.72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2,157,879.95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54,453,720.50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33,239,076.27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7,693,093.98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11,720,828.70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-393,341.18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-1,359,336.99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9,760,668.63</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125,996,280.12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57,029,362.89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467,712.66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12,473,211.60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1,000,005.40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126,363,992.78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68,502,569.09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13,095,283.13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3,997,404.86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113,268,709.65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64,505,164.23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113,268,709.65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64,505,164.23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113,268,709.65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64,505,164.23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53" w:right="0"/>
        <w:jc w:val="left"/>
        <w:rPr>
          <w:b w:val="0"/>
          <w:bCs w:val="0"/>
        </w:rPr>
      </w:pPr>
      <w:bookmarkStart w:name="5、合并现金流量表" w:id="161"/>
      <w:bookmarkEnd w:id="16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1,398,227,962.45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1,573,266,762.44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4,114,531.75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14,947,387.59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275,084,217.33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186,582,460.73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1,677,426,711.53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1,774,796,610.76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1,057,385,345.95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1,100,073,611.61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148,396,481.56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112,174,856.23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55,859,571.67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78,932,995.26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307,357,121.75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216,064,865.15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1,568,998,520.93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1,507,246,328.25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108,428,190.60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267,550,282.51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5,714,367,763.62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4,162,150,000.00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90,864,060.65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25,883,284.28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143,650.00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11,057,718.38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41,405,771.20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5,846,781,245.47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4,199,091,002.66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44,321,255.22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35,529,297.51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6,435,263,428.58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5,083,859,600.00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22,101,116.23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82,654,947.52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11,231,600.00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5,268,027.76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6,512,917,400.03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5,207,311,872.79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-666,136,154.56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-1,008,220,870.13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960,200,923.96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700,935.00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594,729,365.89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37,823,459.00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160,367,043.86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6,693,034.75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755,096,409.75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1,004,717,417.71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312,851,000.00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54,241,009.27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48,079,013.32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30,843,815.07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12,757,675.24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6,551,403.30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373,687,688.56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91,636,227.64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381,408,721.19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913,081,190.07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72,926.96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-176,297,896.41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172,483,529.41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722,957,530.04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550,474,000.63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546,659,633.63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722,957,530.04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2"/>
      <w:bookmarkEnd w:id="16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1,263,473,357.45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1,365,829,897.59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1,407,374.65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3,426,216.34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321,699,556.14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172,343,427.67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1,586,580,288.24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1,541,599,541.60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1,027,888,473.24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1,070,369,469.64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94,916,915.24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87,791,202.28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33,288,590.92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44,218,894.29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372,896,460.82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209,384,471.88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1,528,990,440.22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1,411,764,038.09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57,589,848.02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129,835,503.51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4,717,219,606.13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3,765,792,547.57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59,039,109.90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23,430,601.48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98,310.00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350,300.00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4,776,357,026.03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3,789,573,449.05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41,556,699.28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24,278,930.96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5,208,831,437.08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4,765,201,474.67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5,250,388,136.36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4,789,584,405.63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-474,031,110.33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-1,000,010,956.58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959,499,988.96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270,938,365.89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37,803,459.00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160,367,043.86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6,693,034.75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431,305,409.75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1,003,996,482.71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54,241,009.27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36,746,983.90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30,843,372.81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12,257,675.24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4,351,403.30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53,004,659.14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89,435,785.38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378,300,750.61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914,560,697.33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-38,140,511.70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44,385,244.26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351,368,461.38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306,983,217.12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313,227,949.68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351,368,461.38</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63"/>
      <w:bookmarkEnd w:id="16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337,57</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6,686.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1,773,1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31,516.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51,874,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852.07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608,374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,942.46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58,365,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879.26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23,876.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337,57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6,686.</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1,773,1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31,516.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51,874,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852.07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608,374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,942.46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58,365,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879.26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23,876.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70,409.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11,368,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945.99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6,903.2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-22,010,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224.73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6,650.2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1,197.9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-21,439,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814.99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9,890.9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70,409.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-570,40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9.74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70,409.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-570,40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9.74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11,326,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870.97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-28,205,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705.27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-16,878,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834.30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11,326,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870.97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-11,326,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870.97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-16,878,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834.30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-16,878,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834.30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337,57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6,686.</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1,773,2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01,926.</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63,243,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798.06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343,508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,039.25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36,355,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654.53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87,225.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316,97</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9,102.</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839,133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,707.03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45,424,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335.65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450,394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,854.26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4,876,4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33.13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1,656,8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65,021.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45</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316,97</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9,102.</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839,133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,707.03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45,424,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335.65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450,394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,854.26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4,876,4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33.13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1,656,8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65,021.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45</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20,597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,584.0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933,997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,809.34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6,450,5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16.42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157,980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,088.20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53,489,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446.13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1,172,4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58,854.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-56,589.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177,933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,924.25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-167,34</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7.19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177,709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,987.68</w:t>
            </w: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20,597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,584.0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933,997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,809.34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-252.19</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53,656,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793.32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1,008,2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51,934.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r>
      <w:tr>
        <w:trPr>
          <w:trHeight w:val="70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20,597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,584.0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936,638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,798.81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51,015,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551.66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1,008,2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51,934.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r>
      <w:tr>
        <w:trPr>
          <w:trHeight w:val="70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2"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-2,640,9</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89.47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-252.19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2,641,2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41.66</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6,450,5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16.42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-19,953,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583.86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-13,503,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067.44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6,450,5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16.42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-6,450,5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16.42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-13,503,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067.44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-13,503,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067.44</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337,57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6,686.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31,516.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51,874,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852.07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608,374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,942.46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58,365,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879.26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23,876.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母公司所有者权益变动表" w:id="164"/>
      <w:bookmarkEnd w:id="16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813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bl>
    <w:p>
      <w:pPr>
        <w:spacing w:after="0" w:line="240" w:lineRule="auto"/>
        <w:jc w:val="center"/>
        <w:rPr>
          <w:rFonts w:ascii="宋体" w:hAnsi="宋体" w:cs="宋体" w:eastAsia="宋体" w:hint="default"/>
          <w:sz w:val="18"/>
          <w:szCs w:val="18"/>
        </w:rPr>
        <w:sectPr>
          <w:footerReference w:type="default" r:id="rId16"/>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206"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tcBorders>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337,576,</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686.00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1,775,741</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,179.64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51,916,92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7.09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419,781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,894.96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2,585,016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,687.69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337,576,</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686.00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1,775,741</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,179.64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51,916,92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7.09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419,781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,894.96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2,585,016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,687.69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11,326,87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0.97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85,063,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004.38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96,389,87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5.35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113,268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,709.65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113,268,7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09.65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11,326,87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0.97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-28,205,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705.27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-16,878,8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34.30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11,326,87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0.97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-11,326,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870.97</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-16,878,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834.30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-16,878,8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34.30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337,576,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1,775,741</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,179.64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63,243,79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504,844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,899.34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2,681,406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,563.04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316,979,</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102.00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839,102,3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80.83</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45,466,41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0.67</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375,230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,314.59</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1,576,778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,208.09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316,979,</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102.00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839,102,3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80.83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45,466,41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0.67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375,230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,314.59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1,576,778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,208.09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20,597,5</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84.00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936,638,7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98.81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6,450,516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44,551,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580.37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1,008,238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,479.60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64,505,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164.23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64,505,16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4.23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20,597,5</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84.00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936,638,7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98.81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957,236,3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82.81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20,597,5</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84.00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936,638,7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98.81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957,236,3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82.81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6,450,516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-19,953,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583.86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-13,503,0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67.44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6,450,516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-6,450,5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16.42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-13,503,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067.44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-13,503,0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67.44</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337,576,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1,775,741</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,179.64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51,916,92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7.09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419,781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,894.96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2,585,016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,687.69</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65"/>
      <w:bookmarkEnd w:id="165"/>
      <w:r>
        <w:rPr>
          <w:b w:val="0"/>
          <w:bCs w:val="0"/>
        </w:rPr>
      </w:r>
      <w:r>
        <w:rPr/>
        <w:t>三、公司基本情况</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right="1118" w:firstLine="426"/>
        <w:jc w:val="left"/>
      </w:pPr>
      <w:r>
        <w:rPr>
          <w:spacing w:val="-3"/>
        </w:rPr>
        <w:t>北京中科金财科技股份有限公司（以下简称“公司”或“本公司”）系于</w:t>
      </w:r>
      <w:r>
        <w:rPr>
          <w:rFonts w:ascii="宋体" w:hAnsi="宋体" w:cs="宋体" w:eastAsia="宋体" w:hint="default"/>
          <w:spacing w:val="-3"/>
        </w:rPr>
        <w:t>2007</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26</w:t>
      </w:r>
      <w:r>
        <w:rPr>
          <w:spacing w:val="-3"/>
        </w:rPr>
        <w:t>日经北京市工商行政</w:t>
      </w:r>
      <w:r>
        <w:rPr>
          <w:w w:val="100"/>
        </w:rPr>
        <w:t> </w:t>
      </w:r>
      <w:r>
        <w:rPr/>
        <w:t>管理局批准，由北京中科金财科技有限公司整体改制的股份有限公司。公司的统一社会信用代码：</w:t>
      </w:r>
      <w:r>
        <w:rPr>
          <w:w w:val="100"/>
        </w:rPr>
        <w:t> </w:t>
      </w:r>
      <w:r>
        <w:rPr>
          <w:rFonts w:ascii="宋体" w:hAnsi="宋体" w:cs="宋体" w:eastAsia="宋体" w:hint="default"/>
        </w:rPr>
        <w:t>91110000757740123M</w:t>
      </w:r>
      <w:r>
        <w:rPr/>
        <w:t>。</w:t>
      </w:r>
      <w:r>
        <w:rPr>
          <w:spacing w:val="-11"/>
        </w:rPr>
        <w:t> </w:t>
      </w:r>
      <w:r>
        <w:rPr>
          <w:rFonts w:ascii="宋体" w:hAnsi="宋体" w:cs="宋体" w:eastAsia="宋体" w:hint="default"/>
        </w:rPr>
        <w:t>2012</w:t>
      </w:r>
      <w:r>
        <w:rPr/>
        <w:t>年</w:t>
      </w:r>
      <w:r>
        <w:rPr>
          <w:rFonts w:ascii="宋体" w:hAnsi="宋体" w:cs="宋体" w:eastAsia="宋体" w:hint="default"/>
        </w:rPr>
        <w:t>2</w:t>
      </w:r>
      <w:r>
        <w:rPr/>
        <w:t>月在深圳证券交易所上市，所属行业为电子类软件和信息技术服务业。</w:t>
      </w:r>
    </w:p>
    <w:p>
      <w:pPr>
        <w:pStyle w:val="BodyText"/>
        <w:spacing w:line="429" w:lineRule="auto"/>
        <w:ind w:right="1029" w:firstLine="426"/>
        <w:jc w:val="left"/>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日，本公司累计发行股本总数</w:t>
      </w:r>
      <w:r>
        <w:rPr>
          <w:rFonts w:ascii="宋体" w:hAnsi="宋体" w:cs="宋体" w:eastAsia="宋体" w:hint="default"/>
        </w:rPr>
        <w:t>337,576,686.00</w:t>
      </w:r>
      <w:r>
        <w:rPr/>
        <w:t>股，注册资本为</w:t>
      </w:r>
      <w:r>
        <w:rPr>
          <w:rFonts w:ascii="宋体" w:hAnsi="宋体" w:cs="宋体" w:eastAsia="宋体" w:hint="default"/>
        </w:rPr>
        <w:t>337,576,686.00</w:t>
      </w:r>
      <w:r>
        <w:rPr/>
        <w:t>元。注册</w:t>
      </w:r>
      <w:r>
        <w:rPr>
          <w:w w:val="100"/>
        </w:rPr>
        <w:t> </w:t>
      </w:r>
      <w:r>
        <w:rPr/>
        <w:t>地</w:t>
      </w:r>
      <w:r>
        <w:rPr>
          <w:rFonts w:ascii="宋体" w:hAnsi="宋体" w:cs="宋体" w:eastAsia="宋体" w:hint="default"/>
        </w:rPr>
        <w:t>: </w:t>
      </w:r>
      <w:r>
        <w:rPr/>
        <w:t>北京市海淀区学院路 </w:t>
      </w:r>
      <w:r>
        <w:rPr>
          <w:rFonts w:ascii="宋体" w:hAnsi="宋体" w:cs="宋体" w:eastAsia="宋体" w:hint="default"/>
          <w:spacing w:val="-3"/>
        </w:rPr>
        <w:t>39</w:t>
      </w:r>
      <w:r>
        <w:rPr>
          <w:spacing w:val="-3"/>
        </w:rPr>
        <w:t>号唯实大厦</w:t>
      </w:r>
      <w:r>
        <w:rPr>
          <w:rFonts w:ascii="宋体" w:hAnsi="宋体" w:cs="宋体" w:eastAsia="宋体" w:hint="default"/>
          <w:spacing w:val="-3"/>
        </w:rPr>
        <w:t>1006</w:t>
      </w:r>
      <w:r>
        <w:rPr>
          <w:spacing w:val="-3"/>
        </w:rPr>
        <w:t>室，总部地址：北京市海淀区学院路</w:t>
      </w:r>
      <w:r>
        <w:rPr>
          <w:rFonts w:ascii="宋体" w:hAnsi="宋体" w:cs="宋体" w:eastAsia="宋体" w:hint="default"/>
          <w:spacing w:val="-3"/>
        </w:rPr>
        <w:t>39</w:t>
      </w:r>
      <w:r>
        <w:rPr>
          <w:spacing w:val="-3"/>
        </w:rPr>
        <w:t>号唯实大厦</w:t>
      </w:r>
      <w:r>
        <w:rPr>
          <w:rFonts w:ascii="宋体" w:hAnsi="宋体" w:cs="宋体" w:eastAsia="宋体" w:hint="default"/>
          <w:spacing w:val="-3"/>
        </w:rPr>
        <w:t>10</w:t>
      </w:r>
      <w:r>
        <w:rPr>
          <w:spacing w:val="-3"/>
        </w:rPr>
        <w:t>层。本公司主</w:t>
      </w:r>
      <w:r>
        <w:rPr>
          <w:spacing w:val="-50"/>
        </w:rPr>
        <w:t> </w:t>
      </w:r>
      <w:r>
        <w:rPr>
          <w:spacing w:val="-50"/>
        </w:rPr>
      </w:r>
      <w:r>
        <w:rPr>
          <w:spacing w:val="-2"/>
        </w:rPr>
        <w:t>要经营活动为：计算机软件技术开发；计算机系统集成及服务；与计算机技术相关的产品销售及其他衍生业务。</w:t>
      </w:r>
      <w:r>
        <w:rPr>
          <w:spacing w:val="-78"/>
        </w:rPr>
        <w:t> </w:t>
      </w:r>
      <w:r>
        <w:rPr>
          <w:spacing w:val="-78"/>
        </w:rPr>
      </w:r>
      <w:r>
        <w:rPr/>
        <w:t>本公司的实际控制人为沈飒、朱烨东夫妇。</w:t>
      </w:r>
    </w:p>
    <w:p>
      <w:pPr>
        <w:pStyle w:val="BodyText"/>
        <w:spacing w:line="429" w:lineRule="auto"/>
        <w:ind w:left="579" w:right="0"/>
        <w:jc w:val="left"/>
      </w:pPr>
      <w:r>
        <w:rPr/>
        <w:t>本财务报表业经公司全体董事于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16</w:t>
      </w:r>
      <w:r>
        <w:rPr/>
        <w:t>日批准报出。</w:t>
      </w:r>
      <w:r>
        <w:rPr>
          <w:w w:val="100"/>
        </w:rPr>
        <w:t> </w:t>
      </w:r>
      <w:r>
        <w:rPr>
          <w:spacing w:val="-1"/>
        </w:rPr>
        <w:t>截至</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日止，本公司合并财务报表范围内子公司如下：</w:t>
      </w:r>
    </w:p>
    <w:p>
      <w:pPr>
        <w:spacing w:after="0" w:line="42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before="0"/>
        <w:ind w:right="1142" w:firstLine="426"/>
        <w:jc w:val="both"/>
      </w:pPr>
      <w:r>
        <w:rPr>
          <w:spacing w:val="-1"/>
        </w:rPr>
        <w:t>子公司名称：天津滨河创新科技有限公司、北京中科金财电子商务有限公司、北京中科金财软件技术有限</w:t>
      </w:r>
      <w:r>
        <w:rPr>
          <w:w w:val="100"/>
        </w:rPr>
        <w:t> </w:t>
      </w:r>
      <w:r>
        <w:rPr/>
        <w:t>公司、北京中科金财投资管理有限公司、中科金财（上海）互联网金融信息服务有限公司、北京中科金财互联</w:t>
      </w:r>
      <w:r>
        <w:rPr>
          <w:w w:val="100"/>
        </w:rPr>
        <w:t> </w:t>
      </w:r>
      <w:r>
        <w:rPr/>
        <w:t>网服务有限公司、北京国信金泽投资中心（有限合伙）、天津滨河创新电子科技有限公司、天津壬辰软件开发</w:t>
      </w:r>
      <w:r>
        <w:rPr>
          <w:w w:val="100"/>
        </w:rPr>
        <w:t> </w:t>
      </w:r>
      <w:r>
        <w:rPr/>
        <w:t>有限公司、大连鼎运企业管理有限公司、上海中科金财资产管理中心（有限合伙）、大连金融资产交易所有限</w:t>
      </w:r>
      <w:r>
        <w:rPr>
          <w:w w:val="100"/>
        </w:rPr>
        <w:t> </w:t>
      </w:r>
      <w:r>
        <w:rPr/>
        <w:t>公司、深圳前海中科金财金控投资有限公司、深圳中金财富互联网金融服务有限公司、霍尔果斯滨河创新软件</w:t>
      </w:r>
      <w:r>
        <w:rPr>
          <w:w w:val="100"/>
        </w:rPr>
        <w:t> </w:t>
      </w:r>
      <w:r>
        <w:rPr/>
        <w:t>技术有限公司、霍尔果斯金财科技服务有限公司、华缔资产管理（北京）有限公司、中科金财保险经纪有限公</w:t>
      </w:r>
      <w:r>
        <w:rPr>
          <w:w w:val="100"/>
        </w:rPr>
        <w:t> </w:t>
      </w:r>
      <w:r>
        <w:rPr/>
        <w:t>司、香港中科金财科技有限公司。</w:t>
      </w:r>
    </w:p>
    <w:p>
      <w:pPr>
        <w:pStyle w:val="BodyText"/>
        <w:spacing w:line="240" w:lineRule="auto"/>
        <w:ind w:left="579" w:right="0"/>
        <w:jc w:val="left"/>
      </w:pPr>
      <w:r>
        <w:rPr>
          <w:w w:val="100"/>
        </w:rPr>
        <w:t>本期合</w:t>
      </w:r>
      <w:r>
        <w:rPr>
          <w:spacing w:val="-2"/>
          <w:w w:val="100"/>
        </w:rPr>
        <w:t>并</w:t>
      </w:r>
      <w:r>
        <w:rPr>
          <w:w w:val="100"/>
        </w:rPr>
        <w:t>财</w:t>
      </w:r>
      <w:r>
        <w:rPr>
          <w:spacing w:val="-1"/>
          <w:w w:val="100"/>
        </w:rPr>
        <w:t>务</w:t>
      </w:r>
      <w:r>
        <w:rPr>
          <w:w w:val="100"/>
        </w:rPr>
        <w:t>报表范</w:t>
      </w:r>
      <w:r>
        <w:rPr>
          <w:spacing w:val="-2"/>
          <w:w w:val="100"/>
        </w:rPr>
        <w:t>围</w:t>
      </w:r>
      <w:r>
        <w:rPr>
          <w:w w:val="100"/>
        </w:rPr>
        <w:t>及</w:t>
      </w:r>
      <w:r>
        <w:rPr>
          <w:spacing w:val="-2"/>
          <w:w w:val="100"/>
        </w:rPr>
        <w:t>其</w:t>
      </w:r>
      <w:r>
        <w:rPr>
          <w:w w:val="100"/>
        </w:rPr>
        <w:t>变化情</w:t>
      </w:r>
      <w:r>
        <w:rPr>
          <w:spacing w:val="-2"/>
          <w:w w:val="100"/>
        </w:rPr>
        <w:t>况</w:t>
      </w:r>
      <w:r>
        <w:rPr>
          <w:w w:val="100"/>
        </w:rPr>
        <w:t>详</w:t>
      </w:r>
      <w:r>
        <w:rPr>
          <w:spacing w:val="-2"/>
          <w:w w:val="100"/>
        </w:rPr>
        <w:t>见</w:t>
      </w:r>
      <w:r>
        <w:rPr>
          <w:w w:val="100"/>
        </w:rPr>
        <w:t>本附注</w:t>
      </w:r>
      <w:r>
        <w:rPr>
          <w:spacing w:val="-2"/>
          <w:w w:val="100"/>
        </w:rPr>
        <w:t>“</w:t>
      </w:r>
      <w:r>
        <w:rPr>
          <w:w w:val="100"/>
        </w:rPr>
        <w:t>八</w:t>
      </w:r>
      <w:r>
        <w:rPr>
          <w:spacing w:val="-98"/>
          <w:w w:val="100"/>
        </w:rPr>
        <w:t>、</w:t>
      </w:r>
      <w:r>
        <w:rPr>
          <w:w w:val="100"/>
        </w:rPr>
        <w:t>合并范</w:t>
      </w:r>
      <w:r>
        <w:rPr>
          <w:spacing w:val="-2"/>
          <w:w w:val="100"/>
        </w:rPr>
        <w:t>围</w:t>
      </w:r>
      <w:r>
        <w:rPr>
          <w:w w:val="100"/>
        </w:rPr>
        <w:t>的</w:t>
      </w:r>
      <w:r>
        <w:rPr>
          <w:spacing w:val="-2"/>
          <w:w w:val="100"/>
        </w:rPr>
        <w:t>变</w:t>
      </w:r>
      <w:r>
        <w:rPr>
          <w:w w:val="100"/>
        </w:rPr>
        <w:t>更”</w:t>
      </w:r>
      <w:r>
        <w:rPr>
          <w:spacing w:val="-1"/>
        </w:rPr>
        <w:t> </w:t>
      </w:r>
      <w:r>
        <w:rPr>
          <w:spacing w:val="4"/>
          <w:w w:val="100"/>
        </w:rPr>
        <w:t>和</w:t>
      </w:r>
      <w:r>
        <w:rPr>
          <w:w w:val="100"/>
        </w:rPr>
        <w:t>“九</w:t>
      </w:r>
      <w:r>
        <w:rPr>
          <w:spacing w:val="-98"/>
          <w:w w:val="100"/>
        </w:rPr>
        <w:t>、</w:t>
      </w:r>
      <w:r>
        <w:rPr>
          <w:w w:val="100"/>
        </w:rPr>
        <w:t>在其他</w:t>
      </w:r>
      <w:r>
        <w:rPr>
          <w:spacing w:val="-2"/>
          <w:w w:val="100"/>
        </w:rPr>
        <w:t>主</w:t>
      </w:r>
      <w:r>
        <w:rPr>
          <w:w w:val="100"/>
        </w:rPr>
        <w:t>体</w:t>
      </w:r>
      <w:r>
        <w:rPr>
          <w:spacing w:val="-2"/>
          <w:w w:val="100"/>
        </w:rPr>
        <w:t>中</w:t>
      </w:r>
      <w:r>
        <w:rPr>
          <w:w w:val="100"/>
        </w:rPr>
        <w:t>的权益</w:t>
      </w:r>
      <w:r>
        <w:rPr>
          <w:spacing w:val="-2"/>
          <w:w w:val="100"/>
        </w:rPr>
        <w:t>”</w:t>
      </w:r>
      <w:r>
        <w:rPr>
          <w:w w:val="100"/>
        </w:rPr>
        <w:t>。</w:t>
      </w:r>
    </w:p>
    <w:p>
      <w:pPr>
        <w:spacing w:line="240" w:lineRule="auto" w:before="0"/>
        <w:rPr>
          <w:rFonts w:ascii="宋体" w:hAnsi="宋体" w:cs="宋体" w:eastAsia="宋体" w:hint="default"/>
          <w:sz w:val="20"/>
          <w:szCs w:val="20"/>
        </w:rPr>
      </w:pPr>
    </w:p>
    <w:p>
      <w:pPr>
        <w:pStyle w:val="Heading2"/>
        <w:spacing w:line="240" w:lineRule="auto" w:before="135"/>
        <w:ind w:left="154" w:right="0"/>
        <w:jc w:val="left"/>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7"/>
      <w:bookmarkEnd w:id="16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3"/>
        <w:rPr>
          <w:rFonts w:ascii="宋体" w:hAnsi="宋体" w:cs="宋体" w:eastAsia="宋体" w:hint="default"/>
          <w:b/>
          <w:bCs/>
          <w:sz w:val="31"/>
          <w:szCs w:val="31"/>
        </w:rPr>
      </w:pPr>
    </w:p>
    <w:p>
      <w:pPr>
        <w:pStyle w:val="BodyText"/>
        <w:spacing w:line="405" w:lineRule="auto" w:before="0"/>
        <w:ind w:right="1091" w:firstLine="426"/>
        <w:jc w:val="both"/>
      </w:pPr>
      <w:r>
        <w:rPr/>
        <w:t>公司以持续经营为基础，根据实际发生的交易和事项，按照财政部颁布的《企业会计准则</w:t>
      </w:r>
      <w:r>
        <w:rPr>
          <w:rFonts w:ascii="Times New Roman" w:hAnsi="Times New Roman" w:cs="Times New Roman" w:eastAsia="Times New Roman" w:hint="default"/>
        </w:rPr>
        <w:t>——</w:t>
      </w:r>
      <w:r>
        <w:rPr/>
        <w:t>基本准则》</w:t>
      </w:r>
      <w:r>
        <w:rPr>
          <w:w w:val="100"/>
        </w:rPr>
        <w:t> </w:t>
      </w:r>
      <w:r>
        <w:rPr>
          <w:spacing w:val="-7"/>
        </w:rPr>
        <w:t>和各项具体会计准则、企业会计准则应用指南、企业会计准则解释及其他相关规定（以下合称</w:t>
      </w:r>
      <w:r>
        <w:rPr>
          <w:rFonts w:ascii="Times New Roman" w:hAnsi="Times New Roman" w:cs="Times New Roman" w:eastAsia="Times New Roman" w:hint="default"/>
          <w:spacing w:val="-7"/>
        </w:rPr>
        <w:t>“</w:t>
      </w:r>
      <w:r>
        <w:rPr>
          <w:spacing w:val="-7"/>
        </w:rPr>
        <w:t>企业会计准则</w:t>
      </w:r>
      <w:r>
        <w:rPr>
          <w:rFonts w:ascii="Times New Roman" w:hAnsi="Times New Roman" w:cs="Times New Roman" w:eastAsia="Times New Roman" w:hint="default"/>
          <w:spacing w:val="-7"/>
        </w:rPr>
        <w:t>”</w:t>
      </w:r>
      <w:r>
        <w:rPr>
          <w:spacing w:val="-7"/>
        </w:rPr>
        <w:t>），</w:t>
      </w:r>
      <w:r>
        <w:rPr>
          <w:spacing w:val="-55"/>
        </w:rPr>
        <w:t> </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财务报告的一般规定》的披</w:t>
      </w:r>
      <w:r>
        <w:rPr>
          <w:w w:val="100"/>
        </w:rPr>
        <w:t> </w:t>
      </w:r>
      <w:r>
        <w:rPr/>
        <w:t>露规定编制财务报表。</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2、持续经营" w:id="168"/>
      <w:bookmarkEnd w:id="16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3"/>
        <w:rPr>
          <w:rFonts w:ascii="宋体" w:hAnsi="宋体" w:cs="宋体" w:eastAsia="宋体" w:hint="default"/>
          <w:b/>
          <w:bCs/>
          <w:sz w:val="31"/>
          <w:szCs w:val="31"/>
        </w:rPr>
      </w:pPr>
    </w:p>
    <w:p>
      <w:pPr>
        <w:pStyle w:val="BodyText"/>
        <w:spacing w:line="240" w:lineRule="auto" w:before="0"/>
        <w:ind w:left="580" w:right="0"/>
        <w:jc w:val="left"/>
      </w:pPr>
      <w:r>
        <w:rPr/>
        <w:t>公司自报告期末起</w:t>
      </w:r>
      <w:r>
        <w:rPr>
          <w:rFonts w:ascii="宋体" w:hAnsi="宋体" w:cs="宋体" w:eastAsia="宋体" w:hint="default"/>
        </w:rPr>
        <w:t>12</w:t>
      </w:r>
      <w:r>
        <w:rPr/>
        <w:t>个月的持续经营能力强，不存在导致对持续经营能力产生重大怀疑的因素。</w:t>
      </w:r>
    </w:p>
    <w:p>
      <w:pPr>
        <w:spacing w:line="240" w:lineRule="auto" w:before="0"/>
        <w:rPr>
          <w:rFonts w:ascii="宋体" w:hAnsi="宋体" w:cs="宋体" w:eastAsia="宋体" w:hint="default"/>
          <w:sz w:val="20"/>
          <w:szCs w:val="20"/>
        </w:rPr>
      </w:pPr>
    </w:p>
    <w:p>
      <w:pPr>
        <w:pStyle w:val="Heading2"/>
        <w:spacing w:line="240" w:lineRule="auto" w:before="135"/>
        <w:ind w:left="154" w:right="0"/>
        <w:jc w:val="left"/>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29" w:lineRule="auto" w:before="86"/>
        <w:ind w:left="579" w:right="0" w:hanging="426"/>
        <w:jc w:val="left"/>
      </w:pPr>
      <w:r>
        <w:rPr/>
        <w:t>具体会计政策和会计估计提示：</w:t>
      </w:r>
      <w:r>
        <w:rPr>
          <w:w w:val="100"/>
        </w:rPr>
        <w:t> </w:t>
      </w:r>
      <w:r>
        <w:rPr>
          <w:spacing w:val="-1"/>
        </w:rPr>
        <w:t>根据生产经营特点，依据企业会计准则的相关规定，本公司及子公司制定了收入确认等具体会计政策和会</w:t>
      </w:r>
    </w:p>
    <w:p>
      <w:pPr>
        <w:pStyle w:val="BodyText"/>
        <w:spacing w:line="240" w:lineRule="auto"/>
        <w:ind w:right="0"/>
        <w:jc w:val="left"/>
      </w:pPr>
      <w:r>
        <w:rPr/>
        <w:t>计估计，以下披露内容已涵盖了本公司根据实际生产经营特点制定的具体会计政策和会计估计。</w:t>
      </w:r>
    </w:p>
    <w:p>
      <w:pPr>
        <w:spacing w:line="240" w:lineRule="auto" w:before="0"/>
        <w:rPr>
          <w:rFonts w:ascii="宋体" w:hAnsi="宋体" w:cs="宋体" w:eastAsia="宋体" w:hint="default"/>
          <w:sz w:val="20"/>
          <w:szCs w:val="20"/>
        </w:rPr>
      </w:pPr>
    </w:p>
    <w:p>
      <w:pPr>
        <w:pStyle w:val="Heading3"/>
        <w:spacing w:line="240" w:lineRule="auto" w:before="158"/>
        <w:ind w:left="153" w:right="0"/>
        <w:jc w:val="left"/>
        <w:rPr>
          <w:b w:val="0"/>
          <w:bCs w:val="0"/>
        </w:rPr>
      </w:pPr>
      <w:bookmarkStart w:name="1、遵循企业会计准则的声明" w:id="170"/>
      <w:bookmarkEnd w:id="17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right="1030" w:firstLine="426"/>
        <w:jc w:val="both"/>
      </w:pPr>
      <w:r>
        <w:rPr>
          <w:spacing w:val="-3"/>
        </w:rPr>
        <w:t>公司所编制的财务报表符合企业会计准则的要求，真实、完整地反映了报告期公司的财务状况、经营成果、</w:t>
      </w:r>
      <w:r>
        <w:rPr>
          <w:w w:val="100"/>
        </w:rPr>
        <w:t> </w:t>
      </w:r>
      <w:r>
        <w:rPr/>
        <w:t>现金流量等有关信息。</w:t>
      </w:r>
    </w:p>
    <w:p>
      <w:pPr>
        <w:spacing w:after="0" w:line="42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会计期间" w:id="171"/>
      <w:bookmarkEnd w:id="17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3"/>
        <w:rPr>
          <w:rFonts w:ascii="宋体" w:hAnsi="宋体" w:cs="宋体" w:eastAsia="宋体" w:hint="default"/>
          <w:b/>
          <w:bCs/>
          <w:sz w:val="31"/>
          <w:szCs w:val="31"/>
        </w:rPr>
      </w:pPr>
    </w:p>
    <w:p>
      <w:pPr>
        <w:pStyle w:val="BodyText"/>
        <w:spacing w:line="240" w:lineRule="auto" w:before="0"/>
        <w:ind w:left="579" w:right="0"/>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0"/>
        <w:rPr>
          <w:rFonts w:ascii="宋体" w:hAnsi="宋体" w:cs="宋体" w:eastAsia="宋体" w:hint="default"/>
          <w:sz w:val="20"/>
          <w:szCs w:val="20"/>
        </w:rPr>
      </w:pPr>
    </w:p>
    <w:p>
      <w:pPr>
        <w:pStyle w:val="Heading3"/>
        <w:spacing w:line="240" w:lineRule="auto" w:before="159"/>
        <w:ind w:left="153" w:right="0"/>
        <w:jc w:val="left"/>
        <w:rPr>
          <w:b w:val="0"/>
          <w:bCs w:val="0"/>
        </w:rPr>
      </w:pPr>
      <w:bookmarkStart w:name="3、营业周期" w:id="172"/>
      <w:bookmarkEnd w:id="17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3"/>
        <w:rPr>
          <w:rFonts w:ascii="宋体" w:hAnsi="宋体" w:cs="宋体" w:eastAsia="宋体" w:hint="default"/>
          <w:b/>
          <w:bCs/>
          <w:sz w:val="31"/>
          <w:szCs w:val="31"/>
        </w:rPr>
      </w:pPr>
    </w:p>
    <w:p>
      <w:pPr>
        <w:pStyle w:val="BodyText"/>
        <w:spacing w:line="240" w:lineRule="auto" w:before="0"/>
        <w:ind w:left="580" w:right="0"/>
        <w:jc w:val="left"/>
      </w:pPr>
      <w:r>
        <w:rPr/>
        <w:t>本公司营业周期为</w:t>
      </w:r>
      <w:r>
        <w:rPr>
          <w:rFonts w:ascii="宋体" w:hAnsi="宋体" w:cs="宋体" w:eastAsia="宋体" w:hint="default"/>
        </w:rPr>
        <w:t>12</w:t>
      </w:r>
      <w:r>
        <w:rPr/>
        <w:t>个月。</w:t>
      </w:r>
    </w:p>
    <w:p>
      <w:pPr>
        <w:spacing w:line="240" w:lineRule="auto" w:before="0"/>
        <w:rPr>
          <w:rFonts w:ascii="宋体" w:hAnsi="宋体" w:cs="宋体" w:eastAsia="宋体" w:hint="default"/>
          <w:sz w:val="20"/>
          <w:szCs w:val="20"/>
        </w:rPr>
      </w:pPr>
    </w:p>
    <w:p>
      <w:pPr>
        <w:pStyle w:val="Heading3"/>
        <w:spacing w:line="240" w:lineRule="auto" w:before="158"/>
        <w:ind w:right="0"/>
        <w:jc w:val="left"/>
        <w:rPr>
          <w:b w:val="0"/>
          <w:bCs w:val="0"/>
        </w:rPr>
      </w:pPr>
      <w:bookmarkStart w:name="4、记账本位币" w:id="173"/>
      <w:bookmarkEnd w:id="17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3"/>
        <w:rPr>
          <w:rFonts w:ascii="宋体" w:hAnsi="宋体" w:cs="宋体" w:eastAsia="宋体" w:hint="default"/>
          <w:b/>
          <w:bCs/>
          <w:sz w:val="31"/>
          <w:szCs w:val="31"/>
        </w:rPr>
      </w:pPr>
    </w:p>
    <w:p>
      <w:pPr>
        <w:pStyle w:val="BodyText"/>
        <w:spacing w:line="240" w:lineRule="auto" w:before="0"/>
        <w:ind w:left="580" w:right="0"/>
        <w:jc w:val="left"/>
      </w:pPr>
      <w:r>
        <w:rPr/>
        <w:t>本公司采用人民币为记账本位币。</w:t>
      </w:r>
    </w:p>
    <w:p>
      <w:pPr>
        <w:spacing w:line="240" w:lineRule="auto" w:before="0"/>
        <w:rPr>
          <w:rFonts w:ascii="宋体" w:hAnsi="宋体" w:cs="宋体" w:eastAsia="宋体" w:hint="default"/>
          <w:sz w:val="20"/>
          <w:szCs w:val="20"/>
        </w:rPr>
      </w:pPr>
    </w:p>
    <w:p>
      <w:pPr>
        <w:pStyle w:val="Heading3"/>
        <w:spacing w:line="240" w:lineRule="auto" w:before="158"/>
        <w:ind w:right="0"/>
        <w:jc w:val="left"/>
        <w:rPr>
          <w:b w:val="0"/>
          <w:bCs w:val="0"/>
        </w:rPr>
      </w:pPr>
      <w:bookmarkStart w:name="5、同一控制下和非同一控制下企业合并的会计处理方法" w:id="174"/>
      <w:bookmarkEnd w:id="17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left="154" w:right="1142" w:firstLine="426"/>
        <w:jc w:val="both"/>
      </w:pPr>
      <w:r>
        <w:rPr>
          <w:spacing w:val="-1"/>
        </w:rPr>
        <w:t>同一控制下企业合并：本公司在企业合并中取得的资产和负债，按照合并日被合并方资产、负债（包括最</w:t>
      </w:r>
      <w:r>
        <w:rPr>
          <w:w w:val="100"/>
        </w:rPr>
        <w:t> </w:t>
      </w:r>
      <w:r>
        <w:rPr>
          <w:spacing w:val="-1"/>
        </w:rPr>
        <w:t>终控制方收购被合并方而形成的商誉）在最终控制方合并财务报表中的账面价值计量。在合并中取得的净资产</w:t>
      </w:r>
      <w:r>
        <w:rPr>
          <w:spacing w:val="-63"/>
        </w:rPr>
        <w:t> </w:t>
      </w:r>
      <w:r>
        <w:rPr>
          <w:spacing w:val="-63"/>
        </w:rPr>
      </w:r>
      <w:r>
        <w:rPr>
          <w:spacing w:val="-1"/>
        </w:rPr>
        <w:t>账面价值与支付的合并对价账面价值（或发行股份面值总额）的差额，调整资本公积中的股本溢价，资本公积</w:t>
      </w:r>
      <w:r>
        <w:rPr>
          <w:spacing w:val="-63"/>
        </w:rPr>
        <w:t> </w:t>
      </w:r>
      <w:r>
        <w:rPr>
          <w:spacing w:val="-63"/>
        </w:rPr>
      </w:r>
      <w:r>
        <w:rPr/>
        <w:t>中的股本溢价不足冲减的，调整留存收益。</w:t>
      </w:r>
    </w:p>
    <w:p>
      <w:pPr>
        <w:pStyle w:val="BodyText"/>
        <w:spacing w:line="429" w:lineRule="auto"/>
        <w:ind w:left="154" w:right="1142" w:firstLine="426"/>
        <w:jc w:val="both"/>
      </w:pPr>
      <w:r>
        <w:rPr>
          <w:spacing w:val="-1"/>
        </w:rPr>
        <w:t>非同一控制下企业合并：本公司在购买日对作为企业合并对价付出的资产、发生或承担的负债按照公允价</w:t>
      </w:r>
      <w:r>
        <w:rPr>
          <w:w w:val="100"/>
        </w:rPr>
        <w:t> </w:t>
      </w:r>
      <w:r>
        <w:rPr>
          <w:spacing w:val="-1"/>
        </w:rPr>
        <w:t>值计量，公允价值与其账面价值的差额，计入当期损益。本公司对合并成本大于合并中取得的被购买方可辨认</w:t>
      </w:r>
      <w:r>
        <w:rPr>
          <w:spacing w:val="-63"/>
        </w:rPr>
        <w:t> </w:t>
      </w:r>
      <w:r>
        <w:rPr>
          <w:spacing w:val="-63"/>
        </w:rPr>
      </w:r>
      <w:r>
        <w:rPr>
          <w:spacing w:val="-1"/>
        </w:rPr>
        <w:t>净资产公允价值份额的差额，确认为商誉；合并成本小于合并中取得的被购买方可辨认净资产公允价值份额的</w:t>
      </w:r>
      <w:r>
        <w:rPr>
          <w:spacing w:val="-63"/>
        </w:rPr>
        <w:t> </w:t>
      </w:r>
      <w:r>
        <w:rPr>
          <w:spacing w:val="-63"/>
        </w:rPr>
      </w:r>
      <w:r>
        <w:rPr/>
        <w:t>差额，经复核后，计入当期损益。</w:t>
      </w:r>
    </w:p>
    <w:p>
      <w:pPr>
        <w:pStyle w:val="BodyText"/>
        <w:spacing w:line="429" w:lineRule="auto"/>
        <w:ind w:left="154" w:right="0" w:firstLine="426"/>
        <w:jc w:val="left"/>
      </w:pPr>
      <w:r>
        <w:rPr>
          <w:spacing w:val="-3"/>
        </w:rPr>
        <w:t>为企业合并发生的审计、法律服务、评估咨询等中介费用以及其他直接相关费用，于发生时计入当期损益；</w:t>
      </w:r>
      <w:r>
        <w:rPr>
          <w:w w:val="100"/>
        </w:rPr>
        <w:t> </w:t>
      </w:r>
      <w:r>
        <w:rPr/>
        <w:t>为企业合并而发行权益性证券的交易费用，冲减权益。</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6、合并财务报表的编制方法" w:id="175"/>
      <w:bookmarkEnd w:id="17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left="580" w:right="1118"/>
        <w:jc w:val="left"/>
      </w:pPr>
      <w:r>
        <w:rPr>
          <w:rFonts w:ascii="宋体" w:hAnsi="宋体" w:cs="宋体" w:eastAsia="宋体" w:hint="default"/>
        </w:rPr>
        <w:t>(1)</w:t>
      </w:r>
      <w:r>
        <w:rPr/>
        <w:t>合并范围</w:t>
      </w:r>
      <w:r>
        <w:rPr>
          <w:w w:val="100"/>
        </w:rPr>
        <w:t> </w:t>
      </w:r>
      <w:r>
        <w:rPr>
          <w:spacing w:val="-1"/>
        </w:rPr>
        <w:t>本公司合并财务报表的合并范围以控制为基础确定，所有子公司（包括本公司所控制的被投资方可分割的</w:t>
      </w:r>
    </w:p>
    <w:p>
      <w:pPr>
        <w:pStyle w:val="BodyText"/>
        <w:spacing w:line="429" w:lineRule="auto"/>
        <w:ind w:left="580" w:right="8165" w:hanging="426"/>
        <w:jc w:val="left"/>
      </w:pPr>
      <w:r>
        <w:rPr>
          <w:spacing w:val="-1"/>
        </w:rPr>
        <w:t>部分）均纳入合并财务报表。</w:t>
      </w:r>
      <w:r>
        <w:rPr>
          <w:spacing w:val="-90"/>
        </w:rPr>
        <w:t> </w:t>
      </w:r>
      <w:r>
        <w:rPr>
          <w:spacing w:val="-90"/>
        </w:rPr>
      </w:r>
      <w:r>
        <w:rPr>
          <w:rFonts w:ascii="宋体" w:hAnsi="宋体" w:cs="宋体" w:eastAsia="宋体" w:hint="default"/>
        </w:rPr>
        <w:t>(2)</w:t>
      </w:r>
      <w:r>
        <w:rPr/>
        <w:t>合并程序</w:t>
      </w:r>
    </w:p>
    <w:p>
      <w:pPr>
        <w:pStyle w:val="BodyText"/>
        <w:spacing w:line="429" w:lineRule="auto"/>
        <w:ind w:left="154" w:right="1142" w:firstLine="426"/>
        <w:jc w:val="both"/>
      </w:pPr>
      <w:r>
        <w:rPr>
          <w:spacing w:val="-1"/>
        </w:rPr>
        <w:t>本公司以自身和各子公司的财务报表为基础，根据其他有关资料，编制合并财务报表。本公司编制合并财</w:t>
      </w:r>
      <w:r>
        <w:rPr>
          <w:w w:val="100"/>
        </w:rPr>
        <w:t> </w:t>
      </w:r>
      <w:r>
        <w:rPr>
          <w:spacing w:val="-1"/>
        </w:rPr>
        <w:t>务报表，将整个企业集团视为一个会计主体，依据相关企业会计准则的确认、计量和列报要求，按照统一的会</w:t>
      </w:r>
      <w:r>
        <w:rPr>
          <w:spacing w:val="-63"/>
        </w:rPr>
        <w:t> </w:t>
      </w:r>
      <w:r>
        <w:rPr>
          <w:spacing w:val="-63"/>
        </w:rPr>
      </w:r>
      <w:r>
        <w:rPr/>
        <w:t>计政策，反映本企业集团整体财务状况、经营成果和现金流量。</w:t>
      </w:r>
    </w:p>
    <w:p>
      <w:pPr>
        <w:spacing w:after="0" w:line="42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before="0"/>
        <w:ind w:right="0" w:firstLine="426"/>
        <w:jc w:val="left"/>
      </w:pPr>
      <w:r>
        <w:rPr/>
        <w:t>所有纳入合并财务报表合并范围的子公司所采用的会计政策、会计期间与本公司一致，如子公司采用的会</w:t>
      </w:r>
      <w:r>
        <w:rPr>
          <w:w w:val="100"/>
        </w:rPr>
        <w:t> </w:t>
      </w:r>
      <w:r>
        <w:rPr/>
        <w:t>计政策、会计期间与本公司不一致的，在编制合并财务报表时，按本公司的会计政策、会计期间进行必要的调</w:t>
      </w:r>
      <w:r>
        <w:rPr>
          <w:w w:val="100"/>
        </w:rPr>
        <w:t> </w:t>
      </w:r>
      <w:r>
        <w:rPr>
          <w:spacing w:val="-2"/>
        </w:rPr>
        <w:t>整。对于非同一控制下企业合并取得的子公司，以购买日可辨认净资产公允价值为基础对其财务报表进行调整。</w:t>
      </w:r>
      <w:r>
        <w:rPr>
          <w:spacing w:val="-79"/>
        </w:rPr>
        <w:t> </w:t>
      </w:r>
      <w:r>
        <w:rPr>
          <w:spacing w:val="-79"/>
        </w:rPr>
      </w:r>
      <w:r>
        <w:rPr/>
        <w:t>对于同一控制下企业合并取得的子公司，以其资产、负债（包括最终控制方收购该子公司而形成的商誉）在最</w:t>
      </w:r>
      <w:r>
        <w:rPr>
          <w:w w:val="100"/>
        </w:rPr>
        <w:t> </w:t>
      </w:r>
      <w:r>
        <w:rPr/>
        <w:t>终控制方财务报表中的账面价值为基础对其财务报表进行调整。</w:t>
      </w:r>
    </w:p>
    <w:p>
      <w:pPr>
        <w:pStyle w:val="BodyText"/>
        <w:spacing w:line="429" w:lineRule="auto"/>
        <w:ind w:right="1142" w:firstLine="426"/>
        <w:jc w:val="both"/>
      </w:pPr>
      <w:r>
        <w:rPr>
          <w:spacing w:val="-1"/>
        </w:rPr>
        <w:t>子公司所有者权益、当期净损益和当期综合收益中属于少数股东的份额分别在合并资产负债表中所有者权</w:t>
      </w:r>
      <w:r>
        <w:rPr>
          <w:w w:val="100"/>
        </w:rPr>
        <w:t> </w:t>
      </w:r>
      <w:r>
        <w:rPr/>
        <w:t>益项目下、合并利润表中净利润项目下和综合收益总额项目下单独列示。子公司少数股东分担的当期亏损超过</w:t>
      </w:r>
      <w:r>
        <w:rPr>
          <w:w w:val="100"/>
        </w:rPr>
        <w:t> </w:t>
      </w:r>
      <w:r>
        <w:rPr/>
        <w:t>了少数股东在该子公司期初所有者权益中所享有份额而形成的余额，冲减少数股东权益。</w:t>
      </w:r>
    </w:p>
    <w:p>
      <w:pPr>
        <w:pStyle w:val="BodyText"/>
        <w:spacing w:line="429" w:lineRule="auto"/>
        <w:ind w:left="579" w:right="0"/>
        <w:jc w:val="left"/>
      </w:pPr>
      <w:r>
        <w:rPr/>
        <w:t>①增加子公司或业务</w:t>
      </w:r>
      <w:r>
        <w:rPr>
          <w:w w:val="100"/>
        </w:rPr>
        <w:t> </w:t>
      </w:r>
      <w:r>
        <w:rPr>
          <w:spacing w:val="-1"/>
        </w:rPr>
        <w:t>在报告期内，若因同一控制下企业合并增加子公司或业务的，则调整合并资产负债表的期初数；将子公司</w:t>
      </w:r>
    </w:p>
    <w:p>
      <w:pPr>
        <w:pStyle w:val="BodyText"/>
        <w:spacing w:line="429" w:lineRule="auto"/>
        <w:ind w:right="1169"/>
        <w:jc w:val="both"/>
      </w:pPr>
      <w:r>
        <w:rPr>
          <w:spacing w:val="-1"/>
        </w:rPr>
        <w:t>或业务合并当期期初至报告期末的收入、费用、利润纳入合并利润表；将子公司或业务合并当期期初至报告期</w:t>
      </w:r>
      <w:r>
        <w:rPr>
          <w:spacing w:val="-63"/>
        </w:rPr>
        <w:t> </w:t>
      </w:r>
      <w:r>
        <w:rPr>
          <w:spacing w:val="-63"/>
        </w:rPr>
      </w:r>
      <w:r>
        <w:rPr>
          <w:spacing w:val="-1"/>
        </w:rPr>
        <w:t>末的现金流量纳入合并现金流量表，同时对比较报表的相关项目进行调整，视同合并后的报告主体自最终控制</w:t>
      </w:r>
      <w:r>
        <w:rPr>
          <w:spacing w:val="-63"/>
        </w:rPr>
        <w:t> </w:t>
      </w:r>
      <w:r>
        <w:rPr>
          <w:spacing w:val="-63"/>
        </w:rPr>
      </w:r>
      <w:r>
        <w:rPr/>
        <w:t>方开始控制时点起一直存在。</w:t>
      </w:r>
    </w:p>
    <w:p>
      <w:pPr>
        <w:pStyle w:val="BodyText"/>
        <w:spacing w:line="429" w:lineRule="auto"/>
        <w:ind w:right="1142" w:firstLine="426"/>
        <w:jc w:val="both"/>
      </w:pPr>
      <w:r>
        <w:rPr>
          <w:spacing w:val="-1"/>
        </w:rPr>
        <w:t>因追加投资等原因能够对同一控制下的被投资方实施控制的，视同参与合并的各方在最终控制方开始控制</w:t>
      </w:r>
      <w:r>
        <w:rPr>
          <w:w w:val="100"/>
        </w:rPr>
        <w:t> </w:t>
      </w:r>
      <w:r>
        <w:rPr/>
        <w:t>时即以目前的状态存在进行调整。在取得被合并方控制权之前持有的股权投资，在取得原股权之日与合并方和</w:t>
      </w:r>
      <w:r>
        <w:rPr>
          <w:w w:val="100"/>
        </w:rPr>
        <w:t> </w:t>
      </w:r>
      <w:r>
        <w:rPr/>
        <w:t>被合并方同处于同一控制之日孰晚日起至合并日之间已确认有关损益、其他综合收益以及其他净资产变动，分</w:t>
      </w:r>
      <w:r>
        <w:rPr>
          <w:w w:val="100"/>
        </w:rPr>
        <w:t> </w:t>
      </w:r>
      <w:r>
        <w:rPr/>
        <w:t>别冲减比较报表期间的期初留存收益或当期损益。</w:t>
      </w:r>
    </w:p>
    <w:p>
      <w:pPr>
        <w:pStyle w:val="BodyText"/>
        <w:spacing w:line="429" w:lineRule="auto"/>
        <w:ind w:right="1142" w:firstLine="426"/>
        <w:jc w:val="both"/>
      </w:pPr>
      <w:r>
        <w:rPr>
          <w:spacing w:val="-1"/>
        </w:rPr>
        <w:t>在报告期内，若因非同一控制下企业合并增加子公司或业务的，则不调整合并资产负债表期初数；将该子</w:t>
      </w:r>
      <w:r>
        <w:rPr>
          <w:w w:val="100"/>
        </w:rPr>
        <w:t> </w:t>
      </w:r>
      <w:r>
        <w:rPr/>
        <w:t>公司或业务自购买日至报告期末的收入、费用、利润纳入合并利润表；该子公司或业务自购买日至报告期末的</w:t>
      </w:r>
      <w:r>
        <w:rPr>
          <w:w w:val="100"/>
        </w:rPr>
        <w:t> </w:t>
      </w:r>
      <w:r>
        <w:rPr/>
        <w:t>现金流量纳入合并现金流量表。</w:t>
      </w:r>
    </w:p>
    <w:p>
      <w:pPr>
        <w:pStyle w:val="BodyText"/>
        <w:spacing w:line="429" w:lineRule="auto"/>
        <w:ind w:right="1142" w:firstLine="426"/>
        <w:jc w:val="both"/>
      </w:pPr>
      <w:r>
        <w:rPr>
          <w:spacing w:val="-1"/>
        </w:rPr>
        <w:t>因追加投资等原因能够对非同一控制下的被投资方实施控制的，对于购买日之前持有的被购买方的股权，</w:t>
      </w:r>
      <w:r>
        <w:rPr>
          <w:w w:val="100"/>
        </w:rPr>
        <w:t> </w:t>
      </w:r>
      <w:r>
        <w:rPr/>
        <w:t>本公司按照该股权在购买日的公允价值进行重新计量，公允价值与其账面价值的差额计入当期投资收益。购买</w:t>
      </w:r>
      <w:r>
        <w:rPr>
          <w:w w:val="100"/>
        </w:rPr>
        <w:t> </w:t>
      </w:r>
      <w:r>
        <w:rPr/>
        <w:t>日之前持有的被购买方的股权涉及权益法核算下的其他综合收益以及除净损益、其他综合收益和利润分配之外</w:t>
      </w:r>
      <w:r>
        <w:rPr>
          <w:w w:val="100"/>
        </w:rPr>
        <w:t> </w:t>
      </w:r>
      <w:r>
        <w:rPr/>
        <w:t>的其他所有者权益变动的，与其相关的其他综合收益、其他所有者权益变动转为购买日所属当期投资收益，由</w:t>
      </w:r>
      <w:r>
        <w:rPr>
          <w:w w:val="100"/>
        </w:rPr>
        <w:t> </w:t>
      </w:r>
      <w:r>
        <w:rPr/>
        <w:t>于被投资方重新计量设定受益计划净负债或净资产变动而产生的其他综合收益除外。</w:t>
      </w:r>
    </w:p>
    <w:p>
      <w:pPr>
        <w:pStyle w:val="BodyText"/>
        <w:spacing w:line="429" w:lineRule="auto"/>
        <w:ind w:left="579" w:right="8527"/>
        <w:jc w:val="left"/>
      </w:pPr>
      <w:r>
        <w:rPr/>
        <w:t>②处置子公司或业务</w:t>
      </w:r>
      <w:r>
        <w:rPr>
          <w:w w:val="100"/>
        </w:rPr>
        <w:t> </w:t>
      </w:r>
      <w:r>
        <w:rPr>
          <w:rFonts w:ascii="宋体" w:hAnsi="宋体" w:cs="宋体" w:eastAsia="宋体" w:hint="default"/>
        </w:rPr>
        <w:t>a.</w:t>
      </w:r>
      <w:r>
        <w:rPr/>
        <w:t>一般处理方法</w:t>
      </w:r>
    </w:p>
    <w:p>
      <w:pPr>
        <w:pStyle w:val="BodyText"/>
        <w:spacing w:line="429" w:lineRule="auto"/>
        <w:ind w:right="1142" w:firstLine="426"/>
        <w:jc w:val="both"/>
      </w:pPr>
      <w:r>
        <w:rPr>
          <w:spacing w:val="-1"/>
        </w:rPr>
        <w:t>在报告期内，本公司处置子公司或业务，则该子公司或业务期初至处置日的收入、费用、利润纳入合并利</w:t>
      </w:r>
      <w:r>
        <w:rPr>
          <w:w w:val="100"/>
        </w:rPr>
        <w:t> </w:t>
      </w:r>
      <w:r>
        <w:rPr/>
        <w:t>润表；该子公司或业务期初至处置日的现金流量纳入合并现金流量表。</w:t>
      </w:r>
    </w:p>
    <w:p>
      <w:pPr>
        <w:pStyle w:val="BodyText"/>
        <w:spacing w:line="240" w:lineRule="auto"/>
        <w:ind w:left="579" w:right="0"/>
        <w:jc w:val="left"/>
      </w:pPr>
      <w:r>
        <w:rPr/>
        <w:t>因处置部分股权投资或其他原因丧失了对被投资方控制权时，对于处置后的剩余股权投资，本公司按照其</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before="0"/>
        <w:ind w:right="1169"/>
        <w:jc w:val="both"/>
      </w:pPr>
      <w:r>
        <w:rPr>
          <w:spacing w:val="-1"/>
        </w:rPr>
        <w:t>在丧失控制权日的公允价值进行重新计量。处置股权取得的对价与剩余股权公允价值之和，减去按原持股比例</w:t>
      </w:r>
      <w:r>
        <w:rPr>
          <w:spacing w:val="-63"/>
        </w:rPr>
        <w:t> </w:t>
      </w:r>
      <w:r>
        <w:rPr>
          <w:spacing w:val="-63"/>
        </w:rPr>
      </w:r>
      <w:r>
        <w:rPr>
          <w:spacing w:val="-1"/>
        </w:rPr>
        <w:t>计算应享有原有子公司自购买日或合并日开始持续计算的净资产的份额与商誉之和的差额，计入丧失控制权当</w:t>
      </w:r>
      <w:r>
        <w:rPr>
          <w:spacing w:val="-63"/>
        </w:rPr>
        <w:t> </w:t>
      </w:r>
      <w:r>
        <w:rPr>
          <w:spacing w:val="-63"/>
        </w:rPr>
      </w:r>
      <w:r>
        <w:rPr>
          <w:spacing w:val="-1"/>
        </w:rPr>
        <w:t>期的投资收益。与原有子公司股权投资相关的其他综合收益或除净损益、其他综合收益及利润分配之外的其他</w:t>
      </w:r>
      <w:r>
        <w:rPr>
          <w:spacing w:val="-63"/>
        </w:rPr>
        <w:t> </w:t>
      </w:r>
      <w:r>
        <w:rPr>
          <w:spacing w:val="-63"/>
        </w:rPr>
      </w:r>
      <w:r>
        <w:rPr>
          <w:spacing w:val="-1"/>
        </w:rPr>
        <w:t>所有者权益变动，在丧失控制权时转为当期投资收益，由于被投资方重新计量设定受益计划净负债或净资产变</w:t>
      </w:r>
      <w:r>
        <w:rPr>
          <w:spacing w:val="-63"/>
        </w:rPr>
        <w:t> </w:t>
      </w:r>
      <w:r>
        <w:rPr>
          <w:spacing w:val="-63"/>
        </w:rPr>
      </w:r>
      <w:r>
        <w:rPr/>
        <w:t>动而产生的其他综合收益除外。</w:t>
      </w:r>
    </w:p>
    <w:p>
      <w:pPr>
        <w:pStyle w:val="BodyText"/>
        <w:spacing w:line="429" w:lineRule="auto"/>
        <w:ind w:left="579" w:right="0"/>
        <w:jc w:val="left"/>
      </w:pPr>
      <w:r>
        <w:rPr>
          <w:spacing w:val="-1"/>
        </w:rPr>
        <w:t>因其他投资方对子公司增资而导致本公司持股比例下降从而丧失控制权的，按照上述原则进行会计处理。</w:t>
      </w:r>
      <w:r>
        <w:rPr>
          <w:spacing w:val="-64"/>
        </w:rPr>
        <w:t> </w:t>
      </w:r>
      <w:r>
        <w:rPr>
          <w:spacing w:val="-64"/>
        </w:rPr>
      </w:r>
      <w:r>
        <w:rPr>
          <w:rFonts w:ascii="宋体" w:hAnsi="宋体" w:cs="宋体" w:eastAsia="宋体" w:hint="default"/>
        </w:rPr>
        <w:t>b.</w:t>
      </w:r>
      <w:r>
        <w:rPr/>
        <w:t>分步处置子公司</w:t>
      </w:r>
      <w:r>
        <w:rPr>
          <w:w w:val="100"/>
        </w:rPr>
        <w:t> </w:t>
      </w:r>
      <w:r>
        <w:rPr>
          <w:spacing w:val="-1"/>
        </w:rPr>
        <w:t>通过多次交易分步处置对子公司股权投资直至丧失控制权的，处置对子公司股权投资的各项交易的条款、</w:t>
      </w:r>
    </w:p>
    <w:p>
      <w:pPr>
        <w:pStyle w:val="BodyText"/>
        <w:spacing w:line="429" w:lineRule="auto"/>
        <w:ind w:left="579" w:right="1147" w:hanging="426"/>
        <w:jc w:val="left"/>
      </w:pPr>
      <w:r>
        <w:rPr/>
        <w:t>条件以及经济影响符合以下一种或多种情况，通常表明应将多次交易事项作为一揽子交易进行会计处理：</w:t>
      </w:r>
      <w:r>
        <w:rPr>
          <w:w w:val="100"/>
        </w:rPr>
        <w:t> </w:t>
      </w: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1"/>
        </w:rPr>
        <w:t>处置对子公司股权投资直至丧失控制权的各项交易属于一揽子交易的，本公司将各项交易作为一项处置子</w:t>
      </w:r>
    </w:p>
    <w:p>
      <w:pPr>
        <w:pStyle w:val="BodyText"/>
        <w:spacing w:line="429" w:lineRule="auto"/>
        <w:ind w:left="154" w:right="1169"/>
        <w:jc w:val="both"/>
      </w:pPr>
      <w:r>
        <w:rPr>
          <w:spacing w:val="-1"/>
        </w:rPr>
        <w:t>公司并丧失控制权的交易进行会计处理；但是，在丧失控制权之前每一次处置价款与处置投资对应的享有该子</w:t>
      </w:r>
      <w:r>
        <w:rPr>
          <w:spacing w:val="-63"/>
        </w:rPr>
        <w:t> </w:t>
      </w:r>
      <w:r>
        <w:rPr>
          <w:spacing w:val="-63"/>
        </w:rPr>
      </w:r>
      <w:r>
        <w:rPr>
          <w:spacing w:val="-1"/>
        </w:rPr>
        <w:t>公司净资产份额的差额，在合并财务报表中确认为其他综合收益，在丧失控制权时一并转入丧失控制权当期的</w:t>
      </w:r>
      <w:r>
        <w:rPr>
          <w:spacing w:val="-63"/>
        </w:rPr>
        <w:t> </w:t>
      </w:r>
      <w:r>
        <w:rPr>
          <w:spacing w:val="-63"/>
        </w:rPr>
      </w:r>
      <w:r>
        <w:rPr/>
        <w:t>损益。</w:t>
      </w:r>
    </w:p>
    <w:p>
      <w:pPr>
        <w:pStyle w:val="BodyText"/>
        <w:spacing w:line="429" w:lineRule="auto"/>
        <w:ind w:left="154" w:right="1142" w:firstLine="426"/>
        <w:jc w:val="both"/>
      </w:pPr>
      <w:r>
        <w:rPr>
          <w:spacing w:val="-1"/>
        </w:rPr>
        <w:t>处置对子公司股权投资直至丧失控制权的各项交易不属于一揽子交易的，在丧失控制权之前，按不丧失控</w:t>
      </w:r>
      <w:r>
        <w:rPr>
          <w:w w:val="100"/>
        </w:rPr>
        <w:t> </w:t>
      </w:r>
      <w:r>
        <w:rPr>
          <w:spacing w:val="-1"/>
        </w:rPr>
        <w:t>制权的情况下部分处置对子公司的股权投资的相关政策进行会计处理；在丧失控制权时，按处置子公司一般处</w:t>
      </w:r>
      <w:r>
        <w:rPr>
          <w:spacing w:val="-63"/>
        </w:rPr>
        <w:t> </w:t>
      </w:r>
      <w:r>
        <w:rPr>
          <w:spacing w:val="-63"/>
        </w:rPr>
      </w:r>
      <w:r>
        <w:rPr/>
        <w:t>理方法进行会计处理。</w:t>
      </w:r>
    </w:p>
    <w:p>
      <w:pPr>
        <w:pStyle w:val="BodyText"/>
        <w:spacing w:line="429" w:lineRule="auto"/>
        <w:ind w:left="580" w:right="0"/>
        <w:jc w:val="left"/>
      </w:pPr>
      <w:r>
        <w:rPr/>
        <w:t>③购买子公司少数股权</w:t>
      </w:r>
      <w:r>
        <w:rPr>
          <w:w w:val="100"/>
        </w:rPr>
        <w:t> </w:t>
      </w:r>
      <w:r>
        <w:rPr>
          <w:spacing w:val="-3"/>
          <w:w w:val="100"/>
        </w:rPr>
        <w:t>本公司因购买少数股权新取得的长期股权投资与按照新增持股比例计算应享有子公司自购买日（或合并日）</w:t>
      </w:r>
    </w:p>
    <w:p>
      <w:pPr>
        <w:pStyle w:val="BodyText"/>
        <w:spacing w:line="429" w:lineRule="auto"/>
        <w:ind w:left="154" w:right="1169"/>
        <w:jc w:val="both"/>
      </w:pPr>
      <w:r>
        <w:rPr>
          <w:spacing w:val="-1"/>
        </w:rPr>
        <w:t>开始持续计算的净资产份额之间的差额，调整合并资产负债表中的资本公积中的股本溢价，资本公积中的股本</w:t>
      </w:r>
      <w:r>
        <w:rPr>
          <w:spacing w:val="-63"/>
        </w:rPr>
        <w:t> </w:t>
      </w:r>
      <w:r>
        <w:rPr>
          <w:spacing w:val="-63"/>
        </w:rPr>
      </w:r>
      <w:r>
        <w:rPr/>
        <w:t>溢价不足冲减的，调整留存收益。</w:t>
      </w:r>
    </w:p>
    <w:p>
      <w:pPr>
        <w:pStyle w:val="BodyText"/>
        <w:spacing w:line="429" w:lineRule="auto"/>
        <w:ind w:left="580" w:right="0"/>
        <w:jc w:val="left"/>
      </w:pPr>
      <w:r>
        <w:rPr/>
        <w:t>④不丧失控制权的情况下部分处置对子公司的股权投资</w:t>
      </w:r>
      <w:r>
        <w:rPr>
          <w:w w:val="100"/>
        </w:rPr>
        <w:t> </w:t>
      </w:r>
      <w:r>
        <w:rPr>
          <w:spacing w:val="-1"/>
        </w:rPr>
        <w:t>在不丧失控制权的情况下因部分处置对子公司的长期股权投资而取得的处置价款与处置长期股权投资相对</w:t>
      </w:r>
    </w:p>
    <w:p>
      <w:pPr>
        <w:pStyle w:val="BodyText"/>
        <w:spacing w:line="429" w:lineRule="auto"/>
        <w:ind w:left="154" w:right="1169"/>
        <w:jc w:val="both"/>
      </w:pPr>
      <w:r>
        <w:rPr>
          <w:spacing w:val="-1"/>
        </w:rPr>
        <w:t>应享有子公司自购买日或合并日开始持续计算的净资产份额之间的差额，调整合并资产负债表中的资本公积中</w:t>
      </w:r>
      <w:r>
        <w:rPr>
          <w:spacing w:val="-63"/>
        </w:rPr>
        <w:t> </w:t>
      </w:r>
      <w:r>
        <w:rPr>
          <w:spacing w:val="-63"/>
        </w:rPr>
      </w:r>
      <w:r>
        <w:rPr/>
        <w:t>的股本溢价，资本公积中的股本溢价不足冲减的，调整留存收益。</w:t>
      </w:r>
    </w:p>
    <w:p>
      <w:pPr>
        <w:spacing w:after="0" w:line="42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7、合营安排分类及共同经营会计处理方法" w:id="176"/>
      <w:bookmarkEnd w:id="17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left="579" w:right="0"/>
        <w:jc w:val="left"/>
      </w:pPr>
      <w:r>
        <w:rPr/>
        <w:t>合营安排分为共同经营和合营企业。</w:t>
      </w:r>
      <w:r>
        <w:rPr>
          <w:w w:val="100"/>
        </w:rPr>
        <w:t> </w:t>
      </w:r>
      <w:r>
        <w:rPr/>
        <w:t>当本公司是合营安排的合营方，享有该安排相关资产且承担该安排相关负债时，为共同经营。</w:t>
      </w:r>
      <w:r>
        <w:rPr>
          <w:w w:val="100"/>
        </w:rPr>
        <w:t> </w:t>
      </w:r>
      <w:r>
        <w:rPr>
          <w:spacing w:val="-1"/>
        </w:rPr>
        <w:t>本公司确认与共同经营中利益份额相关的下列项目，并按照相关企业会计准则的规定进行会计处理：</w:t>
      </w:r>
    </w:p>
    <w:p>
      <w:pPr>
        <w:pStyle w:val="BodyText"/>
        <w:spacing w:line="240" w:lineRule="auto"/>
        <w:ind w:left="579" w:right="0"/>
        <w:jc w:val="left"/>
      </w:pPr>
      <w:r>
        <w:rPr/>
        <w:t>（</w:t>
      </w:r>
      <w:r>
        <w:rPr>
          <w:rFonts w:ascii="宋体" w:hAnsi="宋体" w:cs="宋体" w:eastAsia="宋体" w:hint="default"/>
        </w:rPr>
        <w:t>1</w:t>
      </w:r>
      <w:r>
        <w:rPr/>
        <w:t>）确认本公司单独所持有的资产，以及按本公司份额确认共同持有的资产；</w:t>
      </w:r>
    </w:p>
    <w:p>
      <w:pPr>
        <w:spacing w:line="240" w:lineRule="auto" w:before="10"/>
        <w:rPr>
          <w:rFonts w:ascii="宋体" w:hAnsi="宋体" w:cs="宋体" w:eastAsia="宋体" w:hint="default"/>
          <w:sz w:val="15"/>
          <w:szCs w:val="15"/>
        </w:rPr>
      </w:pPr>
    </w:p>
    <w:p>
      <w:pPr>
        <w:pStyle w:val="BodyText"/>
        <w:spacing w:line="240" w:lineRule="auto" w:before="0"/>
        <w:ind w:left="579" w:right="0"/>
        <w:jc w:val="left"/>
      </w:pPr>
      <w:r>
        <w:rPr/>
        <w:t>（</w:t>
      </w:r>
      <w:r>
        <w:rPr>
          <w:rFonts w:ascii="宋体" w:hAnsi="宋体" w:cs="宋体" w:eastAsia="宋体" w:hint="default"/>
        </w:rPr>
        <w:t>2</w:t>
      </w:r>
      <w:r>
        <w:rPr/>
        <w:t>）确认本公司单独所承担的负债，以及按本公司份额确认共同承担的负债；</w:t>
      </w:r>
    </w:p>
    <w:p>
      <w:pPr>
        <w:spacing w:line="240" w:lineRule="auto" w:before="10"/>
        <w:rPr>
          <w:rFonts w:ascii="宋体" w:hAnsi="宋体" w:cs="宋体" w:eastAsia="宋体" w:hint="default"/>
          <w:sz w:val="15"/>
          <w:szCs w:val="15"/>
        </w:rPr>
      </w:pPr>
    </w:p>
    <w:p>
      <w:pPr>
        <w:pStyle w:val="BodyText"/>
        <w:spacing w:line="240" w:lineRule="auto" w:before="0"/>
        <w:ind w:left="579" w:right="0"/>
        <w:jc w:val="left"/>
      </w:pPr>
      <w:r>
        <w:rPr/>
        <w:t>（</w:t>
      </w:r>
      <w:r>
        <w:rPr>
          <w:rFonts w:ascii="宋体" w:hAnsi="宋体" w:cs="宋体" w:eastAsia="宋体" w:hint="default"/>
        </w:rPr>
        <w:t>3</w:t>
      </w:r>
      <w:r>
        <w:rPr/>
        <w:t>）确认出售本公司享有的共同经营产出份额所产生的收入；</w:t>
      </w:r>
    </w:p>
    <w:p>
      <w:pPr>
        <w:spacing w:line="240" w:lineRule="auto" w:before="10"/>
        <w:rPr>
          <w:rFonts w:ascii="宋体" w:hAnsi="宋体" w:cs="宋体" w:eastAsia="宋体" w:hint="default"/>
          <w:sz w:val="15"/>
          <w:szCs w:val="15"/>
        </w:rPr>
      </w:pPr>
    </w:p>
    <w:p>
      <w:pPr>
        <w:pStyle w:val="BodyText"/>
        <w:spacing w:line="240" w:lineRule="auto" w:before="0"/>
        <w:ind w:left="579" w:right="0"/>
        <w:jc w:val="left"/>
      </w:pPr>
      <w:r>
        <w:rPr/>
        <w:t>（</w:t>
      </w:r>
      <w:r>
        <w:rPr>
          <w:rFonts w:ascii="宋体" w:hAnsi="宋体" w:cs="宋体" w:eastAsia="宋体" w:hint="default"/>
        </w:rPr>
        <w:t>4</w:t>
      </w:r>
      <w:r>
        <w:rPr/>
        <w:t>）按本公司份额确认共同经营因出售产出所产生的收入；</w:t>
      </w:r>
    </w:p>
    <w:p>
      <w:pPr>
        <w:spacing w:line="240" w:lineRule="auto" w:before="10"/>
        <w:rPr>
          <w:rFonts w:ascii="宋体" w:hAnsi="宋体" w:cs="宋体" w:eastAsia="宋体" w:hint="default"/>
          <w:sz w:val="15"/>
          <w:szCs w:val="15"/>
        </w:rPr>
      </w:pPr>
    </w:p>
    <w:p>
      <w:pPr>
        <w:pStyle w:val="BodyText"/>
        <w:spacing w:line="429" w:lineRule="auto" w:before="0"/>
        <w:ind w:left="579" w:right="0"/>
        <w:jc w:val="left"/>
      </w:pPr>
      <w:r>
        <w:rPr>
          <w:spacing w:val="-1"/>
        </w:rPr>
        <w:t>（</w:t>
      </w:r>
      <w:r>
        <w:rPr>
          <w:rFonts w:ascii="宋体" w:hAnsi="宋体" w:cs="宋体" w:eastAsia="宋体" w:hint="default"/>
          <w:spacing w:val="-1"/>
        </w:rPr>
        <w:t>5</w:t>
      </w:r>
      <w:r>
        <w:rPr>
          <w:spacing w:val="-1"/>
        </w:rPr>
        <w:t>）确认单独所发生的费用，以及按本公司份额确认共同经营发生的费用。</w:t>
      </w:r>
      <w:r>
        <w:rPr>
          <w:spacing w:val="-73"/>
        </w:rPr>
        <w:t> </w:t>
      </w:r>
      <w:r>
        <w:rPr>
          <w:spacing w:val="-73"/>
        </w:rPr>
      </w:r>
      <w:r>
        <w:rPr/>
        <w:t>本公司对合营企业投资的会计政策见本附注“五、</w:t>
      </w:r>
      <w:r>
        <w:rPr>
          <w:rFonts w:ascii="宋体" w:hAnsi="宋体" w:cs="宋体" w:eastAsia="宋体" w:hint="default"/>
        </w:rPr>
        <w:t>13</w:t>
      </w:r>
      <w:r>
        <w:rPr/>
        <w:t>、长期股权投资”。</w:t>
      </w:r>
    </w:p>
    <w:p>
      <w:pPr>
        <w:spacing w:line="240" w:lineRule="auto" w:before="0"/>
        <w:rPr>
          <w:rFonts w:ascii="宋体" w:hAnsi="宋体" w:cs="宋体" w:eastAsia="宋体" w:hint="default"/>
          <w:sz w:val="20"/>
          <w:szCs w:val="20"/>
        </w:rPr>
      </w:pPr>
    </w:p>
    <w:p>
      <w:pPr>
        <w:pStyle w:val="Heading3"/>
        <w:spacing w:line="240" w:lineRule="auto"/>
        <w:ind w:left="153" w:right="0"/>
        <w:jc w:val="left"/>
        <w:rPr>
          <w:b w:val="0"/>
          <w:bCs w:val="0"/>
        </w:rPr>
      </w:pPr>
      <w:bookmarkStart w:name="8、现金及现金等价物的确定标准" w:id="177"/>
      <w:bookmarkEnd w:id="17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right="1130" w:firstLine="426"/>
        <w:jc w:val="both"/>
      </w:pPr>
      <w:r>
        <w:rPr>
          <w:spacing w:val="-5"/>
        </w:rPr>
        <w:t>在编制现金流量表时，将本公司库存现金以及可以随时用于支付的存款确认为现金。将同时具备期限短（从</w:t>
      </w:r>
      <w:r>
        <w:rPr>
          <w:w w:val="100"/>
        </w:rPr>
        <w:t> </w:t>
      </w:r>
      <w:r>
        <w:rPr/>
        <w:t>购买日起三个月内到期）、流动性强、易于转换为已知现金、价值变动风险很小四个条件的投资，确定为现金</w:t>
      </w:r>
      <w:r>
        <w:rPr>
          <w:w w:val="100"/>
        </w:rPr>
        <w:t> </w:t>
      </w:r>
      <w:r>
        <w:rPr/>
        <w:t>等价物。</w:t>
      </w:r>
    </w:p>
    <w:p>
      <w:pPr>
        <w:spacing w:line="240" w:lineRule="auto" w:before="0"/>
        <w:rPr>
          <w:rFonts w:ascii="宋体" w:hAnsi="宋体" w:cs="宋体" w:eastAsia="宋体" w:hint="default"/>
          <w:sz w:val="20"/>
          <w:szCs w:val="20"/>
        </w:rPr>
      </w:pPr>
    </w:p>
    <w:p>
      <w:pPr>
        <w:pStyle w:val="Heading3"/>
        <w:spacing w:line="240" w:lineRule="auto"/>
        <w:ind w:left="153" w:right="0"/>
        <w:jc w:val="left"/>
        <w:rPr>
          <w:b w:val="0"/>
          <w:bCs w:val="0"/>
        </w:rPr>
      </w:pPr>
      <w:bookmarkStart w:name="9、外币业务和外币报表折算" w:id="178"/>
      <w:bookmarkEnd w:id="17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left="579" w:right="2809"/>
        <w:jc w:val="left"/>
      </w:pPr>
      <w:r>
        <w:rPr/>
        <w:t>（</w:t>
      </w:r>
      <w:r>
        <w:rPr>
          <w:rFonts w:ascii="宋体" w:hAnsi="宋体" w:cs="宋体" w:eastAsia="宋体" w:hint="default"/>
        </w:rPr>
        <w:t>1</w:t>
      </w:r>
      <w:r>
        <w:rPr/>
        <w:t>）外币业务</w:t>
      </w:r>
      <w:r>
        <w:rPr>
          <w:w w:val="100"/>
        </w:rPr>
        <w:t> </w:t>
      </w:r>
      <w:r>
        <w:rPr>
          <w:spacing w:val="-1"/>
        </w:rPr>
        <w:t>外币业务采用交易发生日的即期汇率作为折算汇率将外币金额折合成人民币记账。</w:t>
      </w:r>
    </w:p>
    <w:p>
      <w:pPr>
        <w:pStyle w:val="BodyText"/>
        <w:spacing w:line="429" w:lineRule="auto"/>
        <w:ind w:right="0" w:firstLine="426"/>
        <w:jc w:val="left"/>
      </w:pPr>
      <w:r>
        <w:rPr/>
        <w:t>资产负债表日外币货币性项目余额按资产负债表日即期汇率折算，由此产生的汇兑差额，除属于与购建符</w:t>
      </w:r>
      <w:r>
        <w:rPr>
          <w:w w:val="100"/>
        </w:rPr>
        <w:t> </w:t>
      </w:r>
      <w:r>
        <w:rPr>
          <w:spacing w:val="-2"/>
        </w:rPr>
        <w:t>合资本化条件的资产相关的外币专门借款产生的汇兑差额按照借款费用资本化的原则处理外，均计入当期损益。</w:t>
      </w:r>
    </w:p>
    <w:p>
      <w:pPr>
        <w:pStyle w:val="BodyText"/>
        <w:spacing w:line="429" w:lineRule="auto"/>
        <w:ind w:left="579" w:right="0"/>
        <w:jc w:val="left"/>
      </w:pPr>
      <w:r>
        <w:rPr/>
        <w:t>（</w:t>
      </w:r>
      <w:r>
        <w:rPr>
          <w:rFonts w:ascii="宋体" w:hAnsi="宋体" w:cs="宋体" w:eastAsia="宋体" w:hint="default"/>
        </w:rPr>
        <w:t>2</w:t>
      </w:r>
      <w:r>
        <w:rPr/>
        <w:t>）外币财务报表的折算</w:t>
      </w:r>
      <w:r>
        <w:rPr>
          <w:w w:val="100"/>
        </w:rPr>
        <w:t> </w:t>
      </w:r>
      <w:r>
        <w:rPr>
          <w:spacing w:val="-1"/>
        </w:rPr>
        <w:t>资产负债表中的资产和负债项目，采用资产负债表日的即期汇率折算；所有者权益项目除“未分配利润”</w:t>
      </w:r>
    </w:p>
    <w:p>
      <w:pPr>
        <w:pStyle w:val="BodyText"/>
        <w:spacing w:line="429" w:lineRule="auto"/>
        <w:ind w:left="579" w:right="0" w:hanging="426"/>
        <w:jc w:val="left"/>
      </w:pPr>
      <w:r>
        <w:rPr>
          <w:spacing w:val="-2"/>
        </w:rPr>
        <w:t>项目外，其他项目采用发生时的即期汇率折算。利润表中的收入和费用项目，采用交易发生日的即期汇率折算。</w:t>
      </w:r>
      <w:r>
        <w:rPr>
          <w:spacing w:val="-77"/>
        </w:rPr>
        <w:t> </w:t>
      </w:r>
      <w:r>
        <w:rPr>
          <w:spacing w:val="-77"/>
        </w:rPr>
      </w:r>
      <w:r>
        <w:rPr/>
        <w:t>处置境外经营时，将与该境外经营相关的外币财务报表折算差额，自所有者权益项目转入处置当期损益。</w:t>
      </w:r>
    </w:p>
    <w:p>
      <w:pPr>
        <w:spacing w:line="240" w:lineRule="auto" w:before="0"/>
        <w:rPr>
          <w:rFonts w:ascii="宋体" w:hAnsi="宋体" w:cs="宋体" w:eastAsia="宋体" w:hint="default"/>
          <w:sz w:val="20"/>
          <w:szCs w:val="20"/>
        </w:rPr>
      </w:pPr>
    </w:p>
    <w:p>
      <w:pPr>
        <w:pStyle w:val="Heading3"/>
        <w:spacing w:line="240" w:lineRule="auto"/>
        <w:ind w:left="153" w:right="0"/>
        <w:jc w:val="left"/>
        <w:rPr>
          <w:b w:val="0"/>
          <w:bCs w:val="0"/>
        </w:rPr>
      </w:pPr>
      <w:bookmarkStart w:name="10、金融工具" w:id="179"/>
      <w:bookmarkEnd w:id="17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3"/>
        <w:rPr>
          <w:rFonts w:ascii="宋体" w:hAnsi="宋体" w:cs="宋体" w:eastAsia="宋体" w:hint="default"/>
          <w:b/>
          <w:bCs/>
          <w:sz w:val="31"/>
          <w:szCs w:val="31"/>
        </w:rPr>
      </w:pPr>
    </w:p>
    <w:p>
      <w:pPr>
        <w:pStyle w:val="BodyText"/>
        <w:spacing w:line="240" w:lineRule="auto" w:before="0"/>
        <w:ind w:left="580" w:right="0"/>
        <w:jc w:val="left"/>
      </w:pPr>
      <w:r>
        <w:rPr/>
        <w:t>金融工具包括金融资产、金融负债和权益工具。</w:t>
      </w:r>
    </w:p>
    <w:p>
      <w:pPr>
        <w:spacing w:line="240" w:lineRule="auto" w:before="10"/>
        <w:rPr>
          <w:rFonts w:ascii="宋体" w:hAnsi="宋体" w:cs="宋体" w:eastAsia="宋体" w:hint="default"/>
          <w:sz w:val="15"/>
          <w:szCs w:val="15"/>
        </w:rPr>
      </w:pPr>
    </w:p>
    <w:p>
      <w:pPr>
        <w:pStyle w:val="BodyText"/>
        <w:spacing w:line="240" w:lineRule="auto" w:before="0"/>
        <w:ind w:left="579" w:right="0"/>
        <w:jc w:val="left"/>
      </w:pPr>
      <w:r>
        <w:rPr/>
        <w:t>（</w:t>
      </w:r>
      <w:r>
        <w:rPr>
          <w:rFonts w:ascii="宋体" w:hAnsi="宋体" w:cs="宋体" w:eastAsia="宋体" w:hint="default"/>
        </w:rPr>
        <w:t>1</w:t>
      </w:r>
      <w:r>
        <w:rPr/>
        <w:t>）金融工具的分类</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before="0"/>
        <w:ind w:right="0" w:firstLine="426"/>
        <w:jc w:val="left"/>
      </w:pPr>
      <w:r>
        <w:rPr>
          <w:spacing w:val="-3"/>
          <w:w w:val="100"/>
        </w:rPr>
        <w:t>金融资产和金融负债于初始确认时分类为：以公允价值计量且其变动计入当期损益的金融资产或金融负债，</w:t>
      </w:r>
      <w:r>
        <w:rPr>
          <w:w w:val="100"/>
        </w:rPr>
        <w:t> </w:t>
      </w:r>
      <w:r>
        <w:rPr/>
        <w:t>包括交易性金融资产或金融负债和直接指定为以公允价值计量且其变动计入当期损益的金融资产或金融负债；</w:t>
      </w:r>
      <w:r>
        <w:rPr>
          <w:w w:val="100"/>
        </w:rPr>
        <w:t> </w:t>
      </w:r>
      <w:r>
        <w:rPr/>
        <w:t>持有至到期投资；应收款项；可供出售金融资产；其他金融负债等。</w:t>
      </w:r>
    </w:p>
    <w:p>
      <w:pPr>
        <w:pStyle w:val="BodyText"/>
        <w:spacing w:line="240" w:lineRule="auto"/>
        <w:ind w:left="579" w:right="0"/>
        <w:jc w:val="left"/>
      </w:pPr>
      <w:r>
        <w:rPr/>
        <w:t>（</w:t>
      </w:r>
      <w:r>
        <w:rPr>
          <w:rFonts w:ascii="宋体" w:hAnsi="宋体" w:cs="宋体" w:eastAsia="宋体" w:hint="default"/>
        </w:rPr>
        <w:t>2</w:t>
      </w:r>
      <w:r>
        <w:rPr/>
        <w:t>）金融工具的确认依据和计量方法</w:t>
      </w:r>
    </w:p>
    <w:p>
      <w:pPr>
        <w:spacing w:line="240" w:lineRule="auto" w:before="10"/>
        <w:rPr>
          <w:rFonts w:ascii="宋体" w:hAnsi="宋体" w:cs="宋体" w:eastAsia="宋体" w:hint="default"/>
          <w:sz w:val="15"/>
          <w:szCs w:val="15"/>
        </w:rPr>
      </w:pPr>
    </w:p>
    <w:p>
      <w:pPr>
        <w:pStyle w:val="BodyText"/>
        <w:spacing w:line="429" w:lineRule="auto" w:before="0"/>
        <w:ind w:left="579" w:right="0"/>
        <w:jc w:val="left"/>
      </w:pPr>
      <w:r>
        <w:rPr/>
        <w:t>①以公允价值计量且其变动计入当期损益的金融资产（金融负债）</w:t>
      </w:r>
      <w:r>
        <w:rPr>
          <w:w w:val="100"/>
        </w:rPr>
        <w:t> </w:t>
      </w:r>
      <w:r>
        <w:rPr>
          <w:spacing w:val="-1"/>
        </w:rPr>
        <w:t>取得时以公允价值（扣除已宣告但尚未发放的现金股利或已到付息期但尚未领取的债券利息）作为初始确</w:t>
      </w:r>
    </w:p>
    <w:p>
      <w:pPr>
        <w:pStyle w:val="BodyText"/>
        <w:spacing w:line="429" w:lineRule="auto"/>
        <w:ind w:left="579" w:right="0" w:hanging="426"/>
        <w:jc w:val="left"/>
      </w:pPr>
      <w:r>
        <w:rPr/>
        <w:t>认金额，相关的交易费用计入当期损益。</w:t>
      </w:r>
      <w:r>
        <w:rPr>
          <w:w w:val="100"/>
        </w:rPr>
        <w:t> </w:t>
      </w:r>
      <w:r>
        <w:rPr/>
        <w:t>持有期间将取得的利息或现金股利确认为投资收益，期末将公允价值变动计入当期损益。</w:t>
      </w:r>
      <w:r>
        <w:rPr>
          <w:w w:val="100"/>
        </w:rPr>
        <w:t> </w:t>
      </w:r>
      <w:r>
        <w:rPr>
          <w:spacing w:val="-1"/>
        </w:rPr>
        <w:t>处置时，其公允价值与初始入账金额之间的差额确认为投资收益，同时调整公允价值变动损益。</w:t>
      </w:r>
    </w:p>
    <w:p>
      <w:pPr>
        <w:pStyle w:val="BodyText"/>
        <w:spacing w:line="429" w:lineRule="auto"/>
        <w:ind w:left="579" w:right="0"/>
        <w:jc w:val="left"/>
      </w:pPr>
      <w:r>
        <w:rPr/>
        <w:t>②持有至到期投资</w:t>
      </w:r>
      <w:r>
        <w:rPr>
          <w:w w:val="100"/>
        </w:rPr>
        <w:t> </w:t>
      </w:r>
      <w:r>
        <w:rPr/>
        <w:t>取得时按公允价值（扣除已到付息期但尚未领取的债券利息）和相关交易费用之和作为初始确认金额。</w:t>
      </w:r>
      <w:r>
        <w:rPr>
          <w:w w:val="100"/>
        </w:rPr>
        <w:t> </w:t>
      </w:r>
      <w:r>
        <w:rPr>
          <w:spacing w:val="-1"/>
        </w:rPr>
        <w:t>持有期间按照摊余成本和实际利率计算确认利息收入，计入投资收益。实际利率在取得时确定，在该预期</w:t>
      </w:r>
    </w:p>
    <w:p>
      <w:pPr>
        <w:pStyle w:val="BodyText"/>
        <w:spacing w:line="429" w:lineRule="auto"/>
        <w:ind w:left="579" w:right="2809" w:hanging="426"/>
        <w:jc w:val="left"/>
      </w:pPr>
      <w:r>
        <w:rPr/>
        <w:t>存续期间或适用的更短期间内保持不变。</w:t>
      </w:r>
      <w:r>
        <w:rPr>
          <w:w w:val="100"/>
        </w:rPr>
        <w:t> </w:t>
      </w:r>
      <w:r>
        <w:rPr>
          <w:spacing w:val="-1"/>
        </w:rPr>
        <w:t>处置时，将所取得价款与该投资账面价值之间的差额计入投资收益。</w:t>
      </w:r>
    </w:p>
    <w:p>
      <w:pPr>
        <w:pStyle w:val="BodyText"/>
        <w:spacing w:line="429" w:lineRule="auto"/>
        <w:ind w:left="579" w:right="1118"/>
        <w:jc w:val="left"/>
      </w:pPr>
      <w:r>
        <w:rPr/>
        <w:t>③应收款项</w:t>
      </w:r>
      <w:r>
        <w:rPr>
          <w:spacing w:val="-2"/>
          <w:w w:val="100"/>
        </w:rPr>
        <w:t> </w:t>
      </w:r>
      <w:r>
        <w:rPr>
          <w:spacing w:val="-1"/>
        </w:rPr>
        <w:t>公司对外销售商品或提供劳务形成的应收债权，以及公司持有的其他企业的不包括在活跃市场上有报价的</w:t>
      </w:r>
    </w:p>
    <w:p>
      <w:pPr>
        <w:pStyle w:val="BodyText"/>
        <w:spacing w:line="429" w:lineRule="auto"/>
        <w:ind w:right="0"/>
        <w:jc w:val="left"/>
      </w:pPr>
      <w:r>
        <w:rPr>
          <w:spacing w:val="-1"/>
        </w:rPr>
        <w:t>债务工具的债权，包括应收账款、其他应收款等，以向购货方应收的合同或协议价款作为初始确认金额；具有</w:t>
      </w:r>
      <w:r>
        <w:rPr>
          <w:spacing w:val="-63"/>
        </w:rPr>
        <w:t> </w:t>
      </w:r>
      <w:r>
        <w:rPr>
          <w:spacing w:val="-63"/>
        </w:rPr>
      </w:r>
      <w:r>
        <w:rPr/>
        <w:t>融资性质的，按其现值进行初始确认。</w:t>
      </w:r>
    </w:p>
    <w:p>
      <w:pPr>
        <w:pStyle w:val="BodyText"/>
        <w:spacing w:line="240" w:lineRule="auto"/>
        <w:ind w:left="579" w:right="0"/>
        <w:jc w:val="left"/>
      </w:pPr>
      <w:r>
        <w:rPr/>
        <w:t>收回或处置时，将取得的价款与该应收款项账面价值之间的差额计入当期损益。</w:t>
      </w:r>
    </w:p>
    <w:p>
      <w:pPr>
        <w:spacing w:line="240" w:lineRule="auto" w:before="10"/>
        <w:rPr>
          <w:rFonts w:ascii="宋体" w:hAnsi="宋体" w:cs="宋体" w:eastAsia="宋体" w:hint="default"/>
          <w:sz w:val="15"/>
          <w:szCs w:val="15"/>
        </w:rPr>
      </w:pPr>
    </w:p>
    <w:p>
      <w:pPr>
        <w:pStyle w:val="BodyText"/>
        <w:spacing w:line="429" w:lineRule="auto" w:before="0"/>
        <w:ind w:left="579" w:right="0"/>
        <w:jc w:val="left"/>
      </w:pPr>
      <w:r>
        <w:rPr/>
        <w:t>④可供出售金融资产</w:t>
      </w:r>
      <w:r>
        <w:rPr>
          <w:w w:val="100"/>
        </w:rPr>
        <w:t> </w:t>
      </w:r>
      <w:r>
        <w:rPr>
          <w:spacing w:val="-1"/>
        </w:rPr>
        <w:t>取得时按公允价值（扣除已宣告但尚未发放的现金股利或已到付息期但尚未领取的债券利息）和相关交易</w:t>
      </w:r>
    </w:p>
    <w:p>
      <w:pPr>
        <w:pStyle w:val="BodyText"/>
        <w:spacing w:line="429" w:lineRule="auto"/>
        <w:ind w:left="579" w:right="0" w:hanging="426"/>
        <w:jc w:val="left"/>
      </w:pPr>
      <w:r>
        <w:rPr/>
        <w:t>费用之和作为初始确认金额。</w:t>
      </w:r>
      <w:r>
        <w:rPr>
          <w:w w:val="100"/>
        </w:rPr>
        <w:t> </w:t>
      </w:r>
      <w:r>
        <w:rPr>
          <w:spacing w:val="-1"/>
        </w:rPr>
        <w:t>持有期间将取得的利息或现金股利确认为投资收益。期末以公允价值计量且将公允价值变动计入其他综合</w:t>
      </w:r>
    </w:p>
    <w:p>
      <w:pPr>
        <w:pStyle w:val="BodyText"/>
        <w:spacing w:line="429" w:lineRule="auto"/>
        <w:ind w:right="0"/>
        <w:jc w:val="left"/>
      </w:pPr>
      <w:r>
        <w:rPr>
          <w:spacing w:val="-1"/>
        </w:rPr>
        <w:t>收益。但是，在活跃市场中没有报价且其公允价值不能可靠计量的权益工具投资，以及与该权益工具挂钩并须</w:t>
      </w:r>
      <w:r>
        <w:rPr>
          <w:spacing w:val="-63"/>
        </w:rPr>
        <w:t> </w:t>
      </w:r>
      <w:r>
        <w:rPr>
          <w:spacing w:val="-63"/>
        </w:rPr>
      </w:r>
      <w:r>
        <w:rPr/>
        <w:t>通过交付该权益工具结算的衍生金融资产，按照成本计量。</w:t>
      </w:r>
    </w:p>
    <w:p>
      <w:pPr>
        <w:pStyle w:val="BodyText"/>
        <w:spacing w:line="429" w:lineRule="auto"/>
        <w:ind w:right="0" w:firstLine="426"/>
        <w:jc w:val="left"/>
      </w:pPr>
      <w:r>
        <w:rPr>
          <w:spacing w:val="-1"/>
        </w:rPr>
        <w:t>处置时，将取得的价款与该金融资产账面价值之间的差额，计入投资损益；同时，将原直接计入其他综合</w:t>
      </w:r>
      <w:r>
        <w:rPr>
          <w:w w:val="100"/>
        </w:rPr>
        <w:t> </w:t>
      </w:r>
      <w:r>
        <w:rPr/>
        <w:t>收益的公允价值变动累计额对应处置部分的金额转出，计入当期损益。</w:t>
      </w:r>
    </w:p>
    <w:p>
      <w:pPr>
        <w:pStyle w:val="BodyText"/>
        <w:spacing w:line="429" w:lineRule="auto"/>
        <w:ind w:left="579" w:right="2809"/>
        <w:jc w:val="left"/>
      </w:pPr>
      <w:r>
        <w:rPr/>
        <w:t>⑤其他金融负债</w:t>
      </w:r>
      <w:r>
        <w:rPr>
          <w:w w:val="100"/>
        </w:rPr>
        <w:t> </w:t>
      </w:r>
      <w:r>
        <w:rPr>
          <w:spacing w:val="-1"/>
        </w:rPr>
        <w:t>按其公允价值和相关交易费用之和作为初始确认金额。采用摊余成本进行后续计量。</w:t>
      </w:r>
    </w:p>
    <w:p>
      <w:pPr>
        <w:pStyle w:val="BodyText"/>
        <w:spacing w:line="240" w:lineRule="auto"/>
        <w:ind w:left="579" w:right="0"/>
        <w:jc w:val="left"/>
      </w:pPr>
      <w:r>
        <w:rPr/>
        <w:t>（</w:t>
      </w:r>
      <w:r>
        <w:rPr>
          <w:rFonts w:ascii="宋体" w:hAnsi="宋体" w:cs="宋体" w:eastAsia="宋体" w:hint="default"/>
        </w:rPr>
        <w:t>3</w:t>
      </w:r>
      <w:r>
        <w:rPr/>
        <w:t>）金融资产转移的确认依据和计量方法</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before="0"/>
        <w:ind w:left="154" w:right="1142" w:firstLine="426"/>
        <w:jc w:val="both"/>
      </w:pPr>
      <w:r>
        <w:rPr>
          <w:spacing w:val="-1"/>
        </w:rPr>
        <w:t>公司发生金融资产转移时，如已将金融资产所有权上几乎所有的风险和报酬转移给转入方，则终止确认该</w:t>
      </w:r>
      <w:r>
        <w:rPr>
          <w:w w:val="100"/>
        </w:rPr>
        <w:t> </w:t>
      </w:r>
      <w:r>
        <w:rPr/>
        <w:t>金融资产；如保留了金融资产所有权上几乎所有的风险和报酬的，则不终止确认该金融资产。</w:t>
      </w:r>
    </w:p>
    <w:p>
      <w:pPr>
        <w:pStyle w:val="BodyText"/>
        <w:spacing w:line="429" w:lineRule="auto"/>
        <w:ind w:left="154" w:right="1142" w:firstLine="426"/>
        <w:jc w:val="both"/>
      </w:pPr>
      <w:r>
        <w:rPr>
          <w:spacing w:val="-1"/>
        </w:rPr>
        <w:t>在判断金融资产转移是否满足上述金融资产终止确认条件时，采用实质重于形式的原则。公司将金融资产</w:t>
      </w:r>
      <w:r>
        <w:rPr>
          <w:w w:val="100"/>
        </w:rPr>
        <w:t> </w:t>
      </w:r>
      <w:r>
        <w:rPr>
          <w:spacing w:val="-1"/>
        </w:rPr>
        <w:t>转移区分为金融资产整体转移和部分转移。金融资产整体转移满足终止确认条件的，将下列两项金额的差额计</w:t>
      </w:r>
      <w:r>
        <w:rPr>
          <w:spacing w:val="-63"/>
        </w:rPr>
        <w:t> </w:t>
      </w:r>
      <w:r>
        <w:rPr>
          <w:spacing w:val="-63"/>
        </w:rPr>
      </w:r>
      <w:r>
        <w:rPr/>
        <w:t>入当期损益：</w:t>
      </w:r>
    </w:p>
    <w:p>
      <w:pPr>
        <w:pStyle w:val="BodyText"/>
        <w:spacing w:line="240" w:lineRule="auto"/>
        <w:ind w:left="580" w:right="0"/>
        <w:jc w:val="left"/>
      </w:pPr>
      <w:r>
        <w:rPr/>
        <w:t>①所转移金融资产的账面价值；</w:t>
      </w:r>
    </w:p>
    <w:p>
      <w:pPr>
        <w:spacing w:line="240" w:lineRule="auto" w:before="10"/>
        <w:rPr>
          <w:rFonts w:ascii="宋体" w:hAnsi="宋体" w:cs="宋体" w:eastAsia="宋体" w:hint="default"/>
          <w:sz w:val="15"/>
          <w:szCs w:val="15"/>
        </w:rPr>
      </w:pPr>
    </w:p>
    <w:p>
      <w:pPr>
        <w:pStyle w:val="BodyText"/>
        <w:spacing w:line="429" w:lineRule="auto" w:before="0"/>
        <w:ind w:left="154" w:right="1142" w:firstLine="426"/>
        <w:jc w:val="both"/>
      </w:pPr>
      <w:r>
        <w:rPr>
          <w:spacing w:val="-1"/>
        </w:rPr>
        <w:t>②因转移而收到的对价，与原直接计入所有者权益的公允价值变动累计额（涉及转移的金融资产为可供出</w:t>
      </w:r>
      <w:r>
        <w:rPr>
          <w:w w:val="100"/>
        </w:rPr>
        <w:t> </w:t>
      </w:r>
      <w:r>
        <w:rPr/>
        <w:t>售金融资产的情形）之和。</w:t>
      </w:r>
    </w:p>
    <w:p>
      <w:pPr>
        <w:pStyle w:val="BodyText"/>
        <w:spacing w:line="429" w:lineRule="auto"/>
        <w:ind w:left="154" w:right="1142" w:firstLine="426"/>
        <w:jc w:val="both"/>
      </w:pPr>
      <w:r>
        <w:rPr>
          <w:spacing w:val="-1"/>
        </w:rPr>
        <w:t>金融资产部分转移满足终止确认条件的，将所转移金融资产整体的账面价值，在终止确认部分和未终止确</w:t>
      </w:r>
      <w:r>
        <w:rPr>
          <w:w w:val="100"/>
        </w:rPr>
        <w:t> </w:t>
      </w:r>
      <w:r>
        <w:rPr/>
        <w:t>认部分之间，按照各自的相对公允价值进行分摊，并将下列两项金额的差额计入当期损益：</w:t>
      </w:r>
    </w:p>
    <w:p>
      <w:pPr>
        <w:pStyle w:val="BodyText"/>
        <w:spacing w:line="240" w:lineRule="auto"/>
        <w:ind w:left="580" w:right="0"/>
        <w:jc w:val="left"/>
      </w:pPr>
      <w:r>
        <w:rPr/>
        <w:t>①终止确认部分的账面价值；</w:t>
      </w:r>
    </w:p>
    <w:p>
      <w:pPr>
        <w:spacing w:line="240" w:lineRule="auto" w:before="10"/>
        <w:rPr>
          <w:rFonts w:ascii="宋体" w:hAnsi="宋体" w:cs="宋体" w:eastAsia="宋体" w:hint="default"/>
          <w:sz w:val="15"/>
          <w:szCs w:val="15"/>
        </w:rPr>
      </w:pPr>
    </w:p>
    <w:p>
      <w:pPr>
        <w:pStyle w:val="BodyText"/>
        <w:spacing w:line="429" w:lineRule="auto" w:before="0"/>
        <w:ind w:left="154" w:right="1142" w:firstLine="426"/>
        <w:jc w:val="both"/>
      </w:pPr>
      <w:r>
        <w:rPr>
          <w:spacing w:val="-1"/>
        </w:rPr>
        <w:t>②终止确认部分的对价，与原直接计入所有者权益的公允价值变动累计额中对应终止确认部分的金额（涉</w:t>
      </w:r>
      <w:r>
        <w:rPr>
          <w:w w:val="100"/>
        </w:rPr>
        <w:t> </w:t>
      </w:r>
      <w:r>
        <w:rPr/>
        <w:t>及转移的金融资产为可供出售金融资产的情形）之和。</w:t>
      </w:r>
    </w:p>
    <w:p>
      <w:pPr>
        <w:pStyle w:val="BodyText"/>
        <w:spacing w:line="240" w:lineRule="auto"/>
        <w:ind w:left="580" w:right="0"/>
        <w:jc w:val="left"/>
      </w:pPr>
      <w:r>
        <w:rPr/>
        <w:t>金融资产转移不满足终止确认条件的，继续确认该金融资产，所收到的对价确认为一项金融负债。</w:t>
      </w:r>
    </w:p>
    <w:p>
      <w:pPr>
        <w:spacing w:line="240" w:lineRule="auto" w:before="10"/>
        <w:rPr>
          <w:rFonts w:ascii="宋体" w:hAnsi="宋体" w:cs="宋体" w:eastAsia="宋体" w:hint="default"/>
          <w:sz w:val="15"/>
          <w:szCs w:val="15"/>
        </w:rPr>
      </w:pPr>
    </w:p>
    <w:p>
      <w:pPr>
        <w:pStyle w:val="BodyText"/>
        <w:spacing w:line="429" w:lineRule="auto" w:before="0"/>
        <w:ind w:left="580" w:right="0"/>
        <w:jc w:val="left"/>
      </w:pPr>
      <w:r>
        <w:rPr/>
        <w:t>（</w:t>
      </w:r>
      <w:r>
        <w:rPr>
          <w:rFonts w:ascii="宋体" w:hAnsi="宋体" w:cs="宋体" w:eastAsia="宋体" w:hint="default"/>
        </w:rPr>
        <w:t>4</w:t>
      </w:r>
      <w:r>
        <w:rPr/>
        <w:t>）金融负债终止确认条件</w:t>
      </w:r>
      <w:r>
        <w:rPr>
          <w:w w:val="100"/>
        </w:rPr>
        <w:t> </w:t>
      </w:r>
      <w:r>
        <w:rPr>
          <w:spacing w:val="-1"/>
        </w:rPr>
        <w:t>金融负债的现时义务全部或部分已经解除的，则终止确认该金融负债或其一部分；本公司若与债权人签定</w:t>
      </w:r>
    </w:p>
    <w:p>
      <w:pPr>
        <w:pStyle w:val="BodyText"/>
        <w:spacing w:line="429" w:lineRule="auto"/>
        <w:ind w:left="154" w:right="1169"/>
        <w:jc w:val="both"/>
      </w:pPr>
      <w:r>
        <w:rPr>
          <w:spacing w:val="-1"/>
        </w:rPr>
        <w:t>协议，以承担新金融负债方式替换现存金融负债，且新金融负债与现存金融负债的合同条款实质上不同的，则</w:t>
      </w:r>
      <w:r>
        <w:rPr>
          <w:spacing w:val="-63"/>
        </w:rPr>
        <w:t> </w:t>
      </w:r>
      <w:r>
        <w:rPr>
          <w:spacing w:val="-63"/>
        </w:rPr>
      </w:r>
      <w:r>
        <w:rPr/>
        <w:t>终止确认现存金融负债，并同时确认新金融负债。</w:t>
      </w:r>
    </w:p>
    <w:p>
      <w:pPr>
        <w:pStyle w:val="BodyText"/>
        <w:spacing w:line="429" w:lineRule="auto"/>
        <w:ind w:left="154" w:right="1142" w:firstLine="426"/>
        <w:jc w:val="both"/>
      </w:pPr>
      <w:r>
        <w:rPr>
          <w:spacing w:val="-1"/>
        </w:rPr>
        <w:t>对现存金融负债全部或部分合同条款作出实质性修改的，则终止确认现存金融负债或其一部分，同时将修</w:t>
      </w:r>
      <w:r>
        <w:rPr>
          <w:w w:val="100"/>
        </w:rPr>
        <w:t> </w:t>
      </w:r>
      <w:r>
        <w:rPr/>
        <w:t>改条款后的金融负债确认为一项新金融负债。</w:t>
      </w:r>
    </w:p>
    <w:p>
      <w:pPr>
        <w:pStyle w:val="BodyText"/>
        <w:spacing w:line="429" w:lineRule="auto"/>
        <w:ind w:left="154" w:right="1142" w:firstLine="426"/>
        <w:jc w:val="both"/>
      </w:pPr>
      <w:r>
        <w:rPr>
          <w:spacing w:val="-1"/>
        </w:rPr>
        <w:t>金融负债全部或部分终止确认时，终止确认的金融负债账面价值与支付对价（包括转出的非现金资产或承</w:t>
      </w:r>
      <w:r>
        <w:rPr>
          <w:w w:val="100"/>
        </w:rPr>
        <w:t> </w:t>
      </w:r>
      <w:r>
        <w:rPr/>
        <w:t>担的新金融负债）之间的差额，计入当期损益。</w:t>
      </w:r>
    </w:p>
    <w:p>
      <w:pPr>
        <w:pStyle w:val="BodyText"/>
        <w:spacing w:line="429" w:lineRule="auto"/>
        <w:ind w:left="154" w:right="1142" w:firstLine="426"/>
        <w:jc w:val="both"/>
      </w:pPr>
      <w:r>
        <w:rPr>
          <w:spacing w:val="-1"/>
        </w:rPr>
        <w:t>本公司若回购部分金融负债的，在回购日按照继续确认部分与终止确认部分的相对公允价值，将该金融负</w:t>
      </w:r>
      <w:r>
        <w:rPr>
          <w:w w:val="100"/>
        </w:rPr>
        <w:t> </w:t>
      </w:r>
      <w:r>
        <w:rPr>
          <w:spacing w:val="-1"/>
        </w:rPr>
        <w:t>债整体的账面价值进行分配。分配给终止确认部分的账面价值与支付的对价（包括转出的非现金资产或承担的</w:t>
      </w:r>
      <w:r>
        <w:rPr>
          <w:spacing w:val="-63"/>
        </w:rPr>
        <w:t> </w:t>
      </w:r>
      <w:r>
        <w:rPr>
          <w:spacing w:val="-63"/>
        </w:rPr>
      </w:r>
      <w:r>
        <w:rPr/>
        <w:t>新金融负债）之间的差额，计入当期损益。</w:t>
      </w:r>
    </w:p>
    <w:p>
      <w:pPr>
        <w:pStyle w:val="BodyText"/>
        <w:spacing w:line="429" w:lineRule="auto"/>
        <w:ind w:left="580" w:right="0"/>
        <w:jc w:val="left"/>
      </w:pPr>
      <w:r>
        <w:rPr/>
        <w:t>（</w:t>
      </w:r>
      <w:r>
        <w:rPr>
          <w:rFonts w:ascii="宋体" w:hAnsi="宋体" w:cs="宋体" w:eastAsia="宋体" w:hint="default"/>
        </w:rPr>
        <w:t>5</w:t>
      </w:r>
      <w:r>
        <w:rPr/>
        <w:t>）金融资产和金融负债的公允价值的确定方法</w:t>
      </w:r>
      <w:r>
        <w:rPr>
          <w:w w:val="100"/>
        </w:rPr>
        <w:t> </w:t>
      </w:r>
      <w:r>
        <w:rPr>
          <w:spacing w:val="-1"/>
        </w:rPr>
        <w:t>存在活跃市场的金融工具，以活跃市场中的报价确定其公允价值。不存在活跃市场的金融工具，采用估值</w:t>
      </w:r>
    </w:p>
    <w:p>
      <w:pPr>
        <w:pStyle w:val="BodyText"/>
        <w:spacing w:line="429" w:lineRule="auto"/>
        <w:ind w:left="154" w:right="1169"/>
        <w:jc w:val="both"/>
      </w:pPr>
      <w:r>
        <w:rPr>
          <w:spacing w:val="-1"/>
        </w:rPr>
        <w:t>技术确定其公允价值。在估值时，本公司采用在当前情况下适用并且有足够可利用数据和其他信息支持的估值</w:t>
      </w:r>
      <w:r>
        <w:rPr>
          <w:spacing w:val="-63"/>
        </w:rPr>
        <w:t> </w:t>
      </w:r>
      <w:r>
        <w:rPr>
          <w:spacing w:val="-63"/>
        </w:rPr>
      </w:r>
      <w:r>
        <w:rPr>
          <w:spacing w:val="-1"/>
        </w:rPr>
        <w:t>技术，选择与市场参与者在相关资产或负债的交易中所考虑的资产或负债特征相一致的输入值，并优先使用相</w:t>
      </w:r>
      <w:r>
        <w:rPr>
          <w:spacing w:val="-63"/>
        </w:rPr>
        <w:t> </w:t>
      </w:r>
      <w:r>
        <w:rPr>
          <w:spacing w:val="-63"/>
        </w:rPr>
      </w:r>
      <w:r>
        <w:rPr/>
        <w:t>关可观察输入值。只有在相关可观察输入值无法取得或取得不切实可行的情况下，才使用不可观察输入值。</w:t>
      </w:r>
    </w:p>
    <w:p>
      <w:pPr>
        <w:spacing w:after="0" w:line="42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before="0"/>
        <w:ind w:left="579" w:right="0"/>
        <w:jc w:val="left"/>
      </w:pPr>
      <w:r>
        <w:rPr>
          <w:rFonts w:ascii="宋体" w:hAnsi="宋体" w:cs="宋体" w:eastAsia="宋体" w:hint="default"/>
        </w:rPr>
        <w:t>(6)</w:t>
      </w:r>
      <w:r>
        <w:rPr/>
        <w:t>金融资产（不含应收款项）减值的测试方法及会计处理方法</w:t>
      </w:r>
      <w:r>
        <w:rPr>
          <w:w w:val="100"/>
        </w:rPr>
        <w:t> </w:t>
      </w:r>
      <w:r>
        <w:rPr>
          <w:spacing w:val="-1"/>
        </w:rPr>
        <w:t>除以公允价值计量且其变动计入当期损益的金融资产外，本公司于资产负债表日对金融资产的账面价值进</w:t>
      </w:r>
    </w:p>
    <w:p>
      <w:pPr>
        <w:pStyle w:val="BodyText"/>
        <w:spacing w:line="240" w:lineRule="auto"/>
        <w:ind w:right="0"/>
        <w:jc w:val="left"/>
      </w:pPr>
      <w:r>
        <w:rPr/>
        <w:t>行检查，如果有客观证据表明某项金融资产发生减值的，计提减值准备。</w:t>
      </w:r>
    </w:p>
    <w:p>
      <w:pPr>
        <w:spacing w:line="240" w:lineRule="auto" w:before="10"/>
        <w:rPr>
          <w:rFonts w:ascii="宋体" w:hAnsi="宋体" w:cs="宋体" w:eastAsia="宋体" w:hint="default"/>
          <w:sz w:val="15"/>
          <w:szCs w:val="15"/>
        </w:rPr>
      </w:pPr>
    </w:p>
    <w:p>
      <w:pPr>
        <w:pStyle w:val="BodyText"/>
        <w:spacing w:line="429" w:lineRule="auto" w:before="0"/>
        <w:ind w:left="579" w:right="0"/>
        <w:jc w:val="left"/>
      </w:pPr>
      <w:r>
        <w:rPr/>
        <w:t>①可供出售金融资产的减值准备：</w:t>
      </w:r>
      <w:r>
        <w:rPr>
          <w:w w:val="100"/>
        </w:rPr>
        <w:t> </w:t>
      </w:r>
      <w:r>
        <w:rPr>
          <w:spacing w:val="-1"/>
        </w:rPr>
        <w:t>期末如果可供出售金融资产的公允价值发生严重下降，或在综合考虑各种相关因素后，预期这种下降趋势</w:t>
      </w:r>
    </w:p>
    <w:p>
      <w:pPr>
        <w:pStyle w:val="BodyText"/>
        <w:spacing w:line="429" w:lineRule="auto"/>
        <w:ind w:right="0"/>
        <w:jc w:val="left"/>
      </w:pPr>
      <w:r>
        <w:rPr>
          <w:spacing w:val="-1"/>
        </w:rPr>
        <w:t>属于非暂时性的，就认定其已发生减值，将原直接计入所有者权益的公允价值下降形成的累计损失一并转出，</w:t>
      </w:r>
      <w:r>
        <w:rPr>
          <w:spacing w:val="-63"/>
        </w:rPr>
        <w:t> </w:t>
      </w:r>
      <w:r>
        <w:rPr>
          <w:spacing w:val="-63"/>
        </w:rPr>
      </w:r>
      <w:r>
        <w:rPr/>
        <w:t>确认减值损失。</w:t>
      </w:r>
    </w:p>
    <w:p>
      <w:pPr>
        <w:pStyle w:val="BodyText"/>
        <w:spacing w:line="429" w:lineRule="auto"/>
        <w:ind w:right="0" w:firstLine="426"/>
        <w:jc w:val="left"/>
      </w:pPr>
      <w:r>
        <w:rPr>
          <w:spacing w:val="-1"/>
        </w:rPr>
        <w:t>对于已确认减值损失的可供出售债务工具，在随后的会计期间公允价值已上升且客观上与确认原减值损失</w:t>
      </w:r>
      <w:r>
        <w:rPr>
          <w:w w:val="100"/>
        </w:rPr>
        <w:t> </w:t>
      </w:r>
      <w:r>
        <w:rPr/>
        <w:t>确认后发生的事项有关的，原确认的减值损失予以转回，计入当期损益。</w:t>
      </w:r>
    </w:p>
    <w:p>
      <w:pPr>
        <w:pStyle w:val="BodyText"/>
        <w:spacing w:line="240" w:lineRule="auto"/>
        <w:ind w:left="579" w:right="0"/>
        <w:jc w:val="left"/>
      </w:pPr>
      <w:r>
        <w:rPr/>
        <w:t>可供出售权益工具投资发生的减值损失，不通过损益转回。</w:t>
      </w:r>
    </w:p>
    <w:p>
      <w:pPr>
        <w:spacing w:line="240" w:lineRule="auto" w:before="10"/>
        <w:rPr>
          <w:rFonts w:ascii="宋体" w:hAnsi="宋体" w:cs="宋体" w:eastAsia="宋体" w:hint="default"/>
          <w:sz w:val="15"/>
          <w:szCs w:val="15"/>
        </w:rPr>
      </w:pPr>
    </w:p>
    <w:p>
      <w:pPr>
        <w:pStyle w:val="BodyText"/>
        <w:spacing w:line="429" w:lineRule="auto" w:before="0"/>
        <w:ind w:left="579" w:right="2809"/>
        <w:jc w:val="left"/>
      </w:pPr>
      <w:r>
        <w:rPr/>
        <w:t>②持有至到期投资的减值准备：</w:t>
      </w:r>
      <w:r>
        <w:rPr>
          <w:w w:val="100"/>
        </w:rPr>
        <w:t> </w:t>
      </w:r>
      <w:r>
        <w:rPr>
          <w:spacing w:val="-1"/>
        </w:rPr>
        <w:t>持有至到期投资减值损失的计量比照应收款项减值损失计量方法处理。</w:t>
      </w:r>
    </w:p>
    <w:p>
      <w:pPr>
        <w:spacing w:line="240" w:lineRule="auto" w:before="0"/>
        <w:rPr>
          <w:rFonts w:ascii="宋体" w:hAnsi="宋体" w:cs="宋体" w:eastAsia="宋体" w:hint="default"/>
          <w:sz w:val="20"/>
          <w:szCs w:val="20"/>
        </w:rPr>
      </w:pPr>
    </w:p>
    <w:p>
      <w:pPr>
        <w:pStyle w:val="Heading3"/>
        <w:spacing w:line="240" w:lineRule="auto"/>
        <w:ind w:left="153" w:right="0"/>
        <w:jc w:val="left"/>
        <w:rPr>
          <w:b w:val="0"/>
          <w:bCs w:val="0"/>
        </w:rPr>
      </w:pPr>
      <w:bookmarkStart w:name="11、应收款项" w:id="180"/>
      <w:bookmarkEnd w:id="180"/>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81"/>
      <w:bookmarkEnd w:id="18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p>
      <w:pPr>
        <w:spacing w:before="44"/>
        <w:ind w:left="0" w:right="1139" w:firstLine="0"/>
        <w:jc w:val="right"/>
        <w:rPr>
          <w:rFonts w:ascii="宋体" w:hAnsi="宋体" w:cs="宋体" w:eastAsia="宋体" w:hint="default"/>
          <w:sz w:val="18"/>
          <w:szCs w:val="18"/>
        </w:rPr>
      </w:pPr>
      <w:r>
        <w:rPr/>
        <w:pict>
          <v:shape style="position:absolute;margin-left:56.459999pt;margin-top:-67.808289pt;width:479.2pt;height:87.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应收账款余额前五名的款项。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期末对于单项金额重大的应收款项单独进行减值测试。如有 客观证据表明其已发生了减值，按预计未来现金流量现值低 于其账面价值的差额计提坏账准备，计入当期损益。单独测 </w:t>
                        </w:r>
                        <w:r>
                          <w:rPr>
                            <w:rFonts w:ascii="宋体" w:hAnsi="宋体" w:cs="宋体" w:eastAsia="宋体" w:hint="default"/>
                            <w:spacing w:val="-2"/>
                            <w:sz w:val="18"/>
                            <w:szCs w:val="18"/>
                          </w:rPr>
                          <w:t>试未发生减值的应收款项，将其归入相应组合计提坏账准备</w:t>
                        </w:r>
                      </w:p>
                    </w:tc>
                  </w:tr>
                </w:tbl>
                <w:p>
                  <w:pPr/>
                </w:p>
              </w:txbxContent>
            </v:textbox>
            <w10:wrap type="none"/>
          </v:shape>
        </w:pict>
      </w:r>
      <w:r>
        <w:rPr>
          <w:rFonts w:ascii="宋体" w:hAnsi="宋体" w:cs="宋体" w:eastAsia="宋体" w:hint="default"/>
          <w:sz w:val="18"/>
          <w:szCs w:val="18"/>
        </w:rPr>
        <w:t>。</w:t>
      </w:r>
    </w:p>
    <w:p>
      <w:pPr>
        <w:spacing w:line="240" w:lineRule="auto" w:before="12"/>
        <w:rPr>
          <w:rFonts w:ascii="宋体" w:hAnsi="宋体" w:cs="宋体" w:eastAsia="宋体" w:hint="default"/>
          <w:sz w:val="27"/>
          <w:szCs w:val="27"/>
        </w:rPr>
      </w:pPr>
    </w:p>
    <w:p>
      <w:pPr>
        <w:pStyle w:val="Heading3"/>
        <w:spacing w:line="240" w:lineRule="auto" w:before="35"/>
        <w:ind w:right="0"/>
        <w:jc w:val="left"/>
        <w:rPr>
          <w:b w:val="0"/>
          <w:bCs w:val="0"/>
        </w:rPr>
      </w:pPr>
      <w:bookmarkStart w:name="（2）按信用风险特征组合计提坏账准备的应收款项" w:id="182"/>
      <w:bookmarkEnd w:id="18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：除组合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以外的单项金额非重大的且不单独计提坏账 准备的应收款项与经单独测试后未减值的应收款项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38"/>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：公司与下属子公司、下属子公司之间的应收款项及按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性质发生坏账的可能性非常小的应收款项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：公司与下属子公司、下属子公司</w:t>
            </w:r>
            <w:r>
              <w:rPr>
                <w:rFonts w:ascii="宋体" w:hAnsi="宋体" w:cs="宋体" w:eastAsia="宋体" w:hint="default"/>
                <w:sz w:val="18"/>
                <w:szCs w:val="18"/>
              </w:rPr>
              <w:t> 之间的应收款项及按性质发生坏账的可 能性非常小的应收款项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不重大但单独计提坏账准备的应收款项" w:id="183"/>
      <w:bookmarkEnd w:id="18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 征的应收款项。</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如有客观证据表明其已发生了减值，按预计未来现金流量现 值低于其账面价值的差额计提坏账准备，计入当期损益。</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84"/>
      <w:bookmarkEnd w:id="184"/>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29" w:lineRule="auto" w:before="88"/>
        <w:ind w:left="580" w:right="2809"/>
        <w:jc w:val="left"/>
      </w:pPr>
      <w:r>
        <w:rPr>
          <w:rFonts w:ascii="宋体" w:hAnsi="宋体" w:cs="宋体" w:eastAsia="宋体" w:hint="default"/>
        </w:rPr>
        <w:t>(1)</w:t>
      </w:r>
      <w:r>
        <w:rPr/>
        <w:t>存货的分类</w:t>
      </w:r>
      <w:r>
        <w:rPr>
          <w:w w:val="100"/>
        </w:rPr>
        <w:t> </w:t>
      </w:r>
      <w:r>
        <w:rPr>
          <w:spacing w:val="-1"/>
        </w:rPr>
        <w:t>存货分类为：原材料、库存商品、发出商品、周转材料、委托加工物资等。</w:t>
      </w:r>
      <w:r>
        <w:rPr>
          <w:spacing w:val="-74"/>
        </w:rPr>
        <w:t> </w:t>
      </w:r>
      <w:r>
        <w:rPr>
          <w:spacing w:val="-74"/>
        </w:rPr>
      </w:r>
      <w:r>
        <w:rPr>
          <w:rFonts w:ascii="宋体" w:hAnsi="宋体" w:cs="宋体" w:eastAsia="宋体" w:hint="default"/>
        </w:rPr>
        <w:t>(2)</w:t>
      </w:r>
      <w:r>
        <w:rPr/>
        <w:t>发出存货的计价方法</w:t>
      </w:r>
    </w:p>
    <w:p>
      <w:pPr>
        <w:pStyle w:val="BodyText"/>
        <w:spacing w:line="429" w:lineRule="auto"/>
        <w:ind w:left="579" w:right="6793"/>
        <w:jc w:val="left"/>
      </w:pPr>
      <w:r>
        <w:rPr/>
        <w:t>存货发出时采用个别计价法计价。</w:t>
      </w:r>
      <w:r>
        <w:rPr>
          <w:w w:val="100"/>
        </w:rPr>
        <w:t> </w:t>
      </w:r>
      <w:r>
        <w:rPr>
          <w:rFonts w:ascii="宋体" w:hAnsi="宋体" w:cs="宋体" w:eastAsia="宋体" w:hint="default"/>
          <w:spacing w:val="-1"/>
        </w:rPr>
        <w:t>(3)</w:t>
      </w:r>
      <w:r>
        <w:rPr>
          <w:spacing w:val="-1"/>
        </w:rPr>
        <w:t>不同类别存货可变现净值的确定依据</w:t>
      </w:r>
    </w:p>
    <w:p>
      <w:pPr>
        <w:pStyle w:val="BodyText"/>
        <w:spacing w:line="429" w:lineRule="auto"/>
        <w:ind w:right="1142" w:firstLine="426"/>
        <w:jc w:val="right"/>
      </w:pPr>
      <w:r>
        <w:rPr>
          <w:spacing w:val="-1"/>
        </w:rPr>
        <w:t>产成品、库存商品和用于出售的材料等直接用于出售的商品存货，在正常生产经营过程中，以该存货的估</w:t>
      </w:r>
      <w:r>
        <w:rPr>
          <w:w w:val="100"/>
        </w:rPr>
        <w:t> </w:t>
      </w:r>
      <w:r>
        <w:rPr>
          <w:spacing w:val="-1"/>
        </w:rPr>
        <w:t>计售价减去估计的销售费用和相关税费后的金额，确定其可变现净值；需要经过加工的材料存货，在正常生产</w:t>
      </w:r>
      <w:r>
        <w:rPr>
          <w:w w:val="100"/>
        </w:rPr>
        <w:t> </w:t>
      </w:r>
      <w:r>
        <w:rPr>
          <w:spacing w:val="-1"/>
        </w:rPr>
        <w:t>经营过程中，以所生产的产成品的估计售价减去至完工时估计将要发生的成本、估计的销售费用和相关税费后</w:t>
      </w:r>
      <w:r>
        <w:rPr>
          <w:w w:val="100"/>
        </w:rPr>
        <w:t> </w:t>
      </w:r>
      <w:r>
        <w:rPr>
          <w:spacing w:val="-1"/>
        </w:rPr>
        <w:t>的金额，确定其可变现净值；为执行销售合同或者劳务合同而持有的存货，其可变现净值以合同价格为基础计</w:t>
      </w:r>
      <w:r>
        <w:rPr>
          <w:w w:val="100"/>
        </w:rPr>
        <w:t> </w:t>
      </w:r>
      <w:r>
        <w:rPr>
          <w:spacing w:val="-1"/>
        </w:rPr>
        <w:t>算，若持有存货的数量多于销售合同订购数量的，超出部分的存货的可变现净值以一般销售价格为基础计算。</w:t>
      </w:r>
      <w:r>
        <w:rPr>
          <w:w w:val="100"/>
        </w:rPr>
        <w:t> </w:t>
      </w:r>
      <w:r>
        <w:rPr>
          <w:spacing w:val="-1"/>
        </w:rPr>
        <w:t>期末按照单个存货项目计提存货跌价准备；但对于数量繁多、单价较低的存货，按照存货类别计提存货跌</w:t>
      </w:r>
    </w:p>
    <w:p>
      <w:pPr>
        <w:spacing w:after="0" w:line="429"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before="0"/>
        <w:ind w:right="1169"/>
        <w:jc w:val="both"/>
      </w:pPr>
      <w:r>
        <w:rPr>
          <w:spacing w:val="-1"/>
        </w:rPr>
        <w:t>价准备；与在同一地区生产和销售的产品系列相关、具有相同或类似最终用途或目的，且难以与其他项目分开</w:t>
      </w:r>
      <w:r>
        <w:rPr>
          <w:spacing w:val="-63"/>
        </w:rPr>
        <w:t> </w:t>
      </w:r>
      <w:r>
        <w:rPr>
          <w:spacing w:val="-63"/>
        </w:rPr>
      </w:r>
      <w:r>
        <w:rPr/>
        <w:t>计量的存货，则合并计提存货跌价准备。</w:t>
      </w:r>
    </w:p>
    <w:p>
      <w:pPr>
        <w:pStyle w:val="BodyText"/>
        <w:spacing w:line="429" w:lineRule="auto"/>
        <w:ind w:right="1118" w:firstLine="426"/>
        <w:jc w:val="left"/>
      </w:pPr>
      <w:r>
        <w:rPr>
          <w:spacing w:val="-1"/>
        </w:rPr>
        <w:t>除有明确证据表明资产负债表日市场价格异常外，存货项目的可变现净值以资产负债表日市场价格为基础</w:t>
      </w:r>
      <w:r>
        <w:rPr>
          <w:w w:val="100"/>
        </w:rPr>
        <w:t> </w:t>
      </w:r>
      <w:r>
        <w:rPr/>
        <w:t>确定。</w:t>
      </w:r>
    </w:p>
    <w:p>
      <w:pPr>
        <w:pStyle w:val="BodyText"/>
        <w:spacing w:line="429" w:lineRule="auto"/>
        <w:ind w:left="579" w:right="2809"/>
        <w:jc w:val="left"/>
      </w:pPr>
      <w:r>
        <w:rPr>
          <w:spacing w:val="-1"/>
        </w:rPr>
        <w:t>本期期末存货项目的可变现净值以资产负债表日市场价格为基础确定。</w:t>
      </w:r>
      <w:r>
        <w:rPr>
          <w:spacing w:val="-77"/>
        </w:rPr>
        <w:t> </w:t>
      </w:r>
      <w:r>
        <w:rPr>
          <w:spacing w:val="-77"/>
        </w:rPr>
      </w:r>
      <w:r>
        <w:rPr>
          <w:rFonts w:ascii="宋体" w:hAnsi="宋体" w:cs="宋体" w:eastAsia="宋体" w:hint="default"/>
        </w:rPr>
        <w:t>(4)</w:t>
      </w:r>
      <w:r>
        <w:rPr/>
        <w:t>存货的盘存制度</w:t>
      </w:r>
    </w:p>
    <w:p>
      <w:pPr>
        <w:pStyle w:val="BodyText"/>
        <w:spacing w:line="429" w:lineRule="auto"/>
        <w:ind w:left="579" w:right="6793"/>
        <w:jc w:val="left"/>
      </w:pPr>
      <w:r>
        <w:rPr/>
        <w:t>采用永续盘存制。</w:t>
      </w:r>
      <w:r>
        <w:rPr>
          <w:w w:val="100"/>
        </w:rPr>
        <w:t> </w:t>
      </w:r>
      <w:r>
        <w:rPr>
          <w:rFonts w:ascii="宋体" w:hAnsi="宋体" w:cs="宋体" w:eastAsia="宋体" w:hint="default"/>
          <w:spacing w:val="-1"/>
        </w:rPr>
        <w:t>(5)</w:t>
      </w:r>
      <w:r>
        <w:rPr>
          <w:spacing w:val="-1"/>
        </w:rPr>
        <w:t>低值易耗品和包装物的摊销方法</w:t>
      </w:r>
    </w:p>
    <w:p>
      <w:pPr>
        <w:pStyle w:val="BodyText"/>
        <w:spacing w:line="240" w:lineRule="auto"/>
        <w:ind w:left="579" w:right="0"/>
        <w:jc w:val="left"/>
      </w:pPr>
      <w:r>
        <w:rPr/>
        <w:t>①低值易耗品采用一次转销法；</w:t>
      </w:r>
    </w:p>
    <w:p>
      <w:pPr>
        <w:spacing w:line="240" w:lineRule="auto" w:before="10"/>
        <w:rPr>
          <w:rFonts w:ascii="宋体" w:hAnsi="宋体" w:cs="宋体" w:eastAsia="宋体" w:hint="default"/>
          <w:sz w:val="15"/>
          <w:szCs w:val="15"/>
        </w:rPr>
      </w:pPr>
    </w:p>
    <w:p>
      <w:pPr>
        <w:pStyle w:val="BodyText"/>
        <w:spacing w:line="240" w:lineRule="auto" w:before="0"/>
        <w:ind w:left="579" w:right="0"/>
        <w:jc w:val="left"/>
      </w:pPr>
      <w:r>
        <w:rPr/>
        <w:t>②周转材料采用五五摊销法。</w:t>
      </w:r>
    </w:p>
    <w:p>
      <w:pPr>
        <w:spacing w:line="240" w:lineRule="auto" w:before="0"/>
        <w:rPr>
          <w:rFonts w:ascii="宋体" w:hAnsi="宋体" w:cs="宋体" w:eastAsia="宋体" w:hint="default"/>
          <w:sz w:val="20"/>
          <w:szCs w:val="20"/>
        </w:rPr>
      </w:pPr>
    </w:p>
    <w:p>
      <w:pPr>
        <w:pStyle w:val="Heading3"/>
        <w:spacing w:line="240" w:lineRule="auto" w:before="158"/>
        <w:ind w:left="153" w:right="0"/>
        <w:jc w:val="both"/>
        <w:rPr>
          <w:b w:val="0"/>
          <w:bCs w:val="0"/>
        </w:rPr>
      </w:pPr>
      <w:bookmarkStart w:name="13、持有待售资产" w:id="185"/>
      <w:bookmarkEnd w:id="185"/>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3"/>
        <w:rPr>
          <w:rFonts w:ascii="宋体" w:hAnsi="宋体" w:cs="宋体" w:eastAsia="宋体" w:hint="default"/>
          <w:b/>
          <w:bCs/>
          <w:sz w:val="31"/>
          <w:szCs w:val="31"/>
        </w:rPr>
      </w:pPr>
    </w:p>
    <w:p>
      <w:pPr>
        <w:pStyle w:val="BodyText"/>
        <w:spacing w:line="240" w:lineRule="auto" w:before="0"/>
        <w:ind w:left="580" w:right="0"/>
        <w:jc w:val="left"/>
      </w:pPr>
      <w:r>
        <w:rPr/>
        <w:t>本公司将同时满足下列条件的非流动资产或处置组划分为持有待售类别：</w:t>
      </w:r>
    </w:p>
    <w:p>
      <w:pPr>
        <w:spacing w:line="240" w:lineRule="auto" w:before="10"/>
        <w:rPr>
          <w:rFonts w:ascii="宋体" w:hAnsi="宋体" w:cs="宋体" w:eastAsia="宋体" w:hint="default"/>
          <w:sz w:val="15"/>
          <w:szCs w:val="15"/>
        </w:rPr>
      </w:pPr>
    </w:p>
    <w:p>
      <w:pPr>
        <w:pStyle w:val="BodyText"/>
        <w:spacing w:line="240" w:lineRule="auto" w:before="0"/>
        <w:ind w:left="580" w:right="0"/>
        <w:jc w:val="left"/>
      </w:pPr>
      <w:r>
        <w:rPr/>
        <w:t>（</w:t>
      </w:r>
      <w:r>
        <w:rPr>
          <w:rFonts w:ascii="宋体" w:hAnsi="宋体" w:cs="宋体" w:eastAsia="宋体" w:hint="default"/>
        </w:rPr>
        <w:t>1</w:t>
      </w:r>
      <w:r>
        <w:rPr/>
        <w:t>）根据类似交易中出售此类资产或处置组的惯例，在当前状况下即可立即出售；</w:t>
      </w:r>
    </w:p>
    <w:p>
      <w:pPr>
        <w:spacing w:line="240" w:lineRule="auto" w:before="10"/>
        <w:rPr>
          <w:rFonts w:ascii="宋体" w:hAnsi="宋体" w:cs="宋体" w:eastAsia="宋体" w:hint="default"/>
          <w:sz w:val="15"/>
          <w:szCs w:val="15"/>
        </w:rPr>
      </w:pPr>
    </w:p>
    <w:p>
      <w:pPr>
        <w:pStyle w:val="BodyText"/>
        <w:spacing w:line="429" w:lineRule="auto" w:before="0"/>
        <w:ind w:right="0" w:firstLine="426"/>
        <w:jc w:val="left"/>
      </w:pPr>
      <w:r>
        <w:rPr>
          <w:spacing w:val="-3"/>
        </w:rPr>
        <w:t>（</w:t>
      </w:r>
      <w:r>
        <w:rPr>
          <w:rFonts w:ascii="宋体" w:hAnsi="宋体" w:cs="宋体" w:eastAsia="宋体" w:hint="default"/>
          <w:spacing w:val="-3"/>
        </w:rPr>
        <w:t>2</w:t>
      </w:r>
      <w:r>
        <w:rPr>
          <w:spacing w:val="-3"/>
        </w:rPr>
        <w:t>）出售极可能发生，即本公司已经就一项出售计划作出决议且获得确定的购买承诺，预计出售将在一年</w:t>
      </w:r>
      <w:r>
        <w:rPr>
          <w:w w:val="100"/>
        </w:rPr>
        <w:t> </w:t>
      </w:r>
      <w:r>
        <w:rPr/>
        <w:t>内完成。有关规定要求本公司相关权力机构或者监管部门批准后方可出售的，已经获得批准。</w:t>
      </w:r>
    </w:p>
    <w:p>
      <w:pPr>
        <w:spacing w:line="240" w:lineRule="auto" w:before="0"/>
        <w:rPr>
          <w:rFonts w:ascii="宋体" w:hAnsi="宋体" w:cs="宋体" w:eastAsia="宋体" w:hint="default"/>
          <w:sz w:val="20"/>
          <w:szCs w:val="20"/>
        </w:rPr>
      </w:pPr>
    </w:p>
    <w:p>
      <w:pPr>
        <w:pStyle w:val="Heading3"/>
        <w:spacing w:line="240" w:lineRule="auto"/>
        <w:ind w:left="153" w:right="0"/>
        <w:jc w:val="both"/>
        <w:rPr>
          <w:b w:val="0"/>
          <w:bCs w:val="0"/>
        </w:rPr>
      </w:pPr>
      <w:bookmarkStart w:name="14、长期股权投资" w:id="186"/>
      <w:bookmarkEnd w:id="18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left="580" w:right="0"/>
        <w:jc w:val="left"/>
      </w:pPr>
      <w:r>
        <w:rPr>
          <w:rFonts w:ascii="宋体" w:hAnsi="宋体" w:cs="宋体" w:eastAsia="宋体" w:hint="default"/>
        </w:rPr>
        <w:t>(1)</w:t>
      </w:r>
      <w:r>
        <w:rPr/>
        <w:t>共同控制、重大影响的判断标准</w:t>
      </w:r>
      <w:r>
        <w:rPr>
          <w:w w:val="100"/>
        </w:rPr>
        <w:t> </w:t>
      </w:r>
      <w:r>
        <w:rPr>
          <w:spacing w:val="-1"/>
        </w:rPr>
        <w:t>共同控制，是指按照相关约定对某项安排所共有的控制，并且该安排的相关活动必须经过分享控制权的参</w:t>
      </w:r>
    </w:p>
    <w:p>
      <w:pPr>
        <w:pStyle w:val="BodyText"/>
        <w:spacing w:line="429" w:lineRule="auto"/>
        <w:ind w:left="154" w:right="1169"/>
        <w:jc w:val="both"/>
      </w:pPr>
      <w:r>
        <w:rPr>
          <w:spacing w:val="-1"/>
        </w:rPr>
        <w:t>与方一致同意后才能决策。本公司与其他合营方一同对被投资单位实施共同控制且对被投资单位净资产享有权</w:t>
      </w:r>
      <w:r>
        <w:rPr>
          <w:spacing w:val="-63"/>
        </w:rPr>
        <w:t> </w:t>
      </w:r>
      <w:r>
        <w:rPr>
          <w:spacing w:val="-63"/>
        </w:rPr>
      </w:r>
      <w:r>
        <w:rPr/>
        <w:t>利的，被投资单位为本公司的合营企业。</w:t>
      </w:r>
    </w:p>
    <w:p>
      <w:pPr>
        <w:pStyle w:val="BodyText"/>
        <w:spacing w:line="429" w:lineRule="auto"/>
        <w:ind w:left="154" w:right="0" w:firstLine="426"/>
        <w:jc w:val="left"/>
      </w:pPr>
      <w:r>
        <w:rPr>
          <w:spacing w:val="-1"/>
        </w:rPr>
        <w:t>重大影响，是指对一个企业的财务和经营决策有参与决策的权力，但并不能够控制或者与其他方一起共同</w:t>
      </w:r>
      <w:r>
        <w:rPr>
          <w:w w:val="100"/>
        </w:rPr>
        <w:t> </w:t>
      </w:r>
      <w:r>
        <w:rPr/>
        <w:t>控制这些政策的制定。本公司能够对被投资单位施加重大影响的，被投资单位为本公司联营企业。</w:t>
      </w:r>
    </w:p>
    <w:p>
      <w:pPr>
        <w:pStyle w:val="BodyText"/>
        <w:spacing w:line="240" w:lineRule="auto"/>
        <w:ind w:left="580" w:right="0"/>
        <w:jc w:val="left"/>
      </w:pPr>
      <w:r>
        <w:rPr>
          <w:rFonts w:ascii="宋体" w:hAnsi="宋体" w:cs="宋体" w:eastAsia="宋体" w:hint="default"/>
        </w:rPr>
        <w:t>(2)</w:t>
      </w:r>
      <w:r>
        <w:rPr/>
        <w:t>初始投资成本的确定</w:t>
      </w:r>
    </w:p>
    <w:p>
      <w:pPr>
        <w:spacing w:line="240" w:lineRule="auto" w:before="10"/>
        <w:rPr>
          <w:rFonts w:ascii="宋体" w:hAnsi="宋体" w:cs="宋体" w:eastAsia="宋体" w:hint="default"/>
          <w:sz w:val="15"/>
          <w:szCs w:val="15"/>
        </w:rPr>
      </w:pPr>
    </w:p>
    <w:p>
      <w:pPr>
        <w:pStyle w:val="BodyText"/>
        <w:spacing w:line="429" w:lineRule="auto" w:before="0"/>
        <w:ind w:left="580" w:right="0"/>
        <w:jc w:val="left"/>
      </w:pPr>
      <w:r>
        <w:rPr/>
        <w:t>①企业合并形成的长期股权投资</w:t>
      </w:r>
      <w:r>
        <w:rPr>
          <w:w w:val="100"/>
        </w:rPr>
        <w:t> </w:t>
      </w:r>
      <w:r>
        <w:rPr>
          <w:spacing w:val="-1"/>
        </w:rPr>
        <w:t>同一控制下的企业合并：公司以支付现金、转让非现金资产或承担债务方式以及以发行权益性证券作为合</w:t>
      </w:r>
    </w:p>
    <w:p>
      <w:pPr>
        <w:pStyle w:val="BodyText"/>
        <w:spacing w:line="429" w:lineRule="auto"/>
        <w:ind w:left="154" w:right="1168"/>
        <w:jc w:val="both"/>
      </w:pPr>
      <w:r>
        <w:rPr>
          <w:spacing w:val="-1"/>
        </w:rPr>
        <w:t>并对价的，在合并日按照取得被合并方所有者权益在最终控制方合并财务报表中的账面价值的份额作为长期股</w:t>
      </w:r>
      <w:r>
        <w:rPr>
          <w:spacing w:val="-63"/>
        </w:rPr>
        <w:t> </w:t>
      </w:r>
      <w:r>
        <w:rPr>
          <w:spacing w:val="-63"/>
        </w:rPr>
      </w:r>
      <w:r>
        <w:rPr>
          <w:spacing w:val="-1"/>
        </w:rPr>
        <w:t>权投资的初始投资成本。因追加投资等原因能够对同一控制下的被投资单位实施控制的，在合并日根据合并后</w:t>
      </w:r>
      <w:r>
        <w:rPr>
          <w:spacing w:val="-63"/>
        </w:rPr>
        <w:t> </w:t>
      </w:r>
      <w:r>
        <w:rPr>
          <w:spacing w:val="-63"/>
        </w:rPr>
      </w:r>
      <w:r>
        <w:rPr>
          <w:spacing w:val="-1"/>
        </w:rPr>
        <w:t>应享有被合并方净资产在最终控制方合并财务报表中的账面价值的份额，确定长期股权投资的初始投资成本。</w:t>
      </w:r>
    </w:p>
    <w:p>
      <w:pPr>
        <w:spacing w:after="0" w:line="42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before="0"/>
        <w:ind w:right="1169"/>
        <w:jc w:val="both"/>
      </w:pPr>
      <w:r>
        <w:rPr>
          <w:spacing w:val="-1"/>
        </w:rPr>
        <w:t>合并日长期股权投资的初始投资成本，与达到合并前的长期股权投资账面价值加上合并日进一步取得股份新支</w:t>
      </w:r>
      <w:r>
        <w:rPr>
          <w:spacing w:val="-63"/>
        </w:rPr>
        <w:t> </w:t>
      </w:r>
      <w:r>
        <w:rPr>
          <w:spacing w:val="-63"/>
        </w:rPr>
      </w:r>
      <w:r>
        <w:rPr/>
        <w:t>付对价的账面价值之和的差额，调整股本溢价，股本溢价不足冲减的，冲减留存收益。</w:t>
      </w:r>
    </w:p>
    <w:p>
      <w:pPr>
        <w:pStyle w:val="BodyText"/>
        <w:spacing w:line="429" w:lineRule="auto"/>
        <w:ind w:right="1142" w:firstLine="426"/>
        <w:jc w:val="both"/>
      </w:pPr>
      <w:r>
        <w:rPr>
          <w:spacing w:val="-1"/>
        </w:rPr>
        <w:t>非同一控制下的企业合并：公司按照购买日确定的合并成本作为长期股权投资的初始投资成本。因追加投</w:t>
      </w:r>
      <w:r>
        <w:rPr>
          <w:w w:val="100"/>
        </w:rPr>
        <w:t> </w:t>
      </w:r>
      <w:r>
        <w:rPr/>
        <w:t>资等原因能够对非同一控制下的被投资单位实施控制的，按照原持有的股权投资账面价值加上新增投资成本之</w:t>
      </w:r>
      <w:r>
        <w:rPr>
          <w:w w:val="100"/>
        </w:rPr>
        <w:t> </w:t>
      </w:r>
      <w:r>
        <w:rPr/>
        <w:t>和，作为改按成本法核算的初始投资成本。</w:t>
      </w:r>
    </w:p>
    <w:p>
      <w:pPr>
        <w:pStyle w:val="BodyText"/>
        <w:spacing w:line="429" w:lineRule="auto"/>
        <w:ind w:left="579" w:right="1118"/>
        <w:jc w:val="left"/>
      </w:pPr>
      <w:r>
        <w:rPr/>
        <w:t>②其他方式取得的长期股权投资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1"/>
        </w:rPr>
        <w:t>在非货币性资产交换具备商业实质和换入资产或换出资产的公允价值能够可靠计量的前提下，非货币性资</w:t>
      </w:r>
    </w:p>
    <w:p>
      <w:pPr>
        <w:pStyle w:val="BodyText"/>
        <w:spacing w:line="429" w:lineRule="auto"/>
        <w:ind w:right="1168"/>
        <w:jc w:val="both"/>
      </w:pPr>
      <w:r>
        <w:rPr>
          <w:spacing w:val="-1"/>
        </w:rPr>
        <w:t>产交换换入的长期股权投资以换出资产的公允价值和应支付的相关税费确定其初始投资成本，除非有确凿证据</w:t>
      </w:r>
      <w:r>
        <w:rPr>
          <w:spacing w:val="-63"/>
        </w:rPr>
        <w:t> </w:t>
      </w:r>
      <w:r>
        <w:rPr>
          <w:spacing w:val="-63"/>
        </w:rPr>
      </w:r>
      <w:r>
        <w:rPr>
          <w:spacing w:val="-1"/>
        </w:rPr>
        <w:t>表明换入资产的公允价值更加可靠；不满足上述前提的非货币性资产交换，以换出资产的账面价值和应支付的</w:t>
      </w:r>
      <w:r>
        <w:rPr>
          <w:spacing w:val="-63"/>
        </w:rPr>
        <w:t> </w:t>
      </w:r>
      <w:r>
        <w:rPr>
          <w:spacing w:val="-63"/>
        </w:rPr>
      </w:r>
      <w:r>
        <w:rPr/>
        <w:t>相关税费作为换入长期股权投资的初始投资成本。</w:t>
      </w:r>
    </w:p>
    <w:p>
      <w:pPr>
        <w:pStyle w:val="BodyText"/>
        <w:spacing w:line="429" w:lineRule="auto"/>
        <w:ind w:left="579" w:right="1118"/>
        <w:jc w:val="left"/>
      </w:pPr>
      <w:r>
        <w:rPr>
          <w:spacing w:val="-1"/>
        </w:rPr>
        <w:t>通过债务重组取得的长期股权投资，其初始投资成本按照公允价值为基础确定。</w:t>
      </w:r>
      <w:r>
        <w:rPr>
          <w:spacing w:val="-73"/>
        </w:rPr>
        <w:t> </w:t>
      </w:r>
      <w:r>
        <w:rPr>
          <w:spacing w:val="-73"/>
        </w:rPr>
      </w:r>
      <w:r>
        <w:rPr>
          <w:rFonts w:ascii="宋体" w:hAnsi="宋体" w:cs="宋体" w:eastAsia="宋体" w:hint="default"/>
        </w:rPr>
        <w:t>(3)</w:t>
      </w:r>
      <w:r>
        <w:rPr/>
        <w:t>后续计量及损益确认方法</w:t>
      </w:r>
    </w:p>
    <w:p>
      <w:pPr>
        <w:pStyle w:val="BodyText"/>
        <w:spacing w:line="429" w:lineRule="auto"/>
        <w:ind w:left="579" w:right="0"/>
        <w:jc w:val="left"/>
      </w:pPr>
      <w:r>
        <w:rPr/>
        <w:t>①成本法核算的长期股权投资</w:t>
      </w:r>
      <w:r>
        <w:rPr>
          <w:w w:val="100"/>
        </w:rPr>
        <w:t> </w:t>
      </w:r>
      <w:r>
        <w:rPr>
          <w:spacing w:val="-1"/>
        </w:rPr>
        <w:t>公司对子公司的长期股权投资，采用成本法核算。除取得投资时实际支付的价款或对价中包含的已宣告但</w:t>
      </w:r>
    </w:p>
    <w:p>
      <w:pPr>
        <w:pStyle w:val="BodyText"/>
        <w:spacing w:line="240" w:lineRule="auto"/>
        <w:ind w:right="0"/>
        <w:jc w:val="both"/>
      </w:pPr>
      <w:r>
        <w:rPr/>
        <w:t>尚未发放的现金股利或利润外，公司按照享有被投资单位宣告发放的现金股利或利润确认当期投资收益。</w:t>
      </w:r>
    </w:p>
    <w:p>
      <w:pPr>
        <w:spacing w:line="240" w:lineRule="auto" w:before="10"/>
        <w:rPr>
          <w:rFonts w:ascii="宋体" w:hAnsi="宋体" w:cs="宋体" w:eastAsia="宋体" w:hint="default"/>
          <w:sz w:val="15"/>
          <w:szCs w:val="15"/>
        </w:rPr>
      </w:pPr>
    </w:p>
    <w:p>
      <w:pPr>
        <w:pStyle w:val="BodyText"/>
        <w:spacing w:line="429" w:lineRule="auto" w:before="0"/>
        <w:ind w:left="579" w:right="0"/>
        <w:jc w:val="left"/>
      </w:pPr>
      <w:r>
        <w:rPr/>
        <w:t>②权益法核算的长期股权投资</w:t>
      </w:r>
      <w:r>
        <w:rPr>
          <w:w w:val="100"/>
        </w:rPr>
        <w:t> </w:t>
      </w:r>
      <w:r>
        <w:rPr>
          <w:spacing w:val="-1"/>
        </w:rPr>
        <w:t>对联营企业和合营企业的长期股权投资，采用权益法核算。初始投资成本大于投资时应享有被投资单位可</w:t>
      </w:r>
    </w:p>
    <w:p>
      <w:pPr>
        <w:pStyle w:val="BodyText"/>
        <w:spacing w:line="429" w:lineRule="auto"/>
        <w:ind w:right="1169"/>
        <w:jc w:val="both"/>
      </w:pPr>
      <w:r>
        <w:rPr>
          <w:spacing w:val="-1"/>
        </w:rPr>
        <w:t>辨认净资产公允价值份额的差额，不调整长期股权投资的初始投资成本；初始投资成本小于投资时应享有被投</w:t>
      </w:r>
      <w:r>
        <w:rPr>
          <w:spacing w:val="-63"/>
        </w:rPr>
        <w:t> </w:t>
      </w:r>
      <w:r>
        <w:rPr>
          <w:spacing w:val="-63"/>
        </w:rPr>
      </w:r>
      <w:r>
        <w:rPr/>
        <w:t>资单位可辨认净资产公允价值份额的差额，计入当期损益。</w:t>
      </w:r>
    </w:p>
    <w:p>
      <w:pPr>
        <w:pStyle w:val="BodyText"/>
        <w:spacing w:line="429" w:lineRule="auto"/>
        <w:ind w:right="1142" w:firstLine="426"/>
        <w:jc w:val="both"/>
      </w:pPr>
      <w:r>
        <w:rPr>
          <w:spacing w:val="-1"/>
        </w:rPr>
        <w:t>公司按照应享有或应分担的被投资单位实现的净损益和其他综合收益的份额，分别确认投资收益和其他综</w:t>
      </w:r>
      <w:r>
        <w:rPr>
          <w:w w:val="100"/>
        </w:rPr>
        <w:t> </w:t>
      </w:r>
      <w:r>
        <w:rPr/>
        <w:t>合收益，同时调整长期股权投资的账面价值；按照被投资单位宣告分派的利润或现金股利计算应享有的部分，</w:t>
      </w:r>
      <w:r>
        <w:rPr>
          <w:w w:val="100"/>
        </w:rPr>
        <w:t> </w:t>
      </w:r>
      <w:r>
        <w:rPr/>
        <w:t>相应减少长期股权投资的账面价值；对于被投资单位除净损益、其他综合收益和利润分配以外所有者权益的其</w:t>
      </w:r>
      <w:r>
        <w:rPr>
          <w:w w:val="100"/>
        </w:rPr>
        <w:t> </w:t>
      </w:r>
      <w:r>
        <w:rPr/>
        <w:t>他变动，调整长期股权投资的账面价值并计入所有者权益。</w:t>
      </w:r>
    </w:p>
    <w:p>
      <w:pPr>
        <w:pStyle w:val="BodyText"/>
        <w:spacing w:line="429" w:lineRule="auto"/>
        <w:ind w:right="1142" w:firstLine="426"/>
        <w:jc w:val="both"/>
      </w:pPr>
      <w:r>
        <w:rPr>
          <w:spacing w:val="-1"/>
        </w:rPr>
        <w:t>在确认应享有被投资单位净损益的份额时，以取得投资时被投资单位可辨认净资产的公允价值为基础，并</w:t>
      </w:r>
      <w:r>
        <w:rPr>
          <w:w w:val="100"/>
        </w:rPr>
        <w:t> </w:t>
      </w:r>
      <w:r>
        <w:rPr/>
        <w:t>按照公司的会计政策及会计期间，对被投资单位的净利润进行调整后确认。在持有投资期间，被投资单位编制</w:t>
      </w:r>
      <w:r>
        <w:rPr>
          <w:w w:val="100"/>
        </w:rPr>
        <w:t> </w:t>
      </w:r>
      <w:r>
        <w:rPr/>
        <w:t>合并财务报表的，以合并财务报表中的净利润、其他综合收益和其他所有者权益变动中归属于被投资单位的金</w:t>
      </w:r>
      <w:r>
        <w:rPr>
          <w:w w:val="100"/>
        </w:rPr>
        <w:t> </w:t>
      </w:r>
      <w:r>
        <w:rPr/>
        <w:t>额为基础进行核算。</w:t>
      </w:r>
    </w:p>
    <w:p>
      <w:pPr>
        <w:pStyle w:val="BodyText"/>
        <w:spacing w:line="240" w:lineRule="auto"/>
        <w:ind w:left="579" w:right="0"/>
        <w:jc w:val="left"/>
      </w:pPr>
      <w:r>
        <w:rPr/>
        <w:t>公司与联营企业、合营企业之间发生的未实现内部交易损益按照应享有的比例计算归属于公司的部分，予</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before="0"/>
        <w:ind w:right="0"/>
        <w:jc w:val="left"/>
      </w:pPr>
      <w:r>
        <w:rPr/>
        <w:t>以抵销，在此基础上确认投资收益。与被投资单位发生的未实现内部交易损失，属于资产减值损失的，全额确</w:t>
      </w:r>
      <w:r>
        <w:rPr>
          <w:w w:val="100"/>
        </w:rPr>
        <w:t> </w:t>
      </w:r>
      <w:r>
        <w:rPr>
          <w:spacing w:val="-2"/>
        </w:rPr>
        <w:t>认。公司与联营企业、合营企业之间发生投出或出售资产的交易，该资产构成业务的，按照本附注“三、（五）</w:t>
      </w:r>
      <w:r>
        <w:rPr>
          <w:spacing w:val="-77"/>
        </w:rPr>
        <w:t> </w:t>
      </w:r>
      <w:r>
        <w:rPr>
          <w:spacing w:val="-77"/>
        </w:rPr>
      </w:r>
      <w:r>
        <w:rPr/>
        <w:t>同一控制下和非同一控制下企业合并的会计处理方法”和“三、（六）合并财务报表的编制方法”中披露的相</w:t>
      </w:r>
      <w:r>
        <w:rPr>
          <w:w w:val="100"/>
        </w:rPr>
        <w:t> </w:t>
      </w:r>
      <w:r>
        <w:rPr/>
        <w:t>关政策进行会计处理。</w:t>
      </w:r>
    </w:p>
    <w:p>
      <w:pPr>
        <w:pStyle w:val="BodyText"/>
        <w:spacing w:line="429" w:lineRule="auto"/>
        <w:ind w:right="1142" w:firstLine="426"/>
        <w:jc w:val="both"/>
      </w:pPr>
      <w:r>
        <w:rPr>
          <w:spacing w:val="-1"/>
        </w:rPr>
        <w:t>在公司确认应分担被投资单位发生的亏损时，按照以下顺序进行处理：首先，冲减长期股权投资的账面价</w:t>
      </w:r>
      <w:r>
        <w:rPr>
          <w:w w:val="100"/>
        </w:rPr>
        <w:t> </w:t>
      </w:r>
      <w:r>
        <w:rPr/>
        <w:t>值。其次，长期股权投资的账面价值不足以冲减的，以其他实质上构成对被投资单位净投资的长期权益账面价</w:t>
      </w:r>
      <w:r>
        <w:rPr>
          <w:w w:val="100"/>
        </w:rPr>
        <w:t> </w:t>
      </w:r>
      <w:r>
        <w:rPr/>
        <w:t>值为限继续确认投资损失，冲减长期应收项目等的账面价值。最后，经过上述处理，按照投资合同或协议约定</w:t>
      </w:r>
      <w:r>
        <w:rPr>
          <w:w w:val="100"/>
        </w:rPr>
        <w:t> </w:t>
      </w:r>
      <w:r>
        <w:rPr/>
        <w:t>企业仍承担额外义务的，按预计承担的义务确认预计负债，计入当期投资损失。</w:t>
      </w:r>
    </w:p>
    <w:p>
      <w:pPr>
        <w:pStyle w:val="BodyText"/>
        <w:spacing w:line="429" w:lineRule="auto"/>
        <w:ind w:left="579" w:right="2809"/>
        <w:jc w:val="left"/>
      </w:pPr>
      <w:r>
        <w:rPr/>
        <w:t>③长期股权投资的处置</w:t>
      </w:r>
      <w:r>
        <w:rPr>
          <w:w w:val="100"/>
        </w:rPr>
        <w:t> </w:t>
      </w:r>
      <w:r>
        <w:rPr>
          <w:spacing w:val="-1"/>
        </w:rPr>
        <w:t>处置长期股权投资，其账面价值与实际取得价款的差额，计入当期损益。</w:t>
      </w:r>
    </w:p>
    <w:p>
      <w:pPr>
        <w:pStyle w:val="BodyText"/>
        <w:spacing w:line="429" w:lineRule="auto"/>
        <w:ind w:right="1142" w:firstLine="426"/>
        <w:jc w:val="both"/>
      </w:pPr>
      <w:r>
        <w:rPr>
          <w:spacing w:val="-1"/>
        </w:rPr>
        <w:t>采用权益法核算的长期股权投资，在处置该项投资时，采用与被投资单位直接处置相关资产或负债相同的</w:t>
      </w:r>
      <w:r>
        <w:rPr>
          <w:w w:val="100"/>
        </w:rPr>
        <w:t> </w:t>
      </w:r>
      <w:r>
        <w:rPr/>
        <w:t>基础，按相应比例对原计入其他综合收益的部分进行会计处理。因被投资单位除净损益、其他综合收益和利润</w:t>
      </w:r>
      <w:r>
        <w:rPr>
          <w:w w:val="100"/>
        </w:rPr>
        <w:t> </w:t>
      </w:r>
      <w:r>
        <w:rPr/>
        <w:t>分配以外的其他所有者权益变动而确认的所有者权益，按比例结转入当期损益，由于被投资方重新计量设定受</w:t>
      </w:r>
      <w:r>
        <w:rPr>
          <w:w w:val="100"/>
        </w:rPr>
        <w:t> </w:t>
      </w:r>
      <w:r>
        <w:rPr/>
        <w:t>益计划净负债或净资产变动而产生的其他综合收益除外。</w:t>
      </w:r>
    </w:p>
    <w:p>
      <w:pPr>
        <w:pStyle w:val="BodyText"/>
        <w:spacing w:line="429" w:lineRule="auto"/>
        <w:ind w:right="1142" w:firstLine="426"/>
        <w:jc w:val="both"/>
      </w:pPr>
      <w:r>
        <w:rPr>
          <w:spacing w:val="-1"/>
        </w:rPr>
        <w:t>因处置部分股权投资等原因丧失了对被投资单位的共同控制或重大影响的，处置后的剩余股权改按金融工</w:t>
      </w:r>
      <w:r>
        <w:rPr>
          <w:w w:val="100"/>
        </w:rPr>
        <w:t> </w:t>
      </w:r>
      <w:r>
        <w:rPr/>
        <w:t>具确认和计量准则核算，其在丧失共同控制或重大影响之日的公允价值与账面价值之间的差额计入当期损益。</w:t>
      </w:r>
      <w:r>
        <w:rPr>
          <w:w w:val="100"/>
        </w:rPr>
        <w:t> </w:t>
      </w:r>
      <w:r>
        <w:rPr/>
        <w:t>原股权投资因采用权益法核算而确认的其他综合收益，在终止采用权益法核算时采用与被投资单位直接处置相</w:t>
      </w:r>
      <w:r>
        <w:rPr>
          <w:w w:val="100"/>
        </w:rPr>
        <w:t> </w:t>
      </w:r>
      <w:r>
        <w:rPr/>
        <w:t>关资产或负债相同的基础进行会计处理。因被投资方除净损益、其他综合收益和利润分配以外的其他所有者权</w:t>
      </w:r>
      <w:r>
        <w:rPr>
          <w:w w:val="100"/>
        </w:rPr>
        <w:t> </w:t>
      </w:r>
      <w:r>
        <w:rPr/>
        <w:t>益变动而确认的所有者权益，在终止采用权益法核算时全部转入当期损益。</w:t>
      </w:r>
    </w:p>
    <w:p>
      <w:pPr>
        <w:pStyle w:val="BodyText"/>
        <w:spacing w:line="429" w:lineRule="auto"/>
        <w:ind w:right="0" w:firstLine="426"/>
        <w:jc w:val="left"/>
      </w:pPr>
      <w:r>
        <w:rPr/>
        <w:t>因处置部分股权投资、因其他投资方对子公司增资而导致本公司持股比例下降等原因丧失了对被投资单位</w:t>
      </w:r>
      <w:r>
        <w:rPr>
          <w:w w:val="100"/>
        </w:rPr>
        <w:t> </w:t>
      </w:r>
      <w:r>
        <w:rPr>
          <w:spacing w:val="-2"/>
        </w:rPr>
        <w:t>控制权的，在编制个别财务报表时，剩余股权能够对被投资单位实施共同控制或重大影响的，改按权益法核算，</w:t>
      </w:r>
      <w:r>
        <w:rPr>
          <w:spacing w:val="-78"/>
        </w:rPr>
        <w:t> </w:t>
      </w:r>
      <w:r>
        <w:rPr>
          <w:spacing w:val="-78"/>
        </w:rPr>
      </w:r>
      <w:r>
        <w:rPr/>
        <w:t>并对该剩余股权视同自取得时即采用权益法核算进行调整；剩余股权不能对被投资单位实施共同控制或施加重</w:t>
      </w:r>
      <w:r>
        <w:rPr>
          <w:w w:val="100"/>
        </w:rPr>
        <w:t> </w:t>
      </w:r>
      <w:r>
        <w:rPr/>
        <w:t>大影响的，改按金融工具确认和计量准则的有关规定进行会计处理，其在丧失控制之日的公允价值与账面价值</w:t>
      </w:r>
      <w:r>
        <w:rPr>
          <w:w w:val="100"/>
        </w:rPr>
        <w:t> </w:t>
      </w:r>
      <w:r>
        <w:rPr/>
        <w:t>间的差额计入当期损益。</w:t>
      </w:r>
    </w:p>
    <w:p>
      <w:pPr>
        <w:pStyle w:val="BodyText"/>
        <w:spacing w:line="429" w:lineRule="auto"/>
        <w:ind w:right="1142" w:firstLine="426"/>
        <w:jc w:val="both"/>
      </w:pPr>
      <w:r>
        <w:rPr>
          <w:spacing w:val="-1"/>
        </w:rPr>
        <w:t>处置的股权是因追加投资等原因通过企业合并取得的，在编制个别财务报表时，处置后的剩余股权采用成</w:t>
      </w:r>
      <w:r>
        <w:rPr>
          <w:w w:val="100"/>
        </w:rPr>
        <w:t> </w:t>
      </w:r>
      <w:r>
        <w:rPr/>
        <w:t>本法或权益法核算的，购买日之前持有的股权投资因采用权益法核算而确认的其他综合收益和其他所有者权益</w:t>
      </w:r>
      <w:r>
        <w:rPr>
          <w:w w:val="100"/>
        </w:rPr>
        <w:t> </w:t>
      </w:r>
      <w:r>
        <w:rPr/>
        <w:t>按比例结转；处置后的剩余股权改按金融工具确认和计量准则进行会计处理的，其他综合收益和其他所有者权</w:t>
      </w:r>
      <w:r>
        <w:rPr>
          <w:w w:val="100"/>
        </w:rPr>
        <w:t> </w:t>
      </w:r>
      <w:r>
        <w:rPr/>
        <w:t>益全部结转。</w:t>
      </w:r>
    </w:p>
    <w:p>
      <w:pPr>
        <w:spacing w:after="0" w:line="42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5、固定资产" w:id="187"/>
      <w:bookmarkEnd w:id="187"/>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8"/>
      <w:bookmarkEnd w:id="18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left="154" w:right="0" w:firstLine="426"/>
        <w:jc w:val="left"/>
      </w:pPr>
      <w:r>
        <w:rPr>
          <w:spacing w:val="-3"/>
        </w:rPr>
        <w:t>固定资产指为生产商品、提供劳务、出租或经营管理而持有，并且使用寿命超过一个会计年度的有形资产。</w:t>
      </w:r>
      <w:r>
        <w:rPr>
          <w:w w:val="100"/>
        </w:rPr>
        <w:t> </w:t>
      </w:r>
      <w:r>
        <w:rPr/>
        <w:t>固定资产在同时满足下列条件时予以确认：①与该固定资产有关的经济利益很可能流入企业；②该固定资产的</w:t>
      </w:r>
      <w:r>
        <w:rPr>
          <w:w w:val="100"/>
        </w:rPr>
        <w:t> </w:t>
      </w:r>
      <w:r>
        <w:rPr/>
        <w:t>成本能够可靠地计量。</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2）折旧方法" w:id="189"/>
      <w:bookmarkEnd w:id="18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429" w:lineRule="auto" w:before="72"/>
        <w:ind w:left="154" w:right="1142" w:firstLine="426"/>
        <w:jc w:val="both"/>
      </w:pPr>
      <w:r>
        <w:rPr>
          <w:spacing w:val="-1"/>
        </w:rPr>
        <w:t>固定资产折旧采用年限平均法分类计提，根据固定资产类别、预计使用寿命和预计净残值率确定折旧率。</w:t>
      </w:r>
      <w:r>
        <w:rPr>
          <w:w w:val="100"/>
        </w:rPr>
        <w:t> </w:t>
      </w:r>
      <w:r>
        <w:rPr>
          <w:spacing w:val="-1"/>
        </w:rPr>
        <w:t>如固定资产各组成部分的使用寿命不同或者以不同方式为企业提供经济利益，则选择不同折旧率或折旧方法，</w:t>
      </w:r>
      <w:r>
        <w:rPr>
          <w:spacing w:val="-63"/>
        </w:rPr>
        <w:t> </w:t>
      </w:r>
      <w:r>
        <w:rPr>
          <w:spacing w:val="-63"/>
        </w:rPr>
      </w:r>
      <w:r>
        <w:rPr/>
        <w:t>分别计提折旧。</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融资租入固定资产的认定依据、计价和折旧方法" w:id="190"/>
      <w:bookmarkEnd w:id="19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left="154" w:right="1142" w:firstLine="426"/>
        <w:jc w:val="both"/>
      </w:pPr>
      <w:r>
        <w:rPr>
          <w:spacing w:val="-1"/>
        </w:rPr>
        <w:t>融资租赁方式租入的固定资产，能合理确定租赁期届满时将会取得租赁资产所有权的，在租赁资产尚可使</w:t>
      </w:r>
      <w:r>
        <w:rPr>
          <w:w w:val="100"/>
        </w:rPr>
        <w:t> </w:t>
      </w:r>
      <w:r>
        <w:rPr/>
        <w:t>用年限内计提折旧；无法合理确定租赁期届满时能够取得租赁资产所有权的，在租赁期与租赁资产尚可使用年</w:t>
      </w:r>
      <w:r>
        <w:rPr>
          <w:w w:val="100"/>
        </w:rPr>
        <w:t> </w:t>
      </w:r>
      <w:r>
        <w:rPr/>
        <w:t>限两者中较短的期间内计提折旧。</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16、在建工程" w:id="191"/>
      <w:bookmarkEnd w:id="191"/>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29" w:lineRule="auto" w:before="88"/>
        <w:ind w:left="154" w:right="1142" w:firstLine="426"/>
        <w:jc w:val="both"/>
      </w:pPr>
      <w:r>
        <w:rPr>
          <w:spacing w:val="-1"/>
        </w:rPr>
        <w:t>在建工程项目按建造该项资产达到预定可使用状态前所发生的必要支出，作为固定资产的入账价值。所建</w:t>
      </w:r>
      <w:r>
        <w:rPr>
          <w:w w:val="100"/>
        </w:rPr>
        <w:t> </w:t>
      </w:r>
      <w:r>
        <w:rPr>
          <w:spacing w:val="-1"/>
        </w:rPr>
        <w:t>造的固定资产在工程已达到预定可使用状态，但尚未办理竣工决算的，自达到预定可使用状态之日起，根据工</w:t>
      </w:r>
      <w:r>
        <w:rPr>
          <w:spacing w:val="-63"/>
        </w:rPr>
        <w:t> </w:t>
      </w:r>
      <w:r>
        <w:rPr>
          <w:spacing w:val="-63"/>
        </w:rPr>
      </w:r>
      <w:r>
        <w:rPr>
          <w:spacing w:val="-1"/>
        </w:rPr>
        <w:t>程预算、造价或者工程实际成本等，按估计的价值转入固定资产，并按本公司固定资产折旧政策计提固定资产</w:t>
      </w:r>
      <w:r>
        <w:rPr>
          <w:spacing w:val="-63"/>
        </w:rPr>
        <w:t> </w:t>
      </w:r>
      <w:r>
        <w:rPr>
          <w:spacing w:val="-63"/>
        </w:rPr>
      </w:r>
      <w:r>
        <w:rPr/>
        <w:t>的折旧，待办理竣工决算后，再按实际成本调整原来的暂估价值，但不调整原已计提的折旧额。</w:t>
      </w:r>
    </w:p>
    <w:p>
      <w:pPr>
        <w:spacing w:after="0" w:line="42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7、借款费用" w:id="192"/>
      <w:bookmarkEnd w:id="192"/>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left="580" w:right="0"/>
        <w:jc w:val="left"/>
      </w:pPr>
      <w:r>
        <w:rPr/>
        <w:t>（</w:t>
      </w:r>
      <w:r>
        <w:rPr>
          <w:rFonts w:ascii="宋体" w:hAnsi="宋体" w:cs="宋体" w:eastAsia="宋体" w:hint="default"/>
        </w:rPr>
        <w:t>1</w:t>
      </w:r>
      <w:r>
        <w:rPr/>
        <w:t>）借款费用资本化的确认原则</w:t>
      </w:r>
      <w:r>
        <w:rPr>
          <w:w w:val="100"/>
        </w:rPr>
        <w:t> </w:t>
      </w:r>
      <w:r>
        <w:rPr/>
        <w:t>借款费用，包括借款利息、折价或者溢价的摊销、辅助费用以及因外币借款而发生的汇兑差额等。</w:t>
      </w:r>
      <w:r>
        <w:rPr>
          <w:w w:val="100"/>
        </w:rPr>
        <w:t> </w:t>
      </w:r>
      <w:r>
        <w:rPr>
          <w:spacing w:val="-1"/>
        </w:rPr>
        <w:t>公司发生的借款费用，可直接归属于符合资本化条件的资产的购建或者生产的，予以资本化，计入相关资</w:t>
      </w:r>
    </w:p>
    <w:p>
      <w:pPr>
        <w:pStyle w:val="BodyText"/>
        <w:spacing w:line="429" w:lineRule="auto"/>
        <w:ind w:left="580" w:right="0" w:hanging="426"/>
        <w:jc w:val="left"/>
      </w:pPr>
      <w:r>
        <w:rPr/>
        <w:t>产成本；其他借款费用，在发生时根据其发生额确认为费用，计入当期损益。</w:t>
      </w:r>
      <w:r>
        <w:rPr>
          <w:w w:val="100"/>
        </w:rPr>
        <w:t> </w:t>
      </w:r>
      <w:r>
        <w:rPr>
          <w:spacing w:val="-1"/>
        </w:rPr>
        <w:t>符合资本化条件的资产，是指需要经过相当长时间的购建或者生产活动才能达到预定可使用或者可销售状</w:t>
      </w:r>
    </w:p>
    <w:p>
      <w:pPr>
        <w:pStyle w:val="BodyText"/>
        <w:spacing w:line="429" w:lineRule="auto"/>
        <w:ind w:left="580" w:right="6253" w:hanging="426"/>
        <w:jc w:val="left"/>
      </w:pPr>
      <w:r>
        <w:rPr/>
        <w:t>态的固定资产、投资性房地产和存货等资产。</w:t>
      </w:r>
      <w:r>
        <w:rPr>
          <w:w w:val="100"/>
        </w:rPr>
        <w:t> </w:t>
      </w:r>
      <w:r>
        <w:rPr>
          <w:spacing w:val="-1"/>
        </w:rPr>
        <w:t>借款费用同时满足下列条件时开始资本化：</w:t>
      </w:r>
    </w:p>
    <w:p>
      <w:pPr>
        <w:pStyle w:val="BodyText"/>
        <w:spacing w:line="429" w:lineRule="auto"/>
        <w:ind w:left="154" w:right="0" w:firstLine="426"/>
        <w:jc w:val="left"/>
      </w:pPr>
      <w:r>
        <w:rPr>
          <w:spacing w:val="-1"/>
        </w:rPr>
        <w:t>①资产支出已经发生，资产支出包括为购建或者生产符合资本化条件的资产而以支付现金、转移非现金资</w:t>
      </w:r>
      <w:r>
        <w:rPr>
          <w:w w:val="100"/>
        </w:rPr>
        <w:t> </w:t>
      </w:r>
      <w:r>
        <w:rPr/>
        <w:t>产或者承担带息债务形式发生的支出；</w:t>
      </w:r>
    </w:p>
    <w:p>
      <w:pPr>
        <w:pStyle w:val="BodyText"/>
        <w:spacing w:line="240" w:lineRule="auto"/>
        <w:ind w:left="580" w:right="0"/>
        <w:jc w:val="left"/>
      </w:pPr>
      <w:r>
        <w:rPr/>
        <w:t>②借款费用已经发生；</w:t>
      </w:r>
    </w:p>
    <w:p>
      <w:pPr>
        <w:spacing w:line="240" w:lineRule="auto" w:before="10"/>
        <w:rPr>
          <w:rFonts w:ascii="宋体" w:hAnsi="宋体" w:cs="宋体" w:eastAsia="宋体" w:hint="default"/>
          <w:sz w:val="15"/>
          <w:szCs w:val="15"/>
        </w:rPr>
      </w:pPr>
    </w:p>
    <w:p>
      <w:pPr>
        <w:pStyle w:val="BodyText"/>
        <w:spacing w:line="240" w:lineRule="auto" w:before="0"/>
        <w:ind w:left="580" w:right="0"/>
        <w:jc w:val="left"/>
      </w:pPr>
      <w:r>
        <w:rPr/>
        <w:t>③为使资产达到预定可使用或者可销售状态所必要的购建或者生产活动已经开始。</w:t>
      </w:r>
    </w:p>
    <w:p>
      <w:pPr>
        <w:spacing w:line="240" w:lineRule="auto" w:before="10"/>
        <w:rPr>
          <w:rFonts w:ascii="宋体" w:hAnsi="宋体" w:cs="宋体" w:eastAsia="宋体" w:hint="default"/>
          <w:sz w:val="15"/>
          <w:szCs w:val="15"/>
        </w:rPr>
      </w:pPr>
    </w:p>
    <w:p>
      <w:pPr>
        <w:pStyle w:val="BodyText"/>
        <w:spacing w:line="429" w:lineRule="auto" w:before="0"/>
        <w:ind w:left="580" w:right="0"/>
        <w:jc w:val="left"/>
      </w:pPr>
      <w:r>
        <w:rPr/>
        <w:t>（</w:t>
      </w:r>
      <w:r>
        <w:rPr>
          <w:rFonts w:ascii="宋体" w:hAnsi="宋体" w:cs="宋体" w:eastAsia="宋体" w:hint="default"/>
        </w:rPr>
        <w:t>2</w:t>
      </w:r>
      <w:r>
        <w:rPr/>
        <w:t>）借款费用资本化期间</w:t>
      </w:r>
      <w:r>
        <w:rPr>
          <w:w w:val="100"/>
        </w:rPr>
        <w:t> </w:t>
      </w:r>
      <w:r>
        <w:rPr>
          <w:spacing w:val="-1"/>
        </w:rPr>
        <w:t>资本化期间，指从借款费用开始资本化时点到停止资本化时点的期间，借款费用暂停资本化的期间不包括</w:t>
      </w:r>
    </w:p>
    <w:p>
      <w:pPr>
        <w:pStyle w:val="BodyText"/>
        <w:spacing w:line="240" w:lineRule="auto"/>
        <w:ind w:left="154" w:right="0"/>
        <w:jc w:val="left"/>
      </w:pPr>
      <w:r>
        <w:rPr/>
        <w:t>在内。</w:t>
      </w:r>
    </w:p>
    <w:p>
      <w:pPr>
        <w:spacing w:line="240" w:lineRule="auto" w:before="10"/>
        <w:rPr>
          <w:rFonts w:ascii="宋体" w:hAnsi="宋体" w:cs="宋体" w:eastAsia="宋体" w:hint="default"/>
          <w:sz w:val="15"/>
          <w:szCs w:val="15"/>
        </w:rPr>
      </w:pPr>
    </w:p>
    <w:p>
      <w:pPr>
        <w:pStyle w:val="BodyText"/>
        <w:spacing w:line="429" w:lineRule="auto" w:before="0"/>
        <w:ind w:left="580" w:right="0"/>
        <w:jc w:val="left"/>
      </w:pPr>
      <w:r>
        <w:rPr/>
        <w:t>当购建或者生产符合资本化条件的资产达到预定可使用或者可销售状态时，借款费用停止资本化。</w:t>
      </w:r>
      <w:r>
        <w:rPr>
          <w:w w:val="100"/>
        </w:rPr>
        <w:t> </w:t>
      </w:r>
      <w:r>
        <w:rPr>
          <w:spacing w:val="-1"/>
        </w:rPr>
        <w:t>当购建或者生产符合资本化条件的资产中部分项目分别完工且可单独使用时，该部分资产借款费用停止资</w:t>
      </w:r>
    </w:p>
    <w:p>
      <w:pPr>
        <w:pStyle w:val="BodyText"/>
        <w:spacing w:line="240" w:lineRule="auto"/>
        <w:ind w:left="154" w:right="0"/>
        <w:jc w:val="left"/>
      </w:pPr>
      <w:r>
        <w:rPr/>
        <w:t>本化。</w:t>
      </w:r>
    </w:p>
    <w:p>
      <w:pPr>
        <w:spacing w:line="240" w:lineRule="auto" w:before="10"/>
        <w:rPr>
          <w:rFonts w:ascii="宋体" w:hAnsi="宋体" w:cs="宋体" w:eastAsia="宋体" w:hint="default"/>
          <w:sz w:val="15"/>
          <w:szCs w:val="15"/>
        </w:rPr>
      </w:pPr>
    </w:p>
    <w:p>
      <w:pPr>
        <w:pStyle w:val="BodyText"/>
        <w:spacing w:line="429" w:lineRule="auto" w:before="0"/>
        <w:ind w:left="154" w:right="0" w:firstLine="426"/>
        <w:jc w:val="left"/>
      </w:pPr>
      <w:r>
        <w:rPr>
          <w:spacing w:val="-1"/>
        </w:rPr>
        <w:t>购建或者生产的资产的各部分分别完工，但必须等到整体完工后才可使用或可对外销售的，在该资产整体</w:t>
      </w:r>
      <w:r>
        <w:rPr>
          <w:w w:val="100"/>
        </w:rPr>
        <w:t> </w:t>
      </w:r>
      <w:r>
        <w:rPr/>
        <w:t>完工时停止借款费用资本化。</w:t>
      </w:r>
    </w:p>
    <w:p>
      <w:pPr>
        <w:pStyle w:val="BodyText"/>
        <w:spacing w:line="429" w:lineRule="auto"/>
        <w:ind w:left="580" w:right="0"/>
        <w:jc w:val="left"/>
      </w:pPr>
      <w:r>
        <w:rPr/>
        <w:t>（</w:t>
      </w:r>
      <w:r>
        <w:rPr>
          <w:rFonts w:ascii="宋体" w:hAnsi="宋体" w:cs="宋体" w:eastAsia="宋体" w:hint="default"/>
        </w:rPr>
        <w:t>3</w:t>
      </w:r>
      <w:r>
        <w:rPr/>
        <w:t>）暂停资本化期间</w:t>
      </w:r>
      <w:r>
        <w:rPr>
          <w:w w:val="100"/>
        </w:rPr>
        <w:t> </w:t>
      </w:r>
      <w:r>
        <w:rPr>
          <w:spacing w:val="-3"/>
        </w:rPr>
        <w:t>符合资本化条件的资产在购建或生产过程中发生的非正常中断、且中断时间连续超过</w:t>
      </w:r>
      <w:r>
        <w:rPr>
          <w:rFonts w:ascii="宋体" w:hAnsi="宋体" w:cs="宋体" w:eastAsia="宋体" w:hint="default"/>
          <w:spacing w:val="-3"/>
        </w:rPr>
        <w:t>3</w:t>
      </w:r>
      <w:r>
        <w:rPr>
          <w:spacing w:val="-3"/>
        </w:rPr>
        <w:t>个月的，则借款费用</w:t>
      </w:r>
    </w:p>
    <w:p>
      <w:pPr>
        <w:pStyle w:val="BodyText"/>
        <w:spacing w:line="429" w:lineRule="auto"/>
        <w:ind w:left="154" w:right="1169"/>
        <w:jc w:val="both"/>
      </w:pPr>
      <w:r>
        <w:rPr>
          <w:spacing w:val="-1"/>
        </w:rPr>
        <w:t>暂停资本化；该项中断如是所购建或生产的符合资本化条件的资产达到预定可使用状态或者可销售状态必要的</w:t>
      </w:r>
      <w:r>
        <w:rPr>
          <w:spacing w:val="-63"/>
        </w:rPr>
        <w:t> </w:t>
      </w:r>
      <w:r>
        <w:rPr>
          <w:spacing w:val="-63"/>
        </w:rPr>
      </w:r>
      <w:r>
        <w:rPr>
          <w:spacing w:val="-1"/>
        </w:rPr>
        <w:t>程序，则借款费用继续资本化。在中断期间发生的借款费用确认为当期损益，直至资产的购建或者生产活动重</w:t>
      </w:r>
      <w:r>
        <w:rPr>
          <w:spacing w:val="-63"/>
        </w:rPr>
        <w:t> </w:t>
      </w:r>
      <w:r>
        <w:rPr>
          <w:spacing w:val="-63"/>
        </w:rPr>
      </w:r>
      <w:r>
        <w:rPr/>
        <w:t>新开始后借款费用继续资本化。</w:t>
      </w:r>
    </w:p>
    <w:p>
      <w:pPr>
        <w:pStyle w:val="BodyText"/>
        <w:spacing w:line="429" w:lineRule="auto"/>
        <w:ind w:left="580" w:right="0"/>
        <w:jc w:val="left"/>
      </w:pPr>
      <w:r>
        <w:rPr/>
        <w:t>（</w:t>
      </w:r>
      <w:r>
        <w:rPr>
          <w:rFonts w:ascii="宋体" w:hAnsi="宋体" w:cs="宋体" w:eastAsia="宋体" w:hint="default"/>
        </w:rPr>
        <w:t>4</w:t>
      </w:r>
      <w:r>
        <w:rPr/>
        <w:t>）借款费用资本化率、资本化金额的计算方法</w:t>
      </w:r>
      <w:r>
        <w:rPr>
          <w:w w:val="100"/>
        </w:rPr>
        <w:t> </w:t>
      </w:r>
      <w:r>
        <w:rPr>
          <w:spacing w:val="-1"/>
        </w:rPr>
        <w:t>对于为购建或者生产符合资本化条件的资产而借入的专门借款，以专门借款当期实际发生的借款费用，减</w:t>
      </w:r>
    </w:p>
    <w:p>
      <w:pPr>
        <w:pStyle w:val="BodyText"/>
        <w:spacing w:line="429" w:lineRule="auto"/>
        <w:ind w:left="154" w:right="1169"/>
        <w:jc w:val="both"/>
      </w:pPr>
      <w:r>
        <w:rPr>
          <w:spacing w:val="-1"/>
        </w:rPr>
        <w:t>去尚未动用的借款资金存入银行取得的利息收入或进行暂时性投资取得的投资收益后的金额，来确定借款费用</w:t>
      </w:r>
      <w:r>
        <w:rPr>
          <w:spacing w:val="-63"/>
        </w:rPr>
        <w:t> </w:t>
      </w:r>
      <w:r>
        <w:rPr>
          <w:spacing w:val="-63"/>
        </w:rPr>
      </w:r>
      <w:r>
        <w:rPr/>
        <w:t>的资本化金额。</w:t>
      </w:r>
    </w:p>
    <w:p>
      <w:pPr>
        <w:spacing w:after="0" w:line="42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before="0"/>
        <w:ind w:right="1142" w:firstLine="426"/>
        <w:jc w:val="both"/>
      </w:pPr>
      <w:r>
        <w:rPr>
          <w:spacing w:val="-1"/>
        </w:rPr>
        <w:t>对于为购建或者生产符合资本化条件的资产而占用的一般借款，根据累计资产支出超过专门借款部分的资</w:t>
      </w:r>
      <w:r>
        <w:rPr>
          <w:w w:val="100"/>
        </w:rPr>
        <w:t> </w:t>
      </w:r>
      <w:r>
        <w:rPr/>
        <w:t>产支出加权平均数乘以所占用一般借款的资本化率，计算确定一般借款应予资本化的借款费用金额。资本化率</w:t>
      </w:r>
      <w:r>
        <w:rPr>
          <w:w w:val="100"/>
        </w:rPr>
        <w:t> </w:t>
      </w:r>
      <w:r>
        <w:rPr/>
        <w:t>根据一般借款加权平均利率计算确定。</w:t>
      </w:r>
    </w:p>
    <w:p>
      <w:pPr>
        <w:spacing w:line="240" w:lineRule="auto" w:before="1"/>
        <w:rPr>
          <w:rFonts w:ascii="宋体" w:hAnsi="宋体" w:cs="宋体" w:eastAsia="宋体" w:hint="default"/>
          <w:sz w:val="20"/>
          <w:szCs w:val="20"/>
        </w:rPr>
      </w:pPr>
    </w:p>
    <w:p>
      <w:pPr>
        <w:pStyle w:val="Heading3"/>
        <w:spacing w:line="240" w:lineRule="auto"/>
        <w:ind w:left="153" w:right="0"/>
        <w:jc w:val="left"/>
        <w:rPr>
          <w:b w:val="0"/>
          <w:bCs w:val="0"/>
        </w:rPr>
      </w:pPr>
      <w:bookmarkStart w:name="18、无形资产" w:id="193"/>
      <w:bookmarkEnd w:id="193"/>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4"/>
      <w:bookmarkEnd w:id="19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left="580" w:right="6253"/>
        <w:jc w:val="left"/>
      </w:pPr>
      <w:r>
        <w:rPr/>
        <w:t>①无形资产的计价方法</w:t>
      </w:r>
      <w:r>
        <w:rPr>
          <w:w w:val="100"/>
        </w:rPr>
        <w:t> </w:t>
      </w:r>
      <w:r>
        <w:rPr>
          <w:rFonts w:ascii="宋体" w:hAnsi="宋体" w:cs="宋体" w:eastAsia="宋体" w:hint="default"/>
          <w:spacing w:val="-1"/>
        </w:rPr>
        <w:t>a.</w:t>
      </w:r>
      <w:r>
        <w:rPr>
          <w:spacing w:val="-1"/>
        </w:rPr>
        <w:t>公司取得无形资产时按成本进行初始计量；</w:t>
      </w:r>
    </w:p>
    <w:p>
      <w:pPr>
        <w:pStyle w:val="BodyText"/>
        <w:spacing w:line="429" w:lineRule="auto"/>
        <w:ind w:right="1142" w:firstLine="426"/>
        <w:jc w:val="both"/>
      </w:pPr>
      <w:r>
        <w:rPr>
          <w:spacing w:val="-1"/>
        </w:rPr>
        <w:t>外购无形资产的成本，包括购买价款、相关税费以及直接归属于使该项资产达到预定用途所发生的其他支</w:t>
      </w:r>
      <w:r>
        <w:rPr>
          <w:w w:val="100"/>
        </w:rPr>
        <w:t> </w:t>
      </w:r>
      <w:r>
        <w:rPr/>
        <w:t>出。购买无形资产的价款超过正常信用条件延期支付，实质上具有融资性质的，无形资产的成本以购买价款的</w:t>
      </w:r>
      <w:r>
        <w:rPr>
          <w:w w:val="100"/>
        </w:rPr>
        <w:t> </w:t>
      </w:r>
      <w:r>
        <w:rPr/>
        <w:t>现值为基础确定。</w:t>
      </w:r>
    </w:p>
    <w:p>
      <w:pPr>
        <w:pStyle w:val="BodyText"/>
        <w:spacing w:line="429" w:lineRule="auto"/>
        <w:ind w:right="1142" w:firstLine="426"/>
        <w:jc w:val="both"/>
      </w:pPr>
      <w:r>
        <w:rPr>
          <w:spacing w:val="-1"/>
        </w:rPr>
        <w:t>债务重组取得债务人用以抵债的无形资产，以该无形资产的公允价值为基础确定其入账价值，并将重组债</w:t>
      </w:r>
      <w:r>
        <w:rPr>
          <w:w w:val="100"/>
        </w:rPr>
        <w:t> </w:t>
      </w:r>
      <w:r>
        <w:rPr/>
        <w:t>务的账面价值与该用以抵债的无形资产公允价值之间的差额，计入当期损益。</w:t>
      </w:r>
    </w:p>
    <w:p>
      <w:pPr>
        <w:pStyle w:val="BodyText"/>
        <w:spacing w:line="429" w:lineRule="auto"/>
        <w:ind w:left="154" w:right="1142" w:firstLine="426"/>
        <w:jc w:val="both"/>
      </w:pPr>
      <w:r>
        <w:rPr>
          <w:spacing w:val="-1"/>
        </w:rPr>
        <w:t>在非货币性资产交换具备商业实质且换入资产或换出资产的公允价值能够可靠计量的前提下，非货币性资</w:t>
      </w:r>
      <w:r>
        <w:rPr>
          <w:w w:val="100"/>
        </w:rPr>
        <w:t> </w:t>
      </w:r>
      <w:r>
        <w:rPr>
          <w:spacing w:val="-1"/>
        </w:rPr>
        <w:t>产交换换入的无形资产以换出资产的公允价值为基础确定其入账价值，除非有确凿证据表明换入资产的公允价</w:t>
      </w:r>
      <w:r>
        <w:rPr>
          <w:spacing w:val="-63"/>
        </w:rPr>
        <w:t> </w:t>
      </w:r>
      <w:r>
        <w:rPr>
          <w:spacing w:val="-63"/>
        </w:rPr>
      </w:r>
      <w:r>
        <w:rPr>
          <w:spacing w:val="-1"/>
        </w:rPr>
        <w:t>值更加可靠；不满足上述前提的非货币性资产交换，以换出资产的账面价值和应支付的相关税费作为换入无形</w:t>
      </w:r>
      <w:r>
        <w:rPr>
          <w:spacing w:val="-63"/>
        </w:rPr>
        <w:t> </w:t>
      </w:r>
      <w:r>
        <w:rPr>
          <w:spacing w:val="-63"/>
        </w:rPr>
      </w:r>
      <w:r>
        <w:rPr/>
        <w:t>资产的成本，不确认损益。</w:t>
      </w:r>
    </w:p>
    <w:p>
      <w:pPr>
        <w:pStyle w:val="BodyText"/>
        <w:spacing w:line="429" w:lineRule="auto"/>
        <w:ind w:left="580" w:right="6253"/>
        <w:jc w:val="left"/>
      </w:pPr>
      <w:r>
        <w:rPr>
          <w:rFonts w:ascii="宋体" w:hAnsi="宋体" w:cs="宋体" w:eastAsia="宋体" w:hint="default"/>
        </w:rPr>
        <w:t>b.</w:t>
      </w:r>
      <w:r>
        <w:rPr/>
        <w:t>后续计量</w:t>
      </w:r>
      <w:r>
        <w:rPr>
          <w:w w:val="100"/>
        </w:rPr>
        <w:t> </w:t>
      </w:r>
      <w:r>
        <w:rPr>
          <w:spacing w:val="-1"/>
        </w:rPr>
        <w:t>在取得无形资产时分析判断其使用寿命。</w:t>
      </w:r>
    </w:p>
    <w:p>
      <w:pPr>
        <w:pStyle w:val="BodyText"/>
        <w:spacing w:line="429" w:lineRule="auto"/>
        <w:ind w:right="1142" w:firstLine="426"/>
        <w:jc w:val="both"/>
      </w:pPr>
      <w:r>
        <w:rPr>
          <w:spacing w:val="-1"/>
        </w:rPr>
        <w:t>对于使用寿命有限的无形资产，在为企业带来经济利益的期限内按直线法摊销；无法预见无形资产为企业</w:t>
      </w:r>
      <w:r>
        <w:rPr>
          <w:w w:val="100"/>
        </w:rPr>
        <w:t> </w:t>
      </w:r>
      <w:r>
        <w:rPr/>
        <w:t>带来经济利益期限的，视为使用寿命不确定的无形资产，不予摊销。</w:t>
      </w:r>
    </w:p>
    <w:p>
      <w:pPr>
        <w:pStyle w:val="BodyText"/>
        <w:spacing w:line="240" w:lineRule="auto"/>
        <w:ind w:left="580" w:right="0"/>
        <w:jc w:val="left"/>
      </w:pPr>
      <w:r>
        <w:rPr/>
        <w:t>②使用寿命有限的无形资产的使用寿命估计情况：</w:t>
      </w:r>
    </w:p>
    <w:p>
      <w:pPr>
        <w:spacing w:line="240" w:lineRule="auto" w:before="3"/>
        <w:rPr>
          <w:rFonts w:ascii="宋体" w:hAnsi="宋体" w:cs="宋体" w:eastAsia="宋体" w:hint="default"/>
          <w:sz w:val="10"/>
          <w:szCs w:val="10"/>
        </w:rPr>
      </w:pPr>
    </w:p>
    <w:tbl>
      <w:tblPr>
        <w:tblW w:w="0" w:type="auto"/>
        <w:jc w:val="left"/>
        <w:tblInd w:w="1061" w:type="dxa"/>
        <w:tblLayout w:type="fixed"/>
        <w:tblCellMar>
          <w:top w:w="0" w:type="dxa"/>
          <w:left w:w="0" w:type="dxa"/>
          <w:bottom w:w="0" w:type="dxa"/>
          <w:right w:w="0" w:type="dxa"/>
        </w:tblCellMar>
        <w:tblLook w:val="01E0"/>
      </w:tblPr>
      <w:tblGrid>
        <w:gridCol w:w="3056"/>
        <w:gridCol w:w="1913"/>
        <w:gridCol w:w="2846"/>
      </w:tblGrid>
      <w:tr>
        <w:trPr>
          <w:trHeight w:val="34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预计使用寿命</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依据</w:t>
            </w:r>
          </w:p>
        </w:tc>
      </w:tr>
      <w:tr>
        <w:trPr>
          <w:trHeight w:val="34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z w:val="20"/>
                <w:szCs w:val="20"/>
              </w:rPr>
              <w:t>年</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预计受益年限</w:t>
            </w:r>
          </w:p>
        </w:tc>
      </w:tr>
      <w:tr>
        <w:trPr>
          <w:trHeight w:val="34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50</w:t>
            </w:r>
            <w:r>
              <w:rPr>
                <w:rFonts w:ascii="宋体" w:hAnsi="宋体" w:cs="宋体" w:eastAsia="宋体" w:hint="default"/>
                <w:sz w:val="20"/>
                <w:szCs w:val="20"/>
              </w:rPr>
              <w:t>年</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土地使用权证</w:t>
            </w:r>
          </w:p>
        </w:tc>
      </w:tr>
      <w:tr>
        <w:trPr>
          <w:trHeight w:val="34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专利权有效期限</w:t>
            </w:r>
          </w:p>
        </w:tc>
      </w:tr>
      <w:tr>
        <w:trPr>
          <w:trHeight w:val="34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非专利技术</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预计受益年限</w:t>
            </w:r>
          </w:p>
        </w:tc>
      </w:tr>
    </w:tbl>
    <w:p>
      <w:pPr>
        <w:spacing w:line="240" w:lineRule="auto" w:before="6"/>
        <w:rPr>
          <w:rFonts w:ascii="宋体" w:hAnsi="宋体" w:cs="宋体" w:eastAsia="宋体" w:hint="default"/>
          <w:sz w:val="26"/>
          <w:szCs w:val="26"/>
        </w:rPr>
      </w:pPr>
    </w:p>
    <w:p>
      <w:pPr>
        <w:pStyle w:val="BodyText"/>
        <w:spacing w:line="429" w:lineRule="auto" w:before="38"/>
        <w:ind w:left="580" w:right="0"/>
        <w:jc w:val="left"/>
      </w:pPr>
      <w:r>
        <w:rPr>
          <w:spacing w:val="-1"/>
        </w:rPr>
        <w:t>每年度终了，对使用寿命有限的无形资产的使用寿命及摊销方法进行复核。</w:t>
      </w:r>
      <w:r>
        <w:rPr>
          <w:spacing w:val="-74"/>
        </w:rPr>
        <w:t> </w:t>
      </w:r>
      <w:r>
        <w:rPr>
          <w:spacing w:val="-74"/>
        </w:rPr>
      </w:r>
      <w:r>
        <w:rPr/>
        <w:t>经复核，本年期末无形资产的使用寿命及摊销方法与以前估计未有不同。</w:t>
      </w:r>
    </w:p>
    <w:p>
      <w:pPr>
        <w:pStyle w:val="BodyText"/>
        <w:spacing w:line="240" w:lineRule="auto"/>
        <w:ind w:left="580" w:right="0"/>
        <w:jc w:val="left"/>
      </w:pPr>
      <w:r>
        <w:rPr/>
        <w:t>③使用寿命不确定的无形资产的判断依据以及对其使用寿命进行复核的程序</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0"/>
        <w:ind w:left="579" w:right="0"/>
        <w:jc w:val="left"/>
      </w:pPr>
      <w:r>
        <w:rPr/>
        <w:t>截至资产负债表日</w:t>
      </w:r>
      <w:r>
        <w:rPr>
          <w:rFonts w:ascii="宋体" w:hAnsi="宋体" w:cs="宋体" w:eastAsia="宋体" w:hint="default"/>
        </w:rPr>
        <w:t>,</w:t>
      </w:r>
      <w:r>
        <w:rPr/>
        <w:t>公司无使用寿命不确定的无形资产。</w:t>
      </w:r>
    </w:p>
    <w:p>
      <w:pPr>
        <w:spacing w:line="240" w:lineRule="auto" w:before="0"/>
        <w:rPr>
          <w:rFonts w:ascii="宋体" w:hAnsi="宋体" w:cs="宋体" w:eastAsia="宋体" w:hint="default"/>
          <w:sz w:val="20"/>
          <w:szCs w:val="20"/>
        </w:rPr>
      </w:pPr>
    </w:p>
    <w:p>
      <w:pPr>
        <w:pStyle w:val="Heading3"/>
        <w:spacing w:line="240" w:lineRule="auto" w:before="158"/>
        <w:ind w:left="153" w:right="0"/>
        <w:jc w:val="left"/>
        <w:rPr>
          <w:b w:val="0"/>
          <w:bCs w:val="0"/>
        </w:rPr>
      </w:pPr>
      <w:bookmarkStart w:name="（2）内部研究开发支出会计政策" w:id="195"/>
      <w:bookmarkEnd w:id="19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left="579" w:right="0"/>
        <w:jc w:val="left"/>
      </w:pPr>
      <w:r>
        <w:rPr/>
        <w:t>①划分研究阶段和开发阶段的具体标准</w:t>
      </w:r>
      <w:r>
        <w:rPr>
          <w:w w:val="100"/>
        </w:rPr>
        <w:t> </w:t>
      </w:r>
      <w:r>
        <w:rPr>
          <w:spacing w:val="-3"/>
        </w:rPr>
        <w:t>公司制定了研发项目管理制度，明确每个研发项目均需要经过项目调研、立项申请、立项评审、项目启动、</w:t>
      </w:r>
      <w:r>
        <w:rPr/>
      </w:r>
    </w:p>
    <w:p>
      <w:pPr>
        <w:pStyle w:val="BodyText"/>
        <w:spacing w:line="429" w:lineRule="auto"/>
        <w:ind w:left="580" w:right="6253" w:hanging="426"/>
        <w:jc w:val="left"/>
      </w:pPr>
      <w:r>
        <w:rPr>
          <w:spacing w:val="-1"/>
        </w:rPr>
        <w:t>项目过程管理、项目阶段评估和项目验收阶段。</w:t>
      </w:r>
      <w:r>
        <w:rPr>
          <w:spacing w:val="-83"/>
        </w:rPr>
        <w:t> </w:t>
      </w:r>
      <w:r>
        <w:rPr>
          <w:spacing w:val="-83"/>
        </w:rPr>
      </w:r>
      <w:r>
        <w:rPr/>
        <w:t>研发费用的会计处理方式为：</w:t>
      </w:r>
    </w:p>
    <w:p>
      <w:pPr>
        <w:pStyle w:val="BodyText"/>
        <w:spacing w:line="429" w:lineRule="auto"/>
        <w:ind w:left="154" w:right="0" w:firstLine="426"/>
        <w:jc w:val="left"/>
      </w:pPr>
      <w:r>
        <w:rPr>
          <w:spacing w:val="-1"/>
        </w:rPr>
        <w:t>将研究阶段和不符合资本化条件的开发阶段的费用计入“研发支出—费用化”科目进行核算，月底一次性</w:t>
      </w:r>
      <w:r>
        <w:rPr>
          <w:w w:val="100"/>
        </w:rPr>
        <w:t> </w:t>
      </w:r>
      <w:r>
        <w:rPr/>
        <w:t>费用化，结转计入当期损益；</w:t>
      </w:r>
    </w:p>
    <w:p>
      <w:pPr>
        <w:pStyle w:val="BodyText"/>
        <w:spacing w:line="429" w:lineRule="auto"/>
        <w:ind w:left="580" w:right="0"/>
        <w:jc w:val="left"/>
      </w:pPr>
      <w:r>
        <w:rPr>
          <w:spacing w:val="-1"/>
        </w:rPr>
        <w:t>将符合资本化条件的开发阶段的费用计入“研发支出—资本化”科目进行归集核算，具体操作过程如下：</w:t>
      </w:r>
      <w:r>
        <w:rPr>
          <w:spacing w:val="-63"/>
        </w:rPr>
        <w:t> </w:t>
      </w:r>
      <w:r>
        <w:rPr>
          <w:spacing w:val="-63"/>
        </w:rPr>
      </w:r>
      <w:r>
        <w:rPr>
          <w:rFonts w:ascii="宋体" w:hAnsi="宋体" w:cs="宋体" w:eastAsia="宋体" w:hint="default"/>
        </w:rPr>
        <w:t>a.</w:t>
      </w:r>
      <w:r>
        <w:rPr/>
        <w:t>研发费用资本化开始时点：</w:t>
      </w:r>
      <w:r>
        <w:rPr>
          <w:w w:val="100"/>
        </w:rPr>
        <w:t> </w:t>
      </w:r>
      <w:r>
        <w:rPr>
          <w:spacing w:val="-1"/>
        </w:rPr>
        <w:t>在形成《项目可行性研究报告》后由公司组织项目评审组对项目的技术可行性、方案可行性、研发产品未</w:t>
      </w:r>
    </w:p>
    <w:p>
      <w:pPr>
        <w:pStyle w:val="BodyText"/>
        <w:spacing w:line="429" w:lineRule="auto"/>
        <w:ind w:left="154" w:right="1029"/>
        <w:jc w:val="left"/>
      </w:pPr>
      <w:r>
        <w:rPr>
          <w:spacing w:val="-2"/>
        </w:rPr>
        <w:t>来市场情况、投资收益、投资风险、预算的合理性和项目资金的落实情况进行评审。通过评审形成立项通知书，</w:t>
      </w:r>
      <w:r>
        <w:rPr>
          <w:spacing w:val="-77"/>
        </w:rPr>
        <w:t> </w:t>
      </w:r>
      <w:r>
        <w:rPr>
          <w:spacing w:val="-77"/>
        </w:rPr>
      </w:r>
      <w:r>
        <w:rPr/>
        <w:t>此时为研发费用资本化开始时点。项目资本化开始后产生的相关费用在“研发支出—资本化”科目进行归集核</w:t>
      </w:r>
      <w:r>
        <w:rPr>
          <w:w w:val="100"/>
        </w:rPr>
        <w:t> </w:t>
      </w:r>
      <w:r>
        <w:rPr/>
        <w:t>算。</w:t>
      </w:r>
    </w:p>
    <w:p>
      <w:pPr>
        <w:pStyle w:val="BodyText"/>
        <w:spacing w:line="429" w:lineRule="auto"/>
        <w:ind w:left="579" w:right="0"/>
        <w:jc w:val="left"/>
      </w:pPr>
      <w:r>
        <w:rPr>
          <w:rFonts w:ascii="宋体" w:hAnsi="宋体" w:cs="宋体" w:eastAsia="宋体" w:hint="default"/>
        </w:rPr>
        <w:t>b.</w:t>
      </w:r>
      <w:r>
        <w:rPr/>
        <w:t>研发项目成果结转</w:t>
      </w:r>
      <w:r>
        <w:rPr>
          <w:w w:val="100"/>
        </w:rPr>
        <w:t> </w:t>
      </w:r>
      <w:r>
        <w:rPr>
          <w:spacing w:val="-1"/>
        </w:rPr>
        <w:t>研发项目达到研发目标后，项目开发组、相关专家、业务部门及财务管理部、审计部等组成研发项目验收</w:t>
      </w:r>
    </w:p>
    <w:p>
      <w:pPr>
        <w:pStyle w:val="BodyText"/>
        <w:spacing w:line="429" w:lineRule="auto"/>
        <w:ind w:right="0"/>
        <w:jc w:val="left"/>
      </w:pPr>
      <w:r>
        <w:rPr>
          <w:spacing w:val="-1"/>
        </w:rPr>
        <w:t>组，对项目成果进行验收，形成《验收报告》和《结项报告》。对研发成果申请专利或计算机软件著作权，取</w:t>
      </w:r>
      <w:r>
        <w:rPr>
          <w:spacing w:val="-63"/>
        </w:rPr>
        <w:t> </w:t>
      </w:r>
      <w:r>
        <w:rPr>
          <w:spacing w:val="-63"/>
        </w:rPr>
      </w:r>
      <w:r>
        <w:rPr/>
        <w:t>得著作权登记证书当月，将“研发支出—资本化”归集的费用转入无形资产进行核算。</w:t>
      </w:r>
    </w:p>
    <w:p>
      <w:pPr>
        <w:pStyle w:val="BodyText"/>
        <w:spacing w:line="429" w:lineRule="auto"/>
        <w:ind w:left="579" w:right="2809"/>
        <w:jc w:val="left"/>
      </w:pPr>
      <w:r>
        <w:rPr/>
        <w:t>②开发阶段支出资本化的具体条件</w:t>
      </w:r>
      <w:r>
        <w:rPr>
          <w:w w:val="100"/>
        </w:rPr>
        <w:t> </w:t>
      </w:r>
      <w:r>
        <w:rPr>
          <w:rFonts w:ascii="宋体" w:hAnsi="宋体" w:cs="宋体" w:eastAsia="宋体" w:hint="default"/>
          <w:spacing w:val="-1"/>
        </w:rPr>
        <w:t>a.</w:t>
      </w:r>
      <w:r>
        <w:rPr>
          <w:spacing w:val="-1"/>
        </w:rPr>
        <w:t>完成该无形资产以使其能够使用或出售在技术上具有可行性；</w:t>
      </w:r>
      <w:r>
        <w:rPr>
          <w:spacing w:val="-77"/>
        </w:rPr>
        <w:t> </w:t>
      </w:r>
      <w:r>
        <w:rPr>
          <w:spacing w:val="-77"/>
        </w:rPr>
      </w:r>
      <w:r>
        <w:rPr>
          <w:rFonts w:ascii="宋体" w:hAnsi="宋体" w:cs="宋体" w:eastAsia="宋体" w:hint="default"/>
        </w:rPr>
        <w:t>b.</w:t>
      </w:r>
      <w:r>
        <w:rPr/>
        <w:t>具有完成该无形资产并使用或出售的意图；</w:t>
      </w:r>
    </w:p>
    <w:p>
      <w:pPr>
        <w:pStyle w:val="BodyText"/>
        <w:spacing w:line="429" w:lineRule="auto"/>
        <w:ind w:right="0" w:firstLine="426"/>
        <w:jc w:val="left"/>
      </w:pPr>
      <w:r>
        <w:rPr>
          <w:rFonts w:ascii="宋体" w:hAnsi="宋体" w:cs="宋体" w:eastAsia="宋体" w:hint="default"/>
          <w:spacing w:val="-1"/>
        </w:rPr>
        <w:t>c.</w:t>
      </w:r>
      <w:r>
        <w:rPr>
          <w:spacing w:val="-1"/>
        </w:rPr>
        <w:t>无形资产产生经济利益的方式，包括能够证明运用该无形资产生产的产品存在市场或无形资产自身存在</w:t>
      </w:r>
      <w:r>
        <w:rPr>
          <w:w w:val="100"/>
        </w:rPr>
        <w:t> </w:t>
      </w:r>
      <w:r>
        <w:rPr/>
        <w:t>市场，无形资产将在内部使用的，能够证明其有用性；</w:t>
      </w:r>
    </w:p>
    <w:p>
      <w:pPr>
        <w:pStyle w:val="BodyText"/>
        <w:spacing w:line="429" w:lineRule="auto"/>
        <w:ind w:left="579" w:right="0"/>
        <w:jc w:val="left"/>
      </w:pPr>
      <w:r>
        <w:rPr>
          <w:rFonts w:ascii="宋体" w:hAnsi="宋体" w:cs="宋体" w:eastAsia="宋体" w:hint="default"/>
          <w:spacing w:val="-3"/>
        </w:rPr>
        <w:t>d.</w:t>
      </w:r>
      <w:r>
        <w:rPr>
          <w:spacing w:val="-3"/>
        </w:rPr>
        <w:t>有足够的技术、财务资源和其他资源支持，以完成该无形资产的开发，并有能力使用或出售该无形资产；</w:t>
      </w:r>
      <w:r>
        <w:rPr>
          <w:spacing w:val="-58"/>
        </w:rPr>
        <w:t> </w:t>
      </w:r>
      <w:r>
        <w:rPr>
          <w:spacing w:val="-58"/>
        </w:rPr>
      </w:r>
      <w:r>
        <w:rPr>
          <w:rFonts w:ascii="宋体" w:hAnsi="宋体" w:cs="宋体" w:eastAsia="宋体" w:hint="default"/>
        </w:rPr>
        <w:t>e.</w:t>
      </w:r>
      <w:r>
        <w:rPr/>
        <w:t>归属于该无形资产开发阶段的支出能够可靠地计量。</w:t>
      </w:r>
      <w:r>
        <w:rPr>
          <w:w w:val="100"/>
        </w:rPr>
        <w:t> </w:t>
      </w:r>
      <w:r>
        <w:rPr/>
        <w:t>开发阶段的支出，若不满足上列条件的，于发生时计入当期损益。</w:t>
      </w:r>
    </w:p>
    <w:p>
      <w:pPr>
        <w:spacing w:line="240" w:lineRule="auto" w:before="1"/>
        <w:rPr>
          <w:rFonts w:ascii="宋体" w:hAnsi="宋体" w:cs="宋体" w:eastAsia="宋体" w:hint="default"/>
          <w:sz w:val="20"/>
          <w:szCs w:val="20"/>
        </w:rPr>
      </w:pPr>
    </w:p>
    <w:p>
      <w:pPr>
        <w:pStyle w:val="Heading3"/>
        <w:spacing w:line="240" w:lineRule="auto"/>
        <w:ind w:left="153" w:right="0"/>
        <w:jc w:val="left"/>
        <w:rPr>
          <w:b w:val="0"/>
          <w:bCs w:val="0"/>
        </w:rPr>
      </w:pPr>
      <w:bookmarkStart w:name="19、长期资产减值" w:id="196"/>
      <w:bookmarkEnd w:id="196"/>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3"/>
        <w:rPr>
          <w:rFonts w:ascii="宋体" w:hAnsi="宋体" w:cs="宋体" w:eastAsia="宋体" w:hint="default"/>
          <w:b/>
          <w:bCs/>
          <w:sz w:val="31"/>
          <w:szCs w:val="31"/>
        </w:rPr>
      </w:pPr>
    </w:p>
    <w:p>
      <w:pPr>
        <w:pStyle w:val="BodyText"/>
        <w:spacing w:line="240" w:lineRule="auto" w:before="0"/>
        <w:ind w:left="580" w:right="0"/>
        <w:jc w:val="left"/>
      </w:pPr>
      <w:r>
        <w:rPr/>
        <w:t>长期股权投资、采用成本模式计量的投资性房地产、固定资产、在建工程、使用寿命有限的无形资产等长</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before="0"/>
        <w:ind w:right="1168"/>
        <w:jc w:val="both"/>
      </w:pPr>
      <w:r>
        <w:rPr>
          <w:spacing w:val="-1"/>
        </w:rPr>
        <w:t>期资产，于资产负债表日存在减值迹象的，进行减值测试。减值测试结果表明资产的可收回金额低于其账面价</w:t>
      </w:r>
      <w:r>
        <w:rPr>
          <w:spacing w:val="-63"/>
        </w:rPr>
        <w:t> </w:t>
      </w:r>
      <w:r>
        <w:rPr>
          <w:spacing w:val="-63"/>
        </w:rPr>
      </w:r>
      <w:r>
        <w:rPr>
          <w:spacing w:val="-1"/>
        </w:rPr>
        <w:t>值的，按其差额计提减值准备并计入减值损失。可收回金额为资产的公允价值减去处置费用后的净额与资产预</w:t>
      </w:r>
      <w:r>
        <w:rPr>
          <w:spacing w:val="-63"/>
        </w:rPr>
        <w:t> </w:t>
      </w:r>
      <w:r>
        <w:rPr>
          <w:spacing w:val="-63"/>
        </w:rPr>
      </w:r>
      <w:r>
        <w:rPr>
          <w:spacing w:val="-1"/>
        </w:rPr>
        <w:t>计未来现金流量的现值两者之间的较高者。资产减值准备按单项资产为基础计算并确认，如果难以对单项资产</w:t>
      </w:r>
      <w:r>
        <w:rPr>
          <w:spacing w:val="-63"/>
        </w:rPr>
        <w:t> </w:t>
      </w:r>
      <w:r>
        <w:rPr>
          <w:spacing w:val="-63"/>
        </w:rPr>
      </w:r>
      <w:r>
        <w:rPr>
          <w:spacing w:val="-1"/>
        </w:rPr>
        <w:t>的可收回金额进行估计的，以该资产所属的资产组确定资产组的可收回金额。资产组是能够独立产生现金流入</w:t>
      </w:r>
      <w:r>
        <w:rPr>
          <w:spacing w:val="-63"/>
        </w:rPr>
        <w:t> </w:t>
      </w:r>
      <w:r>
        <w:rPr>
          <w:spacing w:val="-63"/>
        </w:rPr>
      </w:r>
      <w:r>
        <w:rPr/>
        <w:t>的最小资产组合。</w:t>
      </w:r>
    </w:p>
    <w:p>
      <w:pPr>
        <w:pStyle w:val="BodyText"/>
        <w:spacing w:line="429" w:lineRule="auto"/>
        <w:ind w:left="579" w:right="0"/>
        <w:jc w:val="left"/>
      </w:pPr>
      <w:r>
        <w:rPr/>
        <w:t>商誉和使用寿命不确定的无形资产至少在每年年度终了进行减值测试。</w:t>
      </w:r>
      <w:r>
        <w:rPr>
          <w:w w:val="100"/>
        </w:rPr>
        <w:t> </w:t>
      </w:r>
      <w:r>
        <w:rPr>
          <w:spacing w:val="-1"/>
        </w:rPr>
        <w:t>本公司进行商誉减值测试，对于因企业合并形成的商誉的账面价值，自购买日起按照合理的方法分摊至相</w:t>
      </w:r>
    </w:p>
    <w:p>
      <w:pPr>
        <w:pStyle w:val="BodyText"/>
        <w:spacing w:line="429" w:lineRule="auto"/>
        <w:ind w:right="1169"/>
        <w:jc w:val="both"/>
      </w:pPr>
      <w:r>
        <w:rPr>
          <w:spacing w:val="-1"/>
        </w:rPr>
        <w:t>关的资产组；难以分摊至相关的资产组的，将其分摊至相关的资产组组合。在将商誉的账面价值分摊至相关的</w:t>
      </w:r>
      <w:r>
        <w:rPr>
          <w:spacing w:val="-63"/>
        </w:rPr>
        <w:t> </w:t>
      </w:r>
      <w:r>
        <w:rPr>
          <w:spacing w:val="-63"/>
        </w:rPr>
      </w:r>
      <w:r>
        <w:rPr>
          <w:spacing w:val="-1"/>
        </w:rPr>
        <w:t>资产组或者资产组组合时，按照各资产组或者资产组组合的公允价值占相关资产组或者资产组组合公允价值总</w:t>
      </w:r>
      <w:r>
        <w:rPr>
          <w:spacing w:val="-63"/>
        </w:rPr>
        <w:t> </w:t>
      </w:r>
      <w:r>
        <w:rPr>
          <w:spacing w:val="-63"/>
        </w:rPr>
      </w:r>
      <w:r>
        <w:rPr>
          <w:spacing w:val="-1"/>
        </w:rPr>
        <w:t>额的比例进行分摊。公允价值难以可靠计量的，按照各资产组或者资产组组合的账面价值占相关资产组或者资</w:t>
      </w:r>
      <w:r>
        <w:rPr>
          <w:spacing w:val="-63"/>
        </w:rPr>
        <w:t> </w:t>
      </w:r>
      <w:r>
        <w:rPr>
          <w:spacing w:val="-63"/>
        </w:rPr>
      </w:r>
      <w:r>
        <w:rPr/>
        <w:t>产组组合账面价值总额的比例进行分摊。</w:t>
      </w:r>
    </w:p>
    <w:p>
      <w:pPr>
        <w:pStyle w:val="BodyText"/>
        <w:spacing w:line="429" w:lineRule="auto"/>
        <w:ind w:right="1131" w:firstLine="426"/>
        <w:jc w:val="both"/>
      </w:pPr>
      <w:r>
        <w:rPr>
          <w:spacing w:val="-1"/>
        </w:rPr>
        <w:t>在对包含商誉的相关资产组或者资产组组合进行减值测试时，如与商誉相关的资产组或者资产组组合存在</w:t>
      </w:r>
      <w:r>
        <w:rPr>
          <w:w w:val="100"/>
        </w:rPr>
        <w:t> </w:t>
      </w:r>
      <w:r>
        <w:rPr/>
        <w:t>减值迹象的，先对不包含商誉的资产组或者资产组组合进行减值测试，计算可收回金额，并与相关账面价值相</w:t>
      </w:r>
      <w:r>
        <w:rPr>
          <w:w w:val="100"/>
        </w:rPr>
        <w:t> </w:t>
      </w:r>
      <w:r>
        <w:rPr/>
        <w:t>比较，确认相应的减值损失。再对包含商誉的资产组或者资产组组合进行减值测试，比较这些相关资产组或者</w:t>
      </w:r>
      <w:r>
        <w:rPr>
          <w:w w:val="100"/>
        </w:rPr>
        <w:t> </w:t>
      </w:r>
      <w:r>
        <w:rPr/>
        <w:t>资产组组合的账面价值（包括所分摊的商誉的账面价值部分）与其可收回金额，如相关资产组或者资产组组合</w:t>
      </w:r>
      <w:r>
        <w:rPr>
          <w:w w:val="100"/>
        </w:rPr>
        <w:t> </w:t>
      </w:r>
      <w:r>
        <w:rPr>
          <w:spacing w:val="-2"/>
        </w:rPr>
        <w:t>的可收回金额低于其账面价值的，确认商誉的减值损失。</w:t>
      </w:r>
      <w:r>
        <w:rPr/>
        <w:t> </w:t>
      </w:r>
      <w:r>
        <w:rPr>
          <w:spacing w:val="-2"/>
        </w:rPr>
        <w:t>上述资产减值损失一经确认，在以后会计期间不予转</w:t>
      </w:r>
      <w:r>
        <w:rPr>
          <w:spacing w:val="-77"/>
        </w:rPr>
        <w:t> </w:t>
      </w:r>
      <w:r>
        <w:rPr>
          <w:spacing w:val="-77"/>
        </w:rPr>
      </w:r>
      <w:r>
        <w:rPr/>
        <w:t>回。</w:t>
      </w:r>
    </w:p>
    <w:p>
      <w:pPr>
        <w:spacing w:line="240" w:lineRule="auto" w:before="0"/>
        <w:rPr>
          <w:rFonts w:ascii="宋体" w:hAnsi="宋体" w:cs="宋体" w:eastAsia="宋体" w:hint="default"/>
          <w:sz w:val="20"/>
          <w:szCs w:val="20"/>
        </w:rPr>
      </w:pPr>
    </w:p>
    <w:p>
      <w:pPr>
        <w:pStyle w:val="Heading3"/>
        <w:spacing w:line="240" w:lineRule="auto"/>
        <w:ind w:left="153" w:right="0"/>
        <w:jc w:val="both"/>
        <w:rPr>
          <w:b w:val="0"/>
          <w:bCs w:val="0"/>
        </w:rPr>
      </w:pPr>
      <w:bookmarkStart w:name="20、长期待摊费用" w:id="197"/>
      <w:bookmarkEnd w:id="197"/>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left="154" w:right="1142" w:firstLine="426"/>
        <w:jc w:val="both"/>
      </w:pPr>
      <w:r>
        <w:rPr>
          <w:spacing w:val="-1"/>
        </w:rPr>
        <w:t>长期待摊费用为已经发生但应由本期和以后各期负担的分摊期限在一年以上的各项费用。本公司长期待摊</w:t>
      </w:r>
      <w:r>
        <w:rPr>
          <w:w w:val="100"/>
        </w:rPr>
        <w:t> </w:t>
      </w:r>
      <w:r>
        <w:rPr/>
        <w:t>费用包括装修费。</w:t>
      </w:r>
    </w:p>
    <w:p>
      <w:pPr>
        <w:pStyle w:val="BodyText"/>
        <w:spacing w:line="429" w:lineRule="auto"/>
        <w:ind w:left="580" w:right="7341"/>
        <w:jc w:val="left"/>
      </w:pPr>
      <w:r>
        <w:rPr/>
        <w:t>（</w:t>
      </w:r>
      <w:r>
        <w:rPr>
          <w:rFonts w:ascii="宋体" w:hAnsi="宋体" w:cs="宋体" w:eastAsia="宋体" w:hint="default"/>
        </w:rPr>
        <w:t>1</w:t>
      </w:r>
      <w:r>
        <w:rPr/>
        <w:t>）摊销方法</w:t>
      </w:r>
      <w:r>
        <w:rPr>
          <w:w w:val="100"/>
        </w:rPr>
        <w:t> </w:t>
      </w:r>
      <w:r>
        <w:rPr>
          <w:spacing w:val="-1"/>
        </w:rPr>
        <w:t>长期待摊费用在受益期内平均摊销</w:t>
      </w:r>
    </w:p>
    <w:p>
      <w:pPr>
        <w:pStyle w:val="BodyText"/>
        <w:spacing w:line="429" w:lineRule="auto"/>
        <w:ind w:left="580" w:right="3733"/>
        <w:jc w:val="left"/>
      </w:pPr>
      <w:r>
        <w:rPr/>
        <w:t>（</w:t>
      </w:r>
      <w:r>
        <w:rPr>
          <w:rFonts w:ascii="宋体" w:hAnsi="宋体" w:cs="宋体" w:eastAsia="宋体" w:hint="default"/>
        </w:rPr>
        <w:t>2</w:t>
      </w:r>
      <w:r>
        <w:rPr/>
        <w:t>）摊销年限</w:t>
      </w:r>
      <w:r>
        <w:rPr>
          <w:w w:val="100"/>
        </w:rPr>
        <w:t> </w:t>
      </w:r>
      <w:r>
        <w:rPr>
          <w:spacing w:val="-1"/>
        </w:rPr>
        <w:t>装修费按照预计可使用年限和剩余租赁期限孰短原则确认摊销年限。</w:t>
      </w:r>
    </w:p>
    <w:p>
      <w:pPr>
        <w:spacing w:line="240" w:lineRule="auto" w:before="0"/>
        <w:rPr>
          <w:rFonts w:ascii="宋体" w:hAnsi="宋体" w:cs="宋体" w:eastAsia="宋体" w:hint="default"/>
          <w:sz w:val="20"/>
          <w:szCs w:val="20"/>
        </w:rPr>
      </w:pPr>
    </w:p>
    <w:p>
      <w:pPr>
        <w:pStyle w:val="Heading3"/>
        <w:spacing w:line="240" w:lineRule="auto"/>
        <w:ind w:right="0"/>
        <w:jc w:val="both"/>
        <w:rPr>
          <w:b w:val="0"/>
          <w:bCs w:val="0"/>
        </w:rPr>
      </w:pPr>
      <w:bookmarkStart w:name="21、职工薪酬" w:id="198"/>
      <w:bookmarkEnd w:id="198"/>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短期薪酬的会计处理方法" w:id="199"/>
      <w:bookmarkEnd w:id="199"/>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3"/>
        <w:rPr>
          <w:rFonts w:ascii="宋体" w:hAnsi="宋体" w:cs="宋体" w:eastAsia="宋体" w:hint="default"/>
          <w:b/>
          <w:bCs/>
          <w:sz w:val="31"/>
          <w:szCs w:val="31"/>
        </w:rPr>
      </w:pPr>
    </w:p>
    <w:p>
      <w:pPr>
        <w:pStyle w:val="BodyText"/>
        <w:spacing w:line="240" w:lineRule="auto" w:before="0"/>
        <w:ind w:left="580" w:right="0"/>
        <w:jc w:val="left"/>
      </w:pPr>
      <w:r>
        <w:rPr/>
        <w:t>本公司在职工为本公司提供服务的会计期间，将实际发生的短期薪酬确认为负债，并计入当期损益或相关</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0"/>
        <w:ind w:right="0"/>
        <w:jc w:val="left"/>
      </w:pPr>
      <w:r>
        <w:rPr/>
        <w:t>资产成本。</w:t>
      </w:r>
    </w:p>
    <w:p>
      <w:pPr>
        <w:spacing w:line="240" w:lineRule="auto" w:before="10"/>
        <w:rPr>
          <w:rFonts w:ascii="宋体" w:hAnsi="宋体" w:cs="宋体" w:eastAsia="宋体" w:hint="default"/>
          <w:sz w:val="15"/>
          <w:szCs w:val="15"/>
        </w:rPr>
      </w:pPr>
    </w:p>
    <w:p>
      <w:pPr>
        <w:pStyle w:val="BodyText"/>
        <w:spacing w:line="429" w:lineRule="auto" w:before="0"/>
        <w:ind w:right="0" w:firstLine="426"/>
        <w:jc w:val="left"/>
      </w:pPr>
      <w:r>
        <w:rPr>
          <w:spacing w:val="-1"/>
        </w:rPr>
        <w:t>本公司为职工缴纳的社会保险费和住房公积金，以及按规定提取的工会经费和职工教育经费，在职工为本</w:t>
      </w:r>
      <w:r>
        <w:rPr>
          <w:w w:val="100"/>
        </w:rPr>
        <w:t> </w:t>
      </w:r>
      <w:r>
        <w:rPr/>
        <w:t>公司提供服务的会计期间，根据规定的计提基础和计提比例计算确定相应的职工薪酬金额。</w:t>
      </w:r>
    </w:p>
    <w:p>
      <w:pPr>
        <w:pStyle w:val="BodyText"/>
        <w:spacing w:line="240" w:lineRule="auto"/>
        <w:ind w:left="579" w:right="0"/>
        <w:jc w:val="left"/>
      </w:pPr>
      <w:r>
        <w:rPr/>
        <w:t>职工福利费为非货币性福利的，如能够可靠计量的，按照公允价值计量。</w:t>
      </w:r>
    </w:p>
    <w:p>
      <w:pPr>
        <w:spacing w:line="240" w:lineRule="auto" w:before="0"/>
        <w:rPr>
          <w:rFonts w:ascii="宋体" w:hAnsi="宋体" w:cs="宋体" w:eastAsia="宋体" w:hint="default"/>
          <w:sz w:val="20"/>
          <w:szCs w:val="20"/>
        </w:rPr>
      </w:pPr>
    </w:p>
    <w:p>
      <w:pPr>
        <w:pStyle w:val="Heading3"/>
        <w:spacing w:line="240" w:lineRule="auto" w:before="158"/>
        <w:ind w:left="153" w:right="0"/>
        <w:jc w:val="left"/>
        <w:rPr>
          <w:b w:val="0"/>
          <w:bCs w:val="0"/>
        </w:rPr>
      </w:pPr>
      <w:bookmarkStart w:name="（2）离职后福利的会计处理方法" w:id="200"/>
      <w:bookmarkEnd w:id="20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right="0" w:firstLine="426"/>
        <w:jc w:val="left"/>
      </w:pPr>
      <w:r>
        <w:rPr>
          <w:spacing w:val="-3"/>
          <w:w w:val="100"/>
        </w:rPr>
        <w:t>本公司按当地政府的相关规定为职工缴纳基本养老保险和失业保险，在职工为本公司提供服务的会计期间，</w:t>
      </w:r>
      <w:r>
        <w:rPr>
          <w:w w:val="100"/>
        </w:rPr>
        <w:t> </w:t>
      </w:r>
      <w:r>
        <w:rPr/>
        <w:t>按以当地规定的缴纳基数和比例计算应缴纳金额，确认为负债，并计入当期损益或相关资产成本。</w:t>
      </w:r>
    </w:p>
    <w:p>
      <w:pPr>
        <w:spacing w:line="240" w:lineRule="auto" w:before="0"/>
        <w:rPr>
          <w:rFonts w:ascii="宋体" w:hAnsi="宋体" w:cs="宋体" w:eastAsia="宋体" w:hint="default"/>
          <w:sz w:val="20"/>
          <w:szCs w:val="20"/>
        </w:rPr>
      </w:pPr>
    </w:p>
    <w:p>
      <w:pPr>
        <w:pStyle w:val="Heading3"/>
        <w:spacing w:line="240" w:lineRule="auto"/>
        <w:ind w:left="153" w:right="0"/>
        <w:jc w:val="left"/>
        <w:rPr>
          <w:b w:val="0"/>
          <w:bCs w:val="0"/>
        </w:rPr>
      </w:pPr>
      <w:bookmarkStart w:name="（3）辞退福利的会计处理方法" w:id="201"/>
      <w:bookmarkEnd w:id="20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right="0" w:firstLine="426"/>
        <w:jc w:val="left"/>
      </w:pPr>
      <w:r>
        <w:rPr>
          <w:spacing w:val="-1"/>
        </w:rPr>
        <w:t>本公司在不能单方面撤回因解除劳动关系计划或裁减建议所提供的辞退福利时，或确认与涉及支付辞退福</w:t>
      </w:r>
      <w:r>
        <w:rPr>
          <w:w w:val="100"/>
        </w:rPr>
        <w:t> </w:t>
      </w:r>
      <w:r>
        <w:rPr/>
        <w:t>利的重组相关的成本或费用时（两者孰早），确认辞退福利产生的职工薪酬负债，并计入当期损益。</w:t>
      </w:r>
    </w:p>
    <w:p>
      <w:pPr>
        <w:spacing w:line="240" w:lineRule="auto" w:before="0"/>
        <w:rPr>
          <w:rFonts w:ascii="宋体" w:hAnsi="宋体" w:cs="宋体" w:eastAsia="宋体" w:hint="default"/>
          <w:sz w:val="20"/>
          <w:szCs w:val="20"/>
        </w:rPr>
      </w:pPr>
    </w:p>
    <w:p>
      <w:pPr>
        <w:pStyle w:val="Heading3"/>
        <w:spacing w:line="240" w:lineRule="auto"/>
        <w:ind w:left="153" w:right="0"/>
        <w:jc w:val="left"/>
        <w:rPr>
          <w:b w:val="0"/>
          <w:bCs w:val="0"/>
        </w:rPr>
      </w:pPr>
      <w:bookmarkStart w:name="22、预计负债" w:id="202"/>
      <w:bookmarkEnd w:id="202"/>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left="579" w:right="0"/>
        <w:jc w:val="left"/>
      </w:pPr>
      <w:r>
        <w:rPr/>
        <w:t>（</w:t>
      </w:r>
      <w:r>
        <w:rPr>
          <w:rFonts w:ascii="宋体" w:hAnsi="宋体" w:cs="宋体" w:eastAsia="宋体" w:hint="default"/>
        </w:rPr>
        <w:t>1</w:t>
      </w:r>
      <w:r>
        <w:rPr/>
        <w:t>）预计负债的确认标准</w:t>
      </w:r>
      <w:r>
        <w:rPr>
          <w:w w:val="100"/>
        </w:rPr>
        <w:t> </w:t>
      </w:r>
      <w:r>
        <w:rPr>
          <w:spacing w:val="-1"/>
        </w:rPr>
        <w:t>与诉讼、债务担保、亏损合同、重组事项等或有事项相关的义务同时满足下列条件时，本公司确认为预计</w:t>
      </w:r>
    </w:p>
    <w:p>
      <w:pPr>
        <w:pStyle w:val="BodyText"/>
        <w:spacing w:line="240" w:lineRule="auto"/>
        <w:ind w:right="0"/>
        <w:jc w:val="left"/>
      </w:pPr>
      <w:r>
        <w:rPr/>
        <w:t>负债：</w:t>
      </w:r>
    </w:p>
    <w:p>
      <w:pPr>
        <w:spacing w:line="240" w:lineRule="auto" w:before="10"/>
        <w:rPr>
          <w:rFonts w:ascii="宋体" w:hAnsi="宋体" w:cs="宋体" w:eastAsia="宋体" w:hint="default"/>
          <w:sz w:val="15"/>
          <w:szCs w:val="15"/>
        </w:rPr>
      </w:pPr>
    </w:p>
    <w:p>
      <w:pPr>
        <w:pStyle w:val="BodyText"/>
        <w:spacing w:line="240" w:lineRule="auto" w:before="0"/>
        <w:ind w:left="579" w:right="0"/>
        <w:jc w:val="left"/>
      </w:pPr>
      <w:r>
        <w:rPr/>
        <w:t>①该义务是本公司承担的现时义务；</w:t>
      </w:r>
    </w:p>
    <w:p>
      <w:pPr>
        <w:spacing w:line="240" w:lineRule="auto" w:before="10"/>
        <w:rPr>
          <w:rFonts w:ascii="宋体" w:hAnsi="宋体" w:cs="宋体" w:eastAsia="宋体" w:hint="default"/>
          <w:sz w:val="15"/>
          <w:szCs w:val="15"/>
        </w:rPr>
      </w:pPr>
    </w:p>
    <w:p>
      <w:pPr>
        <w:pStyle w:val="BodyText"/>
        <w:spacing w:line="240" w:lineRule="auto" w:before="0"/>
        <w:ind w:left="579" w:right="0"/>
        <w:jc w:val="left"/>
      </w:pPr>
      <w:r>
        <w:rPr/>
        <w:t>②履行该义务很可能导致经济利益流出本公司；</w:t>
      </w:r>
    </w:p>
    <w:p>
      <w:pPr>
        <w:spacing w:line="240" w:lineRule="auto" w:before="10"/>
        <w:rPr>
          <w:rFonts w:ascii="宋体" w:hAnsi="宋体" w:cs="宋体" w:eastAsia="宋体" w:hint="default"/>
          <w:sz w:val="15"/>
          <w:szCs w:val="15"/>
        </w:rPr>
      </w:pPr>
    </w:p>
    <w:p>
      <w:pPr>
        <w:pStyle w:val="BodyText"/>
        <w:spacing w:line="240" w:lineRule="auto" w:before="0"/>
        <w:ind w:left="579" w:right="0"/>
        <w:jc w:val="left"/>
      </w:pPr>
      <w:r>
        <w:rPr/>
        <w:t>③该义务的金额能够可靠地计量。</w:t>
      </w:r>
    </w:p>
    <w:p>
      <w:pPr>
        <w:spacing w:line="240" w:lineRule="auto" w:before="10"/>
        <w:rPr>
          <w:rFonts w:ascii="宋体" w:hAnsi="宋体" w:cs="宋体" w:eastAsia="宋体" w:hint="default"/>
          <w:sz w:val="15"/>
          <w:szCs w:val="15"/>
        </w:rPr>
      </w:pPr>
    </w:p>
    <w:p>
      <w:pPr>
        <w:pStyle w:val="BodyText"/>
        <w:spacing w:line="429" w:lineRule="auto" w:before="0"/>
        <w:ind w:left="579" w:right="1118"/>
        <w:jc w:val="left"/>
      </w:pPr>
      <w:r>
        <w:rPr/>
        <w:t>（</w:t>
      </w:r>
      <w:r>
        <w:rPr>
          <w:rFonts w:ascii="宋体" w:hAnsi="宋体" w:cs="宋体" w:eastAsia="宋体" w:hint="default"/>
        </w:rPr>
        <w:t>2</w:t>
      </w:r>
      <w:r>
        <w:rPr/>
        <w:t>）各类预计负债的计量方法</w:t>
      </w:r>
      <w:r>
        <w:rPr>
          <w:w w:val="100"/>
        </w:rPr>
        <w:t> </w:t>
      </w:r>
      <w:r>
        <w:rPr/>
        <w:t>本公司预计负债按履行相关现时义务所需的支出的最佳估计数进行初始计量。</w:t>
      </w:r>
      <w:r>
        <w:rPr>
          <w:w w:val="100"/>
        </w:rPr>
        <w:t> </w:t>
      </w:r>
      <w:r>
        <w:rPr>
          <w:spacing w:val="-1"/>
        </w:rPr>
        <w:t>本公司在确定最佳估计数时，综合考虑与或有事项有关的风险、不确定性和货币时间价值等因素。对于货</w:t>
      </w:r>
    </w:p>
    <w:p>
      <w:pPr>
        <w:pStyle w:val="BodyText"/>
        <w:spacing w:line="429" w:lineRule="auto"/>
        <w:ind w:left="579" w:right="1118" w:hanging="426"/>
        <w:jc w:val="left"/>
      </w:pPr>
      <w:r>
        <w:rPr/>
        <w:t>币时间价值影响重大的，通过对相关未来现金流出进行折现后确定最佳估计数。</w:t>
      </w:r>
      <w:r>
        <w:rPr>
          <w:w w:val="100"/>
        </w:rPr>
        <w:t> </w:t>
      </w:r>
      <w:r>
        <w:rPr/>
        <w:t>最佳估计数分别以下情况处理：</w:t>
      </w:r>
      <w:r>
        <w:rPr>
          <w:w w:val="100"/>
        </w:rPr>
        <w:t> </w:t>
      </w:r>
      <w:r>
        <w:rPr>
          <w:spacing w:val="-1"/>
        </w:rPr>
        <w:t>所需支出存在一个连续范围（或区间），且该范围内各种结果发生的可能性相同的，则最佳估计数按照该</w:t>
      </w:r>
    </w:p>
    <w:p>
      <w:pPr>
        <w:pStyle w:val="BodyText"/>
        <w:spacing w:line="429" w:lineRule="auto"/>
        <w:ind w:left="580" w:right="0" w:hanging="426"/>
        <w:jc w:val="left"/>
      </w:pPr>
      <w:r>
        <w:rPr/>
        <w:t>范围的中间值即上下限金额的平均数确定。</w:t>
      </w:r>
      <w:r>
        <w:rPr>
          <w:w w:val="100"/>
        </w:rPr>
        <w:t> </w:t>
      </w:r>
      <w:r>
        <w:rPr>
          <w:spacing w:val="-1"/>
        </w:rPr>
        <w:t>所需支出不存在一个连续范围（或区间），或虽然存在一个连续范围但该范围内各种结果发生的可能性不</w:t>
      </w:r>
    </w:p>
    <w:p>
      <w:pPr>
        <w:pStyle w:val="BodyText"/>
        <w:spacing w:line="429" w:lineRule="auto"/>
        <w:ind w:left="154" w:right="0"/>
        <w:jc w:val="left"/>
      </w:pPr>
      <w:r>
        <w:rPr>
          <w:spacing w:val="-1"/>
        </w:rPr>
        <w:t>相同的，如或有事项涉及单个项目的，则最佳估计数按照最可能发生金额确定；如或有事项涉及多个项目的，</w:t>
      </w:r>
      <w:r>
        <w:rPr>
          <w:spacing w:val="-63"/>
        </w:rPr>
        <w:t> </w:t>
      </w:r>
      <w:r>
        <w:rPr>
          <w:spacing w:val="-63"/>
        </w:rPr>
      </w:r>
      <w:r>
        <w:rPr/>
        <w:t>则最佳估计数按各种可能结果及相关概率计算确定。</w:t>
      </w:r>
    </w:p>
    <w:p>
      <w:pPr>
        <w:spacing w:after="0" w:line="42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before="0"/>
        <w:ind w:right="1142" w:firstLine="426"/>
        <w:jc w:val="both"/>
      </w:pPr>
      <w:r>
        <w:rPr>
          <w:spacing w:val="-1"/>
        </w:rPr>
        <w:t>本公司清偿预计负债所需支出全部或部分预期由第三方补偿的，补偿金额在基本确定能够收到时，作为资</w:t>
      </w:r>
      <w:r>
        <w:rPr>
          <w:w w:val="100"/>
        </w:rPr>
        <w:t> </w:t>
      </w:r>
      <w:r>
        <w:rPr/>
        <w:t>产单独确认，确认的补偿金额不超过预计负债的账面价值。</w:t>
      </w:r>
    </w:p>
    <w:p>
      <w:pPr>
        <w:spacing w:line="240" w:lineRule="auto" w:before="1"/>
        <w:rPr>
          <w:rFonts w:ascii="宋体" w:hAnsi="宋体" w:cs="宋体" w:eastAsia="宋体" w:hint="default"/>
          <w:sz w:val="20"/>
          <w:szCs w:val="20"/>
        </w:rPr>
      </w:pPr>
    </w:p>
    <w:p>
      <w:pPr>
        <w:pStyle w:val="Heading3"/>
        <w:spacing w:line="240" w:lineRule="auto"/>
        <w:ind w:left="153" w:right="0"/>
        <w:jc w:val="left"/>
        <w:rPr>
          <w:b w:val="0"/>
          <w:bCs w:val="0"/>
        </w:rPr>
      </w:pPr>
      <w:bookmarkStart w:name="23、股份支付" w:id="203"/>
      <w:bookmarkEnd w:id="203"/>
      <w:r>
        <w:rPr>
          <w:b w:val="0"/>
          <w:bCs w:val="0"/>
        </w:rPr>
      </w:r>
      <w:r>
        <w:rPr>
          <w:rFonts w:ascii="Times New Roman" w:hAnsi="Times New Roman" w:cs="Times New Roman" w:eastAsia="Times New Roman" w:hint="default"/>
        </w:rPr>
        <w:t>23</w:t>
      </w:r>
      <w:r>
        <w:rPr/>
        <w:t>、股份支付</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left="154" w:right="1142" w:firstLine="426"/>
        <w:jc w:val="both"/>
      </w:pPr>
      <w:r>
        <w:rPr>
          <w:spacing w:val="-1"/>
        </w:rPr>
        <w:t>本公司的股份支付是为了获取职工</w:t>
      </w:r>
      <w:r>
        <w:rPr>
          <w:rFonts w:ascii="宋体" w:hAnsi="宋体" w:cs="宋体" w:eastAsia="宋体" w:hint="default"/>
          <w:spacing w:val="-1"/>
        </w:rPr>
        <w:t>[</w:t>
      </w:r>
      <w:r>
        <w:rPr>
          <w:spacing w:val="-1"/>
        </w:rPr>
        <w:t>或其他方</w:t>
      </w:r>
      <w:r>
        <w:rPr>
          <w:rFonts w:ascii="宋体" w:hAnsi="宋体" w:cs="宋体" w:eastAsia="宋体" w:hint="default"/>
          <w:spacing w:val="-1"/>
        </w:rPr>
        <w:t>]</w:t>
      </w:r>
      <w:r>
        <w:rPr>
          <w:spacing w:val="-1"/>
        </w:rPr>
        <w:t>提供服务而授予权益工具或者承担以权益工具为基础确定的</w:t>
      </w:r>
      <w:r>
        <w:rPr>
          <w:w w:val="100"/>
        </w:rPr>
        <w:t> </w:t>
      </w:r>
      <w:r>
        <w:rPr/>
        <w:t>负债的交易。本公司的股份支付分为以权益结算的股份支付。</w:t>
      </w:r>
    </w:p>
    <w:p>
      <w:pPr>
        <w:pStyle w:val="BodyText"/>
        <w:spacing w:line="429" w:lineRule="auto"/>
        <w:ind w:left="154" w:right="1142" w:firstLine="426"/>
        <w:jc w:val="both"/>
      </w:pPr>
      <w:r>
        <w:rPr>
          <w:spacing w:val="-1"/>
        </w:rPr>
        <w:t>以权益结算的股份支付换取职工提供服务的，以授予职工权益工具的公允价值计量。本公司以限制性股票</w:t>
      </w:r>
      <w:r>
        <w:rPr>
          <w:w w:val="100"/>
        </w:rPr>
        <w:t> </w:t>
      </w:r>
      <w:r>
        <w:rPr>
          <w:spacing w:val="-1"/>
        </w:rPr>
        <w:t>进行股份支付的，职工出资认购股票，股票在达到解锁条件并解锁前不得上市流通或转让；如果最终股权激励</w:t>
      </w:r>
      <w:r>
        <w:rPr>
          <w:spacing w:val="-63"/>
        </w:rPr>
        <w:t> </w:t>
      </w:r>
      <w:r>
        <w:rPr>
          <w:spacing w:val="-63"/>
        </w:rPr>
      </w:r>
      <w:r>
        <w:rPr>
          <w:spacing w:val="-1"/>
        </w:rPr>
        <w:t>计划规定的解锁条件未能达到，则本公司按照事先约定的价格回购股票。本公司取得职工认购限制性股票支付</w:t>
      </w:r>
      <w:r>
        <w:rPr>
          <w:spacing w:val="-63"/>
        </w:rPr>
        <w:t> </w:t>
      </w:r>
      <w:r>
        <w:rPr>
          <w:spacing w:val="-63"/>
        </w:rPr>
      </w:r>
      <w:r>
        <w:rPr>
          <w:spacing w:val="-1"/>
        </w:rPr>
        <w:t>的款项时，按照取得的认股款确认股本和资本公积（股本溢价），同时就回购义务全额确认一项负债并确认库</w:t>
      </w:r>
      <w:r>
        <w:rPr>
          <w:spacing w:val="-63"/>
        </w:rPr>
        <w:t> </w:t>
      </w:r>
      <w:r>
        <w:rPr>
          <w:spacing w:val="-63"/>
        </w:rPr>
      </w:r>
      <w:r>
        <w:rPr/>
        <w:t>存股。在等待期内每个资产负债表日，本公司根据最新取得的可行权职工人数变动、是否达到规定业绩条件等</w:t>
      </w:r>
      <w:r>
        <w:rPr>
          <w:w w:val="100"/>
        </w:rPr>
        <w:t> </w:t>
      </w:r>
      <w:r>
        <w:rPr>
          <w:spacing w:val="-1"/>
        </w:rPr>
        <w:t>后续信息对可行权权益工具数量作出最佳估计，以此为基础，按照授予日的公允价值，将当期取得的服务计入</w:t>
      </w:r>
      <w:r>
        <w:rPr>
          <w:spacing w:val="-63"/>
        </w:rPr>
        <w:t> </w:t>
      </w:r>
      <w:r>
        <w:rPr>
          <w:spacing w:val="-63"/>
        </w:rPr>
      </w:r>
      <w:r>
        <w:rPr>
          <w:spacing w:val="-1"/>
        </w:rPr>
        <w:t>相关成本或费用，相应增加资本公积。在可行权日之后不再对已确认的相关成本或费用和所有者权益总额进行</w:t>
      </w:r>
      <w:r>
        <w:rPr>
          <w:spacing w:val="-63"/>
        </w:rPr>
        <w:t> </w:t>
      </w:r>
      <w:r>
        <w:rPr>
          <w:spacing w:val="-63"/>
        </w:rPr>
      </w:r>
      <w:r>
        <w:rPr/>
        <w:t>调整。但授予后立即可行权的，在授予日按照公允价值计入相关成本或费用，相应增加资本公积。</w:t>
      </w:r>
    </w:p>
    <w:p>
      <w:pPr>
        <w:pStyle w:val="BodyText"/>
        <w:spacing w:line="429" w:lineRule="auto"/>
        <w:ind w:left="154" w:right="1142" w:firstLine="426"/>
        <w:jc w:val="both"/>
      </w:pPr>
      <w:r>
        <w:rPr>
          <w:spacing w:val="-1"/>
        </w:rPr>
        <w:t>对于最终未能行权的股份支付，不确认成本或费用，除非行权条件是市场条件或非可行权条件，此时无论</w:t>
      </w:r>
      <w:r>
        <w:rPr>
          <w:w w:val="100"/>
        </w:rPr>
        <w:t> </w:t>
      </w:r>
      <w:r>
        <w:rPr/>
        <w:t>是否满足市场条件或非可行权条件，只要满足所有可行权条件中的非市场条件，即视为可行权。</w:t>
      </w:r>
    </w:p>
    <w:p>
      <w:pPr>
        <w:pStyle w:val="BodyText"/>
        <w:spacing w:line="429" w:lineRule="auto"/>
        <w:ind w:left="154" w:right="1142" w:firstLine="426"/>
        <w:jc w:val="both"/>
      </w:pPr>
      <w:r>
        <w:rPr>
          <w:spacing w:val="-1"/>
        </w:rPr>
        <w:t>如果修改了以权益结算的股份支付的条款，至少按照未修改条款的情况确认取得的服务。此外，任何增加</w:t>
      </w:r>
      <w:r>
        <w:rPr>
          <w:w w:val="100"/>
        </w:rPr>
        <w:t> </w:t>
      </w:r>
      <w:r>
        <w:rPr/>
        <w:t>所授予权益工具公允价值的修改，或在修改日对职工有利的变更，均确认取得服务的增加。</w:t>
      </w:r>
    </w:p>
    <w:p>
      <w:pPr>
        <w:pStyle w:val="BodyText"/>
        <w:spacing w:line="429" w:lineRule="auto"/>
        <w:ind w:left="154" w:right="1142" w:firstLine="426"/>
        <w:jc w:val="both"/>
      </w:pPr>
      <w:r>
        <w:rPr>
          <w:spacing w:val="-1"/>
        </w:rPr>
        <w:t>如果取消了以权益结算的股份支付，则于取消日作为加速行权处理，立即确认尚未确认的金额。职工或其</w:t>
      </w:r>
      <w:r>
        <w:rPr>
          <w:w w:val="100"/>
        </w:rPr>
        <w:t> </w:t>
      </w:r>
      <w:r>
        <w:rPr>
          <w:spacing w:val="-1"/>
        </w:rPr>
        <w:t>他方能够选择满足非可行权条件但在等待期内未满足的，作为取消以权益结算的股份支付处理。但是，如果授</w:t>
      </w:r>
      <w:r>
        <w:rPr>
          <w:spacing w:val="-63"/>
        </w:rPr>
        <w:t> </w:t>
      </w:r>
      <w:r>
        <w:rPr>
          <w:spacing w:val="-63"/>
        </w:rPr>
      </w:r>
      <w:r>
        <w:rPr>
          <w:spacing w:val="-1"/>
        </w:rPr>
        <w:t>予新的权益工具，并在新权益工具授予日认定所授予的新权益工具是用于替代被取消的权益工具的，则以与处</w:t>
      </w:r>
      <w:r>
        <w:rPr>
          <w:spacing w:val="-63"/>
        </w:rPr>
        <w:t> </w:t>
      </w:r>
      <w:r>
        <w:rPr>
          <w:spacing w:val="-63"/>
        </w:rPr>
      </w:r>
      <w:r>
        <w:rPr/>
        <w:t>理原权益工具条款和条件修改相同的方式，对所授予的替代权益工具进行处理。</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24、收入" w:id="204"/>
      <w:bookmarkEnd w:id="204"/>
      <w:r>
        <w:rPr>
          <w:b w:val="0"/>
          <w:bCs w:val="0"/>
        </w:rPr>
      </w:r>
      <w:r>
        <w:rPr>
          <w:rFonts w:ascii="Times New Roman" w:hAnsi="Times New Roman" w:cs="Times New Roman" w:eastAsia="Times New Roman" w:hint="default"/>
        </w:rPr>
        <w:t>24</w:t>
      </w:r>
      <w:r>
        <w:rPr/>
        <w:t>、收入</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89"/>
        <w:ind w:left="580" w:right="0"/>
        <w:jc w:val="left"/>
      </w:pPr>
      <w:r>
        <w:rPr>
          <w:rFonts w:ascii="宋体" w:hAnsi="宋体" w:cs="宋体" w:eastAsia="宋体" w:hint="default"/>
        </w:rPr>
        <w:t>(1)</w:t>
      </w:r>
      <w:r>
        <w:rPr/>
        <w:t>销售商品收入确认和计量的原则</w:t>
      </w:r>
    </w:p>
    <w:p>
      <w:pPr>
        <w:spacing w:line="240" w:lineRule="auto" w:before="10"/>
        <w:rPr>
          <w:rFonts w:ascii="宋体" w:hAnsi="宋体" w:cs="宋体" w:eastAsia="宋体" w:hint="default"/>
          <w:sz w:val="15"/>
          <w:szCs w:val="15"/>
        </w:rPr>
      </w:pPr>
    </w:p>
    <w:p>
      <w:pPr>
        <w:pStyle w:val="BodyText"/>
        <w:spacing w:line="240" w:lineRule="auto" w:before="0"/>
        <w:ind w:left="580" w:right="0"/>
        <w:jc w:val="left"/>
      </w:pPr>
      <w:r>
        <w:rPr/>
        <w:t>①本公司已将商品所有权上的主要风险和报酬转移给购货方；</w:t>
      </w:r>
    </w:p>
    <w:p>
      <w:pPr>
        <w:spacing w:line="240" w:lineRule="auto" w:before="10"/>
        <w:rPr>
          <w:rFonts w:ascii="宋体" w:hAnsi="宋体" w:cs="宋体" w:eastAsia="宋体" w:hint="default"/>
          <w:sz w:val="15"/>
          <w:szCs w:val="15"/>
        </w:rPr>
      </w:pPr>
    </w:p>
    <w:p>
      <w:pPr>
        <w:pStyle w:val="BodyText"/>
        <w:spacing w:line="240" w:lineRule="auto" w:before="0"/>
        <w:ind w:left="580" w:right="0"/>
        <w:jc w:val="left"/>
      </w:pPr>
      <w:r>
        <w:rPr/>
        <w:t>②本公司既没有保留通常与所有权相联系的继续管理权，也没有对已售出的商品实施有效控制；</w:t>
      </w:r>
    </w:p>
    <w:p>
      <w:pPr>
        <w:spacing w:line="240" w:lineRule="auto" w:before="10"/>
        <w:rPr>
          <w:rFonts w:ascii="宋体" w:hAnsi="宋体" w:cs="宋体" w:eastAsia="宋体" w:hint="default"/>
          <w:sz w:val="15"/>
          <w:szCs w:val="15"/>
        </w:rPr>
      </w:pPr>
    </w:p>
    <w:p>
      <w:pPr>
        <w:pStyle w:val="BodyText"/>
        <w:spacing w:line="240" w:lineRule="auto" w:before="0"/>
        <w:ind w:left="580" w:right="0"/>
        <w:jc w:val="left"/>
      </w:pPr>
      <w:r>
        <w:rPr/>
        <w:t>③收入的金额能够可靠地计量；</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0"/>
        <w:ind w:left="579" w:right="0"/>
        <w:jc w:val="left"/>
      </w:pPr>
      <w:r>
        <w:rPr/>
        <w:t>④相关的经济利益很可能流入本公司；</w:t>
      </w:r>
    </w:p>
    <w:p>
      <w:pPr>
        <w:spacing w:line="240" w:lineRule="auto" w:before="10"/>
        <w:rPr>
          <w:rFonts w:ascii="宋体" w:hAnsi="宋体" w:cs="宋体" w:eastAsia="宋体" w:hint="default"/>
          <w:sz w:val="15"/>
          <w:szCs w:val="15"/>
        </w:rPr>
      </w:pPr>
    </w:p>
    <w:p>
      <w:pPr>
        <w:pStyle w:val="BodyText"/>
        <w:spacing w:line="429" w:lineRule="auto" w:before="0"/>
        <w:ind w:left="579" w:right="2809"/>
        <w:jc w:val="left"/>
      </w:pPr>
      <w:r>
        <w:rPr>
          <w:spacing w:val="-1"/>
        </w:rPr>
        <w:t>⑤相关的、已发生或将发生的成本能够可靠地计量。</w:t>
      </w:r>
      <w:r>
        <w:rPr>
          <w:spacing w:val="-82"/>
        </w:rPr>
        <w:t> </w:t>
      </w:r>
      <w:r>
        <w:rPr>
          <w:spacing w:val="-82"/>
        </w:rPr>
      </w:r>
      <w:r>
        <w:rPr>
          <w:rFonts w:ascii="宋体" w:hAnsi="宋体" w:cs="宋体" w:eastAsia="宋体" w:hint="default"/>
        </w:rPr>
        <w:t>(2)</w:t>
      </w:r>
      <w:r>
        <w:rPr/>
        <w:t>确认让渡资产使用权收入确认和计量的原则</w:t>
      </w:r>
    </w:p>
    <w:p>
      <w:pPr>
        <w:pStyle w:val="BodyText"/>
        <w:spacing w:line="429" w:lineRule="auto"/>
        <w:ind w:right="1118" w:firstLine="426"/>
        <w:jc w:val="left"/>
      </w:pPr>
      <w:r>
        <w:rPr>
          <w:spacing w:val="-1"/>
        </w:rPr>
        <w:t>与交易相关的经济利益很可能流入企业，收入的金额能够可靠地计量时。分别下列情况确定让渡资产使用</w:t>
      </w:r>
      <w:r>
        <w:rPr>
          <w:w w:val="100"/>
        </w:rPr>
        <w:t> </w:t>
      </w:r>
      <w:r>
        <w:rPr/>
        <w:t>权收入金额：</w:t>
      </w:r>
    </w:p>
    <w:p>
      <w:pPr>
        <w:pStyle w:val="BodyText"/>
        <w:spacing w:line="240" w:lineRule="auto"/>
        <w:ind w:left="579" w:right="0"/>
        <w:jc w:val="left"/>
      </w:pPr>
      <w:r>
        <w:rPr/>
        <w:t>①利息收入金额，按照他人使用本企业货币资金的时间和实际利率计算确定。</w:t>
      </w:r>
    </w:p>
    <w:p>
      <w:pPr>
        <w:spacing w:line="240" w:lineRule="auto" w:before="10"/>
        <w:rPr>
          <w:rFonts w:ascii="宋体" w:hAnsi="宋体" w:cs="宋体" w:eastAsia="宋体" w:hint="default"/>
          <w:sz w:val="15"/>
          <w:szCs w:val="15"/>
        </w:rPr>
      </w:pPr>
    </w:p>
    <w:p>
      <w:pPr>
        <w:pStyle w:val="BodyText"/>
        <w:spacing w:line="429" w:lineRule="auto" w:before="0"/>
        <w:ind w:left="579" w:right="0"/>
        <w:jc w:val="left"/>
      </w:pPr>
      <w:r>
        <w:rPr/>
        <w:t>②使用费收入金额，按照有关合同或协议约定的收费时间和方法计算确定。</w:t>
      </w:r>
      <w:r>
        <w:rPr>
          <w:w w:val="100"/>
        </w:rPr>
        <w:t> </w:t>
      </w:r>
      <w:r>
        <w:rPr>
          <w:rFonts w:ascii="宋体" w:hAnsi="宋体" w:cs="宋体" w:eastAsia="宋体" w:hint="default"/>
        </w:rPr>
        <w:t>(3)</w:t>
      </w:r>
      <w:r>
        <w:rPr/>
        <w:t>按完工百分比法确认提供劳务的收入和建造合同收入的确认和计量的原则</w:t>
      </w:r>
      <w:r>
        <w:rPr>
          <w:w w:val="100"/>
        </w:rPr>
        <w:t> </w:t>
      </w:r>
      <w:r>
        <w:rPr>
          <w:spacing w:val="-1"/>
        </w:rPr>
        <w:t>在资产负债表日提供劳务交易的结果能够可靠估计的，采用完工百分比法确认提供劳务收入。提供劳务交</w:t>
      </w:r>
    </w:p>
    <w:p>
      <w:pPr>
        <w:pStyle w:val="BodyText"/>
        <w:spacing w:line="429" w:lineRule="auto"/>
        <w:ind w:left="579" w:right="0" w:hanging="426"/>
        <w:jc w:val="left"/>
      </w:pPr>
      <w:r>
        <w:rPr/>
        <w:t>易的完工进度，依据已完工作的测量确定。</w:t>
      </w:r>
      <w:r>
        <w:rPr>
          <w:w w:val="100"/>
        </w:rPr>
        <w:t> </w:t>
      </w:r>
      <w:r>
        <w:rPr>
          <w:spacing w:val="-3"/>
          <w:w w:val="100"/>
        </w:rPr>
        <w:t>按照已收或应收的合同或协议价款确定提供劳务收入总额，但已收或应收的合同或协议价款不公允的除外。</w:t>
      </w:r>
    </w:p>
    <w:p>
      <w:pPr>
        <w:pStyle w:val="BodyText"/>
        <w:spacing w:line="429" w:lineRule="auto"/>
        <w:ind w:right="1168"/>
        <w:jc w:val="both"/>
      </w:pPr>
      <w:r>
        <w:rPr>
          <w:spacing w:val="-1"/>
        </w:rPr>
        <w:t>资产负债表日按照提供劳务收入总额乘以完工进度扣除以前会计期间累计已确认提供劳务收入后的金额，确认</w:t>
      </w:r>
      <w:r>
        <w:rPr>
          <w:spacing w:val="-63"/>
        </w:rPr>
        <w:t> </w:t>
      </w:r>
      <w:r>
        <w:rPr>
          <w:spacing w:val="-63"/>
        </w:rPr>
      </w:r>
      <w:r>
        <w:rPr>
          <w:spacing w:val="-1"/>
        </w:rPr>
        <w:t>当期提供劳务收入；同时，按照提供劳务估计总成本乘以完工进度扣除以前会计期间累计已确认劳务成本后的</w:t>
      </w:r>
      <w:r>
        <w:rPr>
          <w:spacing w:val="-62"/>
        </w:rPr>
        <w:t> </w:t>
      </w:r>
      <w:r>
        <w:rPr>
          <w:spacing w:val="-62"/>
        </w:rPr>
      </w:r>
      <w:r>
        <w:rPr/>
        <w:t>金额，结转当期劳务成本。</w:t>
      </w:r>
    </w:p>
    <w:p>
      <w:pPr>
        <w:pStyle w:val="BodyText"/>
        <w:spacing w:line="240" w:lineRule="auto"/>
        <w:ind w:left="579" w:right="0"/>
        <w:jc w:val="left"/>
      </w:pPr>
      <w:r>
        <w:rPr/>
        <w:t>在资产负债表日提供劳务交易结果不能够可靠估计的，分别下列情况处理：</w:t>
      </w:r>
    </w:p>
    <w:p>
      <w:pPr>
        <w:spacing w:line="240" w:lineRule="auto" w:before="10"/>
        <w:rPr>
          <w:rFonts w:ascii="宋体" w:hAnsi="宋体" w:cs="宋体" w:eastAsia="宋体" w:hint="default"/>
          <w:sz w:val="15"/>
          <w:szCs w:val="15"/>
        </w:rPr>
      </w:pPr>
    </w:p>
    <w:p>
      <w:pPr>
        <w:pStyle w:val="BodyText"/>
        <w:spacing w:line="429" w:lineRule="auto" w:before="0"/>
        <w:ind w:right="0" w:firstLine="426"/>
        <w:jc w:val="left"/>
      </w:pPr>
      <w:r>
        <w:rPr>
          <w:spacing w:val="-1"/>
        </w:rPr>
        <w:t>①已经发生的劳务成本预计能够得到补偿的，按照已经发生的劳务成本金额确认提供劳务收入，并按相同</w:t>
      </w:r>
      <w:r>
        <w:rPr>
          <w:w w:val="100"/>
        </w:rPr>
        <w:t> </w:t>
      </w:r>
      <w:r>
        <w:rPr/>
        <w:t>金额结转劳务成本。</w:t>
      </w:r>
    </w:p>
    <w:p>
      <w:pPr>
        <w:pStyle w:val="BodyText"/>
        <w:spacing w:line="240" w:lineRule="auto"/>
        <w:ind w:left="579" w:right="0"/>
        <w:jc w:val="left"/>
      </w:pPr>
      <w:r>
        <w:rPr/>
        <w:t>②已经发生的劳务成本预计不能够得到补偿的，将已经发生的劳务成本计入当期损益，不确认提供劳务收</w:t>
      </w:r>
    </w:p>
    <w:p>
      <w:pPr>
        <w:spacing w:line="240" w:lineRule="auto" w:before="10"/>
        <w:rPr>
          <w:rFonts w:ascii="宋体" w:hAnsi="宋体" w:cs="宋体" w:eastAsia="宋体" w:hint="default"/>
          <w:sz w:val="15"/>
          <w:szCs w:val="15"/>
        </w:rPr>
      </w:pPr>
    </w:p>
    <w:p>
      <w:pPr>
        <w:pStyle w:val="BodyText"/>
        <w:spacing w:line="240" w:lineRule="auto" w:before="0"/>
        <w:ind w:right="0"/>
        <w:jc w:val="both"/>
      </w:pPr>
      <w:r>
        <w:rPr/>
        <w:t>入。</w:t>
      </w:r>
    </w:p>
    <w:p>
      <w:pPr>
        <w:spacing w:line="240" w:lineRule="auto" w:before="10"/>
        <w:rPr>
          <w:rFonts w:ascii="宋体" w:hAnsi="宋体" w:cs="宋体" w:eastAsia="宋体" w:hint="default"/>
          <w:sz w:val="15"/>
          <w:szCs w:val="15"/>
        </w:rPr>
      </w:pPr>
    </w:p>
    <w:p>
      <w:pPr>
        <w:pStyle w:val="BodyText"/>
        <w:spacing w:line="429" w:lineRule="auto" w:before="0"/>
        <w:ind w:left="579" w:right="0"/>
        <w:jc w:val="left"/>
      </w:pPr>
      <w:r>
        <w:rPr>
          <w:rFonts w:ascii="宋体" w:hAnsi="宋体" w:cs="宋体" w:eastAsia="宋体" w:hint="default"/>
        </w:rPr>
        <w:t>(4)</w:t>
      </w:r>
      <w:r>
        <w:rPr/>
        <w:t>本公司收入确认的具体原则：</w:t>
      </w:r>
      <w:r>
        <w:rPr>
          <w:w w:val="100"/>
        </w:rPr>
        <w:t> </w:t>
      </w:r>
      <w:r>
        <w:rPr>
          <w:spacing w:val="-1"/>
        </w:rPr>
        <w:t>公司主营业务为应用软件开发、技术服务及相关的计算机信息系统集成服务。包括集成服务、技术服务和</w:t>
      </w:r>
    </w:p>
    <w:p>
      <w:pPr>
        <w:pStyle w:val="BodyText"/>
        <w:spacing w:line="240" w:lineRule="auto"/>
        <w:ind w:right="0"/>
        <w:jc w:val="both"/>
      </w:pPr>
      <w:r>
        <w:rPr/>
        <w:t>软件产品销售，各类业务销售收入确认的具体方法如下：</w:t>
      </w:r>
    </w:p>
    <w:p>
      <w:pPr>
        <w:spacing w:line="240" w:lineRule="auto" w:before="10"/>
        <w:rPr>
          <w:rFonts w:ascii="宋体" w:hAnsi="宋体" w:cs="宋体" w:eastAsia="宋体" w:hint="default"/>
          <w:sz w:val="15"/>
          <w:szCs w:val="15"/>
        </w:rPr>
      </w:pPr>
    </w:p>
    <w:p>
      <w:pPr>
        <w:pStyle w:val="BodyText"/>
        <w:spacing w:line="240" w:lineRule="auto" w:before="0"/>
        <w:ind w:left="579" w:right="0"/>
        <w:jc w:val="left"/>
      </w:pPr>
      <w:r>
        <w:rPr/>
        <w:t>①集成服务收入：按合同约定在产品交付购货方，并经客户验收合格后确认收入。</w:t>
      </w:r>
    </w:p>
    <w:p>
      <w:pPr>
        <w:spacing w:line="240" w:lineRule="auto" w:before="10"/>
        <w:rPr>
          <w:rFonts w:ascii="宋体" w:hAnsi="宋体" w:cs="宋体" w:eastAsia="宋体" w:hint="default"/>
          <w:sz w:val="15"/>
          <w:szCs w:val="15"/>
        </w:rPr>
      </w:pPr>
    </w:p>
    <w:p>
      <w:pPr>
        <w:pStyle w:val="BodyText"/>
        <w:spacing w:line="429" w:lineRule="auto" w:before="0"/>
        <w:ind w:right="0" w:firstLine="426"/>
        <w:jc w:val="left"/>
      </w:pPr>
      <w:r>
        <w:rPr>
          <w:spacing w:val="-1"/>
        </w:rPr>
        <w:t>②技术服务收入：技术咨询、技术服务、技术培训按合同约定提供服务完成并经客户验收合格后，或服务</w:t>
      </w:r>
      <w:r>
        <w:rPr>
          <w:w w:val="100"/>
        </w:rPr>
        <w:t> </w:t>
      </w:r>
      <w:r>
        <w:rPr/>
        <w:t>期满后确认收入。技术开发收入按合同约定开发进度，并经客户阶段验收合格后按进度确认收入。</w:t>
      </w:r>
    </w:p>
    <w:p>
      <w:pPr>
        <w:pStyle w:val="BodyText"/>
        <w:spacing w:line="429" w:lineRule="auto"/>
        <w:ind w:right="0" w:firstLine="426"/>
        <w:jc w:val="left"/>
      </w:pPr>
      <w:r>
        <w:rPr>
          <w:spacing w:val="-1"/>
        </w:rPr>
        <w:t>③软件产品销售收入：按合同约定，需安装调试的，在安装调试完成、投入运行并经客户验收合格后确认</w:t>
      </w:r>
      <w:r>
        <w:rPr>
          <w:w w:val="100"/>
        </w:rPr>
        <w:t> </w:t>
      </w:r>
      <w:r>
        <w:rPr/>
        <w:t>收入；不需安装的，于产品发出且到货验收合格后确认收入。</w:t>
      </w:r>
    </w:p>
    <w:p>
      <w:pPr>
        <w:pStyle w:val="BodyText"/>
        <w:spacing w:line="429" w:lineRule="auto"/>
        <w:ind w:right="0" w:firstLine="426"/>
        <w:jc w:val="left"/>
      </w:pPr>
      <w:r>
        <w:rPr>
          <w:spacing w:val="-1"/>
        </w:rPr>
        <w:t>④自助设备（硬件销售）收入：按合同约定，需开通上线的，在设备开通上线，经客户验收后确认收入；</w:t>
      </w:r>
      <w:r>
        <w:rPr>
          <w:w w:val="100"/>
        </w:rPr>
        <w:t> </w:t>
      </w:r>
      <w:r>
        <w:rPr/>
        <w:t>不需开通上线的，于产品发出且到货验收合格后确认收入。</w:t>
      </w:r>
    </w:p>
    <w:p>
      <w:pPr>
        <w:pStyle w:val="BodyText"/>
        <w:spacing w:line="240" w:lineRule="auto"/>
        <w:ind w:left="579" w:right="0"/>
        <w:jc w:val="left"/>
      </w:pPr>
      <w:r>
        <w:rPr/>
        <w:t>⑤合作运营：在每个运营期，依据合同约定比例以及经确认的交易金额确认收入。</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5、政府补助" w:id="205"/>
      <w:bookmarkEnd w:id="205"/>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206"/>
      <w:bookmarkEnd w:id="206"/>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left="580" w:right="0"/>
        <w:jc w:val="left"/>
      </w:pPr>
      <w:r>
        <w:rPr/>
        <w:t>与资产相关的政府补助，是指本公司取得的、用于购建或以其他方式形成长期资产的政府补助。</w:t>
      </w:r>
      <w:r>
        <w:rPr>
          <w:w w:val="100"/>
        </w:rPr>
        <w:t> </w:t>
      </w:r>
      <w:r>
        <w:rPr>
          <w:spacing w:val="-1"/>
        </w:rPr>
        <w:t>本公司将政府补助划分为与资产相关的具体标准为：企业取得的，用于购建或以其他方式形成长期资产的</w:t>
      </w:r>
    </w:p>
    <w:p>
      <w:pPr>
        <w:pStyle w:val="BodyText"/>
        <w:spacing w:line="240" w:lineRule="auto"/>
        <w:ind w:left="154" w:right="0"/>
        <w:jc w:val="left"/>
      </w:pPr>
      <w:r>
        <w:rPr/>
        <w:t>政府补助；</w:t>
      </w:r>
    </w:p>
    <w:p>
      <w:pPr>
        <w:spacing w:line="240" w:lineRule="auto" w:before="10"/>
        <w:rPr>
          <w:rFonts w:ascii="宋体" w:hAnsi="宋体" w:cs="宋体" w:eastAsia="宋体" w:hint="default"/>
          <w:sz w:val="15"/>
          <w:szCs w:val="15"/>
        </w:rPr>
      </w:pPr>
    </w:p>
    <w:p>
      <w:pPr>
        <w:pStyle w:val="BodyText"/>
        <w:spacing w:line="429" w:lineRule="auto" w:before="0"/>
        <w:ind w:left="580" w:right="0"/>
        <w:jc w:val="left"/>
      </w:pPr>
      <w:r>
        <w:rPr/>
        <w:t>与资产相关的政府补助，以建造或购买的资产达到可使用状态作为确认时点；</w:t>
      </w:r>
      <w:r>
        <w:rPr>
          <w:w w:val="100"/>
        </w:rPr>
        <w:t> </w:t>
      </w:r>
      <w:r>
        <w:rPr>
          <w:spacing w:val="-1"/>
        </w:rPr>
        <w:t>与资产相关的政府补助，冲减相关资产账面价值或确认为递延收益。确认为递延收益的，在相关资产使用</w:t>
      </w:r>
    </w:p>
    <w:p>
      <w:pPr>
        <w:pStyle w:val="BodyText"/>
        <w:spacing w:line="429" w:lineRule="auto"/>
        <w:ind w:left="154" w:right="0"/>
        <w:jc w:val="left"/>
      </w:pPr>
      <w:r>
        <w:rPr>
          <w:spacing w:val="-1"/>
        </w:rPr>
        <w:t>寿命内按照合理、系统的方法分期计入当期损益（与本公司日常活动相关的，计入其他收益；与本公司日常活</w:t>
      </w:r>
      <w:r>
        <w:rPr>
          <w:spacing w:val="-62"/>
        </w:rPr>
        <w:t> </w:t>
      </w:r>
      <w:r>
        <w:rPr>
          <w:spacing w:val="-62"/>
        </w:rPr>
      </w:r>
      <w:r>
        <w:rPr/>
        <w:t>动无关的，计入营业外收入）。</w:t>
      </w:r>
    </w:p>
    <w:p>
      <w:pPr>
        <w:spacing w:line="240" w:lineRule="auto" w:before="0"/>
        <w:rPr>
          <w:rFonts w:ascii="宋体" w:hAnsi="宋体" w:cs="宋体" w:eastAsia="宋体" w:hint="default"/>
          <w:sz w:val="20"/>
          <w:szCs w:val="20"/>
        </w:rPr>
      </w:pPr>
    </w:p>
    <w:p>
      <w:pPr>
        <w:pStyle w:val="Heading3"/>
        <w:spacing w:line="240" w:lineRule="auto"/>
        <w:ind w:left="153" w:right="0"/>
        <w:jc w:val="left"/>
        <w:rPr>
          <w:b w:val="0"/>
          <w:bCs w:val="0"/>
        </w:rPr>
      </w:pPr>
      <w:bookmarkStart w:name="（2）与收益相关的政府补助判断依据及会计处理方法" w:id="207"/>
      <w:bookmarkEnd w:id="207"/>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left="580" w:right="0"/>
        <w:jc w:val="left"/>
      </w:pPr>
      <w:r>
        <w:rPr/>
        <w:t>与收益相关的政府补助，是指除与资产相关的政府补助之外的政府补助。</w:t>
      </w:r>
      <w:r>
        <w:rPr>
          <w:w w:val="100"/>
        </w:rPr>
        <w:t> </w:t>
      </w:r>
      <w:r>
        <w:rPr/>
        <w:t>本公司将政府补助划分为与收益相关的具体标准为：除与资产相关的政府补助之外的政府补助；</w:t>
      </w:r>
      <w:r>
        <w:rPr>
          <w:w w:val="100"/>
        </w:rPr>
        <w:t> </w:t>
      </w:r>
      <w:r>
        <w:rPr>
          <w:spacing w:val="-3"/>
        </w:rPr>
        <w:t>与收益相关的政府补助，用于补偿企业以后期间的相关费用或损失的，如政府补助相关文件规定需要验收，</w:t>
      </w:r>
    </w:p>
    <w:p>
      <w:pPr>
        <w:pStyle w:val="BodyText"/>
        <w:spacing w:line="429" w:lineRule="auto"/>
        <w:ind w:left="154" w:right="0"/>
        <w:jc w:val="left"/>
      </w:pPr>
      <w:r>
        <w:rPr>
          <w:spacing w:val="-1"/>
        </w:rPr>
        <w:t>以验收报告确认的完成时点作为确认时点，未规定是否验收，以确认相关费用的期间作为确认时点；用于补偿</w:t>
      </w:r>
      <w:r>
        <w:rPr>
          <w:spacing w:val="-63"/>
        </w:rPr>
        <w:t> </w:t>
      </w:r>
      <w:r>
        <w:rPr>
          <w:spacing w:val="-63"/>
        </w:rPr>
      </w:r>
      <w:r>
        <w:rPr/>
        <w:t>企业已发生的相关费用或损失的，以实际收到政府补助款项作为确认时点。</w:t>
      </w:r>
    </w:p>
    <w:p>
      <w:pPr>
        <w:pStyle w:val="BodyText"/>
        <w:spacing w:line="429" w:lineRule="auto"/>
        <w:ind w:left="154" w:right="1142" w:firstLine="426"/>
        <w:jc w:val="both"/>
      </w:pPr>
      <w:r>
        <w:rPr>
          <w:spacing w:val="-1"/>
        </w:rPr>
        <w:t>与收益相关的政府补助，用于补偿本公司以后期间的相关成本费用或损失的，确认为递延收益，并在确认</w:t>
      </w:r>
      <w:r>
        <w:rPr>
          <w:w w:val="100"/>
        </w:rPr>
        <w:t> </w:t>
      </w:r>
      <w:r>
        <w:rPr>
          <w:spacing w:val="-1"/>
        </w:rPr>
        <w:t>相关成本费用或损失的期间，计入当期损益（与本公司日常活动相关的，计入其他收益；与本公司日常活动无</w:t>
      </w:r>
      <w:r>
        <w:rPr>
          <w:spacing w:val="-63"/>
        </w:rPr>
        <w:t> </w:t>
      </w:r>
      <w:r>
        <w:rPr>
          <w:spacing w:val="-63"/>
        </w:rPr>
      </w:r>
      <w:r>
        <w:rPr>
          <w:spacing w:val="-1"/>
        </w:rPr>
        <w:t>关的，计入营业外收入）或冲减相关成本费用或损失；用于补偿本公司已发生的相关成本费用或损失的，直接</w:t>
      </w:r>
      <w:r>
        <w:rPr>
          <w:spacing w:val="-63"/>
        </w:rPr>
        <w:t> </w:t>
      </w:r>
      <w:r>
        <w:rPr>
          <w:spacing w:val="-63"/>
        </w:rPr>
      </w:r>
      <w:r>
        <w:rPr/>
        <w:t>计入当期损益（与本公司日常活动相关的，计入其他收益；与本公司日常活动无关的，计入营业外收入）或冲</w:t>
      </w:r>
      <w:r>
        <w:rPr>
          <w:w w:val="100"/>
        </w:rPr>
        <w:t> </w:t>
      </w:r>
      <w:r>
        <w:rPr/>
        <w:t>减相关成本费用或损失。</w:t>
      </w:r>
    </w:p>
    <w:p>
      <w:pPr>
        <w:spacing w:line="240" w:lineRule="auto" w:before="0"/>
        <w:rPr>
          <w:rFonts w:ascii="宋体" w:hAnsi="宋体" w:cs="宋体" w:eastAsia="宋体" w:hint="default"/>
          <w:sz w:val="20"/>
          <w:szCs w:val="20"/>
        </w:rPr>
      </w:pPr>
    </w:p>
    <w:p>
      <w:pPr>
        <w:pStyle w:val="Heading3"/>
        <w:spacing w:line="240" w:lineRule="auto"/>
        <w:ind w:left="153" w:right="0"/>
        <w:jc w:val="left"/>
        <w:rPr>
          <w:b w:val="0"/>
          <w:bCs w:val="0"/>
        </w:rPr>
      </w:pPr>
      <w:bookmarkStart w:name="26、递延所得税资产/递延所得税负债" w:id="208"/>
      <w:bookmarkEnd w:id="208"/>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left="154" w:right="1142" w:firstLine="426"/>
        <w:jc w:val="both"/>
      </w:pPr>
      <w:r>
        <w:rPr>
          <w:spacing w:val="-1"/>
        </w:rPr>
        <w:t>对于可抵扣暂时性差异确认递延所得税资产，以未来期间很可能取得的用来抵扣可抵扣暂时性差异的应纳</w:t>
      </w:r>
      <w:r>
        <w:rPr>
          <w:w w:val="100"/>
        </w:rPr>
        <w:t> </w:t>
      </w:r>
      <w:r>
        <w:rPr>
          <w:spacing w:val="-1"/>
        </w:rPr>
        <w:t>税所得额为限。对于能够结转以后年度的可抵扣亏损和税款抵减，以很可能获得用来抵扣可抵扣亏损和税款抵</w:t>
      </w:r>
      <w:r>
        <w:rPr>
          <w:spacing w:val="-63"/>
        </w:rPr>
        <w:t> </w:t>
      </w:r>
      <w:r>
        <w:rPr>
          <w:spacing w:val="-63"/>
        </w:rPr>
      </w:r>
      <w:r>
        <w:rPr/>
        <w:t>减的未来应纳税所得额为限，确认相应的递延所得税资产。</w:t>
      </w:r>
    </w:p>
    <w:p>
      <w:pPr>
        <w:pStyle w:val="BodyText"/>
        <w:spacing w:line="429" w:lineRule="auto"/>
        <w:ind w:left="579" w:right="0"/>
        <w:jc w:val="left"/>
      </w:pPr>
      <w:r>
        <w:rPr/>
        <w:t>对于应纳税暂时性差异，除特殊情况外，确认递延所得税负债。</w:t>
      </w:r>
      <w:r>
        <w:rPr>
          <w:w w:val="100"/>
        </w:rPr>
        <w:t> </w:t>
      </w:r>
      <w:r>
        <w:rPr>
          <w:spacing w:val="-1"/>
        </w:rPr>
        <w:t>不确认递延所得税资产或递延所得税负债的特殊情况包括：商誉的初始确认；除企业合并以外的发生时既</w:t>
      </w:r>
    </w:p>
    <w:p>
      <w:pPr>
        <w:pStyle w:val="BodyText"/>
        <w:spacing w:line="240" w:lineRule="auto"/>
        <w:ind w:right="0"/>
        <w:jc w:val="left"/>
      </w:pPr>
      <w:r>
        <w:rPr/>
        <w:t>不影响会计利润也不影响应纳税所得额（或可抵扣亏损）的其他交易或事项。</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before="0"/>
        <w:ind w:right="1142" w:firstLine="426"/>
        <w:jc w:val="both"/>
      </w:pPr>
      <w:r>
        <w:rPr>
          <w:spacing w:val="-1"/>
        </w:rPr>
        <w:t>当拥有以净额结算的法定权利，且意图以净额结算或取得资产、清偿负债同时进行时，当期所得税资产及</w:t>
      </w:r>
      <w:r>
        <w:rPr>
          <w:w w:val="100"/>
        </w:rPr>
        <w:t> </w:t>
      </w:r>
      <w:r>
        <w:rPr/>
        <w:t>当期所得税负债以抵销后的净额列报。</w:t>
      </w:r>
    </w:p>
    <w:p>
      <w:pPr>
        <w:pStyle w:val="BodyText"/>
        <w:spacing w:line="429" w:lineRule="auto"/>
        <w:ind w:right="1142" w:firstLine="426"/>
        <w:jc w:val="both"/>
      </w:pPr>
      <w:r>
        <w:rPr>
          <w:spacing w:val="-1"/>
        </w:rPr>
        <w:t>当拥有以净额结算当期所得税资产及当期所得税负债的法定权利，且递延所得税资产及递延所得税负债是</w:t>
      </w:r>
      <w:r>
        <w:rPr>
          <w:w w:val="100"/>
        </w:rPr>
        <w:t> </w:t>
      </w:r>
      <w:r>
        <w:rPr/>
        <w:t>与同一税收征管部门对同一纳税主体征收的所得税相关或者是对不同的纳税主体相关，但在未来每一具有重要</w:t>
      </w:r>
      <w:r>
        <w:rPr>
          <w:w w:val="100"/>
        </w:rPr>
        <w:t> </w:t>
      </w:r>
      <w:r>
        <w:rPr/>
        <w:t>性的递延所得税资产及负债转回的期间内，涉及的纳税主体意图以净额结算当期所得税资产和负债或是同时取</w:t>
      </w:r>
      <w:r>
        <w:rPr>
          <w:w w:val="100"/>
        </w:rPr>
        <w:t> </w:t>
      </w:r>
      <w:r>
        <w:rPr/>
        <w:t>得资产、清偿负债时，递延所得税资产及递延所得税负债以抵销后的净额列报。</w:t>
      </w:r>
    </w:p>
    <w:p>
      <w:pPr>
        <w:spacing w:line="240" w:lineRule="auto" w:before="0"/>
        <w:rPr>
          <w:rFonts w:ascii="宋体" w:hAnsi="宋体" w:cs="宋体" w:eastAsia="宋体" w:hint="default"/>
          <w:sz w:val="20"/>
          <w:szCs w:val="20"/>
        </w:rPr>
      </w:pPr>
    </w:p>
    <w:p>
      <w:pPr>
        <w:pStyle w:val="Heading3"/>
        <w:spacing w:line="240" w:lineRule="auto"/>
        <w:ind w:left="153" w:right="0"/>
        <w:jc w:val="left"/>
        <w:rPr>
          <w:b w:val="0"/>
          <w:bCs w:val="0"/>
        </w:rPr>
      </w:pPr>
      <w:bookmarkStart w:name="27、租赁" w:id="209"/>
      <w:bookmarkEnd w:id="209"/>
      <w:r>
        <w:rPr>
          <w:b w:val="0"/>
          <w:bCs w:val="0"/>
        </w:rPr>
      </w:r>
      <w:r>
        <w:rPr>
          <w:rFonts w:ascii="Times New Roman" w:hAnsi="Times New Roman" w:cs="Times New Roman" w:eastAsia="Times New Roman" w:hint="default"/>
        </w:rPr>
        <w:t>27</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10"/>
      <w:bookmarkEnd w:id="21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left="154" w:right="1031" w:firstLine="426"/>
        <w:jc w:val="both"/>
      </w:pPr>
      <w:r>
        <w:rPr>
          <w:spacing w:val="-5"/>
        </w:rPr>
        <w:t>（</w:t>
      </w:r>
      <w:r>
        <w:rPr>
          <w:rFonts w:ascii="宋体" w:hAnsi="宋体" w:cs="宋体" w:eastAsia="宋体" w:hint="default"/>
          <w:spacing w:val="-5"/>
        </w:rPr>
        <w:t>1</w:t>
      </w:r>
      <w:r>
        <w:rPr>
          <w:spacing w:val="-5"/>
        </w:rPr>
        <w:t>）公司租入资产所支付的租赁费，在不扣除免租期的整个租赁期内，按直线法进行分摊，计入当期费用。</w:t>
      </w:r>
      <w:r>
        <w:rPr>
          <w:w w:val="100"/>
        </w:rPr>
        <w:t> </w:t>
      </w:r>
      <w:r>
        <w:rPr/>
        <w:t>公司支付的与租赁交易相关的初始直接费用，计入当期费用。</w:t>
      </w:r>
    </w:p>
    <w:p>
      <w:pPr>
        <w:pStyle w:val="BodyText"/>
        <w:spacing w:line="429" w:lineRule="auto"/>
        <w:ind w:left="154" w:right="1142" w:firstLine="426"/>
        <w:jc w:val="both"/>
      </w:pPr>
      <w:r>
        <w:rPr>
          <w:spacing w:val="-1"/>
        </w:rPr>
        <w:t>资产出租方承担了应由公司承担的与租赁相关的费用时，公司将该部分费用从租金总额中扣除，按扣除后</w:t>
      </w:r>
      <w:r>
        <w:rPr>
          <w:w w:val="100"/>
        </w:rPr>
        <w:t> </w:t>
      </w:r>
      <w:r>
        <w:rPr/>
        <w:t>的租金费用在租赁期内分摊，计入当期费用。</w:t>
      </w:r>
    </w:p>
    <w:p>
      <w:pPr>
        <w:pStyle w:val="BodyText"/>
        <w:spacing w:line="429" w:lineRule="auto"/>
        <w:ind w:left="154" w:right="1130" w:firstLine="426"/>
        <w:jc w:val="both"/>
      </w:pPr>
      <w:r>
        <w:rPr>
          <w:spacing w:val="-3"/>
        </w:rPr>
        <w:t>（</w:t>
      </w:r>
      <w:r>
        <w:rPr>
          <w:rFonts w:ascii="宋体" w:hAnsi="宋体" w:cs="宋体" w:eastAsia="宋体" w:hint="default"/>
          <w:spacing w:val="-3"/>
        </w:rPr>
        <w:t>2</w:t>
      </w:r>
      <w:r>
        <w:rPr>
          <w:spacing w:val="-3"/>
        </w:rPr>
        <w:t>）公司出租资产所收取的租赁费，在不扣除免租期的整个租赁期内，按直线法进行分摊，确认为租赁相</w:t>
      </w:r>
      <w:r>
        <w:rPr>
          <w:w w:val="100"/>
        </w:rPr>
        <w:t> </w:t>
      </w:r>
      <w:r>
        <w:rPr/>
        <w:t>关收入。公司支付的与租赁交易相关的初始直接费用，计入当期费用；如金额较大的，则予以资本化，在整个</w:t>
      </w:r>
      <w:r>
        <w:rPr>
          <w:w w:val="100"/>
        </w:rPr>
        <w:t> </w:t>
      </w:r>
      <w:r>
        <w:rPr/>
        <w:t>租赁期间内按照与租赁相关收入确认相同的基础分期计入当期收益。</w:t>
      </w:r>
    </w:p>
    <w:p>
      <w:pPr>
        <w:pStyle w:val="BodyText"/>
        <w:spacing w:line="429" w:lineRule="auto"/>
        <w:ind w:left="154" w:right="1142" w:firstLine="426"/>
        <w:jc w:val="both"/>
      </w:pPr>
      <w:r>
        <w:rPr>
          <w:spacing w:val="-1"/>
        </w:rPr>
        <w:t>公司承担了应由承租方承担的与租赁相关的费用时，公司将该部分费用从租金收入总额中扣除，按扣除后</w:t>
      </w:r>
      <w:r>
        <w:rPr>
          <w:w w:val="100"/>
        </w:rPr>
        <w:t> </w:t>
      </w:r>
      <w:r>
        <w:rPr/>
        <w:t>的租金费用在租赁期内分配。</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2）融资租赁的会计处理方法" w:id="211"/>
      <w:bookmarkEnd w:id="21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left="154" w:right="1130" w:firstLine="426"/>
        <w:jc w:val="both"/>
      </w:pPr>
      <w:r>
        <w:rPr>
          <w:spacing w:val="-3"/>
        </w:rPr>
        <w:t>（</w:t>
      </w:r>
      <w:r>
        <w:rPr>
          <w:rFonts w:ascii="宋体" w:hAnsi="宋体" w:cs="宋体" w:eastAsia="宋体" w:hint="default"/>
          <w:spacing w:val="-3"/>
        </w:rPr>
        <w:t>1</w:t>
      </w:r>
      <w:r>
        <w:rPr>
          <w:spacing w:val="-3"/>
        </w:rPr>
        <w:t>）融资租入资产：公司在承租开始日，将租赁资产公允价值与最低租赁付款额现值两者中较低者作为租</w:t>
      </w:r>
      <w:r>
        <w:rPr>
          <w:w w:val="100"/>
        </w:rPr>
        <w:t> </w:t>
      </w:r>
      <w:r>
        <w:rPr/>
        <w:t>入资产的入账价值，将最低租赁付款额作为长期应付款的入账价值，其差额作为未确认的融资费用。公司采用</w:t>
      </w:r>
      <w:r>
        <w:rPr>
          <w:w w:val="100"/>
        </w:rPr>
        <w:t> </w:t>
      </w:r>
      <w:r>
        <w:rPr/>
        <w:t>实际利率法对未确认的融资费用，在资产租赁期间内摊销，计入财务费用。公司发生的初始直接费用，计入租</w:t>
      </w:r>
      <w:r>
        <w:rPr>
          <w:w w:val="100"/>
        </w:rPr>
        <w:t> </w:t>
      </w:r>
      <w:r>
        <w:rPr/>
        <w:t>入资产价值。</w:t>
      </w:r>
    </w:p>
    <w:p>
      <w:pPr>
        <w:pStyle w:val="BodyText"/>
        <w:spacing w:line="429" w:lineRule="auto"/>
        <w:ind w:left="154" w:right="1130" w:firstLine="426"/>
        <w:jc w:val="both"/>
      </w:pPr>
      <w:r>
        <w:rPr>
          <w:spacing w:val="-3"/>
        </w:rPr>
        <w:t>（</w:t>
      </w:r>
      <w:r>
        <w:rPr>
          <w:rFonts w:ascii="宋体" w:hAnsi="宋体" w:cs="宋体" w:eastAsia="宋体" w:hint="default"/>
          <w:spacing w:val="-3"/>
        </w:rPr>
        <w:t>2</w:t>
      </w:r>
      <w:r>
        <w:rPr>
          <w:spacing w:val="-3"/>
        </w:rPr>
        <w:t>）融资租出资产：公司在租赁开始日，将应收融资租赁款，未担保余值之和与其现值的差额确认为未实</w:t>
      </w:r>
      <w:r>
        <w:rPr>
          <w:w w:val="100"/>
        </w:rPr>
        <w:t> </w:t>
      </w:r>
      <w:r>
        <w:rPr/>
        <w:t>现融资收益，在将来收到租金的各期间内确认为租赁收入。公司发生的与出租交易相关的初始直接费用，计入</w:t>
      </w:r>
      <w:r>
        <w:rPr>
          <w:w w:val="100"/>
        </w:rPr>
        <w:t> </w:t>
      </w:r>
      <w:r>
        <w:rPr/>
        <w:t>应收融资租赁款的初始计量中，并减少租赁期内确认的收益金额。</w:t>
      </w:r>
    </w:p>
    <w:p>
      <w:pPr>
        <w:spacing w:after="0" w:line="42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8、重要会计政策和会计估计变更" w:id="212"/>
      <w:bookmarkEnd w:id="212"/>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会计政策变更" w:id="213"/>
      <w:bookmarkEnd w:id="21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38"/>
        <w:ind w:left="0" w:right="1129"/>
        <w:jc w:val="right"/>
      </w:pPr>
      <w:r>
        <w:rPr/>
        <w:pict>
          <v:shape style="position:absolute;margin-left:56.459999pt;margin-top:-171.430328pt;width:479.25pt;height:236.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89"/>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390" w:right="0"/>
                          <w:jc w:val="left"/>
                          <w:rPr>
                            <w:rFonts w:ascii="宋体" w:hAnsi="宋体" w:cs="宋体" w:eastAsia="宋体" w:hint="default"/>
                            <w:sz w:val="20"/>
                            <w:szCs w:val="20"/>
                          </w:rPr>
                        </w:pPr>
                        <w:r>
                          <w:rPr>
                            <w:rFonts w:ascii="宋体" w:hAnsi="宋体" w:cs="宋体" w:eastAsia="宋体" w:hint="default"/>
                            <w:sz w:val="20"/>
                            <w:szCs w:val="20"/>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sz w:val="20"/>
                            <w:szCs w:val="20"/>
                          </w:rPr>
                          <w:t>备注</w:t>
                        </w:r>
                      </w:p>
                    </w:tc>
                  </w:tr>
                  <w:tr>
                    <w:trPr>
                      <w:trHeight w:val="1882" w:hRule="exact"/>
                    </w:trPr>
                    <w:tc>
                      <w:tcPr>
                        <w:tcW w:w="319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85" w:lineRule="auto"/>
                          <w:ind w:left="22" w:right="-49"/>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）在利润表中分别列示“持续经</w:t>
                        </w:r>
                        <w:r>
                          <w:rPr>
                            <w:rFonts w:ascii="宋体" w:hAnsi="宋体" w:cs="宋体" w:eastAsia="宋体" w:hint="default"/>
                            <w:w w:val="100"/>
                            <w:sz w:val="20"/>
                            <w:szCs w:val="20"/>
                          </w:rPr>
                          <w:t> </w:t>
                        </w:r>
                        <w:r>
                          <w:rPr>
                            <w:rFonts w:ascii="宋体" w:hAnsi="宋体" w:cs="宋体" w:eastAsia="宋体" w:hint="default"/>
                            <w:sz w:val="20"/>
                            <w:szCs w:val="20"/>
                          </w:rPr>
                          <w:t>营净利润”和“终止经营净利润”。</w:t>
                        </w:r>
                        <w:r>
                          <w:rPr>
                            <w:rFonts w:ascii="宋体" w:hAnsi="宋体" w:cs="宋体" w:eastAsia="宋体" w:hint="default"/>
                            <w:w w:val="100"/>
                            <w:sz w:val="20"/>
                            <w:szCs w:val="20"/>
                          </w:rPr>
                          <w:t> </w:t>
                        </w:r>
                        <w:r>
                          <w:rPr>
                            <w:rFonts w:ascii="宋体" w:hAnsi="宋体" w:cs="宋体" w:eastAsia="宋体" w:hint="default"/>
                            <w:sz w:val="20"/>
                            <w:szCs w:val="20"/>
                          </w:rPr>
                          <w:t>比较数据相应调整。</w:t>
                        </w:r>
                      </w:p>
                    </w:tc>
                    <w:tc>
                      <w:tcPr>
                        <w:tcW w:w="319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6" w:right="0"/>
                          <w:jc w:val="left"/>
                          <w:rPr>
                            <w:rFonts w:ascii="宋体" w:hAnsi="宋体" w:cs="宋体" w:eastAsia="宋体" w:hint="default"/>
                            <w:sz w:val="20"/>
                            <w:szCs w:val="20"/>
                          </w:rPr>
                        </w:pPr>
                        <w:r>
                          <w:rPr>
                            <w:rFonts w:ascii="宋体" w:hAnsi="宋体" w:cs="宋体" w:eastAsia="宋体" w:hint="default"/>
                            <w:sz w:val="20"/>
                            <w:szCs w:val="20"/>
                          </w:rPr>
                          <w:t>国家政策统一规定</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列示持续经营净利润本年金额</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-258,101,012.93</w:t>
                        </w:r>
                        <w:r>
                          <w:rPr>
                            <w:rFonts w:ascii="宋体" w:hAnsi="宋体" w:cs="宋体" w:eastAsia="宋体" w:hint="default"/>
                            <w:spacing w:val="-46"/>
                            <w:sz w:val="20"/>
                            <w:szCs w:val="20"/>
                          </w:rPr>
                          <w:t> </w:t>
                        </w:r>
                        <w:r>
                          <w:rPr>
                            <w:rFonts w:ascii="宋体" w:hAnsi="宋体" w:cs="宋体" w:eastAsia="宋体" w:hint="default"/>
                            <w:spacing w:val="-3"/>
                            <w:sz w:val="20"/>
                            <w:szCs w:val="20"/>
                          </w:rPr>
                          <w:t>元；列示终止经营</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净利润本年金额</w:t>
                        </w:r>
                        <w:r>
                          <w:rPr>
                            <w:rFonts w:ascii="宋体" w:hAnsi="宋体" w:cs="宋体" w:eastAsia="宋体" w:hint="default"/>
                            <w:spacing w:val="-50"/>
                            <w:sz w:val="20"/>
                            <w:szCs w:val="20"/>
                          </w:rPr>
                          <w:t> </w:t>
                        </w:r>
                        <w:r>
                          <w:rPr>
                            <w:rFonts w:ascii="宋体" w:hAnsi="宋体" w:cs="宋体" w:eastAsia="宋体" w:hint="default"/>
                            <w:sz w:val="20"/>
                            <w:szCs w:val="20"/>
                          </w:rPr>
                          <w:t>0</w:t>
                        </w:r>
                        <w:r>
                          <w:rPr>
                            <w:rFonts w:ascii="宋体" w:hAnsi="宋体" w:cs="宋体" w:eastAsia="宋体" w:hint="default"/>
                            <w:spacing w:val="-48"/>
                            <w:sz w:val="20"/>
                            <w:szCs w:val="20"/>
                          </w:rPr>
                          <w:t> </w:t>
                        </w:r>
                        <w:r>
                          <w:rPr>
                            <w:rFonts w:ascii="宋体" w:hAnsi="宋体" w:cs="宋体" w:eastAsia="宋体" w:hint="default"/>
                            <w:spacing w:val="-9"/>
                            <w:sz w:val="20"/>
                            <w:szCs w:val="20"/>
                          </w:rPr>
                          <w:t>元，列示持续经营</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净利润上年金额</w:t>
                        </w:r>
                        <w:r>
                          <w:rPr>
                            <w:rFonts w:ascii="宋体" w:hAnsi="宋体" w:cs="宋体" w:eastAsia="宋体" w:hint="default"/>
                            <w:spacing w:val="-55"/>
                            <w:sz w:val="20"/>
                            <w:szCs w:val="20"/>
                          </w:rPr>
                          <w:t> </w:t>
                        </w:r>
                        <w:r>
                          <w:rPr>
                            <w:rFonts w:ascii="宋体" w:hAnsi="宋体" w:cs="宋体" w:eastAsia="宋体" w:hint="default"/>
                            <w:sz w:val="20"/>
                            <w:szCs w:val="20"/>
                          </w:rPr>
                          <w:t>177,741,759.34</w:t>
                        </w:r>
                      </w:p>
                      <w:p>
                        <w:pPr>
                          <w:pStyle w:val="TableParagraph"/>
                          <w:spacing w:line="285" w:lineRule="auto" w:before="50"/>
                          <w:ind w:left="22" w:right="20"/>
                          <w:jc w:val="left"/>
                          <w:rPr>
                            <w:rFonts w:ascii="宋体" w:hAnsi="宋体" w:cs="宋体" w:eastAsia="宋体" w:hint="default"/>
                            <w:sz w:val="20"/>
                            <w:szCs w:val="20"/>
                          </w:rPr>
                        </w:pPr>
                        <w:r>
                          <w:rPr>
                            <w:rFonts w:ascii="宋体" w:hAnsi="宋体" w:cs="宋体" w:eastAsia="宋体" w:hint="default"/>
                            <w:sz w:val="20"/>
                            <w:szCs w:val="20"/>
                          </w:rPr>
                          <w:t>元；列示终止经营净利润上年金额</w:t>
                        </w:r>
                        <w:r>
                          <w:rPr>
                            <w:rFonts w:ascii="宋体" w:hAnsi="宋体" w:cs="宋体" w:eastAsia="宋体" w:hint="default"/>
                            <w:spacing w:val="-66"/>
                            <w:sz w:val="20"/>
                            <w:szCs w:val="20"/>
                          </w:rPr>
                          <w:t> </w:t>
                        </w:r>
                        <w:r>
                          <w:rPr>
                            <w:rFonts w:ascii="宋体" w:hAnsi="宋体" w:cs="宋体" w:eastAsia="宋体" w:hint="default"/>
                            <w:sz w:val="20"/>
                            <w:szCs w:val="20"/>
                          </w:rPr>
                          <w:t>0</w:t>
                        </w:r>
                        <w:r>
                          <w:rPr>
                            <w:rFonts w:ascii="宋体" w:hAnsi="宋体" w:cs="宋体" w:eastAsia="宋体" w:hint="default"/>
                            <w:w w:val="100"/>
                            <w:sz w:val="20"/>
                            <w:szCs w:val="20"/>
                          </w:rPr>
                          <w:t> </w:t>
                        </w:r>
                        <w:r>
                          <w:rPr>
                            <w:rFonts w:ascii="宋体" w:hAnsi="宋体" w:cs="宋体" w:eastAsia="宋体" w:hint="default"/>
                            <w:sz w:val="20"/>
                            <w:szCs w:val="20"/>
                          </w:rPr>
                          <w:t>元。</w:t>
                        </w:r>
                      </w:p>
                    </w:tc>
                  </w:tr>
                  <w:tr>
                    <w:trPr>
                      <w:trHeight w:val="94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）与本公司日常活动相关的政府</w:t>
                        </w:r>
                        <w:r>
                          <w:rPr>
                            <w:rFonts w:ascii="宋体" w:hAnsi="宋体" w:cs="宋体" w:eastAsia="宋体" w:hint="default"/>
                            <w:w w:val="100"/>
                            <w:sz w:val="20"/>
                            <w:szCs w:val="20"/>
                          </w:rPr>
                          <w:t> </w:t>
                        </w:r>
                        <w:r>
                          <w:rPr>
                            <w:rFonts w:ascii="宋体" w:hAnsi="宋体" w:cs="宋体" w:eastAsia="宋体" w:hint="default"/>
                            <w:spacing w:val="-5"/>
                            <w:sz w:val="20"/>
                            <w:szCs w:val="20"/>
                          </w:rPr>
                          <w:t>补助，计入其他收益，不再计入营业</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外收入。比较数据不调整。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国家政策统一规定</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其他收益：</w:t>
                        </w:r>
                        <w:r>
                          <w:rPr>
                            <w:rFonts w:ascii="宋体" w:hAnsi="宋体" w:cs="宋体" w:eastAsia="宋体" w:hint="default"/>
                            <w:sz w:val="20"/>
                            <w:szCs w:val="20"/>
                          </w:rPr>
                          <w:t>12,967,825.73</w:t>
                        </w:r>
                        <w:r>
                          <w:rPr>
                            <w:rFonts w:ascii="宋体" w:hAnsi="宋体" w:cs="宋体" w:eastAsia="宋体" w:hint="default"/>
                            <w:spacing w:val="-54"/>
                            <w:sz w:val="20"/>
                            <w:szCs w:val="20"/>
                          </w:rPr>
                          <w:t> </w:t>
                        </w:r>
                        <w:r>
                          <w:rPr>
                            <w:rFonts w:ascii="宋体" w:hAnsi="宋体" w:cs="宋体" w:eastAsia="宋体" w:hint="default"/>
                            <w:sz w:val="20"/>
                            <w:szCs w:val="20"/>
                          </w:rPr>
                          <w:t>元</w:t>
                        </w:r>
                      </w:p>
                    </w:tc>
                  </w:tr>
                  <w:tr>
                    <w:trPr>
                      <w:trHeight w:val="157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19"/>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3</w:t>
                        </w:r>
                        <w:r>
                          <w:rPr>
                            <w:rFonts w:ascii="宋体" w:hAnsi="宋体" w:cs="宋体" w:eastAsia="宋体" w:hint="default"/>
                            <w:sz w:val="20"/>
                            <w:szCs w:val="20"/>
                          </w:rPr>
                          <w:t>）在利润表中新增“资产处置收</w:t>
                        </w:r>
                        <w:r>
                          <w:rPr>
                            <w:rFonts w:ascii="宋体" w:hAnsi="宋体" w:cs="宋体" w:eastAsia="宋体" w:hint="default"/>
                            <w:w w:val="100"/>
                            <w:sz w:val="20"/>
                            <w:szCs w:val="20"/>
                          </w:rPr>
                          <w:t> </w:t>
                        </w:r>
                        <w:r>
                          <w:rPr>
                            <w:rFonts w:ascii="宋体" w:hAnsi="宋体" w:cs="宋体" w:eastAsia="宋体" w:hint="default"/>
                            <w:spacing w:val="-5"/>
                            <w:sz w:val="20"/>
                            <w:szCs w:val="20"/>
                          </w:rPr>
                          <w:t>益”项目，将部分原列示为“营业外</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5"/>
                            <w:sz w:val="20"/>
                            <w:szCs w:val="20"/>
                          </w:rPr>
                          <w:t>收入”、“营业外支出”的资产处置</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损益重分类至“资产处置收益”项</w:t>
                        </w:r>
                        <w:r>
                          <w:rPr>
                            <w:rFonts w:ascii="宋体" w:hAnsi="宋体" w:cs="宋体" w:eastAsia="宋体" w:hint="default"/>
                            <w:w w:val="100"/>
                            <w:sz w:val="20"/>
                            <w:szCs w:val="20"/>
                          </w:rPr>
                          <w:t> </w:t>
                        </w:r>
                        <w:r>
                          <w:rPr>
                            <w:rFonts w:ascii="宋体" w:hAnsi="宋体" w:cs="宋体" w:eastAsia="宋体" w:hint="default"/>
                            <w:sz w:val="20"/>
                            <w:szCs w:val="20"/>
                          </w:rPr>
                          <w:t>目。比较数据相应调整。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国家政策统一规定</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本期营业外收入减少</w:t>
                        </w:r>
                        <w:r>
                          <w:rPr>
                            <w:rFonts w:ascii="宋体" w:hAnsi="宋体" w:cs="宋体" w:eastAsia="宋体" w:hint="default"/>
                            <w:spacing w:val="-54"/>
                            <w:sz w:val="20"/>
                            <w:szCs w:val="20"/>
                          </w:rPr>
                          <w:t> </w:t>
                        </w:r>
                        <w:r>
                          <w:rPr>
                            <w:rFonts w:ascii="宋体" w:hAnsi="宋体" w:cs="宋体" w:eastAsia="宋体" w:hint="default"/>
                            <w:sz w:val="20"/>
                            <w:szCs w:val="20"/>
                          </w:rPr>
                          <w:t>100,936.38</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pacing w:val="-8"/>
                            <w:sz w:val="20"/>
                            <w:szCs w:val="20"/>
                          </w:rPr>
                          <w:t>元，营业外支出减少</w:t>
                        </w:r>
                        <w:r>
                          <w:rPr>
                            <w:rFonts w:ascii="宋体" w:hAnsi="宋体" w:cs="宋体" w:eastAsia="宋体" w:hint="default"/>
                            <w:spacing w:val="-51"/>
                            <w:sz w:val="20"/>
                            <w:szCs w:val="20"/>
                          </w:rPr>
                          <w:t> </w:t>
                        </w:r>
                        <w:r>
                          <w:rPr>
                            <w:rFonts w:ascii="宋体" w:hAnsi="宋体" w:cs="宋体" w:eastAsia="宋体" w:hint="default"/>
                            <w:sz w:val="20"/>
                            <w:szCs w:val="20"/>
                          </w:rPr>
                          <w:t>441,226.80</w:t>
                        </w:r>
                        <w:r>
                          <w:rPr>
                            <w:rFonts w:ascii="宋体" w:hAnsi="宋体" w:cs="宋体" w:eastAsia="宋体" w:hint="default"/>
                            <w:spacing w:val="-50"/>
                            <w:sz w:val="20"/>
                            <w:szCs w:val="20"/>
                          </w:rPr>
                          <w:t> </w:t>
                        </w:r>
                        <w:r>
                          <w:rPr>
                            <w:rFonts w:ascii="宋体" w:hAnsi="宋体" w:cs="宋体" w:eastAsia="宋体" w:hint="default"/>
                            <w:sz w:val="20"/>
                            <w:szCs w:val="20"/>
                          </w:rPr>
                          <w:t>元</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上期营业外收入减少</w:t>
                        </w:r>
                        <w:r>
                          <w:rPr>
                            <w:rFonts w:ascii="宋体" w:hAnsi="宋体" w:cs="宋体" w:eastAsia="宋体" w:hint="default"/>
                            <w:spacing w:val="-54"/>
                            <w:sz w:val="20"/>
                            <w:szCs w:val="20"/>
                          </w:rPr>
                          <w:t> </w:t>
                        </w:r>
                        <w:r>
                          <w:rPr>
                            <w:rFonts w:ascii="宋体" w:hAnsi="宋体" w:cs="宋体" w:eastAsia="宋体" w:hint="default"/>
                            <w:sz w:val="20"/>
                            <w:szCs w:val="20"/>
                          </w:rPr>
                          <w:t>135,332.81</w:t>
                        </w:r>
                      </w:p>
                      <w:p>
                        <w:pPr>
                          <w:pStyle w:val="TableParagraph"/>
                          <w:spacing w:line="285" w:lineRule="auto" w:before="50"/>
                          <w:ind w:left="22" w:right="20"/>
                          <w:jc w:val="left"/>
                          <w:rPr>
                            <w:rFonts w:ascii="宋体" w:hAnsi="宋体" w:cs="宋体" w:eastAsia="宋体" w:hint="default"/>
                            <w:sz w:val="20"/>
                            <w:szCs w:val="20"/>
                          </w:rPr>
                        </w:pPr>
                        <w:r>
                          <w:rPr>
                            <w:rFonts w:ascii="宋体" w:hAnsi="宋体" w:cs="宋体" w:eastAsia="宋体" w:hint="default"/>
                            <w:spacing w:val="-3"/>
                            <w:sz w:val="20"/>
                            <w:szCs w:val="20"/>
                          </w:rPr>
                          <w:t>元，营业外支出减少</w:t>
                        </w:r>
                        <w:r>
                          <w:rPr>
                            <w:rFonts w:ascii="宋体" w:hAnsi="宋体" w:cs="宋体" w:eastAsia="宋体" w:hint="default"/>
                            <w:spacing w:val="-45"/>
                            <w:sz w:val="20"/>
                            <w:szCs w:val="20"/>
                          </w:rPr>
                          <w:t> </w:t>
                        </w:r>
                        <w:r>
                          <w:rPr>
                            <w:rFonts w:ascii="宋体" w:hAnsi="宋体" w:cs="宋体" w:eastAsia="宋体" w:hint="default"/>
                            <w:sz w:val="20"/>
                            <w:szCs w:val="20"/>
                          </w:rPr>
                          <w:t>26,833,870.52</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元，重分类至资产处置收益。</w:t>
                        </w:r>
                      </w:p>
                    </w:tc>
                  </w:tr>
                </w:tbl>
                <w:p>
                  <w:pPr/>
                </w:p>
              </w:txbxContent>
            </v:textbox>
            <w10:wrap type="none"/>
          </v:shape>
        </w:pict>
      </w:r>
      <w:r>
        <w:rPr>
          <w:spacing w:val="-2"/>
          <w:w w:val="100"/>
        </w:rPr>
        <w:t>，</w:t>
      </w:r>
      <w:r>
        <w:rPr>
          <w:w w:val="10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429" w:lineRule="auto" w:before="38"/>
        <w:ind w:left="154" w:right="1042" w:firstLine="426"/>
        <w:jc w:val="right"/>
      </w:pPr>
      <w:r>
        <w:rPr>
          <w:spacing w:val="-5"/>
        </w:rPr>
        <w:t>财政部于</w:t>
      </w:r>
      <w:r>
        <w:rPr>
          <w:rFonts w:ascii="宋体" w:hAnsi="宋体" w:cs="宋体" w:eastAsia="宋体" w:hint="default"/>
          <w:spacing w:val="-5"/>
        </w:rPr>
        <w:t>2017</w:t>
      </w:r>
      <w:r>
        <w:rPr>
          <w:spacing w:val="-5"/>
        </w:rPr>
        <w:t>年度发布了《企业会计准则第</w:t>
      </w:r>
      <w:r>
        <w:rPr>
          <w:rFonts w:ascii="宋体" w:hAnsi="宋体" w:cs="宋体" w:eastAsia="宋体" w:hint="default"/>
          <w:spacing w:val="-5"/>
        </w:rPr>
        <w:t>42</w:t>
      </w:r>
      <w:r>
        <w:rPr>
          <w:spacing w:val="-5"/>
        </w:rPr>
        <w:t>号——持有待售的非流动资产、处置组和终止经营》，自</w:t>
      </w:r>
      <w:r>
        <w:rPr>
          <w:rFonts w:ascii="宋体" w:hAnsi="宋体" w:cs="宋体" w:eastAsia="宋体" w:hint="default"/>
          <w:spacing w:val="-5"/>
        </w:rPr>
        <w:t>2017</w:t>
      </w:r>
      <w:r>
        <w:rPr>
          <w:rFonts w:ascii="宋体" w:hAnsi="宋体" w:cs="宋体" w:eastAsia="宋体" w:hint="default"/>
          <w:w w:val="100"/>
        </w:rPr>
        <w:t> </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28</w:t>
      </w:r>
      <w:r>
        <w:rPr>
          <w:spacing w:val="-1"/>
        </w:rPr>
        <w:t>日起施行，对于施行日存在的持有待售的非流动资产、处置组和终止经营，要求采用未来适用法处理。</w:t>
      </w:r>
      <w:r>
        <w:rPr>
          <w:w w:val="100"/>
        </w:rPr>
        <w:t> </w:t>
      </w:r>
      <w:r>
        <w:rPr>
          <w:spacing w:val="-1"/>
        </w:rPr>
        <w:t>财政部于</w:t>
      </w:r>
      <w:r>
        <w:rPr>
          <w:rFonts w:ascii="宋体" w:hAnsi="宋体" w:cs="宋体" w:eastAsia="宋体" w:hint="default"/>
          <w:spacing w:val="-1"/>
        </w:rPr>
        <w:t>2017</w:t>
      </w:r>
      <w:r>
        <w:rPr>
          <w:spacing w:val="-1"/>
        </w:rPr>
        <w:t>年度修订了《企业会计准则第</w:t>
      </w:r>
      <w:r>
        <w:rPr>
          <w:rFonts w:ascii="宋体" w:hAnsi="宋体" w:cs="宋体" w:eastAsia="宋体" w:hint="default"/>
          <w:spacing w:val="-1"/>
        </w:rPr>
        <w:t>16</w:t>
      </w:r>
      <w:r>
        <w:rPr>
          <w:spacing w:val="-1"/>
        </w:rPr>
        <w:t>号——政府补助》，修订后的准则自</w:t>
      </w:r>
      <w:r>
        <w:rPr>
          <w:rFonts w:ascii="宋体" w:hAnsi="宋体" w:cs="宋体" w:eastAsia="宋体" w:hint="default"/>
          <w:spacing w:val="-1"/>
        </w:rPr>
        <w:t>2017</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12</w:t>
      </w:r>
      <w:r>
        <w:rPr>
          <w:spacing w:val="-1"/>
        </w:rPr>
        <w:t>日起施行，</w:t>
      </w:r>
    </w:p>
    <w:p>
      <w:pPr>
        <w:pStyle w:val="BodyText"/>
        <w:spacing w:line="429" w:lineRule="auto"/>
        <w:ind w:right="0"/>
        <w:jc w:val="left"/>
      </w:pPr>
      <w:r>
        <w:rPr>
          <w:spacing w:val="-1"/>
        </w:rPr>
        <w:t>对于</w:t>
      </w:r>
      <w:r>
        <w:rPr>
          <w:rFonts w:ascii="宋体" w:hAnsi="宋体" w:cs="宋体" w:eastAsia="宋体" w:hint="default"/>
          <w:spacing w:val="-1"/>
        </w:rPr>
        <w:t>2017</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日存在的政府补助，要求采用未来适用法处理；对于</w:t>
      </w:r>
      <w:r>
        <w:rPr>
          <w:rFonts w:ascii="宋体" w:hAnsi="宋体" w:cs="宋体" w:eastAsia="宋体" w:hint="default"/>
          <w:spacing w:val="-1"/>
        </w:rPr>
        <w:t>2017</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日至施行日新增的政府补助，</w:t>
      </w:r>
      <w:r>
        <w:rPr>
          <w:spacing w:val="-59"/>
        </w:rPr>
        <w:t> </w:t>
      </w:r>
      <w:r>
        <w:rPr>
          <w:spacing w:val="-59"/>
        </w:rPr>
      </w:r>
      <w:r>
        <w:rPr/>
        <w:t>也要求按照修订后的准则进行调整。</w:t>
      </w:r>
    </w:p>
    <w:p>
      <w:pPr>
        <w:pStyle w:val="BodyText"/>
        <w:spacing w:line="429" w:lineRule="auto"/>
        <w:ind w:right="0" w:firstLine="426"/>
        <w:jc w:val="left"/>
      </w:pPr>
      <w:r>
        <w:rPr>
          <w:spacing w:val="-1"/>
        </w:rPr>
        <w:t>财政部于</w:t>
      </w:r>
      <w:r>
        <w:rPr>
          <w:rFonts w:ascii="宋体" w:hAnsi="宋体" w:cs="宋体" w:eastAsia="宋体" w:hint="default"/>
          <w:spacing w:val="-1"/>
        </w:rPr>
        <w:t>2017</w:t>
      </w:r>
      <w:r>
        <w:rPr>
          <w:spacing w:val="-1"/>
        </w:rPr>
        <w:t>年度发布了《财政部关于修订印发一般企业财务报表格式的通知》，对一般企业财务报表格</w:t>
      </w:r>
      <w:r>
        <w:rPr>
          <w:w w:val="100"/>
        </w:rPr>
        <w:t> </w:t>
      </w:r>
      <w:r>
        <w:rPr/>
        <w:t>式进行了修订，适用于</w:t>
      </w:r>
      <w:r>
        <w:rPr>
          <w:rFonts w:ascii="宋体" w:hAnsi="宋体" w:cs="宋体" w:eastAsia="宋体" w:hint="default"/>
        </w:rPr>
        <w:t>2017</w:t>
      </w:r>
      <w:r>
        <w:rPr/>
        <w:t>年度及以后期间的财务报表。</w:t>
      </w:r>
    </w:p>
    <w:p>
      <w:pPr>
        <w:spacing w:line="240" w:lineRule="auto" w:before="0"/>
        <w:rPr>
          <w:rFonts w:ascii="宋体" w:hAnsi="宋体" w:cs="宋体" w:eastAsia="宋体" w:hint="default"/>
          <w:sz w:val="20"/>
          <w:szCs w:val="20"/>
        </w:rPr>
      </w:pPr>
    </w:p>
    <w:p>
      <w:pPr>
        <w:pStyle w:val="Heading3"/>
        <w:spacing w:line="240" w:lineRule="auto"/>
        <w:ind w:left="153" w:right="0"/>
        <w:jc w:val="left"/>
        <w:rPr>
          <w:b w:val="0"/>
          <w:bCs w:val="0"/>
        </w:rPr>
      </w:pPr>
      <w:bookmarkStart w:name="（2）重要会计估计变更" w:id="214"/>
      <w:bookmarkEnd w:id="21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税项" w:id="215"/>
      <w:bookmarkEnd w:id="215"/>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主要税种及税率" w:id="216"/>
      <w:bookmarkEnd w:id="21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298"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296"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36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交增值税</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按照应纳税所得额计缴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35"/>
        <w:ind w:left="154" w:right="0"/>
        <w:jc w:val="left"/>
      </w:pPr>
      <w:r>
        <w:rPr/>
        <w:t>存在不同企业所得税税率纳税主体的，披露情况说明</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天津滨河创新科技有限公司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北京中科金财电子商务有限公司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北京中科金财软件技术有限公司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北京中科金财投资管理有限公司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中科金财（上海）互联网金融信息服务有限公司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北京中科金财互联网服务有限公司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天津滨河创新电子科技有限公司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天津壬辰软件开发有限公司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大连鼎运企业管理有限公司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大连金融资产交易所有限公司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霍尔果斯金财科技服务有限公司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中科金财保险经纪有限公司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霍尔果斯滨河创新软件技术有限公司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华缔资产管理（北京）有限公司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深圳中金财富互联网金融服务有限公司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香港中科金财科技有限公司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深圳前海中科金财金控投资有限公司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17"/>
      <w:bookmarkEnd w:id="21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left="579" w:right="0"/>
        <w:jc w:val="left"/>
      </w:pPr>
      <w:r>
        <w:rPr>
          <w:rFonts w:ascii="宋体" w:hAnsi="宋体" w:cs="宋体" w:eastAsia="宋体" w:hint="default"/>
        </w:rPr>
        <w:t>(1)</w:t>
      </w:r>
      <w:r>
        <w:rPr/>
        <w:t>企业所得税减免</w:t>
      </w:r>
      <w:r>
        <w:rPr>
          <w:w w:val="100"/>
        </w:rPr>
        <w:t> </w:t>
      </w:r>
      <w:r>
        <w:rPr>
          <w:spacing w:val="-1"/>
        </w:rPr>
        <w:t>公司于</w:t>
      </w:r>
      <w:r>
        <w:rPr>
          <w:rFonts w:ascii="宋体" w:hAnsi="宋体" w:cs="宋体" w:eastAsia="宋体" w:hint="default"/>
          <w:spacing w:val="-1"/>
        </w:rPr>
        <w:t>2017</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25</w:t>
      </w:r>
      <w:r>
        <w:rPr>
          <w:spacing w:val="-1"/>
        </w:rPr>
        <w:t>日取得北京市科学技术委员会、北京市财政局、北京市国家税务局、北京市地方税务</w:t>
      </w:r>
    </w:p>
    <w:p>
      <w:pPr>
        <w:pStyle w:val="BodyText"/>
        <w:spacing w:line="429" w:lineRule="auto"/>
        <w:ind w:left="154" w:right="0"/>
        <w:jc w:val="left"/>
      </w:pPr>
      <w:r>
        <w:rPr>
          <w:spacing w:val="-1"/>
        </w:rPr>
        <w:t>局核发的编号为</w:t>
      </w:r>
      <w:r>
        <w:rPr>
          <w:rFonts w:ascii="宋体" w:hAnsi="宋体" w:cs="宋体" w:eastAsia="宋体" w:hint="default"/>
          <w:spacing w:val="-1"/>
        </w:rPr>
        <w:t>GR201711003394</w:t>
      </w:r>
      <w:r>
        <w:rPr>
          <w:spacing w:val="-1"/>
        </w:rPr>
        <w:t>的《高新技术企业证书》，有效期</w:t>
      </w:r>
      <w:r>
        <w:rPr>
          <w:rFonts w:ascii="宋体" w:hAnsi="宋体" w:cs="宋体" w:eastAsia="宋体" w:hint="default"/>
          <w:spacing w:val="-1"/>
        </w:rPr>
        <w:t>3</w:t>
      </w:r>
      <w:r>
        <w:rPr>
          <w:spacing w:val="-1"/>
        </w:rPr>
        <w:t>年。根据《中华人民共和国企业所得税法》</w:t>
      </w:r>
      <w:r>
        <w:rPr>
          <w:spacing w:val="-56"/>
        </w:rPr>
        <w:t> </w:t>
      </w:r>
      <w:r>
        <w:rPr>
          <w:spacing w:val="-56"/>
        </w:rPr>
      </w:r>
      <w:r>
        <w:rPr/>
        <w:t>第</w:t>
      </w:r>
      <w:r>
        <w:rPr>
          <w:rFonts w:ascii="宋体" w:hAnsi="宋体" w:cs="宋体" w:eastAsia="宋体" w:hint="default"/>
        </w:rPr>
        <w:t>28</w:t>
      </w:r>
      <w:r>
        <w:rPr/>
        <w:t>条的规定，</w:t>
      </w:r>
      <w:r>
        <w:rPr>
          <w:rFonts w:ascii="宋体" w:hAnsi="宋体" w:cs="宋体" w:eastAsia="宋体" w:hint="default"/>
        </w:rPr>
        <w:t>2017</w:t>
      </w:r>
      <w:r>
        <w:rPr/>
        <w:t>年度按</w:t>
      </w:r>
      <w:r>
        <w:rPr>
          <w:rFonts w:ascii="宋体" w:hAnsi="宋体" w:cs="宋体" w:eastAsia="宋体" w:hint="default"/>
        </w:rPr>
        <w:t>15%</w:t>
      </w:r>
      <w:r>
        <w:rPr/>
        <w:t>的税率缴纳企业所得税。</w:t>
      </w:r>
    </w:p>
    <w:p>
      <w:pPr>
        <w:pStyle w:val="BodyText"/>
        <w:spacing w:line="240" w:lineRule="auto"/>
        <w:ind w:left="579" w:right="0"/>
        <w:jc w:val="left"/>
      </w:pPr>
      <w:r>
        <w:rPr/>
        <w:t>子公司北京中科金财电子商务有限公司于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25</w:t>
      </w:r>
      <w:r>
        <w:rPr/>
        <w:t>日取得北京市科学技术委员会、北京市财政局、北</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0"/>
        <w:ind w:right="0"/>
        <w:jc w:val="both"/>
      </w:pPr>
      <w:r>
        <w:rPr/>
        <w:t>京市国家税务局、北京市地方税务局核发的编号为</w:t>
      </w:r>
      <w:r>
        <w:rPr>
          <w:rFonts w:ascii="宋体" w:hAnsi="宋体" w:cs="宋体" w:eastAsia="宋体" w:hint="default"/>
        </w:rPr>
        <w:t>GR201711002489</w:t>
      </w:r>
      <w:r>
        <w:rPr/>
        <w:t>的《高新技术企业证书》，有效期</w:t>
      </w:r>
      <w:r>
        <w:rPr>
          <w:rFonts w:ascii="宋体" w:hAnsi="宋体" w:cs="宋体" w:eastAsia="宋体" w:hint="default"/>
        </w:rPr>
        <w:t>3</w:t>
      </w:r>
      <w:r>
        <w:rPr/>
        <w:t>年。根据</w:t>
      </w:r>
    </w:p>
    <w:p>
      <w:pPr>
        <w:spacing w:line="240" w:lineRule="auto" w:before="10"/>
        <w:rPr>
          <w:rFonts w:ascii="宋体" w:hAnsi="宋体" w:cs="宋体" w:eastAsia="宋体" w:hint="default"/>
          <w:sz w:val="15"/>
          <w:szCs w:val="15"/>
        </w:rPr>
      </w:pPr>
    </w:p>
    <w:p>
      <w:pPr>
        <w:pStyle w:val="BodyText"/>
        <w:spacing w:line="429" w:lineRule="auto" w:before="0"/>
        <w:ind w:left="580" w:right="0" w:hanging="426"/>
        <w:jc w:val="left"/>
      </w:pPr>
      <w:r>
        <w:rPr/>
        <w:t>《中华人民共和国企业所得税法》第</w:t>
      </w:r>
      <w:r>
        <w:rPr>
          <w:rFonts w:ascii="宋体" w:hAnsi="宋体" w:cs="宋体" w:eastAsia="宋体" w:hint="default"/>
        </w:rPr>
        <w:t>28</w:t>
      </w:r>
      <w:r>
        <w:rPr/>
        <w:t>条的规定，</w:t>
      </w:r>
      <w:r>
        <w:rPr>
          <w:rFonts w:ascii="宋体" w:hAnsi="宋体" w:cs="宋体" w:eastAsia="宋体" w:hint="default"/>
        </w:rPr>
        <w:t>2017</w:t>
      </w:r>
      <w:r>
        <w:rPr/>
        <w:t>年度按</w:t>
      </w:r>
      <w:r>
        <w:rPr>
          <w:rFonts w:ascii="宋体" w:hAnsi="宋体" w:cs="宋体" w:eastAsia="宋体" w:hint="default"/>
        </w:rPr>
        <w:t>15%</w:t>
      </w:r>
      <w:r>
        <w:rPr/>
        <w:t>的税率缴纳企业所得税。</w:t>
      </w:r>
      <w:r>
        <w:rPr>
          <w:w w:val="100"/>
        </w:rPr>
        <w:t> </w:t>
      </w:r>
      <w:r>
        <w:rPr>
          <w:spacing w:val="-3"/>
        </w:rPr>
        <w:t>子公司滨河创新于</w:t>
      </w:r>
      <w:r>
        <w:rPr>
          <w:rFonts w:ascii="宋体" w:hAnsi="宋体" w:cs="宋体" w:eastAsia="宋体" w:hint="default"/>
          <w:spacing w:val="-3"/>
        </w:rPr>
        <w:t>2016</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9</w:t>
      </w:r>
      <w:r>
        <w:rPr>
          <w:spacing w:val="-3"/>
        </w:rPr>
        <w:t>日取得天津市科学技术委员会、天津市财政局、天津市国家税务局、天津市</w:t>
      </w:r>
    </w:p>
    <w:p>
      <w:pPr>
        <w:pStyle w:val="BodyText"/>
        <w:spacing w:line="429" w:lineRule="auto"/>
        <w:ind w:right="1131"/>
        <w:jc w:val="both"/>
      </w:pPr>
      <w:r>
        <w:rPr>
          <w:spacing w:val="-2"/>
        </w:rPr>
        <w:t>地方税务局核发的编号为</w:t>
      </w:r>
      <w:r>
        <w:rPr>
          <w:rFonts w:ascii="宋体" w:hAnsi="宋体" w:cs="宋体" w:eastAsia="宋体" w:hint="default"/>
          <w:spacing w:val="-2"/>
        </w:rPr>
        <w:t>GR201612000621</w:t>
      </w:r>
      <w:r>
        <w:rPr>
          <w:spacing w:val="-2"/>
        </w:rPr>
        <w:t>的《高新技术企业证书》，有效期</w:t>
      </w:r>
      <w:r>
        <w:rPr>
          <w:rFonts w:ascii="宋体" w:hAnsi="宋体" w:cs="宋体" w:eastAsia="宋体" w:hint="default"/>
          <w:spacing w:val="-2"/>
        </w:rPr>
        <w:t>3</w:t>
      </w:r>
      <w:r>
        <w:rPr>
          <w:spacing w:val="-2"/>
        </w:rPr>
        <w:t>年，根据《中华人民共和国企业所</w:t>
      </w:r>
      <w:r>
        <w:rPr>
          <w:spacing w:val="-66"/>
        </w:rPr>
        <w:t> </w:t>
      </w:r>
      <w:r>
        <w:rPr>
          <w:spacing w:val="-66"/>
        </w:rPr>
      </w:r>
      <w:r>
        <w:rPr/>
        <w:t>得税法》第</w:t>
      </w:r>
      <w:r>
        <w:rPr>
          <w:rFonts w:ascii="宋体" w:hAnsi="宋体" w:cs="宋体" w:eastAsia="宋体" w:hint="default"/>
        </w:rPr>
        <w:t>28</w:t>
      </w:r>
      <w:r>
        <w:rPr/>
        <w:t>条的规定，</w:t>
      </w:r>
      <w:r>
        <w:rPr>
          <w:rFonts w:ascii="宋体" w:hAnsi="宋体" w:cs="宋体" w:eastAsia="宋体" w:hint="default"/>
        </w:rPr>
        <w:t>2017</w:t>
      </w:r>
      <w:r>
        <w:rPr/>
        <w:t>年度按</w:t>
      </w:r>
      <w:r>
        <w:rPr>
          <w:rFonts w:ascii="宋体" w:hAnsi="宋体" w:cs="宋体" w:eastAsia="宋体" w:hint="default"/>
        </w:rPr>
        <w:t>15%</w:t>
      </w:r>
      <w:r>
        <w:rPr/>
        <w:t>的税率缴纳企业所得税。</w:t>
      </w:r>
    </w:p>
    <w:p>
      <w:pPr>
        <w:pStyle w:val="BodyText"/>
        <w:spacing w:line="429" w:lineRule="auto"/>
        <w:ind w:right="1142" w:firstLine="426"/>
        <w:jc w:val="both"/>
      </w:pPr>
      <w:r>
        <w:rPr>
          <w:spacing w:val="-1"/>
        </w:rPr>
        <w:t>滨河创新子公司天津壬辰软件有限公司于</w:t>
      </w: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2</w:t>
      </w:r>
      <w:r>
        <w:rPr>
          <w:spacing w:val="-1"/>
        </w:rPr>
        <w:t>日取得天津市经济和信息化委员会颁发的软件企业认</w:t>
      </w:r>
      <w:r>
        <w:rPr>
          <w:w w:val="100"/>
        </w:rPr>
        <w:t> </w:t>
      </w:r>
      <w:r>
        <w:rPr/>
        <w:t>定证书，证书编号为：津</w:t>
      </w:r>
      <w:r>
        <w:rPr>
          <w:rFonts w:ascii="宋体" w:hAnsi="宋体" w:cs="宋体" w:eastAsia="宋体" w:hint="default"/>
        </w:rPr>
        <w:t>R-2014-0026</w:t>
      </w:r>
      <w:r>
        <w:rPr>
          <w:rFonts w:ascii="宋体" w:hAnsi="宋体" w:cs="宋体" w:eastAsia="宋体" w:hint="default"/>
          <w:spacing w:val="-8"/>
        </w:rPr>
        <w:t> </w:t>
      </w:r>
      <w:r>
        <w:rPr/>
        <w:t>。根据《财政部国家税务总局关于进一步鼓励软件产业和集成电路产业</w:t>
      </w:r>
      <w:r>
        <w:rPr>
          <w:w w:val="100"/>
        </w:rPr>
        <w:t> </w:t>
      </w:r>
      <w:r>
        <w:rPr/>
        <w:t>发展企业所得税政策的通知》财税【</w:t>
      </w:r>
      <w:r>
        <w:rPr>
          <w:rFonts w:ascii="宋体" w:hAnsi="宋体" w:cs="宋体" w:eastAsia="宋体" w:hint="default"/>
        </w:rPr>
        <w:t>2012</w:t>
      </w:r>
      <w:r>
        <w:rPr/>
        <w:t>】</w:t>
      </w:r>
      <w:r>
        <w:rPr>
          <w:rFonts w:ascii="宋体" w:hAnsi="宋体" w:cs="宋体" w:eastAsia="宋体" w:hint="default"/>
        </w:rPr>
        <w:t>27</w:t>
      </w:r>
      <w:r>
        <w:rPr/>
        <w:t>号文件规定，第一年至第二年免征企业所得税，第三年至第五年</w:t>
      </w:r>
      <w:r>
        <w:rPr>
          <w:w w:val="100"/>
        </w:rPr>
        <w:t> </w:t>
      </w:r>
      <w:r>
        <w:rPr/>
        <w:t>按照</w:t>
      </w:r>
      <w:r>
        <w:rPr>
          <w:rFonts w:ascii="宋体" w:hAnsi="宋体" w:cs="宋体" w:eastAsia="宋体" w:hint="default"/>
        </w:rPr>
        <w:t>25%</w:t>
      </w:r>
      <w:r>
        <w:rPr/>
        <w:t>的法定税率减半征收企业所得税。</w:t>
      </w:r>
      <w:r>
        <w:rPr>
          <w:rFonts w:ascii="宋体" w:hAnsi="宋体" w:cs="宋体" w:eastAsia="宋体" w:hint="default"/>
        </w:rPr>
        <w:t>2017</w:t>
      </w:r>
      <w:r>
        <w:rPr/>
        <w:t>年度按照</w:t>
      </w:r>
      <w:r>
        <w:rPr>
          <w:rFonts w:ascii="宋体" w:hAnsi="宋体" w:cs="宋体" w:eastAsia="宋体" w:hint="default"/>
        </w:rPr>
        <w:t>25%</w:t>
      </w:r>
      <w:r>
        <w:rPr/>
        <w:t>的法定税率减半征收企业所得税。</w:t>
      </w:r>
    </w:p>
    <w:p>
      <w:pPr>
        <w:pStyle w:val="BodyText"/>
        <w:spacing w:line="429" w:lineRule="auto"/>
        <w:ind w:left="154" w:right="0" w:firstLine="426"/>
        <w:jc w:val="left"/>
      </w:pPr>
      <w:r>
        <w:rPr>
          <w:spacing w:val="-1"/>
        </w:rPr>
        <w:t>子公司北京中科金财软件技术有限公司根据财政部、国家税务总局财税【</w:t>
      </w:r>
      <w:r>
        <w:rPr>
          <w:rFonts w:ascii="宋体" w:hAnsi="宋体" w:cs="宋体" w:eastAsia="宋体" w:hint="default"/>
          <w:spacing w:val="-1"/>
        </w:rPr>
        <w:t>2016</w:t>
      </w:r>
      <w:r>
        <w:rPr>
          <w:spacing w:val="-1"/>
        </w:rPr>
        <w:t>】</w:t>
      </w:r>
      <w:r>
        <w:rPr>
          <w:rFonts w:ascii="宋体" w:hAnsi="宋体" w:cs="宋体" w:eastAsia="宋体" w:hint="default"/>
          <w:spacing w:val="-1"/>
        </w:rPr>
        <w:t>49</w:t>
      </w:r>
      <w:r>
        <w:rPr>
          <w:spacing w:val="-1"/>
        </w:rPr>
        <w:t>号文件申请办理企业所</w:t>
      </w:r>
      <w:r>
        <w:rPr>
          <w:w w:val="100"/>
        </w:rPr>
        <w:t> </w:t>
      </w:r>
      <w:r>
        <w:rPr/>
        <w:t>得税减免备案。</w:t>
      </w:r>
      <w:r>
        <w:rPr>
          <w:rFonts w:ascii="宋体" w:hAnsi="宋体" w:cs="宋体" w:eastAsia="宋体" w:hint="default"/>
        </w:rPr>
        <w:t>2017</w:t>
      </w:r>
      <w:r>
        <w:rPr/>
        <w:t>年度免征企业所得税。</w:t>
      </w:r>
    </w:p>
    <w:p>
      <w:pPr>
        <w:pStyle w:val="BodyText"/>
        <w:spacing w:line="429" w:lineRule="auto"/>
        <w:ind w:left="154" w:right="0" w:firstLine="426"/>
        <w:jc w:val="left"/>
      </w:pPr>
      <w:r>
        <w:rPr/>
        <w:t>子公司北京中科金财互联网服务有限公司根据《财政部国家税务总局关于小型微利企业所得税优惠政策的</w:t>
      </w:r>
      <w:r>
        <w:rPr>
          <w:w w:val="100"/>
        </w:rPr>
        <w:t> </w:t>
      </w:r>
      <w:r>
        <w:rPr/>
        <w:t>通知》（财税〔</w:t>
      </w:r>
      <w:r>
        <w:rPr>
          <w:rFonts w:ascii="宋体" w:hAnsi="宋体" w:cs="宋体" w:eastAsia="宋体" w:hint="default"/>
        </w:rPr>
        <w:t>2015</w:t>
      </w:r>
      <w:r>
        <w:rPr/>
        <w:t>〕</w:t>
      </w:r>
      <w:r>
        <w:rPr>
          <w:rFonts w:ascii="宋体" w:hAnsi="宋体" w:cs="宋体" w:eastAsia="宋体" w:hint="default"/>
        </w:rPr>
        <w:t>34</w:t>
      </w:r>
      <w:r>
        <w:rPr/>
        <w:t>号）规定及《财政部国家税务总局财政部国家税务总局关于进一步扩大小型微利企业</w:t>
      </w:r>
      <w:r>
        <w:rPr>
          <w:w w:val="100"/>
        </w:rPr>
        <w:t> </w:t>
      </w:r>
      <w:r>
        <w:rPr>
          <w:spacing w:val="-4"/>
        </w:rPr>
        <w:t>所得税优惠政策范围的通知》（财税〔</w:t>
      </w:r>
      <w:r>
        <w:rPr>
          <w:rFonts w:ascii="宋体" w:hAnsi="宋体" w:cs="宋体" w:eastAsia="宋体" w:hint="default"/>
          <w:spacing w:val="-4"/>
        </w:rPr>
        <w:t>2015</w:t>
      </w:r>
      <w:r>
        <w:rPr>
          <w:spacing w:val="-4"/>
        </w:rPr>
        <w:t>〕</w:t>
      </w:r>
      <w:r>
        <w:rPr>
          <w:rFonts w:ascii="宋体" w:hAnsi="宋体" w:cs="宋体" w:eastAsia="宋体" w:hint="default"/>
          <w:spacing w:val="-4"/>
        </w:rPr>
        <w:t>99</w:t>
      </w:r>
      <w:r>
        <w:rPr>
          <w:spacing w:val="-4"/>
        </w:rPr>
        <w:t>号）规定属于小型微利企业，其所得减按</w:t>
      </w:r>
      <w:r>
        <w:rPr>
          <w:rFonts w:ascii="宋体" w:hAnsi="宋体" w:cs="宋体" w:eastAsia="宋体" w:hint="default"/>
          <w:spacing w:val="-4"/>
        </w:rPr>
        <w:t>50%</w:t>
      </w:r>
      <w:r>
        <w:rPr>
          <w:spacing w:val="-4"/>
        </w:rPr>
        <w:t>计入应纳税所得额，</w:t>
      </w:r>
      <w:r>
        <w:rPr>
          <w:spacing w:val="-61"/>
        </w:rPr>
        <w:t> </w:t>
      </w:r>
      <w:r>
        <w:rPr>
          <w:spacing w:val="-61"/>
        </w:rPr>
      </w:r>
      <w:r>
        <w:rPr/>
        <w:t>按</w:t>
      </w:r>
      <w:r>
        <w:rPr>
          <w:rFonts w:ascii="宋体" w:hAnsi="宋体" w:cs="宋体" w:eastAsia="宋体" w:hint="default"/>
        </w:rPr>
        <w:t>20%</w:t>
      </w:r>
      <w:r>
        <w:rPr/>
        <w:t>的税率缴纳企业所得税。</w:t>
      </w:r>
    </w:p>
    <w:p>
      <w:pPr>
        <w:pStyle w:val="BodyText"/>
        <w:spacing w:line="429" w:lineRule="auto"/>
        <w:ind w:right="0" w:firstLine="426"/>
        <w:jc w:val="left"/>
      </w:pPr>
      <w:r>
        <w:rPr/>
        <w:t>子公司霍尔果斯金财科技服务有限公司和滨河创新的子公司霍尔果斯滨河创新软件技术有限公司根据《霍</w:t>
      </w:r>
      <w:r>
        <w:rPr>
          <w:w w:val="100"/>
        </w:rPr>
        <w:t> </w:t>
      </w:r>
      <w:r>
        <w:rPr/>
        <w:t>尔果斯经济开发区招商引资财税优惠政策》霍特管办发</w:t>
      </w:r>
      <w:r>
        <w:rPr>
          <w:rFonts w:ascii="宋体" w:hAnsi="宋体" w:cs="宋体" w:eastAsia="宋体" w:hint="default"/>
        </w:rPr>
        <w:t>[2013]55</w:t>
      </w:r>
      <w:r>
        <w:rPr/>
        <w:t>号规定及《财政部国家税务总局关于新疆喀什</w:t>
      </w:r>
      <w:r>
        <w:rPr>
          <w:w w:val="100"/>
        </w:rPr>
        <w:t> </w:t>
      </w:r>
      <w:r>
        <w:rPr>
          <w:spacing w:val="-6"/>
        </w:rPr>
        <w:t>霍尔果斯两个特殊经济开发区企业所得税优惠政策的通知》财税【</w:t>
      </w:r>
      <w:r>
        <w:rPr>
          <w:rFonts w:ascii="宋体" w:hAnsi="宋体" w:cs="宋体" w:eastAsia="宋体" w:hint="default"/>
          <w:spacing w:val="-6"/>
        </w:rPr>
        <w:t>2011</w:t>
      </w:r>
      <w:r>
        <w:rPr>
          <w:spacing w:val="-6"/>
        </w:rPr>
        <w:t>】</w:t>
      </w:r>
      <w:r>
        <w:rPr>
          <w:rFonts w:ascii="宋体" w:hAnsi="宋体" w:cs="宋体" w:eastAsia="宋体" w:hint="default"/>
          <w:spacing w:val="-6"/>
        </w:rPr>
        <w:t>112</w:t>
      </w:r>
      <w:r>
        <w:rPr>
          <w:spacing w:val="-6"/>
        </w:rPr>
        <w:t>号第一条规定，</w:t>
      </w:r>
      <w:r>
        <w:rPr>
          <w:rFonts w:ascii="宋体" w:hAnsi="宋体" w:cs="宋体" w:eastAsia="宋体" w:hint="default"/>
          <w:spacing w:val="-6"/>
        </w:rPr>
        <w:t>2010</w:t>
      </w:r>
      <w:r>
        <w:rPr>
          <w:spacing w:val="-6"/>
        </w:rPr>
        <w:t>年</w:t>
      </w:r>
      <w:r>
        <w:rPr>
          <w:rFonts w:ascii="宋体" w:hAnsi="宋体" w:cs="宋体" w:eastAsia="宋体" w:hint="default"/>
          <w:spacing w:val="-6"/>
        </w:rPr>
        <w:t>1</w:t>
      </w:r>
      <w:r>
        <w:rPr>
          <w:spacing w:val="-6"/>
        </w:rPr>
        <w:t>月</w:t>
      </w:r>
      <w:r>
        <w:rPr>
          <w:rFonts w:ascii="宋体" w:hAnsi="宋体" w:cs="宋体" w:eastAsia="宋体" w:hint="default"/>
          <w:spacing w:val="-6"/>
        </w:rPr>
        <w:t>1</w:t>
      </w:r>
      <w:r>
        <w:rPr>
          <w:spacing w:val="-6"/>
        </w:rPr>
        <w:t>日至</w:t>
      </w:r>
      <w:r>
        <w:rPr>
          <w:rFonts w:ascii="宋体" w:hAnsi="宋体" w:cs="宋体" w:eastAsia="宋体" w:hint="default"/>
          <w:spacing w:val="-6"/>
        </w:rPr>
        <w:t>2020</w:t>
      </w:r>
      <w:r>
        <w:rPr>
          <w:rFonts w:ascii="宋体" w:hAnsi="宋体" w:cs="宋体" w:eastAsia="宋体" w:hint="default"/>
          <w:spacing w:val="-30"/>
        </w:rPr>
        <w:t> </w:t>
      </w:r>
      <w:r>
        <w:rPr>
          <w:rFonts w:ascii="宋体" w:hAnsi="宋体" w:cs="宋体" w:eastAsia="宋体" w:hint="default"/>
          <w:spacing w:val="-30"/>
        </w:rPr>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日，对在开发区内新办的属于《新疆困难地区重点鼓励发展产业企业所得税优惠目录》范围内的企业，</w:t>
      </w:r>
      <w:r>
        <w:rPr>
          <w:spacing w:val="-73"/>
        </w:rPr>
        <w:t> </w:t>
      </w:r>
      <w:r>
        <w:rPr>
          <w:spacing w:val="-73"/>
        </w:rPr>
      </w:r>
      <w:r>
        <w:rPr/>
        <w:t>自取得第一笔生产经营收入所属纳税年底起，企业所得税五年免征优惠。</w:t>
      </w:r>
    </w:p>
    <w:p>
      <w:pPr>
        <w:pStyle w:val="BodyText"/>
        <w:spacing w:line="429" w:lineRule="auto"/>
        <w:ind w:left="579" w:right="0"/>
        <w:jc w:val="left"/>
      </w:pPr>
      <w:r>
        <w:rPr>
          <w:rFonts w:ascii="宋体" w:hAnsi="宋体" w:cs="宋体" w:eastAsia="宋体" w:hint="default"/>
        </w:rPr>
        <w:t>(2)</w:t>
      </w:r>
      <w:r>
        <w:rPr/>
        <w:t>增值税减免及退税</w:t>
      </w:r>
      <w:r>
        <w:rPr>
          <w:w w:val="100"/>
        </w:rPr>
        <w:t> </w:t>
      </w:r>
      <w:r>
        <w:rPr>
          <w:spacing w:val="-3"/>
          <w:w w:val="100"/>
        </w:rPr>
        <w:t>根据《财政部国家税务总局关于在北京等</w:t>
      </w:r>
      <w:r>
        <w:rPr>
          <w:rFonts w:ascii="宋体" w:hAnsi="宋体" w:cs="宋体" w:eastAsia="宋体" w:hint="default"/>
          <w:spacing w:val="-3"/>
          <w:w w:val="100"/>
        </w:rPr>
        <w:t>8</w:t>
      </w:r>
      <w:r>
        <w:rPr>
          <w:spacing w:val="-3"/>
          <w:w w:val="100"/>
        </w:rPr>
        <w:t>省市开展交通运输业和部分现代服务业营业税改征增值税试点的</w:t>
      </w:r>
    </w:p>
    <w:p>
      <w:pPr>
        <w:pStyle w:val="BodyText"/>
        <w:spacing w:line="429" w:lineRule="auto"/>
        <w:ind w:right="1132"/>
        <w:jc w:val="both"/>
      </w:pPr>
      <w:r>
        <w:rPr>
          <w:spacing w:val="-2"/>
        </w:rPr>
        <w:t>通知》</w:t>
      </w:r>
      <w:r>
        <w:rPr>
          <w:rFonts w:ascii="宋体" w:hAnsi="宋体" w:cs="宋体" w:eastAsia="宋体" w:hint="default"/>
          <w:spacing w:val="-2"/>
        </w:rPr>
        <w:t>(</w:t>
      </w:r>
      <w:r>
        <w:rPr>
          <w:spacing w:val="-2"/>
        </w:rPr>
        <w:t>财税〔</w:t>
      </w:r>
      <w:r>
        <w:rPr>
          <w:rFonts w:ascii="宋体" w:hAnsi="宋体" w:cs="宋体" w:eastAsia="宋体" w:hint="default"/>
          <w:spacing w:val="-2"/>
        </w:rPr>
        <w:t>2012</w:t>
      </w:r>
      <w:r>
        <w:rPr>
          <w:spacing w:val="-2"/>
        </w:rPr>
        <w:t>〕</w:t>
      </w:r>
      <w:r>
        <w:rPr>
          <w:rFonts w:ascii="宋体" w:hAnsi="宋体" w:cs="宋体" w:eastAsia="宋体" w:hint="default"/>
          <w:spacing w:val="-2"/>
        </w:rPr>
        <w:t>71</w:t>
      </w:r>
      <w:r>
        <w:rPr>
          <w:spacing w:val="-2"/>
        </w:rPr>
        <w:t>号）规定及《关于在全国开展交通运输业和部分现代服务业营业税改征增值税试点税收</w:t>
      </w:r>
      <w:r>
        <w:rPr>
          <w:spacing w:val="-77"/>
        </w:rPr>
        <w:t> </w:t>
      </w:r>
      <w:r>
        <w:rPr>
          <w:spacing w:val="-77"/>
        </w:rPr>
      </w:r>
      <w:r>
        <w:rPr/>
        <w:t>政策的通知》（财税</w:t>
      </w:r>
      <w:r>
        <w:rPr>
          <w:rFonts w:ascii="宋体" w:hAnsi="宋体" w:cs="宋体" w:eastAsia="宋体" w:hint="default"/>
        </w:rPr>
        <w:t>[2013]37</w:t>
      </w:r>
      <w:r>
        <w:rPr/>
        <w:t>号）规定及《财政部国家税务总局关于全面推开营业税改征增值税试点的通知》</w:t>
      </w:r>
      <w:r>
        <w:rPr>
          <w:w w:val="100"/>
        </w:rPr>
        <w:t> </w:t>
      </w:r>
      <w:r>
        <w:rPr/>
        <w:t>财税</w:t>
      </w:r>
      <w:r>
        <w:rPr>
          <w:rFonts w:ascii="宋体" w:hAnsi="宋体" w:cs="宋体" w:eastAsia="宋体" w:hint="default"/>
        </w:rPr>
        <w:t>[2016]36</w:t>
      </w:r>
      <w:r>
        <w:rPr/>
        <w:t>号规定，本公司</w:t>
      </w:r>
      <w:r>
        <w:rPr>
          <w:rFonts w:ascii="宋体" w:hAnsi="宋体" w:cs="宋体" w:eastAsia="宋体" w:hint="default"/>
        </w:rPr>
        <w:t>2017</w:t>
      </w:r>
      <w:r>
        <w:rPr/>
        <w:t>年度提供技术转让、技术开发业务和与之相关的技术咨询、技术服务业务取</w:t>
      </w:r>
      <w:r>
        <w:rPr>
          <w:w w:val="100"/>
        </w:rPr>
        <w:t> </w:t>
      </w:r>
      <w:r>
        <w:rPr/>
        <w:t>得的收入免征增值税。</w:t>
      </w:r>
    </w:p>
    <w:p>
      <w:pPr>
        <w:pStyle w:val="BodyText"/>
        <w:spacing w:line="429" w:lineRule="auto"/>
        <w:ind w:right="0" w:firstLine="426"/>
        <w:jc w:val="left"/>
      </w:pPr>
      <w:r>
        <w:rPr>
          <w:rFonts w:ascii="宋体" w:hAnsi="宋体" w:cs="宋体" w:eastAsia="宋体" w:hint="default"/>
          <w:spacing w:val="-3"/>
        </w:rPr>
        <w:t>2011</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18</w:t>
      </w:r>
      <w:r>
        <w:rPr>
          <w:spacing w:val="-3"/>
        </w:rPr>
        <w:t>日，国务院颁发《进一步鼓励软件产业和集成电路产业发展的若干政策》（国发</w:t>
      </w:r>
      <w:r>
        <w:rPr>
          <w:rFonts w:ascii="宋体" w:hAnsi="宋体" w:cs="宋体" w:eastAsia="宋体" w:hint="default"/>
          <w:spacing w:val="-3"/>
        </w:rPr>
        <w:t>[2011]4</w:t>
      </w:r>
      <w:r>
        <w:rPr>
          <w:spacing w:val="-3"/>
        </w:rPr>
        <w:t>号），</w:t>
      </w:r>
      <w:r>
        <w:rPr>
          <w:w w:val="100"/>
        </w:rPr>
        <w:t> </w:t>
      </w:r>
      <w:r>
        <w:rPr/>
        <w:t>规定明确了“继续实施软件增值税优惠政策”。</w:t>
      </w:r>
    </w:p>
    <w:p>
      <w:pPr>
        <w:pStyle w:val="BodyText"/>
        <w:spacing w:line="429" w:lineRule="auto"/>
        <w:ind w:right="0" w:firstLine="426"/>
        <w:jc w:val="left"/>
      </w:pPr>
      <w:r>
        <w:rPr>
          <w:rFonts w:ascii="宋体" w:hAnsi="宋体" w:cs="宋体" w:eastAsia="宋体" w:hint="default"/>
          <w:spacing w:val="-3"/>
        </w:rPr>
        <w:t>2011</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14</w:t>
      </w:r>
      <w:r>
        <w:rPr>
          <w:spacing w:val="-3"/>
        </w:rPr>
        <w:t>日，财政部发布了《关于软件产品增值税政策的通知》（财税</w:t>
      </w:r>
      <w:r>
        <w:rPr>
          <w:rFonts w:ascii="宋体" w:hAnsi="宋体" w:cs="宋体" w:eastAsia="宋体" w:hint="default"/>
          <w:spacing w:val="-3"/>
        </w:rPr>
        <w:t>[2011]100</w:t>
      </w:r>
      <w:r>
        <w:rPr>
          <w:spacing w:val="-3"/>
        </w:rPr>
        <w:t>号）明确了增值税一</w:t>
      </w:r>
      <w:r>
        <w:rPr>
          <w:w w:val="100"/>
        </w:rPr>
        <w:t> </w:t>
      </w:r>
      <w:r>
        <w:rPr>
          <w:spacing w:val="-2"/>
        </w:rPr>
        <w:t>般纳税人销售其自行开发生产的软件产品，按</w:t>
      </w:r>
      <w:r>
        <w:rPr>
          <w:rFonts w:ascii="宋体" w:hAnsi="宋体" w:cs="宋体" w:eastAsia="宋体" w:hint="default"/>
          <w:spacing w:val="-2"/>
        </w:rPr>
        <w:t>17%</w:t>
      </w:r>
      <w:r>
        <w:rPr>
          <w:spacing w:val="-2"/>
        </w:rPr>
        <w:t>税率征收增值税后，对其增值税实际税负超过</w:t>
      </w:r>
      <w:r>
        <w:rPr>
          <w:rFonts w:ascii="宋体" w:hAnsi="宋体" w:cs="宋体" w:eastAsia="宋体" w:hint="default"/>
          <w:spacing w:val="-2"/>
        </w:rPr>
        <w:t>3%</w:t>
      </w:r>
      <w:r>
        <w:rPr>
          <w:spacing w:val="-2"/>
        </w:rPr>
        <w:t>的部分实行即</w:t>
      </w:r>
    </w:p>
    <w:p>
      <w:pPr>
        <w:spacing w:after="0" w:line="42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0"/>
        <w:ind w:right="0"/>
        <w:jc w:val="left"/>
      </w:pPr>
      <w:r>
        <w:rPr/>
        <w:t>征即退政策。</w:t>
      </w:r>
    </w:p>
    <w:p>
      <w:pPr>
        <w:spacing w:line="240" w:lineRule="auto" w:before="0"/>
        <w:rPr>
          <w:rFonts w:ascii="宋体" w:hAnsi="宋体" w:cs="宋体" w:eastAsia="宋体" w:hint="default"/>
          <w:sz w:val="20"/>
          <w:szCs w:val="20"/>
        </w:rPr>
      </w:pPr>
    </w:p>
    <w:p>
      <w:pPr>
        <w:pStyle w:val="Heading2"/>
        <w:spacing w:line="240" w:lineRule="auto" w:before="135"/>
        <w:ind w:right="0"/>
        <w:jc w:val="left"/>
        <w:rPr>
          <w:b w:val="0"/>
          <w:bCs w:val="0"/>
        </w:rPr>
      </w:pPr>
      <w:bookmarkStart w:name="七、合并财务报表项目注释" w:id="218"/>
      <w:bookmarkEnd w:id="218"/>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货币资金" w:id="219"/>
      <w:bookmarkEnd w:id="21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182,243.35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211,711.83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546,342,108.19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720,393,860.56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130,489,872.84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23,629,156.93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677,014,224.38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744,234,729.32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117,298.24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8"/>
        <w:ind w:right="0"/>
        <w:jc w:val="left"/>
      </w:pPr>
      <w:r>
        <w:rPr>
          <w:spacing w:val="-1"/>
        </w:rPr>
        <w:t>其中因抵押、质押或冻结等对使用有限制的货币资金明细如下：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756" w:space="2345"/>
            <w:col w:w="2829"/>
          </w:cols>
        </w:sectPr>
      </w:pPr>
    </w:p>
    <w:p>
      <w:pPr>
        <w:spacing w:line="240" w:lineRule="auto" w:before="0"/>
        <w:rPr>
          <w:rFonts w:ascii="宋体" w:hAnsi="宋体" w:cs="宋体" w:eastAsia="宋体" w:hint="default"/>
          <w:sz w:val="5"/>
          <w:szCs w:val="5"/>
        </w:rPr>
      </w:pPr>
    </w:p>
    <w:tbl>
      <w:tblPr>
        <w:tblW w:w="0" w:type="auto"/>
        <w:jc w:val="left"/>
        <w:tblInd w:w="726" w:type="dxa"/>
        <w:tblLayout w:type="fixed"/>
        <w:tblCellMar>
          <w:top w:w="0" w:type="dxa"/>
          <w:left w:w="0" w:type="dxa"/>
          <w:bottom w:w="0" w:type="dxa"/>
          <w:right w:w="0" w:type="dxa"/>
        </w:tblCellMar>
        <w:tblLook w:val="01E0"/>
      </w:tblPr>
      <w:tblGrid>
        <w:gridCol w:w="2521"/>
        <w:gridCol w:w="3436"/>
        <w:gridCol w:w="2526"/>
      </w:tblGrid>
      <w:tr>
        <w:trPr>
          <w:trHeight w:val="342"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135,288.28</w:t>
            </w: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33,763,001.51</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21,277,199.28</w:t>
            </w:r>
          </w:p>
        </w:tc>
      </w:tr>
      <w:tr>
        <w:trPr>
          <w:trHeight w:val="342"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代管资金</w:t>
            </w:r>
          </w:p>
        </w:tc>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34,061,901.82</w:t>
            </w: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21,869,026.54</w:t>
            </w: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信托托管金</w:t>
            </w:r>
          </w:p>
        </w:tc>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40,525,372.60</w:t>
            </w: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3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130,354,590.75</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21,277,199.28</w:t>
            </w:r>
          </w:p>
        </w:tc>
      </w:tr>
    </w:tbl>
    <w:p>
      <w:pPr>
        <w:pStyle w:val="BodyText"/>
        <w:spacing w:line="410" w:lineRule="auto" w:before="72"/>
        <w:ind w:left="154" w:right="0" w:firstLine="471"/>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日，其他货币资金中人民币</w:t>
      </w:r>
      <w:r>
        <w:rPr>
          <w:rFonts w:ascii="Times New Roman" w:hAnsi="Times New Roman" w:cs="Times New Roman" w:eastAsia="Times New Roman" w:hint="default"/>
        </w:rPr>
        <w:t>33,763,001.51</w:t>
      </w:r>
      <w:r>
        <w:rPr/>
        <w:t>元系本公司向银行申请开具无条件、不可撤销</w:t>
      </w:r>
      <w:r>
        <w:rPr>
          <w:w w:val="100"/>
        </w:rPr>
        <w:t> </w:t>
      </w:r>
      <w:r>
        <w:rPr/>
        <w:t>的担保函所存入的保证金存款，</w:t>
      </w:r>
      <w:r>
        <w:rPr>
          <w:rFonts w:ascii="Times New Roman" w:hAnsi="Times New Roman" w:cs="Times New Roman" w:eastAsia="Times New Roman" w:hint="default"/>
        </w:rPr>
        <w:t>34,061,901.82</w:t>
      </w:r>
      <w:r>
        <w:rPr/>
        <w:t>元系大连金融资产交易所有限公司因提供相关产品的发行交易服</w:t>
      </w:r>
      <w:r>
        <w:rPr>
          <w:w w:val="100"/>
        </w:rPr>
        <w:t> </w:t>
      </w:r>
      <w:r>
        <w:rPr>
          <w:spacing w:val="-2"/>
        </w:rPr>
        <w:t>务形成的代管资金，</w:t>
      </w:r>
      <w:r>
        <w:rPr>
          <w:rFonts w:ascii="Times New Roman" w:hAnsi="Times New Roman" w:cs="Times New Roman" w:eastAsia="Times New Roman" w:hint="default"/>
          <w:spacing w:val="-2"/>
        </w:rPr>
        <w:t>21,869,026.54</w:t>
      </w:r>
      <w:r>
        <w:rPr>
          <w:spacing w:val="-2"/>
        </w:rPr>
        <w:t>元系华缔资产管理（北京）有限公司存放在九江银行的保证金，</w:t>
      </w:r>
      <w:r>
        <w:rPr>
          <w:rFonts w:ascii="Times New Roman" w:hAnsi="Times New Roman" w:cs="Times New Roman" w:eastAsia="Times New Roman" w:hint="default"/>
          <w:spacing w:val="-2"/>
        </w:rPr>
        <w:t>40,525,372.60</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2"/>
        </w:rPr>
        <w:t>元系深圳中金财富互联网金融服务有限公司、华缔资产管理（北京）有限公司设立的纳入合并范围的信托计划，</w:t>
      </w:r>
      <w:r>
        <w:rPr>
          <w:spacing w:val="-76"/>
        </w:rPr>
        <w:t> </w:t>
      </w:r>
      <w:r>
        <w:rPr>
          <w:spacing w:val="-76"/>
        </w:rPr>
      </w:r>
      <w:r>
        <w:rPr/>
        <w:t>存放于信托公司的资金账户余额。</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应收票据" w:id="220"/>
      <w:bookmarkEnd w:id="220"/>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1"/>
      <w:bookmarkEnd w:id="22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8,137,514.49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15,169,281.00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650,127.67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8,137,514.49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15,819,408.67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背书或贴现且在资产负债表日尚未到期的应收票据" w:id="222"/>
      <w:bookmarkEnd w:id="222"/>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866,083.95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1,266,083.95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应收账款" w:id="223"/>
      <w:bookmarkEnd w:id="223"/>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24"/>
      <w:bookmarkEnd w:id="22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100,450,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854.84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8,812,20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91,638,64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9.96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83,349,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099.49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7,485,049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75,864,050.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100,450,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854.84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8,812,20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4.88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8.77%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91,638,64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9.96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83,349,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099.49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7,485,049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8.98%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75,864,050.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75,933,022.70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3,796,651.14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75,933,022.70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3,796,651.14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16,107,572.85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1,610,757.28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4,101,967.06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820,393.41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4,308,292.23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2,584,403.05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3,447,778.39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1,723,889.21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860,513.84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860,513.84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100,450,854.84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8,812,204.88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w:t>
            </w:r>
          </w:p>
        </w:tc>
      </w:tr>
    </w:tbl>
    <w:p>
      <w:pPr>
        <w:spacing w:line="331" w:lineRule="auto" w:before="51"/>
        <w:ind w:left="153" w:right="2809"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w:t>
      </w:r>
      <w:r>
        <w:rPr>
          <w:rFonts w:ascii="宋体" w:hAnsi="宋体" w:cs="宋体" w:eastAsia="宋体" w:hint="default"/>
          <w:spacing w:val="-1"/>
          <w:sz w:val="20"/>
          <w:szCs w:val="20"/>
        </w:rPr>
        <w:t>以公司的会计政策确定该组合，详见五、重要的会计政策和会计估计</w:t>
      </w:r>
      <w:r>
        <w:rPr>
          <w:rFonts w:ascii="Times New Roman" w:hAnsi="Times New Roman" w:cs="Times New Roman" w:eastAsia="Times New Roman" w:hint="default"/>
          <w:spacing w:val="-1"/>
          <w:sz w:val="20"/>
          <w:szCs w:val="20"/>
        </w:rPr>
        <w:t>11</w:t>
      </w:r>
      <w:r>
        <w:rPr>
          <w:rFonts w:ascii="宋体" w:hAnsi="宋体" w:cs="宋体" w:eastAsia="宋体" w:hint="default"/>
          <w:spacing w:val="-1"/>
          <w:sz w:val="20"/>
          <w:szCs w:val="20"/>
        </w:rPr>
        <w:t>、应收款项。</w:t>
      </w:r>
      <w:r>
        <w:rPr>
          <w:rFonts w:ascii="宋体" w:hAnsi="宋体" w:cs="宋体" w:eastAsia="宋体" w:hint="default"/>
          <w:spacing w:val="-72"/>
          <w:sz w:val="20"/>
          <w:szCs w:val="20"/>
        </w:rPr>
        <w:t> </w:t>
      </w:r>
      <w:r>
        <w:rPr>
          <w:rFonts w:ascii="宋体" w:hAnsi="宋体" w:cs="宋体" w:eastAsia="宋体" w:hint="default"/>
          <w:spacing w:val="-72"/>
          <w:sz w:val="20"/>
          <w:szCs w:val="20"/>
        </w:rPr>
      </w:r>
      <w:r>
        <w:rPr>
          <w:rFonts w:ascii="宋体" w:hAnsi="宋体" w:cs="宋体" w:eastAsia="宋体" w:hint="default"/>
          <w:sz w:val="18"/>
          <w:szCs w:val="18"/>
        </w:rPr>
        <w:t>组合中，采用余额百分比法计提坏账准备的应收账款：</w:t>
      </w:r>
    </w:p>
    <w:p>
      <w:pPr>
        <w:spacing w:line="348" w:lineRule="auto" w:before="49"/>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225"/>
      <w:bookmarkEnd w:id="22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25"/>
          <w:szCs w:val="25"/>
        </w:rPr>
      </w:pPr>
    </w:p>
    <w:p>
      <w:pPr>
        <w:pStyle w:val="BodyText"/>
        <w:spacing w:line="240" w:lineRule="auto" w:before="0"/>
        <w:ind w:left="154" w:right="0"/>
        <w:jc w:val="left"/>
      </w:pPr>
      <w:r>
        <w:rPr/>
        <w:t>本期计提坏账准备金额</w:t>
      </w:r>
      <w:r>
        <w:rPr>
          <w:spacing w:val="-53"/>
        </w:rPr>
        <w:t> </w:t>
      </w:r>
      <w:r>
        <w:rPr>
          <w:rFonts w:ascii="Times New Roman" w:hAnsi="Times New Roman" w:cs="Times New Roman" w:eastAsia="Times New Roman" w:hint="default"/>
        </w:rPr>
        <w:t>1,327,155.88</w:t>
      </w:r>
      <w:r>
        <w:rPr>
          <w:rFonts w:ascii="Times New Roman" w:hAnsi="Times New Roman" w:cs="Times New Roman" w:eastAsia="Times New Roman" w:hint="default"/>
          <w:spacing w:val="-3"/>
        </w:rPr>
        <w:t> </w:t>
      </w:r>
      <w:r>
        <w:rPr/>
        <w:t>元；本期收回或转回坏账准备金额</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spacing w:line="240" w:lineRule="auto" w:before="12"/>
        <w:rPr>
          <w:rFonts w:ascii="宋体" w:hAnsi="宋体" w:cs="宋体" w:eastAsia="宋体" w:hint="default"/>
          <w:sz w:val="24"/>
          <w:szCs w:val="24"/>
        </w:rPr>
      </w:pPr>
    </w:p>
    <w:p>
      <w:pPr>
        <w:pStyle w:val="Heading3"/>
        <w:spacing w:line="240" w:lineRule="auto"/>
        <w:ind w:left="153" w:right="0"/>
        <w:jc w:val="left"/>
        <w:rPr>
          <w:b w:val="0"/>
          <w:bCs w:val="0"/>
        </w:rPr>
      </w:pPr>
      <w:bookmarkStart w:name="（3）按欠款方归集的期末余额前五名的应收账款情况" w:id="226"/>
      <w:bookmarkEnd w:id="226"/>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9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704" w:type="dxa"/>
        <w:tblLayout w:type="fixed"/>
        <w:tblCellMar>
          <w:top w:w="0" w:type="dxa"/>
          <w:left w:w="0" w:type="dxa"/>
          <w:bottom w:w="0" w:type="dxa"/>
          <w:right w:w="0" w:type="dxa"/>
        </w:tblCellMar>
        <w:tblLook w:val="01E0"/>
      </w:tblPr>
      <w:tblGrid>
        <w:gridCol w:w="2935"/>
        <w:gridCol w:w="1611"/>
        <w:gridCol w:w="2314"/>
        <w:gridCol w:w="1669"/>
      </w:tblGrid>
      <w:tr>
        <w:trPr>
          <w:trHeight w:val="342" w:hRule="exact"/>
        </w:trPr>
        <w:tc>
          <w:tcPr>
            <w:tcW w:w="293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5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2935" w:type="dxa"/>
            <w:vMerge/>
            <w:tcBorders>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8,384,000.00</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8.35</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419,200.00</w:t>
            </w:r>
          </w:p>
        </w:tc>
      </w:tr>
      <w:tr>
        <w:trPr>
          <w:trHeight w:val="342"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农信银资金清算中心有限责任公司</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6,943,223.46</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6.91</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347,161.17</w:t>
            </w:r>
          </w:p>
        </w:tc>
      </w:tr>
      <w:tr>
        <w:trPr>
          <w:trHeight w:val="342"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天津港信息技术发展有限公司</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5,920,000.00</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5.89</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296,000.00</w:t>
            </w:r>
          </w:p>
        </w:tc>
      </w:tr>
      <w:tr>
        <w:trPr>
          <w:trHeight w:val="342"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渤海国际信托股份有限公司</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5,000,000.00</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4.98</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250,000.00</w:t>
            </w:r>
          </w:p>
        </w:tc>
      </w:tr>
      <w:tr>
        <w:trPr>
          <w:trHeight w:val="654"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中国石油天然气股份有限公司兰州石</w:t>
            </w:r>
            <w:r>
              <w:rPr>
                <w:rFonts w:ascii="宋体" w:hAnsi="宋体" w:cs="宋体" w:eastAsia="宋体" w:hint="default"/>
                <w:spacing w:val="-59"/>
                <w:sz w:val="18"/>
                <w:szCs w:val="18"/>
              </w:rPr>
              <w:t> </w:t>
            </w:r>
            <w:r>
              <w:rPr>
                <w:rFonts w:ascii="宋体" w:hAnsi="宋体" w:cs="宋体" w:eastAsia="宋体" w:hint="default"/>
                <w:sz w:val="18"/>
                <w:szCs w:val="18"/>
              </w:rPr>
              <w:t>化分公司</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2,935,000.00</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2.92</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146,750.00</w:t>
            </w:r>
          </w:p>
        </w:tc>
      </w:tr>
      <w:tr>
        <w:trPr>
          <w:trHeight w:val="342"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29,182,223.46</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29.05</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1,459,111.17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预付款项" w:id="227"/>
      <w:bookmarkEnd w:id="227"/>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28"/>
      <w:bookmarkEnd w:id="22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6,159,904.41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20,295,024.22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98.84%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237,625.28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6,159,904.41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20,532,649.50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按预付对象归集的期末余额前五名的预付款情况" w:id="229"/>
      <w:bookmarkEnd w:id="22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3"/>
          <w:szCs w:val="23"/>
        </w:rPr>
      </w:pPr>
    </w:p>
    <w:p>
      <w:pPr>
        <w:spacing w:before="44"/>
        <w:ind w:left="0" w:right="19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04" w:type="dxa"/>
        <w:tblLayout w:type="fixed"/>
        <w:tblCellMar>
          <w:top w:w="0" w:type="dxa"/>
          <w:left w:w="0" w:type="dxa"/>
          <w:bottom w:w="0" w:type="dxa"/>
          <w:right w:w="0" w:type="dxa"/>
        </w:tblCellMar>
        <w:tblLook w:val="01E0"/>
      </w:tblPr>
      <w:tblGrid>
        <w:gridCol w:w="4805"/>
        <w:gridCol w:w="2068"/>
        <w:gridCol w:w="1656"/>
      </w:tblGrid>
      <w:tr>
        <w:trPr>
          <w:trHeight w:val="654" w:hRule="exact"/>
        </w:trPr>
        <w:tc>
          <w:tcPr>
            <w:tcW w:w="4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148" w:right="101"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占预付款期末余额 合计数的比例</w:t>
            </w:r>
            <w:r>
              <w:rPr>
                <w:rFonts w:ascii="Times New Roman" w:hAnsi="Times New Roman" w:cs="Times New Roman" w:eastAsia="Times New Roman" w:hint="default"/>
                <w:sz w:val="18"/>
                <w:szCs w:val="18"/>
              </w:rPr>
              <w:t>(%)</w:t>
            </w:r>
          </w:p>
        </w:tc>
      </w:tr>
      <w:tr>
        <w:trPr>
          <w:trHeight w:val="342" w:hRule="exact"/>
        </w:trPr>
        <w:tc>
          <w:tcPr>
            <w:tcW w:w="4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北京北航科技园有限公司</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1,582,328.19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25.69</w:t>
            </w:r>
          </w:p>
        </w:tc>
      </w:tr>
      <w:tr>
        <w:trPr>
          <w:trHeight w:val="342" w:hRule="exact"/>
        </w:trPr>
        <w:tc>
          <w:tcPr>
            <w:tcW w:w="4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1,508,717.18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24.49</w:t>
            </w:r>
          </w:p>
        </w:tc>
      </w:tr>
      <w:tr>
        <w:trPr>
          <w:trHeight w:val="342" w:hRule="exact"/>
        </w:trPr>
        <w:tc>
          <w:tcPr>
            <w:tcW w:w="4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北京中鑫高胜科技有限公司</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451,795.78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7.33</w:t>
            </w:r>
          </w:p>
        </w:tc>
      </w:tr>
      <w:tr>
        <w:trPr>
          <w:trHeight w:val="342" w:hRule="exact"/>
        </w:trPr>
        <w:tc>
          <w:tcPr>
            <w:tcW w:w="4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北京华融视讯电子设备有限公司</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399,900.00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6.49</w:t>
            </w:r>
          </w:p>
        </w:tc>
      </w:tr>
      <w:tr>
        <w:trPr>
          <w:trHeight w:val="342" w:hRule="exact"/>
        </w:trPr>
        <w:tc>
          <w:tcPr>
            <w:tcW w:w="4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西安英图克自动化有限公司</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334,070.00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5.42</w:t>
            </w:r>
          </w:p>
        </w:tc>
      </w:tr>
      <w:tr>
        <w:trPr>
          <w:trHeight w:val="342" w:hRule="exact"/>
        </w:trPr>
        <w:tc>
          <w:tcPr>
            <w:tcW w:w="4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4,276,811.15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69.42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其他应收款" w:id="230"/>
      <w:bookmarkEnd w:id="230"/>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31"/>
      <w:bookmarkEnd w:id="23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17,870,2</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67.21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14,296,2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13.77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3,574,053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69,274,0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83.99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8,051,14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61,222,94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46,341,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797.68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7,730,918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38,610,879.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87,144,3</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51.20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22,347,3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57.72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25.64%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64,796,99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3.48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46,341,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797.68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7,730,918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16.68%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38,610,879.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2859"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辽宁辉山乳业集团有限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848" w:right="0"/>
              <w:jc w:val="left"/>
              <w:rPr>
                <w:rFonts w:ascii="Times New Roman" w:hAnsi="Times New Roman" w:cs="Times New Roman" w:eastAsia="Times New Roman" w:hint="default"/>
                <w:sz w:val="18"/>
                <w:szCs w:val="18"/>
              </w:rPr>
            </w:pPr>
            <w:r>
              <w:rPr>
                <w:rFonts w:ascii="Times New Roman"/>
                <w:sz w:val="18"/>
              </w:rPr>
              <w:t>17,870,267.21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846" w:right="0"/>
              <w:jc w:val="left"/>
              <w:rPr>
                <w:rFonts w:ascii="Times New Roman" w:hAnsi="Times New Roman" w:cs="Times New Roman" w:eastAsia="Times New Roman" w:hint="default"/>
                <w:sz w:val="18"/>
                <w:szCs w:val="18"/>
              </w:rPr>
            </w:pPr>
            <w:r>
              <w:rPr>
                <w:rFonts w:ascii="Times New Roman"/>
                <w:sz w:val="18"/>
              </w:rPr>
              <w:t>14,296,213.77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21"/>
              <w:jc w:val="right"/>
              <w:rPr>
                <w:rFonts w:ascii="Times New Roman" w:hAnsi="Times New Roman" w:cs="Times New Roman" w:eastAsia="Times New Roman" w:hint="default"/>
                <w:sz w:val="18"/>
                <w:szCs w:val="18"/>
              </w:rPr>
            </w:pPr>
            <w:r>
              <w:rPr>
                <w:rFonts w:ascii="Times New Roman"/>
                <w:sz w:val="18"/>
              </w:rPr>
              <w:t>80.00%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辽宁辉山乳业集团有限 公司在本公司子公司大 连金融资产交易所有限 公司登记发行</w:t>
            </w:r>
            <w:r>
              <w:rPr>
                <w:rFonts w:ascii="Times New Roman" w:hAnsi="Times New Roman" w:cs="Times New Roman" w:eastAsia="Times New Roman" w:hint="default"/>
                <w:sz w:val="18"/>
                <w:szCs w:val="18"/>
              </w:rPr>
              <w:t>“</w:t>
            </w:r>
            <w:r>
              <w:rPr>
                <w:rFonts w:ascii="宋体" w:hAnsi="宋体" w:cs="宋体" w:eastAsia="宋体" w:hint="default"/>
                <w:sz w:val="18"/>
                <w:szCs w:val="18"/>
              </w:rPr>
              <w:t>辉山乳 业定向融资计划</w:t>
            </w:r>
            <w:r>
              <w:rPr>
                <w:rFonts w:ascii="Times New Roman" w:hAnsi="Times New Roman" w:cs="Times New Roman" w:eastAsia="Times New Roman" w:hint="default"/>
                <w:sz w:val="18"/>
                <w:szCs w:val="18"/>
              </w:rPr>
              <w:t>”</w:t>
            </w:r>
            <w:r>
              <w:rPr>
                <w:rFonts w:ascii="宋体" w:hAnsi="宋体" w:cs="宋体" w:eastAsia="宋体" w:hint="default"/>
                <w:sz w:val="18"/>
                <w:szCs w:val="18"/>
              </w:rPr>
              <w:t>产品， 大连金融资产交易所有 限公司垫付利息 </w:t>
            </w:r>
            <w:r>
              <w:rPr>
                <w:rFonts w:ascii="Times New Roman" w:hAnsi="Times New Roman" w:cs="Times New Roman" w:eastAsia="Times New Roman" w:hint="default"/>
                <w:sz w:val="18"/>
                <w:szCs w:val="18"/>
              </w:rPr>
              <w:t>17,870,267.21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元，辽宁</w:t>
            </w:r>
          </w:p>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辉山乳业集团有限公司</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44"/>
        <w:ind w:left="0" w:right="1137" w:firstLine="0"/>
        <w:jc w:val="right"/>
        <w:rPr>
          <w:rFonts w:ascii="宋体" w:hAnsi="宋体" w:cs="宋体" w:eastAsia="宋体" w:hint="default"/>
          <w:sz w:val="18"/>
          <w:szCs w:val="18"/>
        </w:rPr>
      </w:pPr>
      <w:r>
        <w:rPr/>
        <w:pict>
          <v:shape style="position:absolute;margin-left:56.459999pt;margin-top:-30.068266pt;width:479.3pt;height:69.9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2"/>
                    <w:gridCol w:w="1916"/>
                    <w:gridCol w:w="1914"/>
                    <w:gridCol w:w="1914"/>
                    <w:gridCol w:w="1915"/>
                  </w:tblGrid>
                  <w:tr>
                    <w:trPr>
                      <w:trHeight w:val="986"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0"/>
                          <w:jc w:val="left"/>
                          <w:rPr>
                            <w:rFonts w:ascii="宋体" w:hAnsi="宋体" w:cs="宋体" w:eastAsia="宋体" w:hint="default"/>
                            <w:sz w:val="18"/>
                            <w:szCs w:val="18"/>
                          </w:rPr>
                        </w:pPr>
                        <w:r>
                          <w:rPr>
                            <w:rFonts w:ascii="宋体" w:hAnsi="宋体" w:cs="宋体" w:eastAsia="宋体" w:hint="default"/>
                            <w:sz w:val="18"/>
                            <w:szCs w:val="18"/>
                          </w:rPr>
                          <w:t>现已进入破产重整程 序，详细情况描述见附 </w:t>
                        </w:r>
                        <w:r>
                          <w:rPr>
                            <w:rFonts w:ascii="宋体" w:hAnsi="宋体" w:cs="宋体" w:eastAsia="宋体" w:hint="default"/>
                            <w:spacing w:val="-4"/>
                            <w:sz w:val="18"/>
                            <w:szCs w:val="18"/>
                          </w:rPr>
                          <w:t>注十四、其他重要事项</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8" w:right="0"/>
                          <w:jc w:val="left"/>
                          <w:rPr>
                            <w:rFonts w:ascii="Times New Roman" w:hAnsi="Times New Roman" w:cs="Times New Roman" w:eastAsia="Times New Roman" w:hint="default"/>
                            <w:sz w:val="18"/>
                            <w:szCs w:val="18"/>
                          </w:rPr>
                        </w:pPr>
                        <w:r>
                          <w:rPr>
                            <w:rFonts w:ascii="Times New Roman"/>
                            <w:sz w:val="18"/>
                          </w:rPr>
                          <w:t>17,870,267.21</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14,296,213.77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52,101,525.86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2,605,076.30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52,101,525.86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2,605,076.30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7,277,205.01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727,720.51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2,743,448.42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548,689.69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7,151,904.70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4,169,657.45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58.30%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5,964,494.50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2,982,247.25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857,765.95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857,765.95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329,644.25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329,644.25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69,274,083.99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8,051,143.95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11.62%</w:t>
            </w:r>
          </w:p>
        </w:tc>
      </w:tr>
    </w:tbl>
    <w:p>
      <w:pPr>
        <w:spacing w:line="348" w:lineRule="auto" w:before="51"/>
        <w:ind w:left="153" w:right="373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注：以公司的会计政策确定该组合，详见五、重要的会计政策和会计估计</w:t>
      </w:r>
      <w:r>
        <w:rPr>
          <w:rFonts w:ascii="Times New Roman" w:hAnsi="Times New Roman" w:cs="Times New Roman" w:eastAsia="Times New Roman" w:hint="default"/>
          <w:sz w:val="18"/>
          <w:szCs w:val="18"/>
        </w:rPr>
        <w:t>11</w:t>
      </w:r>
      <w:r>
        <w:rPr>
          <w:rFonts w:ascii="宋体" w:hAnsi="宋体" w:cs="宋体" w:eastAsia="宋体" w:hint="default"/>
          <w:sz w:val="18"/>
          <w:szCs w:val="18"/>
        </w:rPr>
        <w:t>、应收款项。 组合中，采用余额百分比法计提坏账准备的其他应收款：</w:t>
      </w:r>
    </w:p>
    <w:p>
      <w:pPr>
        <w:spacing w:line="338" w:lineRule="auto" w:before="3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232"/>
      <w:bookmarkEnd w:id="23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14,616,439.58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其他应收款按款项性质分类情况" w:id="233"/>
      <w:bookmarkEnd w:id="233"/>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61,202,849.48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42,913,559.39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4,410,453.66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1,232,068.92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2,895,199.51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1,860,531.00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17,870,267.21</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765,581.34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335,638.37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87,144,351.20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46,341,797.68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其他应收款情况" w:id="234"/>
      <w:bookmarkEnd w:id="234"/>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辽宁辉山乳业集团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17,870,267.21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14,296,213.77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西藏信托有限公司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10,236,400.00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511,820.00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中科软科技股份有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6,235,598.65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1,041,332.65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四川信托有限公司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39,802,265.86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16,122,366.42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存货" w:id="235"/>
      <w:bookmarkEnd w:id="235"/>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存货分类" w:id="236"/>
      <w:bookmarkEnd w:id="23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178,690,609.56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178,690,609.56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78,766,025.99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78,766,025.99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7,250,959.07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7,250,959.07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6,193,621.87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6,193,621.87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272,168,796.89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272,168,796.89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198,705,055.26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198,705,055.26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458,110,365.52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458,110,365.52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283,664,703.12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283,664,703.12</w:t>
            </w:r>
          </w:p>
        </w:tc>
      </w:tr>
    </w:tbl>
    <w:p>
      <w:pPr>
        <w:spacing w:line="340" w:lineRule="auto" w:before="51"/>
        <w:ind w:left="153" w:right="247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7、其他流动资产" w:id="237"/>
      <w:bookmarkEnd w:id="237"/>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584,078.83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97,330.82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1,987,161.87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5,719,303.11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1,006,226,400.00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1,088,990,428.58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1,064,100,000.00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2,097,788,069.28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1,069,916,633.93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可供出售金融资产" w:id="238"/>
      <w:bookmarkEnd w:id="238"/>
      <w:r>
        <w:rPr>
          <w:b w:val="0"/>
          <w:bCs w:val="0"/>
        </w:rPr>
      </w:r>
      <w:r>
        <w:rPr>
          <w:rFonts w:ascii="Times New Roman" w:hAnsi="Times New Roman" w:cs="Times New Roman" w:eastAsia="Times New Roman" w:hint="default"/>
        </w:rPr>
        <w:t>8</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39"/>
      <w:bookmarkEnd w:id="23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19,248,400.00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19,248,400.00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150,148,400.00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150,148,400.00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19,248,400.00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19,248,400.00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150,148,400.00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150,148,400.00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19,248,400.00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19,248,400.00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150,148,400.00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150,148,400.00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成本计量的可供出售金融资产" w:id="240"/>
      <w:bookmarkEnd w:id="240"/>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佛山南海 新华村镇 银行股份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大连鼎金 企业管理 中心（有 限合伙）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8,548,400.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8,548,400.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安徽省金 融资产交 易所有限 责任公司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北京国富 金财投资 合伙企业</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51,900,000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天津滨海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98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正信资产 管理有限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150,148,40</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131,000,00</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19,248,400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9、长期股权投资" w:id="241"/>
      <w:bookmarkEnd w:id="241"/>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北京中科 金财电子 产品有限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22,709,48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-19,600,0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-2,571,70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-537,777.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中科环嘉 电子商务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1,711,782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-18,436.7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1,693,346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深圳中金 财富互联 网金融服 务有限公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17,441,31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-815,731.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-16,625,5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北京中关 村互联网 金融信息 服务中心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3,439,228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26,708.69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3,465,937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安粮期货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264,281,0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10.18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11,326,46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-8,457,94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267,149,5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26.17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金网络</w:t>
            </w:r>
          </w:p>
          <w:p>
            <w:pPr>
              <w:pStyle w:val="TableParagraph"/>
              <w:spacing w:line="319"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（北京） 电子商务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14,595,87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-1,889,59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12,706,28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2.33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北京国信 新网通讯</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7,600,000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185,366.8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7,785,366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技术有限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安金资产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10,320,58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-109,445.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10,211,13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6.71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北京奥金 智策传媒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2,100,250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-579,818.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1,520,431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华缔资产 管理（北 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97,913.27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-59,051.8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-38,861.4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大连融丰 信息技术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369,633.1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-39,666.7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329,966.3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深圳市金 方达信息 技术有限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-383,638.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3,816,361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344,667,0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72.99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-19,600,0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7,643,156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-11,029,6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50.98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-17,202,2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23.90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308,678,3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54.19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344,667,0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72.99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-19,600,0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7,643,156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-11,029,6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50.98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-17,202,2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23.90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308,678,3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54.19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13"/>
          <w:szCs w:val="13"/>
        </w:rPr>
      </w:pPr>
    </w:p>
    <w:p>
      <w:pPr>
        <w:pStyle w:val="BodyText"/>
        <w:spacing w:line="429" w:lineRule="auto" w:before="0"/>
        <w:ind w:right="0" w:firstLine="426"/>
        <w:jc w:val="left"/>
      </w:pPr>
      <w:r>
        <w:rPr/>
        <w:t>（</w:t>
      </w:r>
      <w:r>
        <w:rPr>
          <w:rFonts w:ascii="宋体" w:hAnsi="宋体" w:cs="宋体" w:eastAsia="宋体" w:hint="default"/>
        </w:rPr>
        <w:t>1</w:t>
      </w:r>
      <w:r>
        <w:rPr/>
        <w:t>）北京中科金财电子产品有限公司</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27</w:t>
      </w:r>
      <w:r>
        <w:rPr/>
        <w:t>日股东会决议通过，对</w:t>
      </w:r>
      <w:r>
        <w:rPr>
          <w:rFonts w:ascii="宋体" w:hAnsi="宋体" w:cs="宋体" w:eastAsia="宋体" w:hint="default"/>
        </w:rPr>
        <w:t>2016</w:t>
      </w:r>
      <w:r>
        <w:rPr/>
        <w:t>年全部可供分配利润</w:t>
      </w:r>
      <w:r>
        <w:rPr>
          <w:w w:val="100"/>
        </w:rPr>
        <w:t> </w:t>
      </w:r>
      <w:r>
        <w:rPr>
          <w:rFonts w:ascii="宋体" w:hAnsi="宋体" w:cs="宋体" w:eastAsia="宋体" w:hint="default"/>
          <w:spacing w:val="-2"/>
        </w:rPr>
        <w:t>5,248,374.36</w:t>
      </w:r>
      <w:r>
        <w:rPr>
          <w:spacing w:val="-2"/>
        </w:rPr>
        <w:t>元进行分配，本公司取得现金分红</w:t>
      </w:r>
      <w:r>
        <w:rPr>
          <w:rFonts w:ascii="宋体" w:hAnsi="宋体" w:cs="宋体" w:eastAsia="宋体" w:hint="default"/>
          <w:spacing w:val="-2"/>
        </w:rPr>
        <w:t>2,571,703.44</w:t>
      </w:r>
      <w:r>
        <w:rPr>
          <w:spacing w:val="-2"/>
        </w:rPr>
        <w:t>元；</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29</w:t>
      </w:r>
      <w:r>
        <w:rPr>
          <w:spacing w:val="-2"/>
        </w:rPr>
        <w:t>日，公司与古丈倍升华谊企业管</w:t>
      </w:r>
      <w:r>
        <w:rPr>
          <w:spacing w:val="-44"/>
        </w:rPr>
        <w:t> </w:t>
      </w:r>
      <w:r>
        <w:rPr>
          <w:spacing w:val="-44"/>
        </w:rPr>
      </w:r>
      <w:r>
        <w:rPr>
          <w:spacing w:val="-2"/>
        </w:rPr>
        <w:t>理中心（有限合伙）签署股权转让协议，拟向其转让公司持有的北京中科金财电子产品有限公司</w:t>
      </w:r>
      <w:r>
        <w:rPr>
          <w:rFonts w:ascii="宋体" w:hAnsi="宋体" w:cs="宋体" w:eastAsia="宋体" w:hint="default"/>
          <w:spacing w:val="-2"/>
        </w:rPr>
        <w:t>49%</w:t>
      </w:r>
      <w:r>
        <w:rPr>
          <w:spacing w:val="-2"/>
        </w:rPr>
        <w:t>股权。截至</w:t>
      </w:r>
      <w:r>
        <w:rPr>
          <w:spacing w:val="-74"/>
        </w:rPr>
        <w:t> </w:t>
      </w:r>
      <w:r>
        <w:rPr>
          <w:spacing w:val="-74"/>
        </w:rPr>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日，已收到股权转让款，完成股权变更工商登记；</w:t>
      </w:r>
    </w:p>
    <w:p>
      <w:pPr>
        <w:pStyle w:val="BodyText"/>
        <w:spacing w:line="429" w:lineRule="auto"/>
        <w:ind w:right="1130" w:firstLine="426"/>
        <w:jc w:val="both"/>
      </w:pPr>
      <w:r>
        <w:rPr>
          <w:spacing w:val="-3"/>
        </w:rPr>
        <w:t>（</w:t>
      </w:r>
      <w:r>
        <w:rPr>
          <w:rFonts w:ascii="宋体" w:hAnsi="宋体" w:cs="宋体" w:eastAsia="宋体" w:hint="default"/>
          <w:spacing w:val="-3"/>
        </w:rPr>
        <w:t>2</w:t>
      </w:r>
      <w:r>
        <w:rPr>
          <w:spacing w:val="-3"/>
        </w:rPr>
        <w:t>）公司对深圳中金财富互联网金融服务有限公司（以下简称“中金财富”）期初持股</w:t>
      </w:r>
      <w:r>
        <w:rPr>
          <w:rFonts w:ascii="宋体" w:hAnsi="宋体" w:cs="宋体" w:eastAsia="宋体" w:hint="default"/>
          <w:spacing w:val="-3"/>
        </w:rPr>
        <w:t>49%</w:t>
      </w:r>
      <w:r>
        <w:rPr>
          <w:spacing w:val="-3"/>
        </w:rPr>
        <w:t>，</w:t>
      </w:r>
      <w:r>
        <w:rPr>
          <w:rFonts w:ascii="宋体" w:hAnsi="宋体" w:cs="宋体" w:eastAsia="宋体" w:hint="default"/>
          <w:spacing w:val="-3"/>
        </w:rPr>
        <w:t>2017</w:t>
      </w:r>
      <w:r>
        <w:rPr>
          <w:spacing w:val="-3"/>
        </w:rPr>
        <w:t>年</w:t>
      </w:r>
      <w:r>
        <w:rPr>
          <w:rFonts w:ascii="宋体" w:hAnsi="宋体" w:cs="宋体" w:eastAsia="宋体" w:hint="default"/>
          <w:spacing w:val="-3"/>
        </w:rPr>
        <w:t>5</w:t>
      </w:r>
      <w:r>
        <w:rPr>
          <w:spacing w:val="-3"/>
        </w:rPr>
        <w:t>月以</w:t>
      </w:r>
      <w:r>
        <w:rPr>
          <w:spacing w:val="-2"/>
          <w:w w:val="100"/>
        </w:rPr>
        <w:t> </w:t>
      </w:r>
      <w:r>
        <w:rPr>
          <w:rFonts w:ascii="宋体" w:hAnsi="宋体" w:cs="宋体" w:eastAsia="宋体" w:hint="default"/>
        </w:rPr>
        <w:t>19,584,651.45</w:t>
      </w:r>
      <w:r>
        <w:rPr/>
        <w:t>元购买中金财富剩余</w:t>
      </w:r>
      <w:r>
        <w:rPr>
          <w:rFonts w:ascii="宋体" w:hAnsi="宋体" w:cs="宋体" w:eastAsia="宋体" w:hint="default"/>
        </w:rPr>
        <w:t>51%</w:t>
      </w:r>
      <w:r>
        <w:rPr/>
        <w:t>股权，截至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日，公司持有中金财富</w:t>
      </w:r>
      <w:r>
        <w:rPr>
          <w:rFonts w:ascii="宋体" w:hAnsi="宋体" w:cs="宋体" w:eastAsia="宋体" w:hint="default"/>
        </w:rPr>
        <w:t>100%</w:t>
      </w:r>
      <w:r>
        <w:rPr/>
        <w:t>股权，中金财富变</w:t>
      </w:r>
      <w:r>
        <w:rPr>
          <w:w w:val="100"/>
        </w:rPr>
        <w:t> </w:t>
      </w:r>
      <w:r>
        <w:rPr/>
        <w:t>更为本公司全资子公司；</w:t>
      </w:r>
    </w:p>
    <w:p>
      <w:pPr>
        <w:pStyle w:val="BodyText"/>
        <w:spacing w:line="429" w:lineRule="auto"/>
        <w:ind w:right="0" w:firstLine="426"/>
        <w:jc w:val="left"/>
      </w:pPr>
      <w:r>
        <w:rPr>
          <w:spacing w:val="-1"/>
        </w:rPr>
        <w:t>（</w:t>
      </w:r>
      <w:r>
        <w:rPr>
          <w:rFonts w:ascii="宋体" w:hAnsi="宋体" w:cs="宋体" w:eastAsia="宋体" w:hint="default"/>
          <w:spacing w:val="-1"/>
        </w:rPr>
        <w:t>3</w:t>
      </w:r>
      <w:r>
        <w:rPr>
          <w:spacing w:val="-1"/>
        </w:rPr>
        <w:t>）安粮期货股份有限公司</w:t>
      </w:r>
      <w:r>
        <w:rPr>
          <w:rFonts w:ascii="宋体" w:hAnsi="宋体" w:cs="宋体" w:eastAsia="宋体" w:hint="default"/>
          <w:spacing w:val="-1"/>
        </w:rPr>
        <w:t>2016</w:t>
      </w:r>
      <w:r>
        <w:rPr>
          <w:spacing w:val="-1"/>
        </w:rPr>
        <w:t>年度股东大会决议通过，对</w:t>
      </w:r>
      <w:r>
        <w:rPr>
          <w:rFonts w:ascii="宋体" w:hAnsi="宋体" w:cs="宋体" w:eastAsia="宋体" w:hint="default"/>
          <w:spacing w:val="-1"/>
        </w:rPr>
        <w:t>2016</w:t>
      </w:r>
      <w:r>
        <w:rPr>
          <w:spacing w:val="-1"/>
        </w:rPr>
        <w:t>年全部可供分配利润</w:t>
      </w:r>
      <w:r>
        <w:rPr>
          <w:rFonts w:ascii="宋体" w:hAnsi="宋体" w:cs="宋体" w:eastAsia="宋体" w:hint="default"/>
          <w:spacing w:val="-1"/>
        </w:rPr>
        <w:t>21,144,868.86</w:t>
      </w:r>
      <w:r>
        <w:rPr>
          <w:spacing w:val="-1"/>
        </w:rPr>
        <w:t>元进</w:t>
      </w:r>
      <w:r>
        <w:rPr>
          <w:w w:val="100"/>
        </w:rPr>
        <w:t> </w:t>
      </w:r>
      <w:r>
        <w:rPr/>
        <w:t>行分配，本公司取得现金分红</w:t>
      </w:r>
      <w:r>
        <w:rPr>
          <w:rFonts w:ascii="宋体" w:hAnsi="宋体" w:cs="宋体" w:eastAsia="宋体" w:hint="default"/>
        </w:rPr>
        <w:t>8,457,947.54</w:t>
      </w:r>
      <w:r>
        <w:rPr/>
        <w:t>元；</w:t>
      </w:r>
    </w:p>
    <w:p>
      <w:pPr>
        <w:pStyle w:val="BodyText"/>
        <w:spacing w:line="429" w:lineRule="auto"/>
        <w:ind w:left="154" w:right="0" w:firstLine="426"/>
        <w:jc w:val="left"/>
      </w:pPr>
      <w:r>
        <w:rPr>
          <w:spacing w:val="-1"/>
        </w:rPr>
        <w:t>（</w:t>
      </w:r>
      <w:r>
        <w:rPr>
          <w:rFonts w:ascii="宋体" w:hAnsi="宋体" w:cs="宋体" w:eastAsia="宋体" w:hint="default"/>
          <w:spacing w:val="-1"/>
        </w:rPr>
        <w:t>4</w:t>
      </w:r>
      <w:r>
        <w:rPr>
          <w:spacing w:val="-1"/>
        </w:rPr>
        <w:t>）北京奥金智策传媒科技有限公司成立于</w:t>
      </w:r>
      <w:r>
        <w:rPr>
          <w:rFonts w:ascii="宋体" w:hAnsi="宋体" w:cs="宋体" w:eastAsia="宋体" w:hint="default"/>
          <w:spacing w:val="-1"/>
        </w:rPr>
        <w:t>2016</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9</w:t>
      </w:r>
      <w:r>
        <w:rPr>
          <w:spacing w:val="-1"/>
        </w:rPr>
        <w:t>日，注册资本</w:t>
      </w:r>
      <w:r>
        <w:rPr>
          <w:rFonts w:ascii="宋体" w:hAnsi="宋体" w:cs="宋体" w:eastAsia="宋体" w:hint="default"/>
          <w:spacing w:val="-1"/>
        </w:rPr>
        <w:t>5,000</w:t>
      </w:r>
      <w:r>
        <w:rPr>
          <w:spacing w:val="-1"/>
        </w:rPr>
        <w:t>万元，公司认缴出资额</w:t>
      </w:r>
      <w:r>
        <w:rPr>
          <w:rFonts w:ascii="宋体" w:hAnsi="宋体" w:cs="宋体" w:eastAsia="宋体" w:hint="default"/>
          <w:spacing w:val="-1"/>
        </w:rPr>
        <w:t>1,050</w:t>
      </w:r>
      <w:r>
        <w:rPr>
          <w:rFonts w:ascii="宋体" w:hAnsi="宋体" w:cs="宋体" w:eastAsia="宋体" w:hint="default"/>
          <w:w w:val="100"/>
        </w:rPr>
        <w:t> </w:t>
      </w:r>
      <w:r>
        <w:rPr/>
        <w:t>万元，持股比例</w:t>
      </w:r>
      <w:r>
        <w:rPr>
          <w:rFonts w:ascii="宋体" w:hAnsi="宋体" w:cs="宋体" w:eastAsia="宋体" w:hint="default"/>
        </w:rPr>
        <w:t>21%</w:t>
      </w:r>
      <w:r>
        <w:rPr/>
        <w:t>，实缴出资额</w:t>
      </w:r>
      <w:r>
        <w:rPr>
          <w:rFonts w:ascii="宋体" w:hAnsi="宋体" w:cs="宋体" w:eastAsia="宋体" w:hint="default"/>
        </w:rPr>
        <w:t>210</w:t>
      </w:r>
      <w:r>
        <w:rPr/>
        <w:t>万元；</w:t>
      </w:r>
    </w:p>
    <w:p>
      <w:pPr>
        <w:spacing w:after="0" w:line="42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29" w:lineRule="auto" w:before="0"/>
        <w:ind w:right="0" w:firstLine="426"/>
        <w:jc w:val="left"/>
      </w:pPr>
      <w:r>
        <w:rPr>
          <w:spacing w:val="-3"/>
        </w:rPr>
        <w:t>（</w:t>
      </w:r>
      <w:r>
        <w:rPr>
          <w:rFonts w:ascii="宋体" w:hAnsi="宋体" w:cs="宋体" w:eastAsia="宋体" w:hint="default"/>
          <w:spacing w:val="-3"/>
        </w:rPr>
        <w:t>5</w:t>
      </w:r>
      <w:r>
        <w:rPr>
          <w:spacing w:val="-3"/>
        </w:rPr>
        <w:t>）本公司子公司中科金财（上海）互联网金融信息服务有限公司（以下简称“中科金服”）对华缔资产</w:t>
      </w:r>
      <w:r>
        <w:rPr>
          <w:w w:val="100"/>
        </w:rPr>
        <w:t> </w:t>
      </w:r>
      <w:r>
        <w:rPr>
          <w:spacing w:val="-4"/>
        </w:rPr>
        <w:t>管理（北京）有限公司（以下简称“华缔资管”）期初持股</w:t>
      </w:r>
      <w:r>
        <w:rPr>
          <w:rFonts w:ascii="宋体" w:hAnsi="宋体" w:cs="宋体" w:eastAsia="宋体" w:hint="default"/>
          <w:spacing w:val="-4"/>
        </w:rPr>
        <w:t>49%</w:t>
      </w:r>
      <w:r>
        <w:rPr>
          <w:spacing w:val="-4"/>
        </w:rPr>
        <w:t>，</w:t>
      </w:r>
      <w:r>
        <w:rPr>
          <w:rFonts w:ascii="宋体" w:hAnsi="宋体" w:cs="宋体" w:eastAsia="宋体" w:hint="default"/>
          <w:spacing w:val="-4"/>
        </w:rPr>
        <w:t>2017</w:t>
      </w:r>
      <w:r>
        <w:rPr>
          <w:spacing w:val="-4"/>
        </w:rPr>
        <w:t>年</w:t>
      </w:r>
      <w:r>
        <w:rPr>
          <w:rFonts w:ascii="宋体" w:hAnsi="宋体" w:cs="宋体" w:eastAsia="宋体" w:hint="default"/>
          <w:spacing w:val="-4"/>
        </w:rPr>
        <w:t>3</w:t>
      </w:r>
      <w:r>
        <w:rPr>
          <w:spacing w:val="-4"/>
        </w:rPr>
        <w:t>月以</w:t>
      </w:r>
      <w:r>
        <w:rPr>
          <w:rFonts w:ascii="宋体" w:hAnsi="宋体" w:cs="宋体" w:eastAsia="宋体" w:hint="default"/>
          <w:spacing w:val="-4"/>
        </w:rPr>
        <w:t>102,000.00</w:t>
      </w:r>
      <w:r>
        <w:rPr>
          <w:spacing w:val="-4"/>
        </w:rPr>
        <w:t>元收购剩余</w:t>
      </w:r>
      <w:r>
        <w:rPr>
          <w:rFonts w:ascii="宋体" w:hAnsi="宋体" w:cs="宋体" w:eastAsia="宋体" w:hint="default"/>
          <w:spacing w:val="-4"/>
        </w:rPr>
        <w:t>51%</w:t>
      </w:r>
      <w:r>
        <w:rPr>
          <w:spacing w:val="-4"/>
        </w:rPr>
        <w:t>的股权，</w:t>
      </w:r>
      <w:r>
        <w:rPr>
          <w:spacing w:val="-36"/>
        </w:rPr>
        <w:t> </w:t>
      </w:r>
      <w:r>
        <w:rPr>
          <w:spacing w:val="-36"/>
        </w:rPr>
      </w: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日，中科金服持有华缔资管</w:t>
      </w:r>
      <w:r>
        <w:rPr>
          <w:rFonts w:ascii="宋体" w:hAnsi="宋体" w:cs="宋体" w:eastAsia="宋体" w:hint="default"/>
        </w:rPr>
        <w:t>100%</w:t>
      </w:r>
      <w:r>
        <w:rPr/>
        <w:t>股权，华缔资管变更为中科金服的全资子公司</w:t>
      </w:r>
    </w:p>
    <w:p>
      <w:pPr>
        <w:pStyle w:val="BodyText"/>
        <w:spacing w:line="429" w:lineRule="auto"/>
        <w:ind w:left="154" w:right="0" w:firstLine="426"/>
        <w:jc w:val="left"/>
      </w:pPr>
      <w:r>
        <w:rPr>
          <w:spacing w:val="-3"/>
        </w:rPr>
        <w:t>（</w:t>
      </w:r>
      <w:r>
        <w:rPr>
          <w:rFonts w:ascii="宋体" w:hAnsi="宋体" w:cs="宋体" w:eastAsia="宋体" w:hint="default"/>
          <w:spacing w:val="-3"/>
        </w:rPr>
        <w:t>6</w:t>
      </w:r>
      <w:r>
        <w:rPr>
          <w:spacing w:val="-3"/>
        </w:rPr>
        <w:t>）深圳市金方达信息技术有限公司成立于</w:t>
      </w:r>
      <w:r>
        <w:rPr>
          <w:rFonts w:ascii="宋体" w:hAnsi="宋体" w:cs="宋体" w:eastAsia="宋体" w:hint="default"/>
          <w:spacing w:val="-3"/>
        </w:rPr>
        <w:t>2016</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31</w:t>
      </w:r>
      <w:r>
        <w:rPr>
          <w:spacing w:val="-3"/>
        </w:rPr>
        <w:t>日，注册资本</w:t>
      </w:r>
      <w:r>
        <w:rPr>
          <w:rFonts w:ascii="宋体" w:hAnsi="宋体" w:cs="宋体" w:eastAsia="宋体" w:hint="default"/>
          <w:spacing w:val="-3"/>
        </w:rPr>
        <w:t>5,000</w:t>
      </w:r>
      <w:r>
        <w:rPr>
          <w:spacing w:val="-3"/>
        </w:rPr>
        <w:t>万元，公司认缴出资额</w:t>
      </w:r>
      <w:r>
        <w:rPr>
          <w:rFonts w:ascii="宋体" w:hAnsi="宋体" w:cs="宋体" w:eastAsia="宋体" w:hint="default"/>
          <w:spacing w:val="-3"/>
        </w:rPr>
        <w:t>1,500</w:t>
      </w:r>
      <w:r>
        <w:rPr>
          <w:rFonts w:ascii="宋体" w:hAnsi="宋体" w:cs="宋体" w:eastAsia="宋体" w:hint="default"/>
          <w:w w:val="100"/>
        </w:rPr>
        <w:t> </w:t>
      </w:r>
      <w:r>
        <w:rPr/>
        <w:t>万元，持股比例</w:t>
      </w:r>
      <w:r>
        <w:rPr>
          <w:rFonts w:ascii="宋体" w:hAnsi="宋体" w:cs="宋体" w:eastAsia="宋体" w:hint="default"/>
        </w:rPr>
        <w:t>30%</w:t>
      </w:r>
      <w:r>
        <w:rPr/>
        <w:t>，实缴出资额</w:t>
      </w:r>
      <w:r>
        <w:rPr>
          <w:rFonts w:ascii="宋体" w:hAnsi="宋体" w:cs="宋体" w:eastAsia="宋体" w:hint="default"/>
        </w:rPr>
        <w:t>420</w:t>
      </w:r>
      <w:r>
        <w:rPr/>
        <w:t>万元。</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10、固定资产" w:id="242"/>
      <w:bookmarkEnd w:id="242"/>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43"/>
      <w:bookmarkEnd w:id="24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1"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2"/>
              <w:ind w:left="34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2,660,086.25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68,683,344.75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125,416,757.83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15,646,148.15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212,406,336.98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230,128.21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747,929.96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978,058.17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38,461.54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728,477.96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766,939.50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191,666.67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191,666.67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19,452.00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19,452.00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8,030,709.41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10,345,480.12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18,376,189.53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8,030,709.41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10,345,480.12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18,376,189.53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2,660,086.25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60,882,763.55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115,819,207.67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15,646,148.15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195,008,205.62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672,687.18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60,435,923.72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97,048,563.12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8,930,777.59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167,087,951.61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145,611.24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4,006,295.15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10,895,214.47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1,777,815.20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16,824,936.06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145,611.24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4,006,295.15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10,892,108.27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1,777,815.20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16,821,829.86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3,106.20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3,106.20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7,788,615.39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9,814,035.93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17,602,651.32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7,788,615.39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9,814,035.93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17,602,651.32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818,298.42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56,653,603.48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98,129,741.66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10,708,592.79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166,310,236.35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1,841,787.83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4,229,160.07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17,689,466.01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4,937,555.36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28,697,969.27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1,987,399.07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8,247,421.03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28,368,194.71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6,715,370.56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45,318,385.37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1、在建工程" w:id="244"/>
      <w:bookmarkEnd w:id="244"/>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45"/>
      <w:bookmarkEnd w:id="24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未上线的</w:t>
            </w:r>
            <w:r>
              <w:rPr>
                <w:rFonts w:ascii="宋体" w:hAnsi="宋体" w:cs="宋体" w:eastAsia="宋体" w:hint="default"/>
                <w:spacing w:val="-1"/>
                <w:sz w:val="18"/>
                <w:szCs w:val="18"/>
              </w:rPr>
              <w:t> </w:t>
            </w:r>
            <w:r>
              <w:rPr>
                <w:rFonts w:ascii="Times New Roman" w:hAnsi="Times New Roman" w:cs="Times New Roman" w:eastAsia="Times New Roman" w:hint="default"/>
                <w:spacing w:val="-7"/>
                <w:sz w:val="18"/>
                <w:szCs w:val="18"/>
              </w:rPr>
              <w:t>ATM</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76,282.04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76,282.04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267,948.71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267,948.71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网络安全设备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核心交易系统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银登对接项目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402,400.00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76,282.04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76,282.04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1,075,348.71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1,075,348.71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46"/>
      <w:bookmarkEnd w:id="24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未上线 的</w:t>
            </w:r>
            <w:r>
              <w:rPr>
                <w:rFonts w:ascii="宋体" w:hAnsi="宋体" w:cs="宋体" w:eastAsia="宋体" w:hint="default"/>
                <w:spacing w:val="-1"/>
                <w:sz w:val="18"/>
                <w:szCs w:val="18"/>
              </w:rPr>
              <w:t> </w:t>
            </w:r>
            <w:r>
              <w:rPr>
                <w:rFonts w:ascii="Times New Roman" w:hAnsi="Times New Roman" w:cs="Times New Roman" w:eastAsia="Times New Roman" w:hint="default"/>
                <w:spacing w:val="-7"/>
                <w:sz w:val="18"/>
                <w:szCs w:val="18"/>
              </w:rPr>
              <w:t>ATM</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267,948.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191,666.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76,282.0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267,948.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191,666.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76,282.0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2、无形资产" w:id="247"/>
      <w:bookmarkEnd w:id="247"/>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48"/>
      <w:bookmarkEnd w:id="24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241,481,032.88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241,481,032.88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9,389,551.47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9,389,551.47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594,968.56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594,968.56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7,794,582.91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7,794,582.91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40,476,830.00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40,476,830.00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40,476,830.00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40,476,830.00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210,393,754.35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210,393,754.35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125,448,536.50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125,448,536.50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47,483,341.27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47,483,341.27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47,066,674.52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47,066,674.52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业合并增加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416,666.75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416,666.75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40,476,830.00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40,476,830.00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40,476,830.00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40,476,830.00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132,455,047.77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132,455,047.77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7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32"/>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77,938,706.58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77,938,706.58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116,032,496.38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116,032,496.38</w:t>
            </w:r>
          </w:p>
        </w:tc>
      </w:tr>
    </w:tbl>
    <w:p>
      <w:pPr>
        <w:pStyle w:val="BodyText"/>
        <w:spacing w:line="240" w:lineRule="auto" w:before="35"/>
        <w:ind w:left="154" w:right="0"/>
        <w:jc w:val="left"/>
      </w:pPr>
      <w:r>
        <w:rPr/>
        <w:t>本期末通过公司内部研发形成的无形资产占无形资产余额的比例</w:t>
      </w:r>
      <w:r>
        <w:rPr>
          <w:spacing w:val="-57"/>
        </w:rPr>
        <w:t> </w:t>
      </w:r>
      <w:r>
        <w:rPr>
          <w:rFonts w:ascii="Times New Roman" w:hAnsi="Times New Roman" w:cs="Times New Roman" w:eastAsia="Times New Roman" w:hint="default"/>
        </w:rPr>
        <w:t>88.75%</w:t>
      </w:r>
      <w:r>
        <w:rPr/>
        <w:t>。</w:t>
      </w:r>
    </w:p>
    <w:p>
      <w:pPr>
        <w:spacing w:line="240" w:lineRule="auto" w:before="12"/>
        <w:rPr>
          <w:rFonts w:ascii="宋体" w:hAnsi="宋体" w:cs="宋体" w:eastAsia="宋体" w:hint="default"/>
          <w:sz w:val="24"/>
          <w:szCs w:val="24"/>
        </w:rPr>
      </w:pPr>
    </w:p>
    <w:p>
      <w:pPr>
        <w:pStyle w:val="Heading3"/>
        <w:spacing w:line="240" w:lineRule="auto"/>
        <w:ind w:left="153" w:right="0"/>
        <w:jc w:val="left"/>
        <w:rPr>
          <w:b w:val="0"/>
          <w:bCs w:val="0"/>
        </w:rPr>
      </w:pPr>
      <w:bookmarkStart w:name="13、开发支出" w:id="249"/>
      <w:bookmarkEnd w:id="249"/>
      <w:r>
        <w:rPr>
          <w:b w:val="0"/>
          <w:bCs w:val="0"/>
        </w:rPr>
      </w:r>
      <w:r>
        <w:rPr>
          <w:rFonts w:ascii="Times New Roman" w:hAnsi="Times New Roman" w:cs="Times New Roman" w:eastAsia="Times New Roman" w:hint="default"/>
        </w:rPr>
        <w:t>13</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135"/>
        <w:gridCol w:w="990"/>
        <w:gridCol w:w="1063"/>
        <w:gridCol w:w="1063"/>
        <w:gridCol w:w="1064"/>
        <w:gridCol w:w="1063"/>
        <w:gridCol w:w="1063"/>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1" w:right="113"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5" w:right="77"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互联网金融 云中心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16,877,031.1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24,785,616.90</w:t>
            </w:r>
          </w:p>
        </w:tc>
        <w:tc>
          <w:tcPr>
            <w:tcW w:w="99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41,662,648.0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资产管理平 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2,381,467.28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5,413,115.63</w:t>
            </w:r>
          </w:p>
        </w:tc>
        <w:tc>
          <w:tcPr>
            <w:tcW w:w="99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7,794,582.91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数据营销平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931,950.90</w:t>
            </w:r>
          </w:p>
        </w:tc>
        <w:tc>
          <w:tcPr>
            <w:tcW w:w="99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931,950.90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19,258,498.3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31,130,683.43</w:t>
            </w:r>
          </w:p>
        </w:tc>
        <w:tc>
          <w:tcPr>
            <w:tcW w:w="99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7,794,582.91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42,594,598.9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8"/>
          <w:szCs w:val="8"/>
        </w:rPr>
      </w:pPr>
    </w:p>
    <w:tbl>
      <w:tblPr>
        <w:tblW w:w="0" w:type="auto"/>
        <w:jc w:val="left"/>
        <w:tblInd w:w="707" w:type="dxa"/>
        <w:tblLayout w:type="fixed"/>
        <w:tblCellMar>
          <w:top w:w="0" w:type="dxa"/>
          <w:left w:w="0" w:type="dxa"/>
          <w:bottom w:w="0" w:type="dxa"/>
          <w:right w:w="0" w:type="dxa"/>
        </w:tblCellMar>
        <w:tblLook w:val="01E0"/>
      </w:tblPr>
      <w:tblGrid>
        <w:gridCol w:w="1708"/>
        <w:gridCol w:w="1659"/>
        <w:gridCol w:w="3540"/>
        <w:gridCol w:w="1616"/>
      </w:tblGrid>
      <w:tr>
        <w:trPr>
          <w:trHeight w:val="684"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资本化开始时点</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33" w:right="0"/>
              <w:jc w:val="left"/>
              <w:rPr>
                <w:rFonts w:ascii="宋体" w:hAnsi="宋体" w:cs="宋体" w:eastAsia="宋体" w:hint="default"/>
                <w:sz w:val="18"/>
                <w:szCs w:val="18"/>
              </w:rPr>
            </w:pPr>
            <w:r>
              <w:rPr>
                <w:rFonts w:ascii="宋体" w:hAnsi="宋体" w:cs="宋体" w:eastAsia="宋体" w:hint="default"/>
                <w:sz w:val="18"/>
                <w:szCs w:val="18"/>
              </w:rPr>
              <w:t>资本化具体依据</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期末研发进度</w:t>
            </w:r>
          </w:p>
        </w:tc>
      </w:tr>
      <w:tr>
        <w:trPr>
          <w:trHeight w:val="342"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互联网金融云中心</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本节五、重要会计政策及会计估计</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60.60%</w:t>
            </w:r>
          </w:p>
        </w:tc>
      </w:tr>
      <w:tr>
        <w:trPr>
          <w:trHeight w:val="342"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资产管理平台</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本节五、重要会计政策及会计估计</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数据营销平台</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本节五、重要会计政策及会计估计</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23.30%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4、商誉" w:id="250"/>
      <w:bookmarkEnd w:id="250"/>
      <w:r>
        <w:rPr>
          <w:b w:val="0"/>
          <w:bCs w:val="0"/>
        </w:rPr>
      </w:r>
      <w:r>
        <w:rPr>
          <w:rFonts w:ascii="Times New Roman" w:hAnsi="Times New Roman" w:cs="Times New Roman" w:eastAsia="Times New Roman" w:hint="default"/>
        </w:rPr>
        <w:t>14</w:t>
      </w:r>
      <w:r>
        <w:rPr/>
        <w:t>、商誉</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51"/>
      <w:bookmarkEnd w:id="25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天津滨河创新科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624,031,391.94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624,031,391.94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大连金融资产交 易所有限公司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72,959,752.01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72,959,752.01</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深圳中金财富互 联网金融服务有 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4,278,710.43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4,278,710.43</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华缔资产管理</w:t>
            </w:r>
          </w:p>
          <w:p>
            <w:pPr>
              <w:pStyle w:val="TableParagraph"/>
              <w:spacing w:line="319" w:lineRule="auto" w:before="76"/>
              <w:ind w:left="22" w:right="61"/>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120,690.97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120,690.97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696,991,143.95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4,399,401.40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701,390,545.35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52"/>
      <w:bookmarkEnd w:id="25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天津滨河创新科 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299,814,889.25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299,814,889.25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大连金融资产交 易所有限公司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72,959,752.01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72,959,752.01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372,774,641.26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372,774,641.26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spacing w:line="240" w:lineRule="auto" w:before="8"/>
        <w:rPr>
          <w:rFonts w:ascii="宋体" w:hAnsi="宋体" w:cs="宋体" w:eastAsia="宋体" w:hint="default"/>
          <w:sz w:val="13"/>
          <w:szCs w:val="13"/>
        </w:rPr>
      </w:pPr>
    </w:p>
    <w:p>
      <w:pPr>
        <w:pStyle w:val="BodyText"/>
        <w:spacing w:line="429" w:lineRule="auto" w:before="0"/>
        <w:ind w:left="154" w:right="0" w:firstLine="426"/>
        <w:jc w:val="left"/>
      </w:pPr>
      <w:r>
        <w:rPr>
          <w:spacing w:val="-1"/>
        </w:rPr>
        <w:t>企业合并形成的商誉测试时首先对不包含商誉的子公司单独作为一个资产组进行减值测试，计算可回收金</w:t>
      </w:r>
      <w:r>
        <w:rPr>
          <w:w w:val="100"/>
        </w:rPr>
        <w:t> </w:t>
      </w:r>
      <w:r>
        <w:rPr/>
        <w:t>额，并与相关账面价值相比较，确认相应的减值损失。</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15、长期待摊费用" w:id="253"/>
      <w:bookmarkEnd w:id="253"/>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办公楼装修费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3,913,919.15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200,836.21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2,556,888.43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1,557,866.93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3,913,919.15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200,836.21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2,556,888.43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1,557,866.93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6、递延所得税资产/递延所得税负债" w:id="254"/>
      <w:bookmarkEnd w:id="254"/>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255"/>
      <w:bookmarkEnd w:id="25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16,638,368.00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2,583,809.37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15,564,489.14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2,387,976.04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161,508.06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40,377.02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7,634,245.36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1,145,136.80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15,987,539.34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2,398,130.90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78,474,770.74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11,797,882.29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63,200,143.35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9,480,021.50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102,747,384.10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15,526,828.46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94,913,679.89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14,306,505.46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确认递延所得税资产明细" w:id="256"/>
      <w:bookmarkEnd w:id="256"/>
      <w:r>
        <w:rPr>
          <w:b w:val="0"/>
          <w:bCs w:val="0"/>
        </w:rPr>
      </w: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57,890,593.36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31,660,242.34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372,774,641.26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430,665,234.62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31,660,242.34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未确认递延所得税资产的可抵扣亏损将于以下年度到期" w:id="257"/>
      <w:bookmarkEnd w:id="257"/>
      <w:r>
        <w:rPr>
          <w:b w:val="0"/>
          <w:bCs w:val="0"/>
        </w:rPr>
      </w: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9,046,372.87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17,310,158.63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127,179.90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315,645.68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4,099,304.21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1,678,765.71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267,768.16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12,355,672.32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44,349,968.22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57,890,593.36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31,660,242.34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7、其他非流动资产" w:id="258"/>
      <w:bookmarkEnd w:id="258"/>
      <w:r>
        <w:rPr>
          <w:b w:val="0"/>
          <w:bCs w:val="0"/>
        </w:rPr>
      </w:r>
      <w:r>
        <w:rPr>
          <w:rFonts w:ascii="Times New Roman" w:hAnsi="Times New Roman" w:cs="Times New Roman" w:eastAsia="Times New Roman" w:hint="default"/>
        </w:rPr>
        <w:t>17</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年后到期的融资保证金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股权投资款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预付购房款及装修费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10,810,588.65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年以后到期的履约保证金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10,659,436.53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6,036,112.82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322,990,025.18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14,036,112.82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116"/>
        <w:ind w:left="153" w:right="-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）将于</w:t>
      </w:r>
      <w:r>
        <w:rPr>
          <w:rFonts w:ascii="Times New Roman" w:hAnsi="Times New Roman" w:cs="Times New Roman" w:eastAsia="Times New Roman" w:hint="default"/>
          <w:sz w:val="18"/>
          <w:szCs w:val="18"/>
        </w:rPr>
        <w:t>1</w:t>
      </w:r>
      <w:r>
        <w:rPr>
          <w:rFonts w:ascii="宋体" w:hAnsi="宋体" w:cs="宋体" w:eastAsia="宋体" w:hint="default"/>
          <w:sz w:val="18"/>
          <w:szCs w:val="18"/>
        </w:rPr>
        <w:t>年以后到期的履约保证金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035" w:space="5885"/>
            <w:col w:w="2010"/>
          </w:cols>
        </w:sectPr>
      </w:pP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20"/>
        <w:gridCol w:w="1620"/>
        <w:gridCol w:w="1620"/>
        <w:gridCol w:w="1620"/>
        <w:gridCol w:w="1620"/>
        <w:gridCol w:w="1620"/>
      </w:tblGrid>
      <w:tr>
        <w:trPr>
          <w:trHeight w:val="342" w:hRule="exact"/>
        </w:trPr>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17"/>
                <w:sz w:val="18"/>
                <w:szCs w:val="18"/>
              </w:rPr>
              <w:t> </w:t>
            </w:r>
            <w:r>
              <w:rPr>
                <w:rFonts w:ascii="宋体" w:hAnsi="宋体" w:cs="宋体" w:eastAsia="宋体" w:hint="default"/>
                <w:sz w:val="18"/>
                <w:szCs w:val="18"/>
              </w:rPr>
              <w:t>龄</w:t>
            </w:r>
          </w:p>
        </w:tc>
        <w:tc>
          <w:tcPr>
            <w:tcW w:w="64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3" w:right="0"/>
              <w:jc w:val="left"/>
              <w:rPr>
                <w:rFonts w:ascii="宋体" w:hAnsi="宋体" w:cs="宋体" w:eastAsia="宋体" w:hint="default"/>
                <w:sz w:val="18"/>
                <w:szCs w:val="18"/>
              </w:rPr>
            </w:pPr>
            <w:r>
              <w:rPr>
                <w:rFonts w:ascii="宋体" w:hAnsi="宋体" w:cs="宋体" w:eastAsia="宋体" w:hint="default"/>
                <w:sz w:val="18"/>
                <w:szCs w:val="18"/>
              </w:rPr>
              <w:t>到期日</w:t>
            </w:r>
          </w:p>
        </w:tc>
      </w:tr>
      <w:tr>
        <w:trPr>
          <w:trHeight w:val="342" w:hRule="exact"/>
        </w:trPr>
        <w:tc>
          <w:tcPr>
            <w:tcW w:w="1620" w:type="dxa"/>
            <w:vMerge/>
            <w:tcBorders>
              <w:left w:val="single" w:sz="4" w:space="0" w:color="000000"/>
              <w:right w:val="single" w:sz="4" w:space="0" w:color="000000"/>
            </w:tcBorders>
          </w:tcPr>
          <w:p>
            <w:pP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20" w:type="dxa"/>
            <w:vMerge/>
            <w:tcBorders>
              <w:left w:val="single" w:sz="4" w:space="0" w:color="000000"/>
              <w:right w:val="single" w:sz="4" w:space="0" w:color="000000"/>
            </w:tcBorders>
          </w:tcPr>
          <w:p>
            <w:pPr/>
          </w:p>
        </w:tc>
      </w:tr>
      <w:tr>
        <w:trPr>
          <w:trHeight w:val="342" w:hRule="exact"/>
        </w:trPr>
        <w:tc>
          <w:tcPr>
            <w:tcW w:w="1620"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0" w:type="dxa"/>
            <w:vMerge/>
            <w:tcBorders>
              <w:left w:val="single" w:sz="4" w:space="0" w:color="000000"/>
              <w:bottom w:val="single" w:sz="4" w:space="0" w:color="000000"/>
              <w:right w:val="single" w:sz="4" w:space="0" w:color="000000"/>
            </w:tcBorders>
          </w:tcPr>
          <w:p>
            <w:pPr/>
          </w:p>
        </w:tc>
      </w:tr>
      <w:tr>
        <w:trPr>
          <w:trHeight w:val="34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6,520,498.45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56.65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326,024.92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年以内</w:t>
            </w:r>
          </w:p>
        </w:tc>
      </w:tr>
      <w:tr>
        <w:trPr>
          <w:trHeight w:val="34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4,730,750.00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473,075.00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年以内</w:t>
            </w:r>
          </w:p>
        </w:tc>
      </w:tr>
      <w:tr>
        <w:trPr>
          <w:trHeight w:val="34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259,110.00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51,822.00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年以内</w:t>
            </w:r>
          </w:p>
        </w:tc>
      </w:tr>
      <w:tr>
        <w:trPr>
          <w:trHeight w:val="34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11,510,358.45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850,921.92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7.39</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8、短期借款" w:id="259"/>
      <w:bookmarkEnd w:id="259"/>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60"/>
      <w:bookmarkEnd w:id="26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201,697,478.51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69,262,887.38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270,960,365.89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4,020,000.00</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8"/>
        <w:rPr>
          <w:rFonts w:ascii="宋体" w:hAnsi="宋体" w:cs="宋体" w:eastAsia="宋体" w:hint="default"/>
          <w:sz w:val="13"/>
          <w:szCs w:val="13"/>
        </w:rPr>
      </w:pPr>
    </w:p>
    <w:p>
      <w:pPr>
        <w:pStyle w:val="BodyText"/>
        <w:spacing w:line="240" w:lineRule="auto" w:before="0"/>
        <w:ind w:left="625" w:right="0"/>
        <w:jc w:val="left"/>
      </w:pPr>
      <w:r>
        <w:rPr/>
        <w:t>本公司实际控制人朱烨东、沈飒以及北京中科金财电子商务有限公司同北京银行中关村科技园支行签订</w:t>
      </w:r>
    </w:p>
    <w:p>
      <w:pPr>
        <w:spacing w:line="240" w:lineRule="auto" w:before="10"/>
        <w:rPr>
          <w:rFonts w:ascii="宋体" w:hAnsi="宋体" w:cs="宋体" w:eastAsia="宋体" w:hint="default"/>
          <w:sz w:val="15"/>
          <w:szCs w:val="15"/>
        </w:rPr>
      </w:pPr>
    </w:p>
    <w:p>
      <w:pPr>
        <w:pStyle w:val="BodyText"/>
        <w:spacing w:line="422" w:lineRule="auto" w:before="0"/>
        <w:ind w:right="1168"/>
        <w:jc w:val="both"/>
      </w:pPr>
      <w:r>
        <w:rPr>
          <w:spacing w:val="-1"/>
        </w:rPr>
        <w:t>《综合授信协议》，为公司借款提供保证担保；本公司实际控制人沈飒同中国民生银行股份有限公司总行营业</w:t>
      </w:r>
      <w:r>
        <w:rPr>
          <w:spacing w:val="-63"/>
        </w:rPr>
        <w:t> </w:t>
      </w:r>
      <w:r>
        <w:rPr>
          <w:spacing w:val="-63"/>
        </w:rPr>
      </w:r>
      <w:r>
        <w:rPr>
          <w:spacing w:val="-1"/>
        </w:rPr>
        <w:t>部签订《综合授信合同》，为公司借款提供保证担保；本公司实际控制人朱烨东、沈飒同招商银行股份有限公</w:t>
      </w:r>
      <w:r>
        <w:rPr>
          <w:spacing w:val="-63"/>
        </w:rPr>
        <w:t> </w:t>
      </w:r>
      <w:r>
        <w:rPr>
          <w:spacing w:val="-63"/>
        </w:rPr>
      </w:r>
      <w:r>
        <w:rPr>
          <w:spacing w:val="-1"/>
        </w:rPr>
        <w:t>司大运村支行签订《综合授信协议》，为公司借款提供保证担保；截至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日，公司累计保证借款金</w:t>
      </w:r>
      <w:r>
        <w:rPr>
          <w:spacing w:val="-60"/>
        </w:rPr>
        <w:t> </w:t>
      </w:r>
      <w:r>
        <w:rPr>
          <w:spacing w:val="-60"/>
        </w:rPr>
      </w:r>
      <w:r>
        <w:rPr/>
        <w:t>额合计为</w:t>
      </w:r>
      <w:r>
        <w:rPr>
          <w:rFonts w:ascii="Times New Roman" w:hAnsi="Times New Roman" w:cs="Times New Roman" w:eastAsia="Times New Roman" w:hint="default"/>
        </w:rPr>
        <w:t>201,697,478.51</w:t>
      </w:r>
      <w:r>
        <w:rPr/>
        <w:t>元。</w:t>
      </w:r>
    </w:p>
    <w:p>
      <w:pPr>
        <w:pStyle w:val="BodyText"/>
        <w:spacing w:line="405" w:lineRule="auto" w:before="23"/>
        <w:ind w:right="1129" w:firstLine="471"/>
        <w:jc w:val="both"/>
      </w:pPr>
      <w:r>
        <w:rPr>
          <w:spacing w:val="-2"/>
        </w:rPr>
        <w:t>本公司与上海浦东发展银行股份有限公司北京分行签订《融资额度协议》，信用额度</w:t>
      </w:r>
      <w:r>
        <w:rPr>
          <w:rFonts w:ascii="Times New Roman" w:hAnsi="Times New Roman" w:cs="Times New Roman" w:eastAsia="Times New Roman" w:hint="default"/>
          <w:spacing w:val="-2"/>
        </w:rPr>
        <w:t>3000</w:t>
      </w:r>
      <w:r>
        <w:rPr>
          <w:spacing w:val="-2"/>
        </w:rPr>
        <w:t>万元人民币；本</w:t>
      </w:r>
      <w:r>
        <w:rPr>
          <w:w w:val="100"/>
        </w:rPr>
        <w:t> </w:t>
      </w:r>
      <w:r>
        <w:rPr/>
        <w:t>公司与九江银行股份有限公司签订《综合授信合同》，授信额度为</w:t>
      </w:r>
      <w:r>
        <w:rPr>
          <w:rFonts w:ascii="Times New Roman" w:hAnsi="Times New Roman" w:cs="Times New Roman" w:eastAsia="Times New Roman" w:hint="default"/>
        </w:rPr>
        <w:t>3</w:t>
      </w:r>
      <w:r>
        <w:rPr/>
        <w:t>亿元人民币，若使用授信额度超过</w:t>
      </w:r>
      <w:r>
        <w:rPr>
          <w:rFonts w:ascii="Times New Roman" w:hAnsi="Times New Roman" w:cs="Times New Roman" w:eastAsia="Times New Roman" w:hint="default"/>
        </w:rPr>
        <w:t>1</w:t>
      </w:r>
      <w:r>
        <w:rPr/>
        <w:t>亿元人</w:t>
      </w:r>
      <w:r>
        <w:rPr>
          <w:w w:val="100"/>
        </w:rPr>
        <w:t> </w:t>
      </w:r>
      <w:r>
        <w:rPr>
          <w:spacing w:val="-1"/>
        </w:rPr>
        <w:t>民币追加本公司实际控制人朱烨东、沈飒提供保证担保，实际借款金额为</w:t>
      </w:r>
      <w:r>
        <w:rPr>
          <w:rFonts w:ascii="Times New Roman" w:hAnsi="Times New Roman" w:cs="Times New Roman" w:eastAsia="Times New Roman" w:hint="default"/>
          <w:spacing w:val="-1"/>
        </w:rPr>
        <w:t>9,673,716.00</w:t>
      </w:r>
      <w:r>
        <w:rPr>
          <w:spacing w:val="-1"/>
        </w:rPr>
        <w:t>元；本公司与华夏银行股</w:t>
      </w:r>
      <w:r>
        <w:rPr>
          <w:spacing w:val="-69"/>
        </w:rPr>
        <w:t> </w:t>
      </w:r>
      <w:r>
        <w:rPr>
          <w:spacing w:val="-69"/>
        </w:rPr>
      </w:r>
      <w:r>
        <w:rPr>
          <w:spacing w:val="-2"/>
        </w:rPr>
        <w:t>份有限公司北京中轴路支行签订《最高额融资合同》，信用额度</w:t>
      </w:r>
      <w:r>
        <w:rPr>
          <w:rFonts w:ascii="Times New Roman" w:hAnsi="Times New Roman" w:cs="Times New Roman" w:eastAsia="Times New Roman" w:hint="default"/>
          <w:spacing w:val="-2"/>
        </w:rPr>
        <w:t>3</w:t>
      </w:r>
      <w:r>
        <w:rPr>
          <w:spacing w:val="-2"/>
        </w:rPr>
        <w:t>亿元人民币；截至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日，公司累计</w:t>
      </w:r>
      <w:r>
        <w:rPr>
          <w:spacing w:val="-72"/>
        </w:rPr>
        <w:t> </w:t>
      </w:r>
      <w:r>
        <w:rPr>
          <w:spacing w:val="-72"/>
        </w:rPr>
      </w:r>
      <w:r>
        <w:rPr/>
        <w:t>信用借款余额合计为</w:t>
      </w:r>
      <w:r>
        <w:rPr>
          <w:rFonts w:ascii="Times New Roman" w:hAnsi="Times New Roman" w:cs="Times New Roman" w:eastAsia="Times New Roman" w:hint="default"/>
        </w:rPr>
        <w:t>69,262,887.38</w:t>
      </w:r>
      <w:r>
        <w:rPr/>
        <w:t>元。</w:t>
      </w:r>
    </w:p>
    <w:p>
      <w:pPr>
        <w:spacing w:after="0" w:line="405" w:lineRule="auto"/>
        <w:jc w:val="both"/>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9、应付票据" w:id="261"/>
      <w:bookmarkEnd w:id="261"/>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700,000.00</w:t>
            </w:r>
          </w:p>
        </w:tc>
      </w:tr>
    </w:tbl>
    <w:p>
      <w:pPr>
        <w:pStyle w:val="BodyText"/>
        <w:spacing w:line="240" w:lineRule="auto" w:before="35"/>
        <w:ind w:left="154" w:right="0"/>
        <w:jc w:val="left"/>
      </w:pPr>
      <w:r>
        <w:rPr/>
        <w:t>本期末已到期未支付的应付票据总额为</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20、应付账款" w:id="262"/>
      <w:bookmarkEnd w:id="262"/>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63"/>
      <w:bookmarkEnd w:id="26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247,444,039.50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138,666,388.86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 </w:t>
            </w:r>
            <w:r>
              <w:rPr>
                <w:rFonts w:ascii="Times New Roman" w:hAnsi="Times New Roman" w:cs="Times New Roman" w:eastAsia="Times New Roman" w:hint="default"/>
                <w:sz w:val="18"/>
                <w:szCs w:val="18"/>
              </w:rPr>
              <w:t>2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12,719,023.92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13,972,451.15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 </w:t>
            </w:r>
            <w:r>
              <w:rPr>
                <w:rFonts w:ascii="Times New Roman" w:hAnsi="Times New Roman" w:cs="Times New Roman" w:eastAsia="Times New Roman" w:hint="default"/>
                <w:sz w:val="18"/>
                <w:szCs w:val="18"/>
              </w:rPr>
              <w:t>3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4,763,854.18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3,065,231.15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7,591,184.66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6,700,243.53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272,518,102.26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162,404,314.69</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264"/>
      <w:bookmarkEnd w:id="26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2,004,273.49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恒业智能安防（深圳）有限公司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1,638,014.55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北京健行天下信息咨询有限公司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1,566,520.12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北京神州绿盟科技有限公司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1,482,490.33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联合众思云医疗科技股份有限公司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8,167,298.49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1、预收款项" w:id="265"/>
      <w:bookmarkEnd w:id="265"/>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66"/>
      <w:bookmarkEnd w:id="26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2"/>
              <w:jc w:val="righ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280,493,787.36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277,202,444.54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 </w:t>
            </w:r>
            <w:r>
              <w:rPr>
                <w:rFonts w:ascii="Times New Roman" w:hAnsi="Times New Roman" w:cs="Times New Roman" w:eastAsia="Times New Roman" w:hint="default"/>
                <w:sz w:val="18"/>
                <w:szCs w:val="18"/>
              </w:rPr>
              <w:t>2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31,016,334.74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20,924,687.93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 </w:t>
            </w:r>
            <w:r>
              <w:rPr>
                <w:rFonts w:ascii="Times New Roman" w:hAnsi="Times New Roman" w:cs="Times New Roman" w:eastAsia="Times New Roman" w:hint="default"/>
                <w:sz w:val="18"/>
                <w:szCs w:val="18"/>
              </w:rPr>
              <w:t>3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6,152,222.96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11,720,174.39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4,995,380.62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2,672,962.39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322,657,725.68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312,520,269.25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67"/>
      <w:bookmarkEnd w:id="26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深圳一路捞互联网有限公司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6,334,186.94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交通运输部救助打捞局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4,871,885.62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首都空港贵宾服务管理有限公司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4,739,701.46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河南省许昌监狱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4,656,168.21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国家民族事务委员会舆情中心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2,590,647.01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23,192,589.24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2、应付职工薪酬" w:id="268"/>
      <w:bookmarkEnd w:id="268"/>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69"/>
      <w:bookmarkEnd w:id="26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23,398,325.46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148,952,926.68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162,385,391.15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9,965,860.99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14,051,306.52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14,051,306.52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23,398,325.46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163,004,233.20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176,436,697.67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9,965,860.99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70"/>
      <w:bookmarkEnd w:id="27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22,715,707.70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125,577,997.18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138,896,924.46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9,396,780.42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2,605,978.62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2,605,978.62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7,895,340.23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7,895,340.23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7,028,351.84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7,028,351.84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286,360.27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286,360.27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580,628.12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580,628.12</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9,664,438.58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9,664,438.58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584,533.87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2,338,193.60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2,353,646.90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569,080.57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98,083.89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870,978.47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969,062.36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23,398,325.46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148,952,926.68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162,385,391.15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9,965,860.99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71"/>
      <w:bookmarkEnd w:id="27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13,563,494.89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13,563,494.89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487,811.63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487,811.63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14,051,306.52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14,051,306.52</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3、应交税费" w:id="272"/>
      <w:bookmarkEnd w:id="272"/>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15,747,074.54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13,360,691.58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1,657,047.83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11,527,007.87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769,856.00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784,114.25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988,967.19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932,386.36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706,291.53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666,270.62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56,538.75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52,633.62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19,925,775.84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27,323,104.30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4、应付利息" w:id="273"/>
      <w:bookmarkEnd w:id="273"/>
      <w:r>
        <w:rPr>
          <w:b w:val="0"/>
          <w:bCs w:val="0"/>
        </w:rPr>
      </w:r>
      <w:r>
        <w:rPr>
          <w:rFonts w:ascii="Times New Roman" w:hAnsi="Times New Roman" w:cs="Times New Roman" w:eastAsia="Times New Roman" w:hint="default"/>
        </w:rPr>
        <w:t>24</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11,124,445.50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11,124,445.50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11,124,445.50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11,124,445.50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8"/>
        <w:ind w:right="0"/>
        <w:jc w:val="left"/>
      </w:pPr>
      <w:r>
        <w:rPr/>
        <w:t>本报告期无逾期未支付的利息。</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5、其他应付款" w:id="274"/>
      <w:bookmarkEnd w:id="274"/>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75"/>
      <w:bookmarkEnd w:id="275"/>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22,078,425.26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141,235,245.05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23,946,656.71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13,860,710.94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570,425.56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155,095,955.99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46,595,507.53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276"/>
      <w:bookmarkEnd w:id="27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北京润雨嘉科技发展有限公司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4,629,453.19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履约期内</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北京泓澳峰科技发展有限公司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2,998,899.00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履约期内</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北京华圆东泰科技有限公司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1,957,056.90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履约期内</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郑州华路天成信息技术有限公司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履约期内</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河南冠辰科技有限公司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433,843.45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履约期内</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11,569,252.54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6、一年内到期的非流动负债" w:id="277"/>
      <w:bookmarkEnd w:id="277"/>
      <w:r>
        <w:rPr>
          <w:b w:val="0"/>
          <w:bCs w:val="0"/>
        </w:rPr>
      </w:r>
      <w:r>
        <w:rPr>
          <w:rFonts w:ascii="Times New Roman" w:hAnsi="Times New Roman" w:cs="Times New Roman" w:eastAsia="Times New Roman" w:hint="default"/>
        </w:rPr>
        <w:t>26</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221,262,000.00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58,875,562.92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280,137,562.92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7、其他流动负债" w:id="278"/>
      <w:bookmarkEnd w:id="278"/>
      <w:r>
        <w:rPr>
          <w:b w:val="0"/>
          <w:bCs w:val="0"/>
        </w:rPr>
      </w:r>
      <w:r>
        <w:rPr>
          <w:rFonts w:ascii="Times New Roman" w:hAnsi="Times New Roman" w:cs="Times New Roman" w:eastAsia="Times New Roman" w:hint="default"/>
        </w:rPr>
        <w:t>27</w:t>
      </w:r>
      <w:r>
        <w:rPr/>
        <w:t>、其他流动负债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211,555.56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信托收益权融资本金及未付利息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400,484,057.87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优先级信托份额及未分配收益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150,111,562.56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550,595,620.43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211,555.56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13"/>
          <w:szCs w:val="13"/>
        </w:rPr>
      </w:pPr>
    </w:p>
    <w:p>
      <w:pPr>
        <w:pStyle w:val="BodyText"/>
        <w:spacing w:line="405" w:lineRule="auto" w:before="0"/>
        <w:ind w:right="0" w:firstLine="426"/>
        <w:jc w:val="left"/>
      </w:pPr>
      <w:r>
        <w:rPr>
          <w:rFonts w:ascii="Times New Roman" w:hAnsi="Times New Roman" w:cs="Times New Roman" w:eastAsia="Times New Roman" w:hint="default"/>
          <w:spacing w:val="-3"/>
          <w:w w:val="100"/>
        </w:rPr>
        <w:t>1</w:t>
      </w:r>
      <w:r>
        <w:rPr>
          <w:spacing w:val="-3"/>
          <w:w w:val="100"/>
        </w:rPr>
        <w:t>、信托收益权融资本金及未付利息系本公司全资子公司将其持有的信托产品在天津金融交易所等交易所融</w:t>
      </w:r>
      <w:r>
        <w:rPr>
          <w:w w:val="100"/>
        </w:rPr>
        <w:t> </w:t>
      </w:r>
      <w:r>
        <w:rPr/>
        <w:t>资所得及应付未付利息。</w:t>
      </w:r>
    </w:p>
    <w:p>
      <w:pPr>
        <w:pStyle w:val="BodyText"/>
        <w:spacing w:line="405" w:lineRule="auto" w:before="68"/>
        <w:ind w:right="0" w:firstLine="426"/>
        <w:jc w:val="left"/>
      </w:pPr>
      <w:r>
        <w:rPr>
          <w:rFonts w:ascii="Times New Roman" w:hAnsi="Times New Roman" w:cs="Times New Roman" w:eastAsia="Times New Roman" w:hint="default"/>
          <w:spacing w:val="-3"/>
        </w:rPr>
        <w:t>2</w:t>
      </w:r>
      <w:r>
        <w:rPr>
          <w:spacing w:val="-3"/>
        </w:rPr>
        <w:t>、优先级信托份额及未分配收益系本公司全资子公司购买的劣后级信托产品，优先级信托单位投入信托产</w:t>
      </w:r>
      <w:r>
        <w:rPr>
          <w:w w:val="100"/>
        </w:rPr>
        <w:t> </w:t>
      </w:r>
      <w:r>
        <w:rPr/>
        <w:t>品的金额及未分配的收益。</w:t>
      </w:r>
    </w:p>
    <w:p>
      <w:pPr>
        <w:spacing w:line="240" w:lineRule="auto" w:before="7"/>
        <w:rPr>
          <w:rFonts w:ascii="宋体" w:hAnsi="宋体" w:cs="宋体" w:eastAsia="宋体" w:hint="default"/>
          <w:sz w:val="21"/>
          <w:szCs w:val="21"/>
        </w:rPr>
      </w:pPr>
    </w:p>
    <w:p>
      <w:pPr>
        <w:pStyle w:val="Heading3"/>
        <w:spacing w:line="240" w:lineRule="auto"/>
        <w:ind w:left="153" w:right="0"/>
        <w:jc w:val="left"/>
        <w:rPr>
          <w:b w:val="0"/>
          <w:bCs w:val="0"/>
        </w:rPr>
      </w:pPr>
      <w:bookmarkStart w:name="28、应付债券" w:id="279"/>
      <w:bookmarkEnd w:id="279"/>
      <w:r>
        <w:rPr>
          <w:b w:val="0"/>
          <w:bCs w:val="0"/>
        </w:rPr>
      </w:r>
      <w:r>
        <w:rPr>
          <w:rFonts w:ascii="Times New Roman" w:hAnsi="Times New Roman" w:cs="Times New Roman" w:eastAsia="Times New Roman" w:hint="default"/>
        </w:rPr>
        <w:t>28</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280"/>
      <w:bookmarkEnd w:id="280"/>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中财债</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220,782,000.00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220,782,000.00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不包括划分为金融负债的优先股、永续债等其他金融工具）" w:id="281"/>
      <w:bookmarkEnd w:id="281"/>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重分类至 流动负债</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中财</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0"/>
              <w:jc w:val="center"/>
              <w:rPr>
                <w:rFonts w:ascii="Times New Roman" w:hAnsi="Times New Roman" w:cs="Times New Roman" w:eastAsia="Times New Roman" w:hint="default"/>
                <w:sz w:val="18"/>
                <w:szCs w:val="18"/>
              </w:rPr>
            </w:pPr>
            <w:r>
              <w:rPr>
                <w:rFonts w:ascii="Times New Roman"/>
                <w:sz w:val="18"/>
              </w:rPr>
              <w:t>2013-4-3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220,782,0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14,832,59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221,262,0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220,782,0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14,832,59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221,262,0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9、长期应付款" w:id="282"/>
      <w:bookmarkEnd w:id="282"/>
      <w:r>
        <w:rPr>
          <w:b w:val="0"/>
          <w:bCs w:val="0"/>
        </w:rPr>
      </w:r>
      <w:r>
        <w:rPr>
          <w:rFonts w:ascii="Times New Roman" w:hAnsi="Times New Roman" w:cs="Times New Roman" w:eastAsia="Times New Roman" w:hint="default"/>
        </w:rPr>
        <w:t>29</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283"/>
      <w:bookmarkEnd w:id="28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94,617,770.41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94,617,770.41</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0、递延收益" w:id="284"/>
      <w:bookmarkEnd w:id="284"/>
      <w:r>
        <w:rPr>
          <w:b w:val="0"/>
          <w:bCs w:val="0"/>
        </w:rPr>
      </w:r>
      <w:r>
        <w:rPr>
          <w:rFonts w:ascii="Times New Roman" w:hAnsi="Times New Roman" w:cs="Times New Roman" w:eastAsia="Times New Roman" w:hint="default"/>
        </w:rPr>
        <w:t>30</w:t>
      </w:r>
      <w:r>
        <w:rPr/>
        <w:t>、递延收益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34" w:right="0"/>
              <w:jc w:val="left"/>
              <w:rPr>
                <w:rFonts w:ascii="Times New Roman" w:hAnsi="Times New Roman" w:cs="Times New Roman" w:eastAsia="Times New Roman" w:hint="default"/>
                <w:sz w:val="18"/>
                <w:szCs w:val="18"/>
              </w:rPr>
            </w:pPr>
            <w:r>
              <w:rPr>
                <w:rFonts w:ascii="Times New Roman"/>
                <w:sz w:val="18"/>
              </w:rPr>
              <w:t>15,987,539.34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8,353,293.98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7,634,245.36</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34" w:right="0"/>
              <w:jc w:val="left"/>
              <w:rPr>
                <w:rFonts w:ascii="Times New Roman" w:hAnsi="Times New Roman" w:cs="Times New Roman" w:eastAsia="Times New Roman" w:hint="default"/>
                <w:sz w:val="18"/>
                <w:szCs w:val="18"/>
              </w:rPr>
            </w:pPr>
            <w:r>
              <w:rPr>
                <w:rFonts w:ascii="Times New Roman"/>
                <w:sz w:val="18"/>
              </w:rPr>
              <w:t>15,987,539.34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8,353,293.98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7,634,245.36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面向云计算 基于虚拟化 技术的分布 式计算管理 系统平台项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333,333.33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333,333.33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移动电子商 务公共服务 平台项目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884,000.00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884,000.00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金融行业海 量数据处理 北京市工程 实验室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8,066,833.33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3,338,000.00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4,728,833.33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移动金融云 安全服务项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3,066,666.67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1,466,666.67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年北京 市科技计划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546,900.00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364,600.00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移动支付安 全中间件产 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01"/>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语言 的移动应用 软件开发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53,333.33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53,333.33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69"/>
              <w:jc w:val="both"/>
              <w:rPr>
                <w:rFonts w:ascii="宋体" w:hAnsi="宋体" w:cs="宋体" w:eastAsia="宋体" w:hint="default"/>
                <w:sz w:val="18"/>
                <w:szCs w:val="18"/>
              </w:rPr>
            </w:pPr>
            <w:r>
              <w:rPr>
                <w:rFonts w:ascii="宋体" w:hAnsi="宋体" w:cs="宋体" w:eastAsia="宋体" w:hint="default"/>
                <w:sz w:val="18"/>
                <w:szCs w:val="18"/>
              </w:rPr>
              <w:t>电子发展基 金</w:t>
            </w:r>
            <w:r>
              <w:rPr>
                <w:rFonts w:ascii="Times New Roman" w:hAnsi="Times New Roman" w:cs="Times New Roman" w:eastAsia="Times New Roman" w:hint="default"/>
                <w:sz w:val="18"/>
                <w:szCs w:val="18"/>
              </w:rPr>
              <w:t>-</w:t>
            </w:r>
            <w:r>
              <w:rPr>
                <w:rFonts w:ascii="宋体" w:hAnsi="宋体" w:cs="宋体" w:eastAsia="宋体" w:hint="default"/>
                <w:sz w:val="18"/>
                <w:szCs w:val="18"/>
              </w:rPr>
              <w:t>移动支付 清算平台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648,180.00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598,320.00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企业技术中 心自主创新 能力建设项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年现代 服务业试点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2,058,292.68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851,707.32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1,206,585.36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3"/>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49"/>
              <w:jc w:val="left"/>
              <w:rPr>
                <w:rFonts w:ascii="宋体" w:hAnsi="宋体" w:cs="宋体" w:eastAsia="宋体" w:hint="default"/>
                <w:sz w:val="18"/>
                <w:szCs w:val="18"/>
              </w:rPr>
            </w:pPr>
            <w:r>
              <w:rPr>
                <w:rFonts w:ascii="宋体" w:hAnsi="宋体" w:cs="宋体" w:eastAsia="宋体" w:hint="default"/>
                <w:sz w:val="18"/>
                <w:szCs w:val="18"/>
              </w:rPr>
              <w:t>项目（基金）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52" w:lineRule="exact"/>
              <w:ind w:right="-51"/>
              <w:jc w:val="left"/>
              <w:rPr>
                <w:rFonts w:ascii="宋体" w:hAnsi="宋体" w:cs="宋体" w:eastAsia="宋体" w:hint="default"/>
                <w:sz w:val="20"/>
                <w:szCs w:val="20"/>
              </w:rPr>
            </w:pPr>
            <w:r>
              <w:rPr>
                <w:rFonts w:ascii="宋体" w:hAnsi="宋体" w:cs="宋体" w:eastAsia="宋体" w:hint="default"/>
                <w:position w:val="-6"/>
                <w:sz w:val="20"/>
                <w:szCs w:val="20"/>
              </w:rPr>
              <w:pict>
                <v:group style="width:52.75pt;height:17.650pt;mso-position-horizontal-relative:char;mso-position-vertical-relative:line" coordorigin="0,0" coordsize="1055,353">
                  <v:group style="position:absolute;left:0;top:0;width:1055;height:353" coordorigin="0,0" coordsize="1055,353">
                    <v:shape style="position:absolute;left:0;top:0;width:1055;height:353" coordorigin="0,0" coordsize="1055,353" path="m0,353l1055,353,1055,0,0,0,0,353xe" filled="true" fillcolor="#ffffff" stroked="false">
                      <v:path arrowok="t"/>
                      <v:fill type="solid"/>
                    </v:shape>
                  </v:group>
                </v:group>
              </w:pict>
            </w:r>
            <w:r>
              <w:rPr>
                <w:rFonts w:ascii="宋体" w:hAnsi="宋体" w:cs="宋体" w:eastAsia="宋体" w:hint="default"/>
                <w:position w:val="-6"/>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15,987,539.3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8,353,293.98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7,634,245.36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1、股本" w:id="285"/>
      <w:bookmarkEnd w:id="285"/>
      <w:r>
        <w:rPr>
          <w:b w:val="0"/>
          <w:bCs w:val="0"/>
        </w:rPr>
      </w:r>
      <w:r>
        <w:rPr>
          <w:rFonts w:ascii="Times New Roman" w:hAnsi="Times New Roman" w:cs="Times New Roman" w:eastAsia="Times New Roman" w:hint="default"/>
        </w:rPr>
        <w:t>31</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337,576,686.00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337,576,686.00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2、资本公积" w:id="286"/>
      <w:bookmarkEnd w:id="286"/>
      <w:r>
        <w:rPr>
          <w:b w:val="0"/>
          <w:bCs w:val="0"/>
        </w:rPr>
      </w:r>
      <w:r>
        <w:rPr>
          <w:rFonts w:ascii="Times New Roman" w:hAnsi="Times New Roman" w:cs="Times New Roman" w:eastAsia="Times New Roman" w:hint="default"/>
        </w:rPr>
        <w:t>32</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1,773,131,516.37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70,409.74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7" w:right="0"/>
              <w:jc w:val="left"/>
              <w:rPr>
                <w:rFonts w:ascii="Times New Roman" w:hAnsi="Times New Roman" w:cs="Times New Roman" w:eastAsia="Times New Roman" w:hint="default"/>
                <w:sz w:val="18"/>
                <w:szCs w:val="18"/>
              </w:rPr>
            </w:pPr>
            <w:r>
              <w:rPr>
                <w:rFonts w:ascii="Times New Roman"/>
                <w:sz w:val="18"/>
              </w:rPr>
              <w:t>1,773,201,926.11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1,773,131,516.37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70,409.74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7" w:right="0"/>
              <w:jc w:val="left"/>
              <w:rPr>
                <w:rFonts w:ascii="Times New Roman" w:hAnsi="Times New Roman" w:cs="Times New Roman" w:eastAsia="Times New Roman" w:hint="default"/>
                <w:sz w:val="18"/>
                <w:szCs w:val="18"/>
              </w:rPr>
            </w:pPr>
            <w:r>
              <w:rPr>
                <w:rFonts w:ascii="Times New Roman"/>
                <w:sz w:val="18"/>
              </w:rPr>
              <w:t>1,773,201,926.11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0" w:lineRule="auto" w:before="100"/>
        <w:ind w:left="154" w:right="0"/>
        <w:jc w:val="left"/>
      </w:pPr>
      <w:r>
        <w:rPr/>
        <w:t>资本公积本期增加系购买少数股权支付对价与享有的净资产差异影响。</w:t>
      </w:r>
    </w:p>
    <w:p>
      <w:pPr>
        <w:spacing w:line="240" w:lineRule="auto" w:before="2"/>
        <w:rPr>
          <w:rFonts w:ascii="宋体" w:hAnsi="宋体" w:cs="宋体" w:eastAsia="宋体" w:hint="default"/>
          <w:sz w:val="26"/>
          <w:szCs w:val="26"/>
        </w:rPr>
      </w:pPr>
    </w:p>
    <w:p>
      <w:pPr>
        <w:pStyle w:val="Heading3"/>
        <w:spacing w:line="240" w:lineRule="auto"/>
        <w:ind w:left="153" w:right="0"/>
        <w:jc w:val="left"/>
        <w:rPr>
          <w:b w:val="0"/>
          <w:bCs w:val="0"/>
        </w:rPr>
      </w:pPr>
      <w:bookmarkStart w:name="33、其他综合收益" w:id="287"/>
      <w:bookmarkEnd w:id="287"/>
      <w:r>
        <w:rPr>
          <w:b w:val="0"/>
          <w:bCs w:val="0"/>
        </w:rPr>
      </w:r>
      <w:r>
        <w:rPr>
          <w:rFonts w:ascii="Times New Roman" w:hAnsi="Times New Roman" w:cs="Times New Roman" w:eastAsia="Times New Roman" w:hint="default"/>
        </w:rPr>
        <w:t>33</w:t>
      </w:r>
      <w:r>
        <w:rPr/>
        <w:t>、其他综合收益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397"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31"/>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1,121.95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1,121.95</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1,121.95</w:t>
            </w: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1,121.95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1,121.95</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1,121.95</w:t>
            </w: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1,121.95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1,121.95</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1,121.95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4、盈余公积" w:id="288"/>
      <w:bookmarkEnd w:id="288"/>
      <w:r>
        <w:rPr>
          <w:b w:val="0"/>
          <w:bCs w:val="0"/>
        </w:rPr>
      </w:r>
      <w:r>
        <w:rPr>
          <w:rFonts w:ascii="Times New Roman" w:hAnsi="Times New Roman" w:cs="Times New Roman" w:eastAsia="Times New Roman" w:hint="default"/>
        </w:rPr>
        <w:t>34</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51,874,852.07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11,368,945.99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63,243,798.06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51,874,852.07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11,368,945.99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63,243,798.06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BodyText"/>
        <w:spacing w:line="240" w:lineRule="auto" w:before="38"/>
        <w:ind w:right="0"/>
        <w:jc w:val="left"/>
      </w:pPr>
      <w:r>
        <w:rPr/>
        <w:t>盈余公积本期增加系在本报告期税后利润中，按</w:t>
      </w:r>
      <w:r>
        <w:rPr>
          <w:rFonts w:ascii="Times New Roman" w:hAnsi="Times New Roman" w:cs="Times New Roman" w:eastAsia="Times New Roman" w:hint="default"/>
        </w:rPr>
        <w:t>10%</w:t>
      </w:r>
      <w:r>
        <w:rPr/>
        <w:t>比例提取法定盈余公积所致。</w:t>
      </w:r>
    </w:p>
    <w:p>
      <w:pPr>
        <w:spacing w:line="240" w:lineRule="auto" w:before="13"/>
        <w:rPr>
          <w:rFonts w:ascii="宋体" w:hAnsi="宋体" w:cs="宋体" w:eastAsia="宋体" w:hint="default"/>
          <w:sz w:val="24"/>
          <w:szCs w:val="24"/>
        </w:rPr>
      </w:pPr>
    </w:p>
    <w:p>
      <w:pPr>
        <w:pStyle w:val="Heading3"/>
        <w:spacing w:line="240" w:lineRule="auto"/>
        <w:ind w:left="153" w:right="0"/>
        <w:jc w:val="left"/>
        <w:rPr>
          <w:b w:val="0"/>
          <w:bCs w:val="0"/>
        </w:rPr>
      </w:pPr>
      <w:bookmarkStart w:name="35、未分配利润" w:id="289"/>
      <w:bookmarkEnd w:id="289"/>
      <w:r>
        <w:rPr>
          <w:b w:val="0"/>
          <w:bCs w:val="0"/>
        </w:rPr>
      </w:r>
      <w:r>
        <w:rPr>
          <w:rFonts w:ascii="Times New Roman" w:hAnsi="Times New Roman" w:cs="Times New Roman" w:eastAsia="Times New Roman" w:hint="default"/>
        </w:rPr>
        <w:t>35</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608,374,942.46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450,394,854.26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608,374,942.46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450,394,854.26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-236,661,197.94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177,933,924.25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11,326,870.97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6,450,516.42</w:t>
            </w:r>
          </w:p>
        </w:tc>
      </w:tr>
      <w:tr>
        <w:trPr>
          <w:trHeight w:val="40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16,878,834.30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13,503,067.44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36"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252.19</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343,508,039.25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608,374,942.46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pStyle w:val="BodyText"/>
        <w:spacing w:line="240" w:lineRule="auto" w:before="100"/>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w:t>
      </w:r>
    </w:p>
    <w:p>
      <w:pPr>
        <w:pStyle w:val="BodyText"/>
        <w:spacing w:line="240" w:lineRule="auto" w:before="76"/>
        <w:ind w:left="154" w:right="0"/>
        <w:jc w:val="left"/>
      </w:pPr>
      <w:r>
        <w:rPr>
          <w:rFonts w:ascii="Times New Roman" w:hAnsi="Times New Roman" w:cs="Times New Roman" w:eastAsia="Times New Roman" w:hint="default"/>
        </w:rPr>
        <w:t>2)</w:t>
      </w:r>
      <w:r>
        <w:rPr/>
        <w:t>、由于会计政策变更，影响期初未分配利润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w:t>
      </w:r>
    </w:p>
    <w:p>
      <w:pPr>
        <w:pStyle w:val="BodyText"/>
        <w:spacing w:line="240" w:lineRule="auto" w:before="74"/>
        <w:ind w:left="154" w:right="0"/>
        <w:jc w:val="left"/>
      </w:pPr>
      <w:r>
        <w:rPr>
          <w:rFonts w:ascii="Times New Roman" w:hAnsi="Times New Roman" w:cs="Times New Roman" w:eastAsia="Times New Roman" w:hint="default"/>
        </w:rPr>
        <w:t>3)</w:t>
      </w:r>
      <w:r>
        <w:rPr/>
        <w:t>、由于重大会计差错更正，影响期初未分配利润</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w:t>
      </w:r>
    </w:p>
    <w:p>
      <w:pPr>
        <w:pStyle w:val="BodyText"/>
        <w:spacing w:line="240" w:lineRule="auto" w:before="74"/>
        <w:ind w:left="154" w:right="0"/>
        <w:jc w:val="left"/>
      </w:pPr>
      <w:r>
        <w:rPr>
          <w:rFonts w:ascii="Times New Roman" w:hAnsi="Times New Roman" w:cs="Times New Roman" w:eastAsia="Times New Roman" w:hint="default"/>
        </w:rPr>
        <w:t>4)</w:t>
      </w:r>
      <w:r>
        <w:rPr/>
        <w:t>、由于同一控制导致的合并范围变更，影响期初未分配利润</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pStyle w:val="BodyText"/>
        <w:spacing w:line="240" w:lineRule="auto" w:before="76"/>
        <w:ind w:left="154" w:right="0"/>
        <w:jc w:val="left"/>
      </w:pPr>
      <w:r>
        <w:rPr>
          <w:rFonts w:ascii="Times New Roman" w:hAnsi="Times New Roman" w:cs="Times New Roman" w:eastAsia="Times New Roman" w:hint="default"/>
        </w:rPr>
        <w:t>5)</w:t>
      </w:r>
      <w:r>
        <w:rPr/>
        <w:t>、其他调整合计影响期初未分配利润</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36、营业收入和营业成本" w:id="290"/>
      <w:bookmarkEnd w:id="290"/>
      <w:r>
        <w:rPr>
          <w:b w:val="0"/>
          <w:bCs w:val="0"/>
        </w:rPr>
      </w:r>
      <w:r>
        <w:rPr>
          <w:rFonts w:ascii="Times New Roman" w:hAnsi="Times New Roman" w:cs="Times New Roman" w:eastAsia="Times New Roman" w:hint="default"/>
        </w:rPr>
        <w:t>36</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1,214,436,124.07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861,751,638.79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1,367,963,979.13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990,035,500.35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11,581,547.56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11,033,461.55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12,159,919.71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10,252,124.84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1,226,017,671.63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872,785,100.34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1,380,123,898.84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1,000,287,625.19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7、税金及附加" w:id="291"/>
      <w:bookmarkEnd w:id="291"/>
      <w:r>
        <w:rPr>
          <w:b w:val="0"/>
          <w:bCs w:val="0"/>
        </w:rPr>
      </w:r>
      <w:r>
        <w:rPr>
          <w:rFonts w:ascii="Times New Roman" w:hAnsi="Times New Roman" w:cs="Times New Roman" w:eastAsia="Times New Roman" w:hint="default"/>
        </w:rPr>
        <w:t>37</w:t>
      </w:r>
      <w:r>
        <w:rPr/>
        <w:t>、税金及附加</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2,195,311.30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3,082,146.49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1,568,705.05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2,204,325.68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11,790.94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11,790.94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203,224.82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1,207,866.22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513,322.26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50,443.40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-68,341.47</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5,260,166.73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5,750,757.90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8、销售费用" w:id="292"/>
      <w:bookmarkEnd w:id="292"/>
      <w:r>
        <w:rPr>
          <w:b w:val="0"/>
          <w:bCs w:val="0"/>
        </w:rPr>
      </w:r>
      <w:r>
        <w:rPr>
          <w:rFonts w:ascii="Times New Roman" w:hAnsi="Times New Roman" w:cs="Times New Roman" w:eastAsia="Times New Roman" w:hint="default"/>
        </w:rPr>
        <w:t>38</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22,957,799.56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26,335,409.39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248,448.91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508,702.79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2,683,652.86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3,281,336.63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1,214,541.18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942,106.42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1,947,640.88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1,165,860.78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7,872,243.79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2,819,722.68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实施费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3,384,190.50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4,100,432.70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3,286,082.21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457,790.82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1,440,559.82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376,460.19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45,035,159.71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39,987,822.40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9、管理费用" w:id="293"/>
      <w:bookmarkEnd w:id="293"/>
      <w:r>
        <w:rPr>
          <w:b w:val="0"/>
          <w:bCs w:val="0"/>
        </w:rPr>
      </w:r>
      <w:r>
        <w:rPr>
          <w:rFonts w:ascii="Times New Roman" w:hAnsi="Times New Roman" w:cs="Times New Roman" w:eastAsia="Times New Roman" w:hint="default"/>
        </w:rPr>
        <w:t>39</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113,162,401.86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89,972,872.84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46,796,234.32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46,198,820.55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6,082,982.34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5,960,088.30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4,855,998.47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3,112,337.78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7,422,901.87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4,408,339.37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12,813,034.44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20,750,506.51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22,651,288.62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5,845,608.52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1,333,821.57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2,151,867.72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8,865,095.55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6,061,371.12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5,600,448.98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3,055,683.48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2,869,195.13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162,263.09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3,300,649.11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2,814,412.55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235,754,052.26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190,494,171.83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40、财务费用" w:id="294"/>
      <w:bookmarkEnd w:id="294"/>
      <w:r>
        <w:rPr>
          <w:b w:val="0"/>
          <w:bCs w:val="0"/>
        </w:rPr>
      </w:r>
      <w:r>
        <w:rPr>
          <w:rFonts w:ascii="Times New Roman" w:hAnsi="Times New Roman" w:cs="Times New Roman" w:eastAsia="Times New Roman" w:hint="default"/>
        </w:rPr>
        <w:t>40</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21,733,678.15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16,405,193.62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-14,859,663.40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-16,737,372.32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142,992.20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27,610.72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公司债券担保费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2,027,640.00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1,454,468.50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581,367.56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10,499,115.45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2,676,799.58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1、资产减值损失" w:id="295"/>
      <w:bookmarkEnd w:id="295"/>
      <w:r>
        <w:rPr>
          <w:b w:val="0"/>
          <w:bCs w:val="0"/>
        </w:rPr>
      </w:r>
      <w:r>
        <w:rPr>
          <w:rFonts w:ascii="Times New Roman" w:hAnsi="Times New Roman" w:cs="Times New Roman" w:eastAsia="Times New Roman" w:hint="default"/>
        </w:rPr>
        <w:t>41</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16,413,487.38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3,238,704.74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372,774,641.26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389,188,128.64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3,238,704.74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2、投资收益" w:id="296"/>
      <w:bookmarkEnd w:id="296"/>
      <w:r>
        <w:rPr>
          <w:b w:val="0"/>
          <w:bCs w:val="0"/>
        </w:rPr>
      </w:r>
      <w:r>
        <w:rPr>
          <w:rFonts w:ascii="Times New Roman" w:hAnsi="Times New Roman" w:cs="Times New Roman" w:eastAsia="Times New Roman" w:hint="default"/>
        </w:rPr>
        <w:t>42</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8,645,464.58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12,731,283.04</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1,077,223.61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-322,308.33</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2,722,178.72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43,336,739.12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20,128,382.80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信托产品收益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16,273,141.56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2,250,179.50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28,147,433.01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74,304,927.09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60,684,790.52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13"/>
          <w:szCs w:val="13"/>
        </w:rPr>
      </w:pPr>
    </w:p>
    <w:p>
      <w:pPr>
        <w:pStyle w:val="BodyText"/>
        <w:spacing w:line="429" w:lineRule="auto" w:before="0"/>
        <w:ind w:left="154" w:right="0" w:firstLine="426"/>
        <w:jc w:val="left"/>
      </w:pPr>
      <w:r>
        <w:rPr>
          <w:spacing w:val="-1"/>
        </w:rPr>
        <w:t>其他系公司通过多次交易分步实现的非同一控制下企业合并，对于购买日之前持有的被购买方的股权，按</w:t>
      </w:r>
      <w:r>
        <w:rPr>
          <w:w w:val="100"/>
        </w:rPr>
        <w:t> </w:t>
      </w:r>
      <w:r>
        <w:rPr/>
        <w:t>照该股权在购买日的公允价值重新计量，确认的投资收益。</w:t>
      </w:r>
    </w:p>
    <w:p>
      <w:pPr>
        <w:spacing w:line="240" w:lineRule="auto" w:before="1"/>
        <w:rPr>
          <w:rFonts w:ascii="宋体" w:hAnsi="宋体" w:cs="宋体" w:eastAsia="宋体" w:hint="default"/>
          <w:sz w:val="20"/>
          <w:szCs w:val="20"/>
        </w:rPr>
      </w:pPr>
    </w:p>
    <w:p>
      <w:pPr>
        <w:pStyle w:val="Heading3"/>
        <w:spacing w:line="240" w:lineRule="auto"/>
        <w:ind w:left="153" w:right="0"/>
        <w:jc w:val="left"/>
        <w:rPr>
          <w:b w:val="0"/>
          <w:bCs w:val="0"/>
        </w:rPr>
      </w:pPr>
      <w:bookmarkStart w:name="43、资产处置收益" w:id="297"/>
      <w:bookmarkEnd w:id="297"/>
      <w:r>
        <w:rPr>
          <w:b w:val="0"/>
          <w:bCs w:val="0"/>
        </w:rPr>
      </w:r>
      <w:r>
        <w:rPr>
          <w:rFonts w:ascii="Times New Roman" w:hAnsi="Times New Roman" w:cs="Times New Roman" w:eastAsia="Times New Roman" w:hint="default"/>
        </w:rPr>
        <w:t>43</w:t>
      </w:r>
      <w:r>
        <w:rPr/>
        <w:t>、资产处置收益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-340,290.42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-26,698,537.71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-340,290.42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-26,698,537.71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4、其他收益" w:id="298"/>
      <w:bookmarkEnd w:id="298"/>
      <w:r>
        <w:rPr>
          <w:b w:val="0"/>
          <w:bCs w:val="0"/>
        </w:rPr>
      </w:r>
      <w:r>
        <w:rPr>
          <w:rFonts w:ascii="Times New Roman" w:hAnsi="Times New Roman" w:cs="Times New Roman" w:eastAsia="Times New Roman" w:hint="default"/>
        </w:rPr>
        <w:t>44</w:t>
      </w:r>
      <w:r>
        <w:rPr/>
        <w:t>、其他收益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4,114,531.75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面向云计算基于虚拟化技术的分布式计 算管理系统平台项目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333,333.33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移动电子商务公共服务平台项目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金融行业海量数据处理北京市工程实验 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移动金融云安全服务项目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年北京市科技计划项目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移动支付安全中间件产业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语言的移动应用软件开发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53,333.33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电子发展基金</w:t>
            </w:r>
            <w:r>
              <w:rPr>
                <w:rFonts w:ascii="Times New Roman" w:hAnsi="Times New Roman" w:cs="Times New Roman" w:eastAsia="Times New Roman" w:hint="default"/>
                <w:sz w:val="18"/>
                <w:szCs w:val="18"/>
              </w:rPr>
              <w:t>-</w:t>
            </w:r>
            <w:r>
              <w:rPr>
                <w:rFonts w:ascii="宋体" w:hAnsi="宋体" w:cs="宋体" w:eastAsia="宋体" w:hint="default"/>
                <w:sz w:val="18"/>
                <w:szCs w:val="18"/>
              </w:rPr>
              <w:t>移动支付清算平台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598,320.00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企业技术中心自主创新能力建设项目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年现代服务业试点项目（基金）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851,707.32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年度软件专项资金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12,967,825.73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5、营业外收入" w:id="299"/>
      <w:bookmarkEnd w:id="299"/>
      <w:r>
        <w:rPr>
          <w:b w:val="0"/>
          <w:bCs w:val="0"/>
        </w:rPr>
      </w:r>
      <w:r>
        <w:rPr>
          <w:rFonts w:ascii="Times New Roman" w:hAnsi="Times New Roman" w:cs="Times New Roman" w:eastAsia="Times New Roman" w:hint="default"/>
        </w:rPr>
        <w:t>45</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201,577.45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29,149,428.20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201,577.45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350,170.21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13,187.09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350,170.21</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551,747.66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29,162,615.29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551,747.66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31"/>
              <w:jc w:val="right"/>
              <w:rPr>
                <w:rFonts w:ascii="宋体" w:hAnsi="宋体" w:cs="宋体" w:eastAsia="宋体" w:hint="default"/>
                <w:sz w:val="18"/>
                <w:szCs w:val="18"/>
              </w:rPr>
            </w:pPr>
            <w:r>
              <w:rPr>
                <w:rFonts w:ascii="宋体" w:hAnsi="宋体" w:cs="宋体" w:eastAsia="宋体" w:hint="default"/>
                <w:sz w:val="18"/>
                <w:szCs w:val="18"/>
              </w:rPr>
              <w:t>政府中介服</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7"/>
              <w:jc w:val="right"/>
              <w:rPr>
                <w:rFonts w:ascii="宋体" w:hAnsi="宋体" w:cs="宋体" w:eastAsia="宋体" w:hint="default"/>
                <w:sz w:val="18"/>
                <w:szCs w:val="18"/>
              </w:rPr>
            </w:pPr>
            <w:r>
              <w:rPr>
                <w:rFonts w:ascii="宋体" w:hAnsi="宋体" w:cs="宋体" w:eastAsia="宋体" w:hint="default"/>
                <w:sz w:val="18"/>
                <w:szCs w:val="18"/>
              </w:rPr>
              <w:t>中关村企业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9"/>
              <w:jc w:val="right"/>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201,577.45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368,936.29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务支持资金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信用促进会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软件增值税 退税</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国家税务局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14,947,387.5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金融行业海 量数据处理 北京市工程 实验室</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北京市海淀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3,338,000.00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移动金融云 安全服务项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北京市海淀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移动支付安 全中间件产 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中华人民共 和国财政部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102"/>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语言 的移动应用 软件开发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中国联合网 络通信有限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移动电子商 务公共服务 平台项目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北京市海淀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884,000.00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年北京 市科技计划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北京科学技 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面向云计算 基于虚拟化 技术的分布 式计算管理 系统平台项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北京市海淀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050pt;mso-position-horizontal-relative:char;mso-position-vertical-relative:line" coordorigin="0,0" coordsize="1054,781">
                  <v:group style="position:absolute;left:0;top:0;width:1054;height:781" coordorigin="0,0" coordsize="1054,781">
                    <v:shape style="position:absolute;left:0;top:0;width:1054;height:781" coordorigin="0,0" coordsize="1054,781"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71"/>
              <w:jc w:val="both"/>
              <w:rPr>
                <w:rFonts w:ascii="宋体" w:hAnsi="宋体" w:cs="宋体" w:eastAsia="宋体" w:hint="default"/>
                <w:sz w:val="18"/>
                <w:szCs w:val="18"/>
              </w:rPr>
            </w:pPr>
            <w:r>
              <w:rPr>
                <w:rFonts w:ascii="宋体" w:hAnsi="宋体" w:cs="宋体" w:eastAsia="宋体" w:hint="default"/>
                <w:sz w:val="18"/>
                <w:szCs w:val="18"/>
              </w:rPr>
              <w:t>电子发展基 金</w:t>
            </w:r>
            <w:r>
              <w:rPr>
                <w:rFonts w:ascii="Times New Roman" w:hAnsi="Times New Roman" w:cs="Times New Roman" w:eastAsia="Times New Roman" w:hint="default"/>
                <w:sz w:val="18"/>
                <w:szCs w:val="18"/>
              </w:rPr>
              <w:t>-</w:t>
            </w:r>
            <w:r>
              <w:rPr>
                <w:rFonts w:ascii="宋体" w:hAnsi="宋体" w:cs="宋体" w:eastAsia="宋体" w:hint="default"/>
                <w:sz w:val="18"/>
                <w:szCs w:val="18"/>
              </w:rPr>
              <w:t>移动支付 清算平台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中华人民共 和国财政部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598,320.00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年现代 服务业试点 项目（基金）</w:t>
            </w:r>
          </w:p>
        </w:tc>
        <w:tc>
          <w:tcPr>
            <w:tcW w:w="106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6" w:right="127"/>
              <w:jc w:val="both"/>
              <w:rPr>
                <w:rFonts w:ascii="宋体" w:hAnsi="宋体" w:cs="宋体" w:eastAsia="宋体" w:hint="default"/>
                <w:sz w:val="18"/>
                <w:szCs w:val="18"/>
              </w:rPr>
            </w:pPr>
            <w:r>
              <w:rPr>
                <w:rFonts w:ascii="宋体" w:hAnsi="宋体" w:cs="宋体" w:eastAsia="宋体" w:hint="default"/>
                <w:sz w:val="18"/>
                <w:szCs w:val="18"/>
              </w:rPr>
              <w:t>北京市发展 和改革委员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851,707.32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信息技术服 务移动支付 运行维护服 务交付规范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北京市海淀 区商务委员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企业技术中 心自主创新 能力建设项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北京市经济 和信息化委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新一代银行 智能安全自 动设备一体 化平台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天津滨河高 新技术产业 开发区管理 委员会财务 管理中心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天津新技术 产业园区软 件与服务外 包产业发展 税收奖励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天津滨海高 新技术产业 开发区财政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4,130,877.00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海泰咨询专 利补贴款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天津海泰咨 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201,577.45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29,149,428.2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46、营业外支出" w:id="300"/>
      <w:bookmarkEnd w:id="300"/>
      <w:r>
        <w:rPr>
          <w:b w:val="0"/>
          <w:bCs w:val="0"/>
        </w:rPr>
      </w:r>
      <w:r>
        <w:rPr>
          <w:rFonts w:ascii="Times New Roman" w:hAnsi="Times New Roman" w:cs="Times New Roman" w:eastAsia="Times New Roman" w:hint="default"/>
        </w:rPr>
        <w:t>46</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3"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14,798.79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1,207,239.36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14,798.79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9" w:right="0"/>
              <w:jc w:val="left"/>
              <w:rPr>
                <w:rFonts w:ascii="Times New Roman" w:hAnsi="Times New Roman" w:cs="Times New Roman" w:eastAsia="Times New Roman" w:hint="default"/>
                <w:sz w:val="18"/>
                <w:szCs w:val="18"/>
              </w:rPr>
            </w:pPr>
            <w:r>
              <w:rPr>
                <w:rFonts w:ascii="Times New Roman"/>
                <w:sz w:val="18"/>
              </w:rPr>
              <w:t>114,798.79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2,607,239.36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6" w:right="0"/>
              <w:jc w:val="left"/>
              <w:rPr>
                <w:rFonts w:ascii="Times New Roman" w:hAnsi="Times New Roman" w:cs="Times New Roman" w:eastAsia="Times New Roman" w:hint="default"/>
                <w:sz w:val="18"/>
                <w:szCs w:val="18"/>
              </w:rPr>
            </w:pPr>
            <w:r>
              <w:rPr>
                <w:rFonts w:ascii="Times New Roman"/>
                <w:sz w:val="18"/>
              </w:rPr>
              <w:t>114,798.79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7、所得税费用" w:id="301"/>
      <w:bookmarkEnd w:id="301"/>
      <w:r>
        <w:rPr>
          <w:b w:val="0"/>
          <w:bCs w:val="0"/>
        </w:rPr>
      </w:r>
      <w:r>
        <w:rPr>
          <w:rFonts w:ascii="Times New Roman" w:hAnsi="Times New Roman" w:cs="Times New Roman" w:eastAsia="Times New Roman" w:hint="default"/>
        </w:rPr>
        <w:t>47</w:t>
      </w:r>
      <w:r>
        <w:rPr/>
        <w:t>、所得税费用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02"/>
      <w:bookmarkEnd w:id="30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14,145,028.96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22,138,299.70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-1,178,656.26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-1,650,413.10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12,966,372.70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20,487,886.60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03"/>
      <w:bookmarkEnd w:id="30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-245,134,640.23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-36,770,196.03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-6,540,945.94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-2,151,213.37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-1,646,234.48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-3,454,949.07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-3,843,977.69</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67,373,889.28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12,966,372.70</w:t>
            </w:r>
          </w:p>
        </w:tc>
      </w:tr>
    </w:tbl>
    <w:p>
      <w:pPr>
        <w:spacing w:line="240" w:lineRule="auto" w:before="2"/>
        <w:rPr>
          <w:rFonts w:ascii="宋体" w:hAnsi="宋体" w:cs="宋体" w:eastAsia="宋体" w:hint="default"/>
          <w:sz w:val="19"/>
          <w:szCs w:val="19"/>
        </w:rPr>
      </w:pPr>
    </w:p>
    <w:p>
      <w:pPr>
        <w:spacing w:line="518" w:lineRule="auto" w:before="35"/>
        <w:ind w:left="154" w:right="8855" w:firstLine="0"/>
        <w:jc w:val="left"/>
        <w:rPr>
          <w:rFonts w:ascii="宋体" w:hAnsi="宋体" w:cs="宋体" w:eastAsia="宋体" w:hint="default"/>
          <w:sz w:val="21"/>
          <w:szCs w:val="21"/>
        </w:rPr>
      </w:pPr>
      <w:bookmarkStart w:name="48、其他综合收益" w:id="304"/>
      <w:bookmarkEnd w:id="304"/>
      <w:r>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0"/>
          <w:szCs w:val="20"/>
        </w:rPr>
        <w:t>详见附注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33</w:t>
      </w:r>
      <w:r>
        <w:rPr>
          <w:rFonts w:ascii="宋体" w:hAnsi="宋体" w:cs="宋体" w:eastAsia="宋体" w:hint="default"/>
          <w:sz w:val="20"/>
          <w:szCs w:val="20"/>
        </w:rPr>
        <w:t>。</w:t>
      </w:r>
      <w:r>
        <w:rPr>
          <w:rFonts w:ascii="宋体" w:hAnsi="宋体" w:cs="宋体" w:eastAsia="宋体" w:hint="default"/>
          <w:w w:val="100"/>
          <w:sz w:val="20"/>
          <w:szCs w:val="20"/>
        </w:rPr>
        <w:t> </w:t>
      </w:r>
      <w:bookmarkStart w:name="49、现金流量表项目" w:id="305"/>
      <w:bookmarkEnd w:id="305"/>
      <w:r>
        <w:rPr>
          <w:rFonts w:ascii="宋体" w:hAnsi="宋体" w:cs="宋体" w:eastAsia="宋体" w:hint="default"/>
          <w:w w:val="100"/>
          <w:sz w:val="20"/>
          <w:szCs w:val="20"/>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54"/>
        <w:ind w:left="153" w:right="0"/>
        <w:jc w:val="left"/>
        <w:rPr>
          <w:b w:val="0"/>
          <w:bCs w:val="0"/>
        </w:rPr>
      </w:pPr>
      <w:bookmarkStart w:name="（1）收到的其他与经营活动有关的现金" w:id="306"/>
      <w:bookmarkEnd w:id="30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政府及其他奖励资金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701,577.45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5,771,413.29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255,677,230.01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123,445,110.13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3,692,492.69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44,172,197.38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13,810,295.91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12,954,337.57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1,202,621.27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239,402.36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275,084,217.33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186,582,460.73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307"/>
      <w:bookmarkEnd w:id="30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208,432,047.33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126,144,171.96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20,159,658.21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38,968,797.59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6,447,730.68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5,648,639.49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15,005,835.40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6,370,128.19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14,566,654.58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7,596,953.49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11,633,175.96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7,772,455.59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1,605,980.93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2,648,656.51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29,506,038.66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20,915,062.33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307,357,121.75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216,064,865.15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收到的其他与投资活动有关的现金" w:id="308"/>
      <w:bookmarkEnd w:id="308"/>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取得子公司控制权支付价款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41,405,771.20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41,405,771.20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支付的其他与投资活动有关的现金" w:id="309"/>
      <w:bookmarkEnd w:id="309"/>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处置子公司收回现金净额</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5,164,027.76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股权转让交易费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信托产品保障基金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11,231,600.00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11,231,600.00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5,268,027.76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收到的其他与筹资活动有关的现金" w:id="310"/>
      <w:bookmarkEnd w:id="310"/>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683.469971pt;width:151.25pt;height:20.8pt;mso-position-horizontal-relative:page;mso-position-vertical-relative:page;z-index:-1131448" coordorigin="4467,13669" coordsize="3025,416">
            <v:group style="position:absolute;left:4478;top:13681;width:2;height:393" coordorigin="4478,13681" coordsize="2,393">
              <v:shape style="position:absolute;left:4478;top:13681;width:2;height:393" coordorigin="4478,13681" coordsize="0,393" path="m4478,13681l4478,14074e" filled="false" stroked="true" strokeweight="1.140pt" strokecolor="#ffffff">
                <v:path arrowok="t"/>
              </v:shape>
            </v:group>
            <v:group style="position:absolute;left:4490;top:13681;width:3002;height:393" coordorigin="4490,13681" coordsize="3002,393">
              <v:shape style="position:absolute;left:4490;top:13681;width:3002;height:393" coordorigin="4490,13681" coordsize="3002,393" path="m4490,14074l7491,14074,7491,13681,4490,13681,4490,1407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367,043.86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3,783,034.75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资产相关政府补助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160,367,043.86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6,693,034.75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支付的其他与筹资活动有关的现金" w:id="311"/>
      <w:bookmarkEnd w:id="311"/>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债券相关费用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2,067,695.24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发行股票相关费用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1,951,403.30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长期应付款相关支出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10,189,980.00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购买少数股权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12,757,675.24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6,551,403.30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0、现金流量表补充资料" w:id="312"/>
      <w:bookmarkEnd w:id="312"/>
      <w:r>
        <w:rPr>
          <w:b w:val="0"/>
          <w:bCs w:val="0"/>
        </w:rPr>
      </w:r>
      <w:r>
        <w:rPr>
          <w:rFonts w:ascii="Times New Roman" w:hAnsi="Times New Roman" w:cs="Times New Roman" w:eastAsia="Times New Roman" w:hint="default"/>
        </w:rPr>
        <w:t>50</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313"/>
      <w:bookmarkEnd w:id="31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-258,101,012.93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177,741,759.34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389,188,128.64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3,238,704.74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16,821,829.86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29,556,422.45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46,868,561.36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46,198,820.55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2,556,888.43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97,936.08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340,290.42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26,698,537.71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23,937,161.40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15,429,231.91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-73,302,618.59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-59,355,833.73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019"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-1,178,656.26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-1,650,413.10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-174,445,662.40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101,597,437.05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-52,329,316.44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15,238,390.30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188,072,597.11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-87,240,710.79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108,428,190.60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267,550,282.51</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546,659,633.63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722,957,530.04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722,957,530.04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550,474,000.63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-176,297,896.41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172,483,529.41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14"/>
      <w:bookmarkEnd w:id="314"/>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华缔资产管理（北京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79,309.03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华缔资产管理（北京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79,309.03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22,078,425.26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天津滨河创新科技有限公司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22,078,425.26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22,101,116.23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现金和现金等价物的构成" w:id="315"/>
      <w:bookmarkEnd w:id="315"/>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546,659,633.63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722,957,530.04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182,243.35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211,711.83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546,342,108.19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720,393,860.56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135,282.09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2,351,957.65</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546,659,633.63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722,957,530.04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51、所有权或使用权受到限制的资产" w:id="316"/>
      <w:bookmarkEnd w:id="316"/>
      <w:r>
        <w:rPr>
          <w:b w:val="0"/>
          <w:bCs w:val="0"/>
        </w:rPr>
      </w:r>
      <w:r>
        <w:rPr>
          <w:rFonts w:ascii="Times New Roman" w:hAnsi="Times New Roman" w:cs="Times New Roman" w:eastAsia="Times New Roman" w:hint="default"/>
        </w:rPr>
        <w:t>51</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130,354,590.75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保证金未到期</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73,206,750.28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203,561,341.03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13"/>
          <w:szCs w:val="13"/>
        </w:rPr>
      </w:pPr>
    </w:p>
    <w:p>
      <w:pPr>
        <w:pStyle w:val="BodyText"/>
        <w:spacing w:line="410" w:lineRule="auto" w:before="0"/>
        <w:ind w:right="0" w:firstLine="426"/>
        <w:jc w:val="left"/>
      </w:pPr>
      <w:r>
        <w:rPr>
          <w:rFonts w:ascii="Times New Roman" w:hAnsi="Times New Roman" w:cs="Times New Roman" w:eastAsia="Times New Roman" w:hint="default"/>
          <w:spacing w:val="-5"/>
          <w:w w:val="100"/>
        </w:rPr>
        <w:t>2013</w:t>
      </w:r>
      <w:r>
        <w:rPr>
          <w:spacing w:val="-5"/>
          <w:w w:val="100"/>
        </w:rPr>
        <w:t>年</w:t>
      </w:r>
      <w:r>
        <w:rPr>
          <w:rFonts w:ascii="Times New Roman" w:hAnsi="Times New Roman" w:cs="Times New Roman" w:eastAsia="Times New Roman" w:hint="default"/>
          <w:spacing w:val="-5"/>
          <w:w w:val="100"/>
        </w:rPr>
        <w:t>4</w:t>
      </w:r>
      <w:r>
        <w:rPr>
          <w:spacing w:val="-5"/>
          <w:w w:val="100"/>
        </w:rPr>
        <w:t>月</w:t>
      </w:r>
      <w:r>
        <w:rPr>
          <w:rFonts w:ascii="Times New Roman" w:hAnsi="Times New Roman" w:cs="Times New Roman" w:eastAsia="Times New Roman" w:hint="default"/>
          <w:spacing w:val="-5"/>
          <w:w w:val="100"/>
        </w:rPr>
        <w:t>10</w:t>
      </w:r>
      <w:r>
        <w:rPr>
          <w:spacing w:val="-5"/>
          <w:w w:val="100"/>
        </w:rPr>
        <w:t>日，本公司与北京中关村科技融资担保有限公司签定</w:t>
      </w:r>
      <w:r>
        <w:rPr>
          <w:rFonts w:ascii="Times New Roman" w:hAnsi="Times New Roman" w:cs="Times New Roman" w:eastAsia="Times New Roman" w:hint="default"/>
          <w:spacing w:val="-5"/>
          <w:w w:val="100"/>
        </w:rPr>
        <w:t>2012</w:t>
      </w:r>
      <w:r>
        <w:rPr>
          <w:spacing w:val="-5"/>
          <w:w w:val="100"/>
        </w:rPr>
        <w:t>年</w:t>
      </w:r>
      <w:r>
        <w:rPr>
          <w:rFonts w:ascii="Times New Roman" w:hAnsi="Times New Roman" w:cs="Times New Roman" w:eastAsia="Times New Roman" w:hint="default"/>
          <w:spacing w:val="-5"/>
          <w:w w:val="100"/>
        </w:rPr>
        <w:t>QZY0736</w:t>
      </w:r>
      <w:r>
        <w:rPr>
          <w:spacing w:val="-5"/>
          <w:w w:val="100"/>
        </w:rPr>
        <w:t>号反担保（应收账款质押）</w:t>
      </w:r>
      <w:r>
        <w:rPr>
          <w:w w:val="100"/>
        </w:rPr>
        <w:t> </w:t>
      </w:r>
      <w:r>
        <w:rPr/>
        <w:t>合同，约定以主债务全部清偿前形成的全部应收账款出质，为北京中关村科技融资担保有限公司根据双方签定</w:t>
      </w:r>
      <w:r>
        <w:rPr>
          <w:w w:val="100"/>
        </w:rPr>
        <w:t> </w:t>
      </w:r>
      <w:r>
        <w:rPr>
          <w:spacing w:val="-2"/>
        </w:rPr>
        <w:t>的</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WT0736</w:t>
      </w:r>
      <w:r>
        <w:rPr>
          <w:spacing w:val="-2"/>
        </w:rPr>
        <w:t>号委托保证合同向本公司发行</w:t>
      </w:r>
      <w:r>
        <w:rPr>
          <w:rFonts w:ascii="Times New Roman" w:hAnsi="Times New Roman" w:cs="Times New Roman" w:eastAsia="Times New Roman" w:hint="default"/>
          <w:spacing w:val="-2"/>
        </w:rPr>
        <w:t>24,000.00</w:t>
      </w:r>
      <w:r>
        <w:rPr>
          <w:spacing w:val="-2"/>
        </w:rPr>
        <w:t>万元公司债券提供的保证担保进行反担保。</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2"/>
        </w:rPr>
        <w:t> </w:t>
      </w:r>
      <w:r>
        <w:rPr>
          <w:spacing w:val="-4"/>
          <w:w w:val="100"/>
        </w:rPr>
        <w:t>日已回售金额</w:t>
      </w:r>
      <w:r>
        <w:rPr>
          <w:rFonts w:ascii="Times New Roman" w:hAnsi="Times New Roman" w:cs="Times New Roman" w:eastAsia="Times New Roman" w:hint="default"/>
          <w:spacing w:val="-4"/>
          <w:w w:val="100"/>
        </w:rPr>
        <w:t>1,861.80</w:t>
      </w:r>
      <w:r>
        <w:rPr>
          <w:spacing w:val="-4"/>
          <w:w w:val="100"/>
        </w:rPr>
        <w:t>万元，截至资产负债表日公司剩余债券金额</w:t>
      </w:r>
      <w:r>
        <w:rPr>
          <w:rFonts w:ascii="Times New Roman" w:hAnsi="Times New Roman" w:cs="Times New Roman" w:eastAsia="Times New Roman" w:hint="default"/>
          <w:spacing w:val="-4"/>
          <w:w w:val="100"/>
        </w:rPr>
        <w:t>22,138.20</w:t>
      </w:r>
      <w:r>
        <w:rPr>
          <w:spacing w:val="-4"/>
          <w:w w:val="100"/>
        </w:rPr>
        <w:t>万元，</w:t>
      </w:r>
      <w:r>
        <w:rPr>
          <w:rFonts w:ascii="Times New Roman" w:hAnsi="Times New Roman" w:cs="Times New Roman" w:eastAsia="Times New Roman" w:hint="default"/>
          <w:spacing w:val="-4"/>
          <w:w w:val="100"/>
        </w:rPr>
        <w:t>2018</w:t>
      </w:r>
      <w:r>
        <w:rPr>
          <w:spacing w:val="-4"/>
          <w:w w:val="100"/>
        </w:rPr>
        <w:t>年</w:t>
      </w:r>
      <w:r>
        <w:rPr>
          <w:rFonts w:ascii="Times New Roman" w:hAnsi="Times New Roman" w:cs="Times New Roman" w:eastAsia="Times New Roman" w:hint="default"/>
          <w:spacing w:val="-4"/>
          <w:w w:val="100"/>
        </w:rPr>
        <w:t>4</w:t>
      </w:r>
      <w:r>
        <w:rPr>
          <w:spacing w:val="-4"/>
          <w:w w:val="100"/>
        </w:rPr>
        <w:t>月</w:t>
      </w:r>
      <w:r>
        <w:rPr>
          <w:rFonts w:ascii="Times New Roman" w:hAnsi="Times New Roman" w:cs="Times New Roman" w:eastAsia="Times New Roman" w:hint="default"/>
          <w:spacing w:val="-4"/>
          <w:w w:val="100"/>
        </w:rPr>
        <w:t>2</w:t>
      </w:r>
      <w:r>
        <w:rPr>
          <w:spacing w:val="-4"/>
          <w:w w:val="100"/>
        </w:rPr>
        <w:t>日公司债券已到期，</w:t>
      </w:r>
      <w:r>
        <w:rPr>
          <w:spacing w:val="-48"/>
          <w:w w:val="100"/>
        </w:rPr>
        <w:t> </w:t>
      </w:r>
      <w:r>
        <w:rPr>
          <w:spacing w:val="-48"/>
          <w:w w:val="100"/>
        </w:rPr>
      </w:r>
      <w:r>
        <w:rPr/>
        <w:t>本息已全额兑付，</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日，公司已在中国人民银行征信中心办理应收账款质押注销登记。</w:t>
      </w:r>
    </w:p>
    <w:p>
      <w:pPr>
        <w:spacing w:line="240" w:lineRule="auto" w:before="12"/>
        <w:rPr>
          <w:rFonts w:ascii="宋体" w:hAnsi="宋体" w:cs="宋体" w:eastAsia="宋体" w:hint="default"/>
          <w:sz w:val="18"/>
          <w:szCs w:val="18"/>
        </w:rPr>
      </w:pPr>
    </w:p>
    <w:p>
      <w:pPr>
        <w:pStyle w:val="Heading3"/>
        <w:spacing w:line="240" w:lineRule="auto"/>
        <w:ind w:left="153" w:right="0"/>
        <w:jc w:val="left"/>
        <w:rPr>
          <w:b w:val="0"/>
          <w:bCs w:val="0"/>
        </w:rPr>
      </w:pPr>
      <w:bookmarkStart w:name="52、外币货币性项目" w:id="317"/>
      <w:bookmarkEnd w:id="317"/>
      <w:r>
        <w:rPr>
          <w:b w:val="0"/>
          <w:bCs w:val="0"/>
        </w:rPr>
      </w:r>
      <w:r>
        <w:rPr>
          <w:rFonts w:ascii="Times New Roman" w:hAnsi="Times New Roman" w:cs="Times New Roman" w:eastAsia="Times New Roman" w:hint="default"/>
        </w:rPr>
        <w:t>52</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外币货币性项目" w:id="318"/>
      <w:bookmarkEnd w:id="31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117,298.24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9,735.00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6.7520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65,730.72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59,484.40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0.8669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51,567.52</w:t>
            </w:r>
          </w:p>
        </w:tc>
      </w:tr>
    </w:tbl>
    <w:p>
      <w:pPr>
        <w:spacing w:line="240" w:lineRule="auto" w:before="2"/>
        <w:rPr>
          <w:rFonts w:ascii="宋体" w:hAnsi="宋体" w:cs="宋体" w:eastAsia="宋体" w:hint="default"/>
          <w:sz w:val="19"/>
          <w:szCs w:val="19"/>
        </w:rPr>
      </w:pPr>
    </w:p>
    <w:p>
      <w:pPr>
        <w:pStyle w:val="Heading3"/>
        <w:spacing w:line="259" w:lineRule="auto" w:before="35"/>
        <w:ind w:right="0"/>
        <w:jc w:val="left"/>
        <w:rPr>
          <w:b w:val="0"/>
          <w:bCs w:val="0"/>
        </w:rPr>
      </w:pPr>
      <w:bookmarkStart w:name="（2）境外经营实体说明，包括对于重要的境外经营实体，应披露其境外主要经营地、记账" w:id="319"/>
      <w:bookmarkEnd w:id="31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12"/>
          <w:szCs w:val="12"/>
        </w:rPr>
      </w:pPr>
    </w:p>
    <w:p>
      <w:pPr>
        <w:pStyle w:val="BodyText"/>
        <w:spacing w:line="405" w:lineRule="auto" w:before="0"/>
        <w:ind w:right="1118" w:firstLine="426"/>
        <w:jc w:val="left"/>
      </w:pPr>
      <w:r>
        <w:rPr>
          <w:spacing w:val="-1"/>
        </w:rPr>
        <w:t>香港中科金财科技有限公司系中科金财子公司，注册资本</w:t>
      </w:r>
      <w:r>
        <w:rPr>
          <w:rFonts w:ascii="Times New Roman" w:hAnsi="Times New Roman" w:cs="Times New Roman" w:eastAsia="Times New Roman" w:hint="default"/>
          <w:spacing w:val="-1"/>
        </w:rPr>
        <w:t>1000</w:t>
      </w:r>
      <w:r>
        <w:rPr>
          <w:spacing w:val="-1"/>
        </w:rPr>
        <w:t>万港币，境外主要经营地为中国香港，记账</w:t>
      </w:r>
      <w:r>
        <w:rPr>
          <w:w w:val="100"/>
        </w:rPr>
        <w:t> </w:t>
      </w:r>
      <w:r>
        <w:rPr/>
        <w:t>本位币美元。</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bookmarkStart w:name="八、合并范围的变更" w:id="320"/>
      <w:bookmarkEnd w:id="320"/>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非同一控制下企业合并" w:id="321"/>
      <w:bookmarkEnd w:id="321"/>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期发生的非同一控制下企业合并" w:id="322"/>
      <w:bookmarkEnd w:id="322"/>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 w:right="21"/>
              <w:jc w:val="left"/>
              <w:rPr>
                <w:rFonts w:ascii="宋体" w:hAnsi="宋体" w:cs="宋体" w:eastAsia="宋体" w:hint="default"/>
                <w:sz w:val="18"/>
                <w:szCs w:val="18"/>
              </w:rPr>
            </w:pPr>
            <w:r>
              <w:rPr>
                <w:rFonts w:ascii="宋体" w:hAnsi="宋体" w:cs="宋体" w:eastAsia="宋体" w:hint="default"/>
                <w:sz w:val="18"/>
                <w:szCs w:val="18"/>
              </w:rPr>
              <w:t>华缔资产管 </w:t>
            </w:r>
            <w:r>
              <w:rPr>
                <w:rFonts w:ascii="宋体" w:hAnsi="宋体" w:cs="宋体" w:eastAsia="宋体" w:hint="default"/>
                <w:spacing w:val="-12"/>
                <w:sz w:val="18"/>
                <w:szCs w:val="18"/>
              </w:rPr>
              <w:t>理（北京）有</w:t>
            </w:r>
            <w:r>
              <w:rPr>
                <w:rFonts w:ascii="宋体" w:hAnsi="宋体" w:cs="宋体" w:eastAsia="宋体" w:hint="default"/>
                <w:sz w:val="18"/>
                <w:szCs w:val="18"/>
              </w:rPr>
              <w:t>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对被并购企 业经营和财 务政策拥有 </w:t>
            </w:r>
            <w:r>
              <w:rPr>
                <w:rFonts w:ascii="宋体" w:hAnsi="宋体" w:cs="宋体" w:eastAsia="宋体" w:hint="default"/>
                <w:spacing w:val="-13"/>
                <w:sz w:val="18"/>
                <w:szCs w:val="18"/>
              </w:rPr>
              <w:t>决策权，已支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付全部股权 </w:t>
            </w:r>
            <w:r>
              <w:rPr>
                <w:rFonts w:ascii="宋体" w:hAnsi="宋体" w:cs="宋体" w:eastAsia="宋体" w:hint="default"/>
                <w:spacing w:val="-13"/>
                <w:sz w:val="18"/>
                <w:szCs w:val="18"/>
              </w:rPr>
              <w:t>转让款，且工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商登记变更 已完成</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1,243,640.78</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1,875,313.08</w:t>
            </w:r>
          </w:p>
        </w:tc>
      </w:tr>
      <w:tr>
        <w:trPr>
          <w:trHeight w:val="1872" w:hRule="exact"/>
        </w:trPr>
        <w:tc>
          <w:tcPr>
            <w:tcW w:w="1064" w:type="dxa"/>
            <w:vMerge/>
            <w:tcBorders>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102,000.00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受让</w:t>
            </w: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714" w:hRule="exact"/>
        </w:trPr>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29"/>
              <w:jc w:val="both"/>
              <w:rPr>
                <w:rFonts w:ascii="宋体" w:hAnsi="宋体" w:cs="宋体" w:eastAsia="宋体" w:hint="default"/>
                <w:sz w:val="18"/>
                <w:szCs w:val="18"/>
              </w:rPr>
            </w:pPr>
            <w:r>
              <w:rPr>
                <w:rFonts w:ascii="宋体" w:hAnsi="宋体" w:cs="宋体" w:eastAsia="宋体" w:hint="default"/>
                <w:sz w:val="18"/>
                <w:szCs w:val="18"/>
              </w:rPr>
              <w:t>深圳中金财 富互联网金 融服务有限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对被并购企 业经营和财 务政策拥有 </w:t>
            </w:r>
            <w:r>
              <w:rPr>
                <w:rFonts w:ascii="宋体" w:hAnsi="宋体" w:cs="宋体" w:eastAsia="宋体" w:hint="default"/>
                <w:spacing w:val="-13"/>
                <w:sz w:val="18"/>
                <w:szCs w:val="18"/>
              </w:rPr>
              <w:t>决策权，已支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付全部股权 </w:t>
            </w:r>
            <w:r>
              <w:rPr>
                <w:rFonts w:ascii="宋体" w:hAnsi="宋体" w:cs="宋体" w:eastAsia="宋体" w:hint="default"/>
                <w:spacing w:val="-13"/>
                <w:sz w:val="18"/>
                <w:szCs w:val="18"/>
              </w:rPr>
              <w:t>转让款，且工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商登记变更 已完成</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11,103,198.8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1,149,152.55</w:t>
            </w:r>
          </w:p>
        </w:tc>
      </w:tr>
      <w:tr>
        <w:trPr>
          <w:trHeight w:val="714" w:hRule="exact"/>
        </w:trPr>
        <w:tc>
          <w:tcPr>
            <w:tcW w:w="1064" w:type="dxa"/>
            <w:vMerge/>
            <w:tcBorders>
              <w:left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1158" w:hRule="exact"/>
        </w:trPr>
        <w:tc>
          <w:tcPr>
            <w:tcW w:w="1064" w:type="dxa"/>
            <w:vMerge/>
            <w:tcBorders>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19,584,651.4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受让</w:t>
            </w: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合并成本及商誉" w:id="323"/>
      <w:bookmarkEnd w:id="323"/>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华缔资产管理（北京）有限公司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58"/>
              <w:jc w:val="right"/>
              <w:rPr>
                <w:rFonts w:ascii="宋体" w:hAnsi="宋体" w:cs="宋体" w:eastAsia="宋体" w:hint="default"/>
                <w:sz w:val="18"/>
                <w:szCs w:val="18"/>
              </w:rPr>
            </w:pPr>
            <w:r>
              <w:rPr>
                <w:rFonts w:ascii="宋体" w:hAnsi="宋体" w:cs="宋体" w:eastAsia="宋体" w:hint="default"/>
                <w:sz w:val="18"/>
                <w:szCs w:val="18"/>
              </w:rPr>
              <w:t>深圳中金财富互联网金融服务有限公司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19,584,651.45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w:t>
            </w:r>
            <w:r>
              <w:rPr>
                <w:rFonts w:ascii="宋体" w:hAnsi="宋体" w:cs="宋体" w:eastAsia="宋体" w:hint="default"/>
                <w:w w:val="99"/>
                <w:sz w:val="18"/>
                <w:szCs w:val="18"/>
              </w:rPr>
              <w:t> </w:t>
            </w:r>
            <w:r>
              <w:rPr>
                <w:rFonts w:ascii="宋体" w:hAnsi="宋体" w:cs="宋体" w:eastAsia="宋体" w:hint="default"/>
                <w:sz w:val="18"/>
                <w:szCs w:val="18"/>
              </w:rPr>
              <w:t>允价值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18,816,625.90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38,401,277.35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79,309.03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34,122,566.92</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120,690.97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4,278,710.43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被购买方于购买日可辨认资产、负债" w:id="324"/>
      <w:bookmarkEnd w:id="324"/>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3840"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647" w:right="0"/>
              <w:jc w:val="left"/>
              <w:rPr>
                <w:rFonts w:ascii="宋体" w:hAnsi="宋体" w:cs="宋体" w:eastAsia="宋体" w:hint="default"/>
                <w:sz w:val="18"/>
                <w:szCs w:val="18"/>
              </w:rPr>
            </w:pPr>
            <w:r>
              <w:rPr>
                <w:rFonts w:ascii="宋体" w:hAnsi="宋体" w:cs="宋体" w:eastAsia="宋体" w:hint="default"/>
                <w:sz w:val="18"/>
                <w:szCs w:val="18"/>
              </w:rPr>
              <w:t>华缔资产管理（北京）有限公司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77" w:right="0"/>
              <w:jc w:val="left"/>
              <w:rPr>
                <w:rFonts w:ascii="宋体" w:hAnsi="宋体" w:cs="宋体" w:eastAsia="宋体" w:hint="default"/>
                <w:sz w:val="18"/>
                <w:szCs w:val="18"/>
              </w:rPr>
            </w:pPr>
            <w:r>
              <w:rPr>
                <w:rFonts w:ascii="宋体" w:hAnsi="宋体" w:cs="宋体" w:eastAsia="宋体" w:hint="default"/>
                <w:sz w:val="18"/>
                <w:szCs w:val="18"/>
              </w:rPr>
              <w:t>深圳中金财富互联网金融服务有限公司</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160" w:right="0"/>
              <w:jc w:val="left"/>
              <w:rPr>
                <w:rFonts w:ascii="Times New Roman" w:hAnsi="Times New Roman" w:cs="Times New Roman" w:eastAsia="Times New Roman" w:hint="default"/>
                <w:sz w:val="18"/>
                <w:szCs w:val="18"/>
              </w:rPr>
            </w:pPr>
            <w:r>
              <w:rPr>
                <w:rFonts w:ascii="Times New Roman"/>
                <w:sz w:val="18"/>
              </w:rPr>
              <w:t>79,309.03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0" w:right="0"/>
              <w:jc w:val="left"/>
              <w:rPr>
                <w:rFonts w:ascii="Times New Roman" w:hAnsi="Times New Roman" w:cs="Times New Roman" w:eastAsia="Times New Roman" w:hint="default"/>
                <w:sz w:val="18"/>
                <w:szCs w:val="18"/>
              </w:rPr>
            </w:pPr>
            <w:r>
              <w:rPr>
                <w:rFonts w:ascii="Times New Roman"/>
                <w:sz w:val="18"/>
              </w:rPr>
              <w:t>79,309.03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60,990,422.65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60,990,422.65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16,345.80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16,345.80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583,333.25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583,333.25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345,826,649.19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345,826,649.19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41,666.74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41,666.74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378,335,850.71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378,335,850.71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79,309.03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79,309.03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34,122,566.92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34,122,566.92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79,309.03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79,309.03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34,122,566.92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34,122,566.92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购买日之前持有的股权按照公允价值重新计量产生的利得或损失" w:id="325"/>
      <w:bookmarkEnd w:id="325"/>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915" w:space="291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1"/>
        <w:gridCol w:w="1596"/>
        <w:gridCol w:w="1596"/>
        <w:gridCol w:w="1596"/>
        <w:gridCol w:w="1596"/>
      </w:tblGrid>
      <w:tr>
        <w:trPr>
          <w:trHeight w:val="1337"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71"/>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股权在购买日的账 面价值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2" w:right="72"/>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2"/>
              <w:jc w:val="center"/>
              <w:rPr>
                <w:rFonts w:ascii="宋体" w:hAnsi="宋体" w:cs="宋体" w:eastAsia="宋体" w:hint="default"/>
                <w:sz w:val="18"/>
                <w:szCs w:val="18"/>
              </w:rPr>
            </w:pPr>
            <w:r>
              <w:rPr>
                <w:rFonts w:ascii="宋体" w:hAnsi="宋体" w:cs="宋体" w:eastAsia="宋体" w:hint="default"/>
                <w:sz w:val="18"/>
                <w:szCs w:val="18"/>
              </w:rPr>
              <w:t>购买日之前原持有 股权按照公允价值 重新计量产生的利 得或损失</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2"/>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允价值的确定方法 及主要假设</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2"/>
              <w:jc w:val="center"/>
              <w:rPr>
                <w:rFonts w:ascii="宋体" w:hAnsi="宋体" w:cs="宋体" w:eastAsia="宋体" w:hint="default"/>
                <w:sz w:val="18"/>
                <w:szCs w:val="18"/>
              </w:rPr>
            </w:pPr>
            <w:r>
              <w:rPr>
                <w:rFonts w:ascii="宋体" w:hAnsi="宋体" w:cs="宋体" w:eastAsia="宋体" w:hint="default"/>
                <w:sz w:val="18"/>
                <w:szCs w:val="18"/>
              </w:rPr>
              <w:t>购买日之前与原持 有股权相关的其他 综合收益转入投资 收益的金额</w:t>
            </w:r>
          </w:p>
        </w:tc>
      </w:tr>
      <w:tr>
        <w:trPr>
          <w:trHeight w:val="714"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华缔资产管理（北 京）有限公司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38,861.42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59,138.58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最近一期股权转让 价款</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6"/>
              <w:jc w:val="both"/>
              <w:rPr>
                <w:rFonts w:ascii="宋体" w:hAnsi="宋体" w:cs="宋体" w:eastAsia="宋体" w:hint="default"/>
                <w:sz w:val="18"/>
                <w:szCs w:val="18"/>
              </w:rPr>
            </w:pPr>
            <w:r>
              <w:rPr>
                <w:rFonts w:ascii="宋体" w:hAnsi="宋体" w:cs="宋体" w:eastAsia="宋体" w:hint="default"/>
                <w:sz w:val="18"/>
                <w:szCs w:val="18"/>
              </w:rPr>
              <w:t>深圳中金财富互联 网金融服务有限公 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16,625,584.98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18,816,625.90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2,191,040.92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最近一期股权转让 价款</w:t>
            </w: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处置子公司" w:id="326"/>
      <w:bookmarkEnd w:id="326"/>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6"/>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其他原因的合并范围变动" w:id="327"/>
      <w:bookmarkEnd w:id="327"/>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line="412" w:lineRule="auto" w:before="0"/>
        <w:ind w:left="580" w:right="0" w:hanging="426"/>
        <w:jc w:val="left"/>
        <w:rPr>
          <w:rFonts w:ascii="宋体" w:hAnsi="宋体" w:cs="宋体" w:eastAsia="宋体" w:hint="default"/>
          <w:sz w:val="20"/>
          <w:szCs w:val="20"/>
        </w:rPr>
      </w:pPr>
      <w:r>
        <w:rPr>
          <w:rFonts w:ascii="宋体" w:hAnsi="宋体" w:cs="宋体" w:eastAsia="宋体" w:hint="default"/>
          <w:sz w:val="18"/>
          <w:szCs w:val="18"/>
        </w:rPr>
        <w:t>说明其他原因导致的合并范围变动（如，新设子公司、清算子公司等）及其相关情况： </w:t>
      </w:r>
      <w:r>
        <w:rPr>
          <w:rFonts w:ascii="宋体" w:hAnsi="宋体" w:cs="宋体" w:eastAsia="宋体" w:hint="default"/>
          <w:sz w:val="20"/>
          <w:szCs w:val="20"/>
        </w:rPr>
        <w:t>本年与上年比较新增加合并单位</w:t>
      </w:r>
      <w:r>
        <w:rPr>
          <w:rFonts w:ascii="Times New Roman" w:hAnsi="Times New Roman" w:cs="Times New Roman" w:eastAsia="Times New Roman" w:hint="default"/>
          <w:sz w:val="20"/>
          <w:szCs w:val="20"/>
        </w:rPr>
        <w:t>4</w:t>
      </w:r>
      <w:r>
        <w:rPr>
          <w:rFonts w:ascii="宋体" w:hAnsi="宋体" w:cs="宋体" w:eastAsia="宋体" w:hint="default"/>
          <w:sz w:val="20"/>
          <w:szCs w:val="20"/>
        </w:rPr>
        <w:t>家，减少合并单位</w:t>
      </w:r>
      <w:r>
        <w:rPr>
          <w:rFonts w:ascii="Times New Roman" w:hAnsi="Times New Roman" w:cs="Times New Roman" w:eastAsia="Times New Roman" w:hint="default"/>
          <w:sz w:val="20"/>
          <w:szCs w:val="20"/>
        </w:rPr>
        <w:t>1</w:t>
      </w:r>
      <w:r>
        <w:rPr>
          <w:rFonts w:ascii="宋体" w:hAnsi="宋体" w:cs="宋体" w:eastAsia="宋体" w:hint="default"/>
          <w:sz w:val="20"/>
          <w:szCs w:val="20"/>
        </w:rPr>
        <w:t>家。</w:t>
      </w:r>
      <w:r>
        <w:rPr>
          <w:rFonts w:ascii="宋体" w:hAnsi="宋体" w:cs="宋体" w:eastAsia="宋体" w:hint="default"/>
          <w:w w:val="100"/>
          <w:sz w:val="20"/>
          <w:szCs w:val="20"/>
        </w:rPr>
        <w:t> </w:t>
      </w:r>
      <w:r>
        <w:rPr>
          <w:rFonts w:ascii="宋体" w:hAnsi="宋体" w:cs="宋体" w:eastAsia="宋体" w:hint="default"/>
          <w:spacing w:val="-1"/>
          <w:sz w:val="20"/>
          <w:szCs w:val="20"/>
        </w:rPr>
        <w:t>本年增加因投资设立增加中科金财保险经纪有限公司、霍尔果斯金财科技服务有限公司、香港中科金财科</w:t>
      </w:r>
    </w:p>
    <w:p>
      <w:pPr>
        <w:pStyle w:val="BodyText"/>
        <w:spacing w:line="240" w:lineRule="auto" w:before="62"/>
        <w:ind w:left="154" w:right="0"/>
        <w:jc w:val="left"/>
      </w:pPr>
      <w:r>
        <w:rPr/>
        <w:t>技有限公司、霍尔果斯滨河创新软件技术有限公司；因注销减少天津滨河顺通科技有限公司。</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3"/>
          <w:szCs w:val="23"/>
        </w:rPr>
      </w:pPr>
      <w:r>
        <w:rPr/>
        <w:pict>
          <v:shape style="position:absolute;margin-left:324.399994pt;margin-top:343.039978pt;width:74.05pt;height:31.2pt;mso-position-horizontal-relative:page;mso-position-vertical-relative:page;z-index:-1131352" type="#_x0000_t202" filled="false" stroked="false">
            <v:textbox inset="0,0,0,0">
              <w:txbxContent>
                <w:p>
                  <w:pPr>
                    <w:spacing w:line="240" w:lineRule="auto" w:before="0"/>
                    <w:rPr>
                      <w:rFonts w:ascii="宋体" w:hAnsi="宋体" w:cs="宋体" w:eastAsia="宋体" w:hint="default"/>
                      <w:b/>
                      <w:bCs/>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393.799988pt;width:74.05pt;height:31.25pt;mso-position-horizontal-relative:page;mso-position-vertical-relative:page;z-index:-1131328"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92.343002pt;margin-top:650.859985pt;width:101.1pt;height:15.6pt;mso-position-horizontal-relative:page;mso-position-vertical-relative:page;z-index:-113130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（上海）</w:t>
                  </w:r>
                </w:p>
              </w:txbxContent>
            </v:textbox>
            <w10:wrap type="none"/>
          </v:shape>
        </w:pict>
      </w:r>
      <w:r>
        <w:rPr/>
        <w:pict>
          <v:group style="position:absolute;margin-left:330.579987pt;margin-top:599.559998pt;width:67.9pt;height:35.75pt;mso-position-horizontal-relative:page;mso-position-vertical-relative:page;z-index:-1131280" coordorigin="6612,11991" coordsize="1358,715">
            <v:group style="position:absolute;left:6612;top:11991;width:1358;height:312" coordorigin="6612,11991" coordsize="1358,312">
              <v:shape style="position:absolute;left:6612;top:11991;width:1358;height:312" coordorigin="6612,11991" coordsize="1358,312" path="m6612,12303l7969,12303,7969,11991,6612,11991,6612,12303xe" filled="true" fillcolor="#ffffff" stroked="false">
                <v:path arrowok="t"/>
                <v:fill type="solid"/>
              </v:shape>
            </v:group>
            <v:group style="position:absolute;left:6623;top:12303;width:2;height:392" coordorigin="6623,12303" coordsize="2,392">
              <v:shape style="position:absolute;left:6623;top:12303;width:2;height:392" coordorigin="6623,12303" coordsize="0,392" path="m6623,12303l6623,12694e" filled="false" stroked="true" strokeweight="1.140pt" strokecolor="#ffffff">
                <v:path arrowok="t"/>
              </v:shape>
            </v:group>
            <v:group style="position:absolute;left:6634;top:12303;width:1312;height:392" coordorigin="6634,12303" coordsize="1312,392">
              <v:shape style="position:absolute;left:6634;top:12303;width:1312;height:392" coordorigin="6634,12303" coordsize="1312,392" path="m6634,12694l7946,12694,7946,12303,6634,12303,6634,12694xe" filled="true" fillcolor="#ffffff" stroked="false">
                <v:path arrowok="t"/>
                <v:fill type="solid"/>
              </v:shape>
            </v:group>
            <w10:wrap type="none"/>
          </v:group>
        </w:pict>
      </w:r>
    </w:p>
    <w:p>
      <w:pPr>
        <w:pStyle w:val="Heading2"/>
        <w:spacing w:line="240" w:lineRule="auto" w:before="26"/>
        <w:ind w:right="0"/>
        <w:jc w:val="left"/>
        <w:rPr>
          <w:b w:val="0"/>
          <w:bCs w:val="0"/>
        </w:rPr>
      </w:pPr>
      <w:bookmarkStart w:name="九、在其他主体中的权益" w:id="328"/>
      <w:bookmarkEnd w:id="328"/>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在子公司中的权益" w:id="329"/>
      <w:bookmarkEnd w:id="329"/>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企业集团的构成" w:id="330"/>
      <w:bookmarkEnd w:id="33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天津滨河创新科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技术开发服务、 电子产品销售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北京中科金财电 子商务有限公司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移动支付、移动 电子商务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技术开发及服</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北京中科金财软 件技术有限公司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务，计算机软、 硬件及电子产品</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投资成立</w:t>
            </w:r>
          </w:p>
        </w:tc>
      </w:tr>
      <w:tr>
        <w:trPr>
          <w:trHeight w:val="355"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投资管理；资产</w:t>
            </w:r>
          </w:p>
        </w:tc>
        <w:tc>
          <w:tcPr>
            <w:tcW w:w="1367" w:type="dxa"/>
            <w:vMerge w:val="restart"/>
            <w:tcBorders>
              <w:top w:val="single" w:sz="4" w:space="0" w:color="000000"/>
              <w:left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67.9pt;height:31.2pt;mso-position-horizontal-relative:char;mso-position-vertical-relative:line" coordorigin="0,0" coordsize="1358,624">
                  <v:group style="position:absolute;left:0;top:0;width:1358;height:624" coordorigin="0,0" coordsize="1358,624">
                    <v:shape style="position:absolute;left:0;top:0;width:1358;height:624" coordorigin="0,0" coordsize="1358,624" path="m0,624l1357,624,1357,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12"/>
              <w:ind w:right="0"/>
              <w:jc w:val="left"/>
              <w:rPr>
                <w:rFonts w:ascii="宋体" w:hAnsi="宋体" w:cs="宋体" w:eastAsia="宋体" w:hint="default"/>
                <w:b/>
                <w:bCs/>
                <w:sz w:val="29"/>
                <w:szCs w:val="29"/>
              </w:rPr>
            </w:pPr>
          </w:p>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67.9pt;height:31.25pt;mso-position-horizontal-relative:char;mso-position-vertical-relative:line" coordorigin="0,0" coordsize="1358,625">
                  <v:group style="position:absolute;left:0;top:0;width:1358;height:625" coordorigin="0,0" coordsize="1358,625">
                    <v:shape style="position:absolute;left:0;top:0;width:1358;height:625" coordorigin="0,0" coordsize="1358,625" path="m0,624l1357,624,1357,0,0,0,0,624xe" filled="true" fillcolor="#ffffff" stroked="false">
                      <v:path arrowok="t"/>
                      <v:fill type="solid"/>
                    </v:shape>
                  </v:group>
                </v:group>
              </w:pict>
            </w:r>
            <w:r>
              <w:rPr>
                <w:rFonts w:ascii="宋体" w:hAnsi="宋体" w:cs="宋体" w:eastAsia="宋体" w:hint="default"/>
                <w:position w:val="-11"/>
                <w:sz w:val="20"/>
                <w:szCs w:val="20"/>
              </w:rPr>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北京中科金财投 资管理有限公司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pacing w:val="-6"/>
                <w:sz w:val="18"/>
                <w:szCs w:val="18"/>
              </w:rPr>
              <w:t>管理；项目投资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技术转让、技术 </w:t>
            </w:r>
            <w:r>
              <w:rPr>
                <w:rFonts w:ascii="宋体" w:hAnsi="宋体" w:cs="宋体" w:eastAsia="宋体" w:hint="default"/>
                <w:spacing w:val="-6"/>
                <w:sz w:val="18"/>
                <w:szCs w:val="18"/>
              </w:rPr>
              <w:t>服务、技术咨询</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投资成立</w:t>
            </w: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计算机技术培训</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北京中科金财互 联网服务有限公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互联网信息服 务、技术开发、 技术转让、技术 咨询等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投资成立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天津壬辰软件开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技术开发服务、 电子产品销售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天津滨河创新电 子科技有限公司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技术开发服务、 电子产品销售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大连鼎运企业管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企业管理及咨询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上海中科金财资 产管理中心（有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pacing w:val="-6"/>
                <w:sz w:val="18"/>
                <w:szCs w:val="18"/>
              </w:rPr>
              <w:t>资产管理、投资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子公司设立</w:t>
            </w: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中科金财</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互联网金融信息</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金融产品相关业</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2"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服务有限公司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务等</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北京国信金泽投</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资中心（有限合</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资产管理</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64.35%</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2"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r>
        <w:rPr/>
        <w:pict>
          <v:group style="position:absolute;margin-left:330.579987pt;margin-top:195.199982pt;width:67.9pt;height:35.8pt;mso-position-horizontal-relative:page;mso-position-vertical-relative:page;z-index:-1131256" coordorigin="6612,3904" coordsize="1358,716">
            <v:group style="position:absolute;left:6612;top:3904;width:1358;height:312" coordorigin="6612,3904" coordsize="1358,312">
              <v:shape style="position:absolute;left:6612;top:3904;width:1358;height:312" coordorigin="6612,3904" coordsize="1358,312" path="m6612,4216l7969,4216,7969,3904,6612,3904,6612,4216xe" filled="true" fillcolor="#ffffff" stroked="false">
                <v:path arrowok="t"/>
                <v:fill type="solid"/>
              </v:shape>
            </v:group>
            <v:group style="position:absolute;left:6623;top:4216;width:2;height:393" coordorigin="6623,4216" coordsize="2,393">
              <v:shape style="position:absolute;left:6623;top:4216;width:2;height:393" coordorigin="6623,4216" coordsize="0,393" path="m6623,4216l6623,4608e" filled="false" stroked="true" strokeweight="1.140pt" strokecolor="#ffffff">
                <v:path arrowok="t"/>
              </v:shape>
            </v:group>
            <v:group style="position:absolute;left:6634;top:4216;width:1312;height:393" coordorigin="6634,4216" coordsize="1312,393">
              <v:shape style="position:absolute;left:6634;top:4216;width:1312;height:393" coordorigin="6634,4216" coordsize="1312,393" path="m6634,4608l7946,4608,7946,4216,6634,4216,6634,460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大连金融资产交 易所有限公司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各类金融资产交 易及相关服务等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华缔资产管理</w:t>
            </w:r>
          </w:p>
          <w:p>
            <w:pPr>
              <w:pStyle w:val="TableParagraph"/>
              <w:spacing w:line="319" w:lineRule="auto" w:before="76"/>
              <w:ind w:left="22" w:right="77"/>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投资管理；资产 管理等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霍尔果斯金财科 技服务有限公司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新疆霍尔果斯市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新疆霍尔果斯市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计算机软件技术 开发等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霍尔果斯滨河创 新软件技术有限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新疆霍尔果斯市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新疆霍尔果斯市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pacing w:val="-6"/>
                <w:sz w:val="18"/>
                <w:szCs w:val="18"/>
              </w:rPr>
              <w:t>软件、电子信息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工程装备等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香港中科金财科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计算机系统集成 及服务等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深圳中金财富互</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联网金融服务有</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金融中介服务等</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352"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为投保人拟定投</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中科金财保险经 纪有限公司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保方案、选择保 险公司以及办理</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5"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投保手续</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深圳前海中科金</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投资兴办实业、</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财金控投资有限</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企业收购兼并策</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2"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划咨询等</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line="336" w:lineRule="auto" w:before="51"/>
        <w:ind w:left="153" w:right="3733" w:firstLine="0"/>
        <w:jc w:val="left"/>
        <w:rPr>
          <w:rFonts w:ascii="宋体" w:hAnsi="宋体" w:cs="宋体" w:eastAsia="宋体" w:hint="default"/>
          <w:sz w:val="20"/>
          <w:szCs w:val="20"/>
        </w:rPr>
      </w:pPr>
      <w:r>
        <w:rPr>
          <w:rFonts w:ascii="宋体" w:hAnsi="宋体" w:cs="宋体" w:eastAsia="宋体" w:hint="default"/>
          <w:sz w:val="18"/>
          <w:szCs w:val="18"/>
        </w:rPr>
        <w:t>在子公司的持股比例不同于表决权比例的说明： </w:t>
      </w:r>
      <w:r>
        <w:rPr>
          <w:rFonts w:ascii="宋体" w:hAnsi="宋体" w:cs="宋体" w:eastAsia="宋体" w:hint="default"/>
          <w:spacing w:val="-1"/>
          <w:sz w:val="20"/>
          <w:szCs w:val="20"/>
        </w:rPr>
        <w:t>公司对大连金融资产交易所有限公司的持股比例为</w:t>
      </w:r>
      <w:r>
        <w:rPr>
          <w:rFonts w:ascii="Times New Roman" w:hAnsi="Times New Roman" w:cs="Times New Roman" w:eastAsia="Times New Roman" w:hint="default"/>
          <w:spacing w:val="-1"/>
          <w:sz w:val="20"/>
          <w:szCs w:val="20"/>
        </w:rPr>
        <w:t>50%</w:t>
      </w:r>
      <w:r>
        <w:rPr>
          <w:rFonts w:ascii="宋体" w:hAnsi="宋体" w:cs="宋体" w:eastAsia="宋体" w:hint="default"/>
          <w:spacing w:val="-1"/>
          <w:sz w:val="20"/>
          <w:szCs w:val="20"/>
        </w:rPr>
        <w:t>，表决权比例为</w:t>
      </w:r>
      <w:r>
        <w:rPr>
          <w:rFonts w:ascii="Times New Roman" w:hAnsi="Times New Roman" w:cs="Times New Roman" w:eastAsia="Times New Roman" w:hint="default"/>
          <w:spacing w:val="-1"/>
          <w:sz w:val="20"/>
          <w:szCs w:val="20"/>
        </w:rPr>
        <w:t>55%</w:t>
      </w:r>
      <w:r>
        <w:rPr>
          <w:rFonts w:ascii="宋体" w:hAnsi="宋体" w:cs="宋体" w:eastAsia="宋体" w:hint="default"/>
          <w:spacing w:val="-1"/>
          <w:sz w:val="20"/>
          <w:szCs w:val="20"/>
        </w:rPr>
        <w:t>。</w:t>
      </w:r>
      <w:r>
        <w:rPr>
          <w:rFonts w:ascii="宋体" w:hAnsi="宋体" w:cs="宋体" w:eastAsia="宋体" w:hint="default"/>
          <w:spacing w:val="-71"/>
          <w:sz w:val="20"/>
          <w:szCs w:val="20"/>
        </w:rPr>
        <w:t> </w:t>
      </w:r>
      <w:r>
        <w:rPr>
          <w:rFonts w:ascii="宋体" w:hAnsi="宋体" w:cs="宋体" w:eastAsia="宋体" w:hint="default"/>
          <w:sz w:val="18"/>
          <w:szCs w:val="18"/>
        </w:rPr>
        <w:t>对于纳入合并范围的重要的结构化主体，控制的依据：</w:t>
      </w:r>
      <w:r>
        <w:rPr>
          <w:rFonts w:ascii="宋体" w:hAnsi="宋体" w:cs="宋体" w:eastAsia="宋体" w:hint="default"/>
          <w:sz w:val="18"/>
          <w:szCs w:val="18"/>
        </w:rPr>
        <w:t> </w:t>
      </w:r>
      <w:r>
        <w:rPr>
          <w:rFonts w:ascii="宋体" w:hAnsi="宋体" w:cs="宋体" w:eastAsia="宋体" w:hint="default"/>
          <w:sz w:val="20"/>
          <w:szCs w:val="20"/>
        </w:rPr>
        <w:t>纳入合并范围的重要的结构化主体：</w:t>
      </w:r>
    </w:p>
    <w:tbl>
      <w:tblPr>
        <w:tblW w:w="0" w:type="auto"/>
        <w:jc w:val="left"/>
        <w:tblInd w:w="146" w:type="dxa"/>
        <w:tblLayout w:type="fixed"/>
        <w:tblCellMar>
          <w:top w:w="0" w:type="dxa"/>
          <w:left w:w="0" w:type="dxa"/>
          <w:bottom w:w="0" w:type="dxa"/>
          <w:right w:w="0" w:type="dxa"/>
        </w:tblCellMar>
        <w:tblLook w:val="01E0"/>
      </w:tblPr>
      <w:tblGrid>
        <w:gridCol w:w="2199"/>
        <w:gridCol w:w="1858"/>
        <w:gridCol w:w="1184"/>
        <w:gridCol w:w="1182"/>
        <w:gridCol w:w="1797"/>
        <w:gridCol w:w="1633"/>
      </w:tblGrid>
      <w:tr>
        <w:trPr>
          <w:trHeight w:val="667" w:hRule="exact"/>
        </w:trPr>
        <w:tc>
          <w:tcPr>
            <w:tcW w:w="2199" w:type="dxa"/>
            <w:tcBorders>
              <w:top w:val="single" w:sz="6" w:space="0" w:color="000000"/>
              <w:left w:val="single" w:sz="6" w:space="0" w:color="000000"/>
              <w:bottom w:val="single" w:sz="12" w:space="0" w:color="000000"/>
              <w:right w:val="single" w:sz="6" w:space="0" w:color="000000"/>
            </w:tcBorders>
          </w:tcPr>
          <w:p>
            <w:pPr>
              <w:pStyle w:val="TableParagraph"/>
              <w:spacing w:line="285" w:lineRule="auto" w:before="5"/>
              <w:ind w:left="991" w:right="89" w:hanging="901"/>
              <w:jc w:val="left"/>
              <w:rPr>
                <w:rFonts w:ascii="宋体" w:hAnsi="宋体" w:cs="宋体" w:eastAsia="宋体" w:hint="default"/>
                <w:sz w:val="20"/>
                <w:szCs w:val="20"/>
              </w:rPr>
            </w:pPr>
            <w:r>
              <w:rPr>
                <w:rFonts w:ascii="宋体" w:hAnsi="宋体" w:cs="宋体" w:eastAsia="宋体" w:hint="default"/>
                <w:sz w:val="20"/>
                <w:szCs w:val="20"/>
              </w:rPr>
              <w:t>持有信托产品子公司名</w:t>
            </w:r>
            <w:r>
              <w:rPr>
                <w:rFonts w:ascii="宋体" w:hAnsi="宋体" w:cs="宋体" w:eastAsia="宋体" w:hint="default"/>
                <w:w w:val="100"/>
                <w:sz w:val="20"/>
                <w:szCs w:val="20"/>
              </w:rPr>
              <w:t> </w:t>
            </w:r>
            <w:r>
              <w:rPr>
                <w:rFonts w:ascii="宋体" w:hAnsi="宋体" w:cs="宋体" w:eastAsia="宋体" w:hint="default"/>
                <w:sz w:val="20"/>
                <w:szCs w:val="20"/>
              </w:rPr>
              <w:t>称</w:t>
            </w:r>
          </w:p>
        </w:tc>
        <w:tc>
          <w:tcPr>
            <w:tcW w:w="18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left="321" w:right="0"/>
              <w:jc w:val="left"/>
              <w:rPr>
                <w:rFonts w:ascii="宋体" w:hAnsi="宋体" w:cs="宋体" w:eastAsia="宋体" w:hint="default"/>
                <w:sz w:val="20"/>
                <w:szCs w:val="20"/>
              </w:rPr>
            </w:pPr>
            <w:r>
              <w:rPr>
                <w:rFonts w:ascii="宋体" w:hAnsi="宋体" w:cs="宋体" w:eastAsia="宋体" w:hint="default"/>
                <w:sz w:val="20"/>
                <w:szCs w:val="20"/>
              </w:rPr>
              <w:t>信托产品名称</w:t>
            </w:r>
          </w:p>
        </w:tc>
        <w:tc>
          <w:tcPr>
            <w:tcW w:w="11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信托公司</w:t>
            </w:r>
          </w:p>
        </w:tc>
        <w:tc>
          <w:tcPr>
            <w:tcW w:w="1182" w:type="dxa"/>
            <w:tcBorders>
              <w:top w:val="single" w:sz="6" w:space="0" w:color="000000"/>
              <w:left w:val="single" w:sz="6" w:space="0" w:color="000000"/>
              <w:bottom w:val="single" w:sz="12" w:space="0" w:color="000000"/>
              <w:right w:val="single" w:sz="6" w:space="0" w:color="000000"/>
            </w:tcBorders>
          </w:tcPr>
          <w:p>
            <w:pPr>
              <w:pStyle w:val="TableParagraph"/>
              <w:spacing w:line="285" w:lineRule="auto" w:before="5"/>
              <w:ind w:left="382" w:right="82" w:hanging="300"/>
              <w:jc w:val="left"/>
              <w:rPr>
                <w:rFonts w:ascii="宋体" w:hAnsi="宋体" w:cs="宋体" w:eastAsia="宋体" w:hint="default"/>
                <w:sz w:val="20"/>
                <w:szCs w:val="20"/>
              </w:rPr>
            </w:pPr>
            <w:r>
              <w:rPr>
                <w:rFonts w:ascii="宋体" w:hAnsi="宋体" w:cs="宋体" w:eastAsia="宋体" w:hint="default"/>
                <w:sz w:val="20"/>
                <w:szCs w:val="20"/>
              </w:rPr>
              <w:t>信托产品存</w:t>
            </w:r>
            <w:r>
              <w:rPr>
                <w:rFonts w:ascii="宋体" w:hAnsi="宋体" w:cs="宋体" w:eastAsia="宋体" w:hint="default"/>
                <w:w w:val="100"/>
                <w:sz w:val="20"/>
                <w:szCs w:val="20"/>
              </w:rPr>
              <w:t> </w:t>
            </w:r>
            <w:r>
              <w:rPr>
                <w:rFonts w:ascii="宋体" w:hAnsi="宋体" w:cs="宋体" w:eastAsia="宋体" w:hint="default"/>
                <w:sz w:val="20"/>
                <w:szCs w:val="20"/>
              </w:rPr>
              <w:t>续期</w:t>
            </w:r>
          </w:p>
        </w:tc>
        <w:tc>
          <w:tcPr>
            <w:tcW w:w="1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截止</w:t>
            </w:r>
            <w:r>
              <w:rPr>
                <w:rFonts w:ascii="宋体" w:hAnsi="宋体" w:cs="宋体" w:eastAsia="宋体" w:hint="default"/>
                <w:sz w:val="20"/>
                <w:szCs w:val="20"/>
              </w:rPr>
              <w:t>2017.12.31</w:t>
            </w:r>
            <w:r>
              <w:rPr>
                <w:rFonts w:ascii="宋体" w:hAnsi="宋体" w:cs="宋体" w:eastAsia="宋体" w:hint="default"/>
                <w:sz w:val="20"/>
                <w:szCs w:val="20"/>
              </w:rPr>
              <w:t>信</w:t>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sz w:val="20"/>
                <w:szCs w:val="20"/>
              </w:rPr>
              <w:t>托产品余额</w:t>
            </w:r>
          </w:p>
        </w:tc>
        <w:tc>
          <w:tcPr>
            <w:tcW w:w="163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
              <w:ind w:left="308" w:right="0"/>
              <w:jc w:val="left"/>
              <w:rPr>
                <w:rFonts w:ascii="宋体" w:hAnsi="宋体" w:cs="宋体" w:eastAsia="宋体" w:hint="default"/>
                <w:sz w:val="20"/>
                <w:szCs w:val="20"/>
              </w:rPr>
            </w:pPr>
            <w:r>
              <w:rPr>
                <w:rFonts w:ascii="宋体" w:hAnsi="宋体" w:cs="宋体" w:eastAsia="宋体" w:hint="default"/>
                <w:sz w:val="20"/>
                <w:szCs w:val="20"/>
              </w:rPr>
              <w:t>优先级金额</w:t>
            </w:r>
          </w:p>
        </w:tc>
      </w:tr>
      <w:tr>
        <w:trPr>
          <w:trHeight w:val="664" w:hRule="exact"/>
        </w:trPr>
        <w:tc>
          <w:tcPr>
            <w:tcW w:w="2199"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2" w:right="0"/>
              <w:jc w:val="left"/>
              <w:rPr>
                <w:rFonts w:ascii="宋体" w:hAnsi="宋体" w:cs="宋体" w:eastAsia="宋体" w:hint="default"/>
                <w:sz w:val="20"/>
                <w:szCs w:val="20"/>
              </w:rPr>
            </w:pPr>
            <w:r>
              <w:rPr>
                <w:rFonts w:ascii="宋体" w:hAnsi="宋体" w:cs="宋体" w:eastAsia="宋体" w:hint="default"/>
                <w:spacing w:val="-3"/>
                <w:sz w:val="20"/>
                <w:szCs w:val="20"/>
              </w:rPr>
              <w:t>华缔资产管理（北京）有</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限公司</w:t>
            </w:r>
          </w:p>
        </w:tc>
        <w:tc>
          <w:tcPr>
            <w:tcW w:w="1858"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2" w:right="39"/>
              <w:jc w:val="left"/>
              <w:rPr>
                <w:rFonts w:ascii="宋体" w:hAnsi="宋体" w:cs="宋体" w:eastAsia="宋体" w:hint="default"/>
                <w:sz w:val="20"/>
                <w:szCs w:val="20"/>
              </w:rPr>
            </w:pPr>
            <w:r>
              <w:rPr>
                <w:rFonts w:ascii="宋体" w:hAnsi="宋体" w:cs="宋体" w:eastAsia="宋体" w:hint="default"/>
                <w:sz w:val="20"/>
                <w:szCs w:val="20"/>
              </w:rPr>
              <w:t>西藏信托</w:t>
            </w:r>
            <w:r>
              <w:rPr>
                <w:rFonts w:ascii="宋体" w:hAnsi="宋体" w:cs="宋体" w:eastAsia="宋体" w:hint="default"/>
                <w:sz w:val="20"/>
                <w:szCs w:val="20"/>
              </w:rPr>
              <w:t>-</w:t>
            </w:r>
            <w:r>
              <w:rPr>
                <w:rFonts w:ascii="宋体" w:hAnsi="宋体" w:cs="宋体" w:eastAsia="宋体" w:hint="default"/>
                <w:sz w:val="20"/>
                <w:szCs w:val="20"/>
              </w:rPr>
              <w:t>乐家</w:t>
            </w:r>
            <w:r>
              <w:rPr>
                <w:rFonts w:ascii="宋体" w:hAnsi="宋体" w:cs="宋体" w:eastAsia="宋体" w:hint="default"/>
                <w:sz w:val="20"/>
                <w:szCs w:val="20"/>
              </w:rPr>
              <w:t>1</w:t>
            </w:r>
            <w:r>
              <w:rPr>
                <w:rFonts w:ascii="宋体" w:hAnsi="宋体" w:cs="宋体" w:eastAsia="宋体" w:hint="default"/>
                <w:sz w:val="20"/>
                <w:szCs w:val="20"/>
              </w:rPr>
              <w:t>号单</w:t>
            </w:r>
            <w:r>
              <w:rPr>
                <w:rFonts w:ascii="宋体" w:hAnsi="宋体" w:cs="宋体" w:eastAsia="宋体" w:hint="default"/>
                <w:spacing w:val="-2"/>
                <w:w w:val="100"/>
                <w:sz w:val="20"/>
                <w:szCs w:val="20"/>
              </w:rPr>
              <w:t> </w:t>
            </w:r>
            <w:r>
              <w:rPr>
                <w:rFonts w:ascii="宋体" w:hAnsi="宋体" w:cs="宋体" w:eastAsia="宋体" w:hint="default"/>
                <w:sz w:val="20"/>
                <w:szCs w:val="20"/>
              </w:rPr>
              <w:t>一资金信托</w:t>
            </w:r>
          </w:p>
        </w:tc>
        <w:tc>
          <w:tcPr>
            <w:tcW w:w="1184"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284" w:right="83" w:hanging="201"/>
              <w:jc w:val="left"/>
              <w:rPr>
                <w:rFonts w:ascii="宋体" w:hAnsi="宋体" w:cs="宋体" w:eastAsia="宋体" w:hint="default"/>
                <w:sz w:val="20"/>
                <w:szCs w:val="20"/>
              </w:rPr>
            </w:pPr>
            <w:r>
              <w:rPr>
                <w:rFonts w:ascii="宋体" w:hAnsi="宋体" w:cs="宋体" w:eastAsia="宋体" w:hint="default"/>
                <w:sz w:val="20"/>
                <w:szCs w:val="20"/>
              </w:rPr>
              <w:t>西藏信托有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118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z w:val="20"/>
                <w:szCs w:val="20"/>
              </w:rPr>
              <w:t>年</w:t>
            </w:r>
          </w:p>
        </w:tc>
        <w:tc>
          <w:tcPr>
            <w:tcW w:w="1797"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right"/>
              <w:rPr>
                <w:rFonts w:ascii="宋体" w:hAnsi="宋体" w:cs="宋体" w:eastAsia="宋体" w:hint="default"/>
                <w:sz w:val="20"/>
                <w:szCs w:val="20"/>
              </w:rPr>
            </w:pPr>
            <w:r>
              <w:rPr>
                <w:rFonts w:ascii="宋体"/>
                <w:spacing w:val="-1"/>
                <w:sz w:val="20"/>
              </w:rPr>
              <w:t>431,616,400.00</w:t>
            </w:r>
          </w:p>
        </w:tc>
        <w:tc>
          <w:tcPr>
            <w:tcW w:w="1633"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2199"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2" w:right="0"/>
              <w:jc w:val="left"/>
              <w:rPr>
                <w:rFonts w:ascii="宋体" w:hAnsi="宋体" w:cs="宋体" w:eastAsia="宋体" w:hint="default"/>
                <w:sz w:val="20"/>
                <w:szCs w:val="20"/>
              </w:rPr>
            </w:pPr>
            <w:r>
              <w:rPr>
                <w:rFonts w:ascii="宋体" w:hAnsi="宋体" w:cs="宋体" w:eastAsia="宋体" w:hint="default"/>
                <w:spacing w:val="-3"/>
                <w:sz w:val="20"/>
                <w:szCs w:val="20"/>
              </w:rPr>
              <w:t>华缔资产管理（北京）有</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限公司</w:t>
            </w:r>
          </w:p>
        </w:tc>
        <w:tc>
          <w:tcPr>
            <w:tcW w:w="1858"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2" w:right="39"/>
              <w:jc w:val="left"/>
              <w:rPr>
                <w:rFonts w:ascii="宋体" w:hAnsi="宋体" w:cs="宋体" w:eastAsia="宋体" w:hint="default"/>
                <w:sz w:val="20"/>
                <w:szCs w:val="20"/>
              </w:rPr>
            </w:pPr>
            <w:r>
              <w:rPr>
                <w:rFonts w:ascii="宋体" w:hAnsi="宋体" w:cs="宋体" w:eastAsia="宋体" w:hint="default"/>
                <w:sz w:val="20"/>
                <w:szCs w:val="20"/>
              </w:rPr>
              <w:t>西藏信托</w:t>
            </w:r>
            <w:r>
              <w:rPr>
                <w:rFonts w:ascii="宋体" w:hAnsi="宋体" w:cs="宋体" w:eastAsia="宋体" w:hint="default"/>
                <w:sz w:val="20"/>
                <w:szCs w:val="20"/>
              </w:rPr>
              <w:t>-</w:t>
            </w:r>
            <w:r>
              <w:rPr>
                <w:rFonts w:ascii="宋体" w:hAnsi="宋体" w:cs="宋体" w:eastAsia="宋体" w:hint="default"/>
                <w:sz w:val="20"/>
                <w:szCs w:val="20"/>
              </w:rPr>
              <w:t>乐家</w:t>
            </w:r>
            <w:r>
              <w:rPr>
                <w:rFonts w:ascii="宋体" w:hAnsi="宋体" w:cs="宋体" w:eastAsia="宋体" w:hint="default"/>
                <w:sz w:val="20"/>
                <w:szCs w:val="20"/>
              </w:rPr>
              <w:t>2</w:t>
            </w:r>
            <w:r>
              <w:rPr>
                <w:rFonts w:ascii="宋体" w:hAnsi="宋体" w:cs="宋体" w:eastAsia="宋体" w:hint="default"/>
                <w:sz w:val="20"/>
                <w:szCs w:val="20"/>
              </w:rPr>
              <w:t>号单</w:t>
            </w:r>
            <w:r>
              <w:rPr>
                <w:rFonts w:ascii="宋体" w:hAnsi="宋体" w:cs="宋体" w:eastAsia="宋体" w:hint="default"/>
                <w:spacing w:val="-2"/>
                <w:w w:val="100"/>
                <w:sz w:val="20"/>
                <w:szCs w:val="20"/>
              </w:rPr>
              <w:t> </w:t>
            </w:r>
            <w:r>
              <w:rPr>
                <w:rFonts w:ascii="宋体" w:hAnsi="宋体" w:cs="宋体" w:eastAsia="宋体" w:hint="default"/>
                <w:sz w:val="20"/>
                <w:szCs w:val="20"/>
              </w:rPr>
              <w:t>一资金信托</w:t>
            </w:r>
          </w:p>
        </w:tc>
        <w:tc>
          <w:tcPr>
            <w:tcW w:w="1184"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284" w:right="83" w:hanging="201"/>
              <w:jc w:val="left"/>
              <w:rPr>
                <w:rFonts w:ascii="宋体" w:hAnsi="宋体" w:cs="宋体" w:eastAsia="宋体" w:hint="default"/>
                <w:sz w:val="20"/>
                <w:szCs w:val="20"/>
              </w:rPr>
            </w:pPr>
            <w:r>
              <w:rPr>
                <w:rFonts w:ascii="宋体" w:hAnsi="宋体" w:cs="宋体" w:eastAsia="宋体" w:hint="default"/>
                <w:sz w:val="20"/>
                <w:szCs w:val="20"/>
              </w:rPr>
              <w:t>西藏信托有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118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z w:val="20"/>
                <w:szCs w:val="20"/>
              </w:rPr>
              <w:t>年</w:t>
            </w:r>
          </w:p>
        </w:tc>
        <w:tc>
          <w:tcPr>
            <w:tcW w:w="1797"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right"/>
              <w:rPr>
                <w:rFonts w:ascii="宋体" w:hAnsi="宋体" w:cs="宋体" w:eastAsia="宋体" w:hint="default"/>
                <w:sz w:val="20"/>
                <w:szCs w:val="20"/>
              </w:rPr>
            </w:pPr>
            <w:r>
              <w:rPr>
                <w:rFonts w:ascii="宋体"/>
                <w:spacing w:val="-1"/>
                <w:sz w:val="20"/>
              </w:rPr>
              <w:t>261,180,000.00</w:t>
            </w:r>
          </w:p>
        </w:tc>
        <w:tc>
          <w:tcPr>
            <w:tcW w:w="1633" w:type="dxa"/>
            <w:tcBorders>
              <w:top w:val="single" w:sz="12" w:space="0" w:color="000000"/>
              <w:left w:val="single" w:sz="6" w:space="0" w:color="000000"/>
              <w:bottom w:val="single" w:sz="12" w:space="0" w:color="000000"/>
              <w:right w:val="nil" w:sz="6" w:space="0" w:color="auto"/>
            </w:tcBorders>
          </w:tcPr>
          <w:p>
            <w:pPr/>
          </w:p>
        </w:tc>
      </w:tr>
      <w:tr>
        <w:trPr>
          <w:trHeight w:val="664" w:hRule="exact"/>
        </w:trPr>
        <w:tc>
          <w:tcPr>
            <w:tcW w:w="2199"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2" w:right="0"/>
              <w:jc w:val="left"/>
              <w:rPr>
                <w:rFonts w:ascii="宋体" w:hAnsi="宋体" w:cs="宋体" w:eastAsia="宋体" w:hint="default"/>
                <w:sz w:val="20"/>
                <w:szCs w:val="20"/>
              </w:rPr>
            </w:pPr>
            <w:r>
              <w:rPr>
                <w:rFonts w:ascii="宋体" w:hAnsi="宋体" w:cs="宋体" w:eastAsia="宋体" w:hint="default"/>
                <w:spacing w:val="-3"/>
                <w:sz w:val="20"/>
                <w:szCs w:val="20"/>
              </w:rPr>
              <w:t>华缔资产管理（北京）有</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限公司</w:t>
            </w:r>
          </w:p>
        </w:tc>
        <w:tc>
          <w:tcPr>
            <w:tcW w:w="1858"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2" w:right="39"/>
              <w:jc w:val="left"/>
              <w:rPr>
                <w:rFonts w:ascii="宋体" w:hAnsi="宋体" w:cs="宋体" w:eastAsia="宋体" w:hint="default"/>
                <w:sz w:val="20"/>
                <w:szCs w:val="20"/>
              </w:rPr>
            </w:pPr>
            <w:r>
              <w:rPr>
                <w:rFonts w:ascii="宋体" w:hAnsi="宋体" w:cs="宋体" w:eastAsia="宋体" w:hint="default"/>
                <w:sz w:val="20"/>
                <w:szCs w:val="20"/>
              </w:rPr>
              <w:t>西藏信托</w:t>
            </w:r>
            <w:r>
              <w:rPr>
                <w:rFonts w:ascii="宋体" w:hAnsi="宋体" w:cs="宋体" w:eastAsia="宋体" w:hint="default"/>
                <w:sz w:val="20"/>
                <w:szCs w:val="20"/>
              </w:rPr>
              <w:t>-</w:t>
            </w:r>
            <w:r>
              <w:rPr>
                <w:rFonts w:ascii="宋体" w:hAnsi="宋体" w:cs="宋体" w:eastAsia="宋体" w:hint="default"/>
                <w:sz w:val="20"/>
                <w:szCs w:val="20"/>
              </w:rPr>
              <w:t>宜家</w:t>
            </w:r>
            <w:r>
              <w:rPr>
                <w:rFonts w:ascii="宋体" w:hAnsi="宋体" w:cs="宋体" w:eastAsia="宋体" w:hint="default"/>
                <w:sz w:val="20"/>
                <w:szCs w:val="20"/>
              </w:rPr>
              <w:t>1</w:t>
            </w:r>
            <w:r>
              <w:rPr>
                <w:rFonts w:ascii="宋体" w:hAnsi="宋体" w:cs="宋体" w:eastAsia="宋体" w:hint="default"/>
                <w:sz w:val="20"/>
                <w:szCs w:val="20"/>
              </w:rPr>
              <w:t>号集</w:t>
            </w:r>
            <w:r>
              <w:rPr>
                <w:rFonts w:ascii="宋体" w:hAnsi="宋体" w:cs="宋体" w:eastAsia="宋体" w:hint="default"/>
                <w:spacing w:val="-2"/>
                <w:w w:val="100"/>
                <w:sz w:val="20"/>
                <w:szCs w:val="20"/>
              </w:rPr>
              <w:t> </w:t>
            </w:r>
            <w:r>
              <w:rPr>
                <w:rFonts w:ascii="宋体" w:hAnsi="宋体" w:cs="宋体" w:eastAsia="宋体" w:hint="default"/>
                <w:sz w:val="20"/>
                <w:szCs w:val="20"/>
              </w:rPr>
              <w:t>合资金信托计划</w:t>
            </w:r>
          </w:p>
        </w:tc>
        <w:tc>
          <w:tcPr>
            <w:tcW w:w="1184"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284" w:right="83" w:hanging="201"/>
              <w:jc w:val="left"/>
              <w:rPr>
                <w:rFonts w:ascii="宋体" w:hAnsi="宋体" w:cs="宋体" w:eastAsia="宋体" w:hint="default"/>
                <w:sz w:val="20"/>
                <w:szCs w:val="20"/>
              </w:rPr>
            </w:pPr>
            <w:r>
              <w:rPr>
                <w:rFonts w:ascii="宋体" w:hAnsi="宋体" w:cs="宋体" w:eastAsia="宋体" w:hint="default"/>
                <w:sz w:val="20"/>
                <w:szCs w:val="20"/>
              </w:rPr>
              <w:t>西藏信托有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118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z w:val="20"/>
                <w:szCs w:val="20"/>
              </w:rPr>
              <w:t>年</w:t>
            </w:r>
          </w:p>
        </w:tc>
        <w:tc>
          <w:tcPr>
            <w:tcW w:w="1797"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right"/>
              <w:rPr>
                <w:rFonts w:ascii="宋体" w:hAnsi="宋体" w:cs="宋体" w:eastAsia="宋体" w:hint="default"/>
                <w:sz w:val="20"/>
                <w:szCs w:val="20"/>
              </w:rPr>
            </w:pPr>
            <w:r>
              <w:rPr>
                <w:rFonts w:ascii="宋体"/>
                <w:spacing w:val="-1"/>
                <w:sz w:val="20"/>
              </w:rPr>
              <w:t>218,010,000.00</w:t>
            </w:r>
          </w:p>
        </w:tc>
        <w:tc>
          <w:tcPr>
            <w:tcW w:w="1633" w:type="dxa"/>
            <w:tcBorders>
              <w:top w:val="single" w:sz="12" w:space="0" w:color="000000"/>
              <w:left w:val="single" w:sz="6" w:space="0" w:color="000000"/>
              <w:bottom w:val="single" w:sz="12" w:space="0" w:color="000000"/>
              <w:right w:val="nil" w:sz="6" w:space="0" w:color="auto"/>
            </w:tcBorders>
          </w:tcPr>
          <w:p>
            <w:pPr>
              <w:pStyle w:val="TableParagraph"/>
              <w:spacing w:line="256" w:lineRule="exact"/>
              <w:ind w:left="214" w:right="0"/>
              <w:jc w:val="left"/>
              <w:rPr>
                <w:rFonts w:ascii="宋体" w:hAnsi="宋体" w:cs="宋体" w:eastAsia="宋体" w:hint="default"/>
                <w:sz w:val="20"/>
                <w:szCs w:val="20"/>
              </w:rPr>
            </w:pPr>
            <w:r>
              <w:rPr>
                <w:rFonts w:ascii="宋体"/>
                <w:sz w:val="20"/>
              </w:rPr>
              <w:t>150,000,000.00</w:t>
            </w:r>
          </w:p>
        </w:tc>
      </w:tr>
      <w:tr>
        <w:trPr>
          <w:trHeight w:val="664" w:hRule="exact"/>
        </w:trPr>
        <w:tc>
          <w:tcPr>
            <w:tcW w:w="2199"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2" w:right="0"/>
              <w:jc w:val="left"/>
              <w:rPr>
                <w:rFonts w:ascii="宋体" w:hAnsi="宋体" w:cs="宋体" w:eastAsia="宋体" w:hint="default"/>
                <w:sz w:val="20"/>
                <w:szCs w:val="20"/>
              </w:rPr>
            </w:pPr>
            <w:r>
              <w:rPr>
                <w:rFonts w:ascii="宋体" w:hAnsi="宋体" w:cs="宋体" w:eastAsia="宋体" w:hint="default"/>
                <w:spacing w:val="-3"/>
                <w:sz w:val="20"/>
                <w:szCs w:val="20"/>
              </w:rPr>
              <w:t>华缔资产管理（北京）有</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限公司</w:t>
            </w:r>
          </w:p>
        </w:tc>
        <w:tc>
          <w:tcPr>
            <w:tcW w:w="1858"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2" w:right="137"/>
              <w:jc w:val="left"/>
              <w:rPr>
                <w:rFonts w:ascii="宋体" w:hAnsi="宋体" w:cs="宋体" w:eastAsia="宋体" w:hint="default"/>
                <w:sz w:val="20"/>
                <w:szCs w:val="20"/>
              </w:rPr>
            </w:pPr>
            <w:r>
              <w:rPr>
                <w:rFonts w:ascii="宋体" w:hAnsi="宋体" w:cs="宋体" w:eastAsia="宋体" w:hint="default"/>
                <w:sz w:val="20"/>
                <w:szCs w:val="20"/>
              </w:rPr>
              <w:t>四川信托</w:t>
            </w:r>
            <w:r>
              <w:rPr>
                <w:rFonts w:ascii="宋体" w:hAnsi="宋体" w:cs="宋体" w:eastAsia="宋体" w:hint="default"/>
                <w:sz w:val="20"/>
                <w:szCs w:val="20"/>
              </w:rPr>
              <w:t>-</w:t>
            </w:r>
            <w:r>
              <w:rPr>
                <w:rFonts w:ascii="宋体" w:hAnsi="宋体" w:cs="宋体" w:eastAsia="宋体" w:hint="default"/>
                <w:sz w:val="20"/>
                <w:szCs w:val="20"/>
              </w:rPr>
              <w:t>融科伟业</w:t>
            </w:r>
            <w:r>
              <w:rPr>
                <w:rFonts w:ascii="宋体" w:hAnsi="宋体" w:cs="宋体" w:eastAsia="宋体" w:hint="default"/>
                <w:w w:val="100"/>
                <w:sz w:val="20"/>
                <w:szCs w:val="20"/>
              </w:rPr>
              <w:t> </w:t>
            </w:r>
            <w:r>
              <w:rPr>
                <w:rFonts w:ascii="宋体" w:hAnsi="宋体" w:cs="宋体" w:eastAsia="宋体" w:hint="default"/>
                <w:sz w:val="20"/>
                <w:szCs w:val="20"/>
              </w:rPr>
              <w:t>单一信托</w:t>
            </w:r>
          </w:p>
        </w:tc>
        <w:tc>
          <w:tcPr>
            <w:tcW w:w="1184"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284" w:right="83" w:hanging="201"/>
              <w:jc w:val="left"/>
              <w:rPr>
                <w:rFonts w:ascii="宋体" w:hAnsi="宋体" w:cs="宋体" w:eastAsia="宋体" w:hint="default"/>
                <w:sz w:val="20"/>
                <w:szCs w:val="20"/>
              </w:rPr>
            </w:pPr>
            <w:r>
              <w:rPr>
                <w:rFonts w:ascii="宋体" w:hAnsi="宋体" w:cs="宋体" w:eastAsia="宋体" w:hint="default"/>
                <w:sz w:val="20"/>
                <w:szCs w:val="20"/>
              </w:rPr>
              <w:t>四川信托有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118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年</w:t>
            </w:r>
          </w:p>
        </w:tc>
        <w:tc>
          <w:tcPr>
            <w:tcW w:w="1797"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right"/>
              <w:rPr>
                <w:rFonts w:ascii="宋体" w:hAnsi="宋体" w:cs="宋体" w:eastAsia="宋体" w:hint="default"/>
                <w:sz w:val="20"/>
                <w:szCs w:val="20"/>
              </w:rPr>
            </w:pPr>
            <w:r>
              <w:rPr>
                <w:rFonts w:ascii="宋体"/>
                <w:spacing w:val="-1"/>
                <w:sz w:val="20"/>
              </w:rPr>
              <w:t>300,000,000.00</w:t>
            </w:r>
          </w:p>
        </w:tc>
        <w:tc>
          <w:tcPr>
            <w:tcW w:w="1633" w:type="dxa"/>
            <w:tcBorders>
              <w:top w:val="single" w:sz="12" w:space="0" w:color="000000"/>
              <w:left w:val="single" w:sz="6" w:space="0" w:color="000000"/>
              <w:bottom w:val="single" w:sz="12" w:space="0" w:color="000000"/>
              <w:right w:val="nil" w:sz="6" w:space="0" w:color="auto"/>
            </w:tcBorders>
          </w:tcPr>
          <w:p>
            <w:pPr/>
          </w:p>
        </w:tc>
      </w:tr>
      <w:tr>
        <w:trPr>
          <w:trHeight w:val="977" w:hRule="exact"/>
        </w:trPr>
        <w:tc>
          <w:tcPr>
            <w:tcW w:w="2199"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2" w:right="3"/>
              <w:jc w:val="left"/>
              <w:rPr>
                <w:rFonts w:ascii="宋体" w:hAnsi="宋体" w:cs="宋体" w:eastAsia="宋体" w:hint="default"/>
                <w:sz w:val="20"/>
                <w:szCs w:val="20"/>
              </w:rPr>
            </w:pPr>
            <w:r>
              <w:rPr>
                <w:rFonts w:ascii="宋体" w:hAnsi="宋体" w:cs="宋体" w:eastAsia="宋体" w:hint="default"/>
                <w:spacing w:val="16"/>
                <w:sz w:val="20"/>
                <w:szCs w:val="20"/>
              </w:rPr>
              <w:t>深圳中金财富互联网金</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融服务有限公司</w:t>
            </w:r>
          </w:p>
        </w:tc>
        <w:tc>
          <w:tcPr>
            <w:tcW w:w="1858"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2" w:right="38"/>
              <w:jc w:val="left"/>
              <w:rPr>
                <w:rFonts w:ascii="宋体" w:hAnsi="宋体" w:cs="宋体" w:eastAsia="宋体" w:hint="default"/>
                <w:sz w:val="20"/>
                <w:szCs w:val="20"/>
              </w:rPr>
            </w:pPr>
            <w:r>
              <w:rPr>
                <w:rFonts w:ascii="宋体" w:hAnsi="宋体" w:cs="宋体" w:eastAsia="宋体" w:hint="default"/>
                <w:sz w:val="20"/>
                <w:szCs w:val="20"/>
              </w:rPr>
              <w:t>渤海信托</w:t>
            </w:r>
            <w:r>
              <w:rPr>
                <w:rFonts w:ascii="宋体" w:hAnsi="宋体" w:cs="宋体" w:eastAsia="宋体" w:hint="default"/>
                <w:sz w:val="20"/>
                <w:szCs w:val="20"/>
              </w:rPr>
              <w:t>-</w:t>
            </w:r>
            <w:r>
              <w:rPr>
                <w:rFonts w:ascii="宋体" w:hAnsi="宋体" w:cs="宋体" w:eastAsia="宋体" w:hint="default"/>
                <w:sz w:val="20"/>
                <w:szCs w:val="20"/>
              </w:rPr>
              <w:t>房产抵押</w:t>
            </w:r>
            <w:r>
              <w:rPr>
                <w:rFonts w:ascii="宋体" w:hAnsi="宋体" w:cs="宋体" w:eastAsia="宋体" w:hint="default"/>
                <w:w w:val="100"/>
                <w:sz w:val="20"/>
                <w:szCs w:val="20"/>
              </w:rPr>
              <w:t> </w:t>
            </w:r>
            <w:r>
              <w:rPr>
                <w:rFonts w:ascii="宋体" w:hAnsi="宋体" w:cs="宋体" w:eastAsia="宋体" w:hint="default"/>
                <w:sz w:val="20"/>
                <w:szCs w:val="20"/>
              </w:rPr>
              <w:t>贷款项目单一资金信</w:t>
            </w:r>
            <w:r>
              <w:rPr>
                <w:rFonts w:ascii="宋体" w:hAnsi="宋体" w:cs="宋体" w:eastAsia="宋体" w:hint="default"/>
                <w:w w:val="100"/>
                <w:sz w:val="20"/>
                <w:szCs w:val="20"/>
              </w:rPr>
              <w:t> </w:t>
            </w:r>
            <w:r>
              <w:rPr>
                <w:rFonts w:ascii="宋体" w:hAnsi="宋体" w:cs="宋体" w:eastAsia="宋体" w:hint="default"/>
                <w:sz w:val="20"/>
                <w:szCs w:val="20"/>
              </w:rPr>
              <w:t>托</w:t>
            </w:r>
          </w:p>
        </w:tc>
        <w:tc>
          <w:tcPr>
            <w:tcW w:w="1184"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83" w:right="83"/>
              <w:jc w:val="center"/>
              <w:rPr>
                <w:rFonts w:ascii="宋体" w:hAnsi="宋体" w:cs="宋体" w:eastAsia="宋体" w:hint="default"/>
                <w:sz w:val="20"/>
                <w:szCs w:val="20"/>
              </w:rPr>
            </w:pPr>
            <w:r>
              <w:rPr>
                <w:rFonts w:ascii="宋体" w:hAnsi="宋体" w:cs="宋体" w:eastAsia="宋体" w:hint="default"/>
                <w:sz w:val="20"/>
                <w:szCs w:val="20"/>
              </w:rPr>
              <w:t>渤海国际股</w:t>
            </w:r>
            <w:r>
              <w:rPr>
                <w:rFonts w:ascii="宋体" w:hAnsi="宋体" w:cs="宋体" w:eastAsia="宋体" w:hint="default"/>
                <w:w w:val="100"/>
                <w:sz w:val="20"/>
                <w:szCs w:val="20"/>
              </w:rPr>
              <w:t> </w:t>
            </w:r>
            <w:r>
              <w:rPr>
                <w:rFonts w:ascii="宋体" w:hAnsi="宋体" w:cs="宋体" w:eastAsia="宋体" w:hint="default"/>
                <w:sz w:val="20"/>
                <w:szCs w:val="20"/>
              </w:rPr>
              <w:t>份信托有限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1182"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年</w:t>
            </w:r>
          </w:p>
        </w:tc>
        <w:tc>
          <w:tcPr>
            <w:tcW w:w="1797"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right="0"/>
              <w:jc w:val="right"/>
              <w:rPr>
                <w:rFonts w:ascii="宋体" w:hAnsi="宋体" w:cs="宋体" w:eastAsia="宋体" w:hint="default"/>
                <w:sz w:val="20"/>
                <w:szCs w:val="20"/>
              </w:rPr>
            </w:pPr>
            <w:r>
              <w:rPr>
                <w:rFonts w:ascii="宋体"/>
                <w:spacing w:val="-1"/>
                <w:sz w:val="20"/>
              </w:rPr>
              <w:t>58,840,000.00</w:t>
            </w:r>
          </w:p>
        </w:tc>
        <w:tc>
          <w:tcPr>
            <w:tcW w:w="1633"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199"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pacing w:val="16"/>
                <w:sz w:val="20"/>
                <w:szCs w:val="20"/>
              </w:rPr>
              <w:t>深圳中金财富互联网金</w:t>
            </w:r>
          </w:p>
        </w:tc>
        <w:tc>
          <w:tcPr>
            <w:tcW w:w="1858"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西藏信托</w:t>
            </w:r>
            <w:r>
              <w:rPr>
                <w:rFonts w:ascii="宋体" w:hAnsi="宋体" w:cs="宋体" w:eastAsia="宋体" w:hint="default"/>
                <w:sz w:val="20"/>
                <w:szCs w:val="20"/>
              </w:rPr>
              <w:t>-</w:t>
            </w:r>
            <w:r>
              <w:rPr>
                <w:rFonts w:ascii="宋体" w:hAnsi="宋体" w:cs="宋体" w:eastAsia="宋体" w:hint="default"/>
                <w:sz w:val="20"/>
                <w:szCs w:val="20"/>
              </w:rPr>
              <w:t>开放式单</w:t>
            </w:r>
          </w:p>
        </w:tc>
        <w:tc>
          <w:tcPr>
            <w:tcW w:w="118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西藏信托有</w:t>
            </w:r>
          </w:p>
        </w:tc>
        <w:tc>
          <w:tcPr>
            <w:tcW w:w="118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z w:val="20"/>
                <w:szCs w:val="20"/>
              </w:rPr>
              <w:t>年</w:t>
            </w:r>
          </w:p>
        </w:tc>
        <w:tc>
          <w:tcPr>
            <w:tcW w:w="1797"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right"/>
              <w:rPr>
                <w:rFonts w:ascii="宋体" w:hAnsi="宋体" w:cs="宋体" w:eastAsia="宋体" w:hint="default"/>
                <w:sz w:val="20"/>
                <w:szCs w:val="20"/>
              </w:rPr>
            </w:pPr>
            <w:r>
              <w:rPr>
                <w:rFonts w:ascii="宋体"/>
                <w:spacing w:val="-1"/>
                <w:sz w:val="20"/>
              </w:rPr>
              <w:t>36,580,000.00</w:t>
            </w:r>
          </w:p>
        </w:tc>
        <w:tc>
          <w:tcPr>
            <w:tcW w:w="1633"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199"/>
        <w:gridCol w:w="1858"/>
        <w:gridCol w:w="1184"/>
        <w:gridCol w:w="1182"/>
        <w:gridCol w:w="1797"/>
        <w:gridCol w:w="1633"/>
      </w:tblGrid>
      <w:tr>
        <w:trPr>
          <w:trHeight w:val="355" w:hRule="exact"/>
        </w:trPr>
        <w:tc>
          <w:tcPr>
            <w:tcW w:w="21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融服务有限公司</w:t>
            </w:r>
          </w:p>
        </w:tc>
        <w:tc>
          <w:tcPr>
            <w:tcW w:w="18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一资金信托计划</w:t>
            </w:r>
          </w:p>
        </w:tc>
        <w:tc>
          <w:tcPr>
            <w:tcW w:w="11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left="284"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182" w:type="dxa"/>
            <w:tcBorders>
              <w:top w:val="single" w:sz="6" w:space="0" w:color="000000"/>
              <w:left w:val="single" w:sz="6" w:space="0" w:color="000000"/>
              <w:bottom w:val="single" w:sz="12" w:space="0" w:color="000000"/>
              <w:right w:val="single" w:sz="6" w:space="0" w:color="000000"/>
            </w:tcBorders>
          </w:tcPr>
          <w:p>
            <w:pPr/>
          </w:p>
        </w:tc>
        <w:tc>
          <w:tcPr>
            <w:tcW w:w="1797" w:type="dxa"/>
            <w:tcBorders>
              <w:top w:val="single" w:sz="6" w:space="0" w:color="000000"/>
              <w:left w:val="single" w:sz="6" w:space="0" w:color="000000"/>
              <w:bottom w:val="single" w:sz="12" w:space="0" w:color="000000"/>
              <w:right w:val="single" w:sz="6" w:space="0" w:color="000000"/>
            </w:tcBorders>
          </w:tcPr>
          <w:p>
            <w:pPr/>
          </w:p>
        </w:tc>
        <w:tc>
          <w:tcPr>
            <w:tcW w:w="1633" w:type="dxa"/>
            <w:tcBorders>
              <w:top w:val="single" w:sz="6" w:space="0" w:color="000000"/>
              <w:left w:val="single" w:sz="6" w:space="0" w:color="000000"/>
              <w:bottom w:val="single" w:sz="12" w:space="0" w:color="000000"/>
              <w:right w:val="nil" w:sz="6" w:space="0" w:color="auto"/>
            </w:tcBorders>
          </w:tcPr>
          <w:p>
            <w:pPr/>
          </w:p>
        </w:tc>
      </w:tr>
      <w:tr>
        <w:trPr>
          <w:trHeight w:val="352" w:hRule="exact"/>
        </w:trPr>
        <w:tc>
          <w:tcPr>
            <w:tcW w:w="2199"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858" w:type="dxa"/>
            <w:tcBorders>
              <w:top w:val="single" w:sz="12" w:space="0" w:color="000000"/>
              <w:left w:val="single" w:sz="6" w:space="0" w:color="000000"/>
              <w:bottom w:val="single" w:sz="12" w:space="0" w:color="000000"/>
              <w:right w:val="single" w:sz="6" w:space="0" w:color="000000"/>
            </w:tcBorders>
          </w:tcPr>
          <w:p>
            <w:pPr/>
          </w:p>
        </w:tc>
        <w:tc>
          <w:tcPr>
            <w:tcW w:w="1184" w:type="dxa"/>
            <w:tcBorders>
              <w:top w:val="single" w:sz="12" w:space="0" w:color="000000"/>
              <w:left w:val="single" w:sz="6" w:space="0" w:color="000000"/>
              <w:bottom w:val="single" w:sz="12" w:space="0" w:color="000000"/>
              <w:right w:val="single" w:sz="6" w:space="0" w:color="000000"/>
            </w:tcBorders>
          </w:tcPr>
          <w:p>
            <w:pPr/>
          </w:p>
        </w:tc>
        <w:tc>
          <w:tcPr>
            <w:tcW w:w="1182" w:type="dxa"/>
            <w:tcBorders>
              <w:top w:val="single" w:sz="12" w:space="0" w:color="000000"/>
              <w:left w:val="single" w:sz="6" w:space="0" w:color="000000"/>
              <w:bottom w:val="single" w:sz="12" w:space="0" w:color="000000"/>
              <w:right w:val="single" w:sz="6" w:space="0" w:color="000000"/>
            </w:tcBorders>
          </w:tcPr>
          <w:p>
            <w:pPr/>
          </w:p>
        </w:tc>
        <w:tc>
          <w:tcPr>
            <w:tcW w:w="1797"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180" w:right="0"/>
              <w:jc w:val="left"/>
              <w:rPr>
                <w:rFonts w:ascii="宋体" w:hAnsi="宋体" w:cs="宋体" w:eastAsia="宋体" w:hint="default"/>
                <w:sz w:val="20"/>
                <w:szCs w:val="20"/>
              </w:rPr>
            </w:pPr>
            <w:r>
              <w:rPr>
                <w:rFonts w:ascii="宋体"/>
                <w:sz w:val="20"/>
              </w:rPr>
              <w:t>1,306,226,400.00</w:t>
            </w:r>
          </w:p>
        </w:tc>
        <w:tc>
          <w:tcPr>
            <w:tcW w:w="1633" w:type="dxa"/>
            <w:tcBorders>
              <w:top w:val="single" w:sz="12" w:space="0" w:color="000000"/>
              <w:left w:val="single" w:sz="6" w:space="0" w:color="000000"/>
              <w:bottom w:val="single" w:sz="12" w:space="0" w:color="000000"/>
              <w:right w:val="nil" w:sz="6" w:space="0" w:color="auto"/>
            </w:tcBorders>
          </w:tcPr>
          <w:p>
            <w:pPr>
              <w:pStyle w:val="TableParagraph"/>
              <w:spacing w:line="256" w:lineRule="exact"/>
              <w:ind w:left="214" w:right="0"/>
              <w:jc w:val="left"/>
              <w:rPr>
                <w:rFonts w:ascii="宋体" w:hAnsi="宋体" w:cs="宋体" w:eastAsia="宋体" w:hint="default"/>
                <w:sz w:val="20"/>
                <w:szCs w:val="20"/>
              </w:rPr>
            </w:pPr>
            <w:r>
              <w:rPr>
                <w:rFonts w:ascii="宋体"/>
                <w:sz w:val="20"/>
              </w:rPr>
              <w:t>150,000,000.00</w:t>
            </w:r>
          </w:p>
        </w:tc>
      </w:tr>
    </w:tbl>
    <w:p>
      <w:pPr>
        <w:pStyle w:val="BodyText"/>
        <w:spacing w:line="429" w:lineRule="auto" w:before="72"/>
        <w:ind w:left="154" w:right="0" w:firstLine="471"/>
        <w:jc w:val="left"/>
      </w:pPr>
      <w:r>
        <w:rPr>
          <w:spacing w:val="-2"/>
        </w:rPr>
        <w:t>对于纳入合并范围的重要的结构化主体，控制的依据：拥有对被投资方的权力，通过参与被投资方的相关</w:t>
      </w:r>
      <w:r>
        <w:rPr>
          <w:w w:val="100"/>
        </w:rPr>
        <w:t> </w:t>
      </w:r>
      <w:r>
        <w:rPr/>
        <w:t>活动而享有可变回报，并且有能力运用对被投资方的权利影响其回报金额。</w:t>
      </w:r>
    </w:p>
    <w:p>
      <w:pPr>
        <w:spacing w:line="240" w:lineRule="auto" w:before="0"/>
        <w:rPr>
          <w:rFonts w:ascii="宋体" w:hAnsi="宋体" w:cs="宋体" w:eastAsia="宋体" w:hint="default"/>
          <w:sz w:val="20"/>
          <w:szCs w:val="20"/>
        </w:rPr>
      </w:pPr>
    </w:p>
    <w:p>
      <w:pPr>
        <w:pStyle w:val="Heading3"/>
        <w:spacing w:line="240" w:lineRule="auto"/>
        <w:ind w:left="153" w:right="0"/>
        <w:jc w:val="left"/>
        <w:rPr>
          <w:b w:val="0"/>
          <w:bCs w:val="0"/>
        </w:rPr>
      </w:pPr>
      <w:bookmarkStart w:name="（2）重要的非全资子公司" w:id="331"/>
      <w:bookmarkEnd w:id="33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大连金融资产交易所有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6" w:right="0"/>
              <w:jc w:val="left"/>
              <w:rPr>
                <w:rFonts w:ascii="Times New Roman" w:hAnsi="Times New Roman" w:cs="Times New Roman" w:eastAsia="Times New Roman" w:hint="default"/>
                <w:sz w:val="18"/>
                <w:szCs w:val="18"/>
              </w:rPr>
            </w:pPr>
            <w:r>
              <w:rPr>
                <w:rFonts w:ascii="Times New Roman"/>
                <w:sz w:val="18"/>
              </w:rPr>
              <w:t>-21,450,385.89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35,589,862.11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w:t>
      </w:r>
    </w:p>
    <w:p>
      <w:pPr>
        <w:pStyle w:val="BodyText"/>
        <w:spacing w:line="240" w:lineRule="auto" w:before="100"/>
        <w:ind w:left="154" w:right="0"/>
        <w:jc w:val="left"/>
      </w:pPr>
      <w:r>
        <w:rPr/>
        <w:t>大连金融资产交易所有限公司的少数股东的持股比例为</w:t>
      </w:r>
      <w:r>
        <w:rPr>
          <w:rFonts w:ascii="Times New Roman" w:hAnsi="Times New Roman" w:cs="Times New Roman" w:eastAsia="Times New Roman" w:hint="default"/>
        </w:rPr>
        <w:t>50%</w:t>
      </w:r>
      <w:r>
        <w:rPr/>
        <w:t>，表决权比例为</w:t>
      </w:r>
      <w:r>
        <w:rPr>
          <w:rFonts w:ascii="Times New Roman" w:hAnsi="Times New Roman" w:cs="Times New Roman" w:eastAsia="Times New Roman" w:hint="default"/>
        </w:rPr>
        <w:t>45%</w:t>
      </w:r>
      <w:r>
        <w:rPr/>
        <w:t>。</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3）重要非全资子公司的主要财务信息" w:id="332"/>
      <w:bookmarkEnd w:id="332"/>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大连金 融资产 交易所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107,282,</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904.71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13,054,0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36.59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120,336,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941.30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49,157,2</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17.09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49,157,2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17.09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114,453,</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505.21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19,914,4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95.98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134,368,</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001.19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20,287,5</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05.21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20,287,5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05.21</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大连金融资 产交易所有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11,109,271.1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-42,900,771.7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-42,900,771.7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-45,569,783.2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在子公司的所有者权益份额发生变化且仍控制子公司的交易" w:id="333"/>
      <w:bookmarkEnd w:id="333"/>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34"/>
      <w:bookmarkEnd w:id="334"/>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3"/>
        <w:rPr>
          <w:rFonts w:ascii="宋体" w:hAnsi="宋体" w:cs="宋体" w:eastAsia="宋体" w:hint="default"/>
          <w:b/>
          <w:bCs/>
          <w:sz w:val="31"/>
          <w:szCs w:val="31"/>
        </w:rPr>
      </w:pPr>
    </w:p>
    <w:p>
      <w:pPr>
        <w:pStyle w:val="BodyText"/>
        <w:spacing w:line="240" w:lineRule="auto" w:before="0"/>
        <w:ind w:left="580" w:right="0"/>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16</w:t>
      </w:r>
      <w:r>
        <w:rPr>
          <w:spacing w:val="-3"/>
        </w:rPr>
        <w:t>日，本公司与王德敬签订股权转让协议，购买北京中科金财电子商务有限公司（以下简称电子</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0"/>
        <w:ind w:right="0"/>
        <w:jc w:val="left"/>
      </w:pPr>
      <w:r>
        <w:rPr/>
        <w:t>商务）剩余</w:t>
      </w:r>
      <w:r>
        <w:rPr>
          <w:rFonts w:ascii="Times New Roman" w:hAnsi="Times New Roman" w:cs="Times New Roman" w:eastAsia="Times New Roman" w:hint="default"/>
        </w:rPr>
        <w:t>0.5%</w:t>
      </w:r>
      <w:r>
        <w:rPr/>
        <w:t>的股权，已完成工商变更，变更后本公司持有电子商务</w:t>
      </w:r>
      <w:r>
        <w:rPr>
          <w:rFonts w:ascii="Times New Roman" w:hAnsi="Times New Roman" w:cs="Times New Roman" w:eastAsia="Times New Roman" w:hint="default"/>
        </w:rPr>
        <w:t>100%</w:t>
      </w:r>
      <w:r>
        <w:rPr/>
        <w:t>股权。</w:t>
      </w:r>
    </w:p>
    <w:p>
      <w:pPr>
        <w:spacing w:line="240" w:lineRule="auto" w:before="0"/>
        <w:rPr>
          <w:rFonts w:ascii="宋体" w:hAnsi="宋体" w:cs="宋体" w:eastAsia="宋体" w:hint="default"/>
          <w:sz w:val="20"/>
          <w:szCs w:val="20"/>
        </w:rPr>
      </w:pPr>
    </w:p>
    <w:p>
      <w:pPr>
        <w:pStyle w:val="Heading3"/>
        <w:spacing w:line="240" w:lineRule="auto" w:before="143"/>
        <w:ind w:left="153" w:right="0"/>
        <w:jc w:val="left"/>
        <w:rPr>
          <w:b w:val="0"/>
          <w:bCs w:val="0"/>
        </w:rPr>
      </w:pPr>
      <w:bookmarkStart w:name="（2）交易对于少数股东权益及归属于母公司所有者权益的影响" w:id="335"/>
      <w:bookmarkEnd w:id="335"/>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27" w:right="0"/>
              <w:jc w:val="left"/>
              <w:rPr>
                <w:rFonts w:ascii="宋体" w:hAnsi="宋体" w:cs="宋体" w:eastAsia="宋体" w:hint="default"/>
                <w:sz w:val="18"/>
                <w:szCs w:val="18"/>
              </w:rPr>
            </w:pPr>
            <w:r>
              <w:rPr>
                <w:rFonts w:ascii="宋体" w:hAnsi="宋体" w:cs="宋体" w:eastAsia="宋体" w:hint="default"/>
                <w:sz w:val="18"/>
                <w:szCs w:val="18"/>
              </w:rPr>
              <w:t>北京中科金财电子商务有限公司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570,409.74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-70,409.74</w:t>
            </w:r>
            <w:r>
              <w:rPr>
                <w:rFonts w:ascii="Times New Roman"/>
                <w:sz w:val="18"/>
              </w:rPr>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-70,409.74</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在合营安排或联营企业中的权益" w:id="336"/>
      <w:bookmarkEnd w:id="336"/>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37"/>
      <w:bookmarkEnd w:id="33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中科环嘉电子商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网上贸易代理等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安粮期货股份有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商品、金融期货 经纪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金网络（北京） 电子商务有限公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金融信息服务、 资产管理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北京中关村互联 网金融信息服务 中心有限公司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金融信息服务等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嘉兴中融兴华资 产管理有限公司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资产管理、项目 投资等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北京国信新网通 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技术推广、技术 开发等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安金资产管理有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资产管理；投资 管理；投资咨询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北京奥金智策传 媒科技有限公司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技术推广、技术 咨询、技术服务 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大连融丰信息技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技术开发、技术</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咨询等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北京中科弘仪信 息科技服务有限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技术开发、技术 推广等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深圳市金方达信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精密机房工程等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7"/>
        <w:rPr>
          <w:rFonts w:ascii="宋体" w:hAnsi="宋体" w:cs="宋体" w:eastAsia="宋体" w:hint="default"/>
          <w:sz w:val="12"/>
          <w:szCs w:val="12"/>
        </w:rPr>
      </w:pPr>
    </w:p>
    <w:p>
      <w:pPr>
        <w:pStyle w:val="BodyText"/>
        <w:spacing w:line="417" w:lineRule="auto" w:before="0"/>
        <w:ind w:left="154" w:right="1130" w:firstLine="471"/>
        <w:jc w:val="both"/>
      </w:pPr>
      <w:r>
        <w:rPr>
          <w:spacing w:val="-1"/>
        </w:rPr>
        <w:t>公司持有北京中关村互联网金融信息服务中心有限公司</w:t>
      </w:r>
      <w:r>
        <w:rPr>
          <w:rFonts w:ascii="Times New Roman" w:hAnsi="Times New Roman" w:cs="Times New Roman" w:eastAsia="Times New Roman" w:hint="default"/>
          <w:spacing w:val="-1"/>
        </w:rPr>
        <w:t>20%</w:t>
      </w:r>
      <w:r>
        <w:rPr>
          <w:spacing w:val="-1"/>
        </w:rPr>
        <w:t>以下表决权，在董事会有一名董事，根据章程</w:t>
      </w:r>
      <w:r>
        <w:rPr>
          <w:w w:val="100"/>
        </w:rPr>
        <w:t> </w:t>
      </w:r>
      <w:r>
        <w:rPr/>
        <w:t>规定对融资、投资事项须经全体董事一致通过方为有效，因此公司对北京中关村互联网金融信息服务中心有限</w:t>
      </w:r>
      <w:r>
        <w:rPr>
          <w:w w:val="100"/>
        </w:rPr>
        <w:t> </w:t>
      </w:r>
      <w:r>
        <w:rPr/>
        <w:t>公司有重大影响，并且不构成控制。</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重要联营企业的主要财务信息" w:id="338"/>
      <w:bookmarkEnd w:id="338"/>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7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5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5" w:type="dxa"/>
            <w:vMerge w:val="restart"/>
            <w:tcBorders>
              <w:top w:val="single" w:sz="4" w:space="0" w:color="000000"/>
              <w:left w:val="single" w:sz="9" w:space="0" w:color="D2D2D2"/>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安粮期货股份有限公司</w:t>
            </w:r>
          </w:p>
        </w:tc>
        <w:tc>
          <w:tcPr>
            <w:tcW w:w="2392"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安粮期货股份有限公司</w:t>
            </w:r>
          </w:p>
        </w:tc>
        <w:tc>
          <w:tcPr>
            <w:tcW w:w="2392"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北京中科金财电子产品有限 公司</w:t>
            </w:r>
          </w:p>
        </w:tc>
      </w:tr>
      <w:tr>
        <w:trPr>
          <w:trHeight w:val="392"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
        </w:tc>
        <w:tc>
          <w:tcPr>
            <w:tcW w:w="2405" w:type="dxa"/>
            <w:vMerge/>
            <w:tcBorders>
              <w:left w:val="single" w:sz="9" w:space="0" w:color="D2D2D2"/>
              <w:right w:val="single" w:sz="4" w:space="0" w:color="000000"/>
            </w:tcBorders>
            <w:shd w:val="clear" w:color="auto" w:fill="E0FFFF"/>
          </w:tcPr>
          <w:p>
            <w:pPr/>
          </w:p>
        </w:tc>
        <w:tc>
          <w:tcPr>
            <w:tcW w:w="2392" w:type="dxa"/>
            <w:vMerge/>
            <w:tcBorders>
              <w:left w:val="single" w:sz="4" w:space="0" w:color="000000"/>
              <w:right w:val="single" w:sz="4" w:space="0" w:color="000000"/>
            </w:tcBorders>
            <w:shd w:val="clear" w:color="auto" w:fill="E0FFFF"/>
          </w:tcPr>
          <w:p>
            <w:pPr/>
          </w:p>
        </w:tc>
        <w:tc>
          <w:tcPr>
            <w:tcW w:w="2392" w:type="dxa"/>
            <w:vMerge/>
            <w:tcBorders>
              <w:left w:val="single" w:sz="4" w:space="0" w:color="000000"/>
              <w:right w:val="single" w:sz="4" w:space="0" w:color="000000"/>
            </w:tcBorders>
            <w:shd w:val="clear" w:color="auto" w:fill="E0FFFF"/>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5" w:type="dxa"/>
            <w:vMerge/>
            <w:tcBorders>
              <w:left w:val="single" w:sz="9" w:space="0" w:color="D2D2D2"/>
              <w:bottom w:val="single" w:sz="4" w:space="0" w:color="000000"/>
              <w:right w:val="single" w:sz="4" w:space="0" w:color="000000"/>
            </w:tcBorders>
            <w:shd w:val="clear" w:color="auto" w:fill="E0FFFF"/>
          </w:tcPr>
          <w:p>
            <w:pPr/>
          </w:p>
        </w:tc>
        <w:tc>
          <w:tcPr>
            <w:tcW w:w="2392" w:type="dxa"/>
            <w:vMerge/>
            <w:tcBorders>
              <w:left w:val="single" w:sz="4" w:space="0" w:color="000000"/>
              <w:bottom w:val="single" w:sz="4" w:space="0" w:color="000000"/>
              <w:right w:val="single" w:sz="4" w:space="0" w:color="000000"/>
            </w:tcBorders>
            <w:shd w:val="clear" w:color="auto" w:fill="E0FFFF"/>
          </w:tcPr>
          <w:p>
            <w:pPr/>
          </w:p>
        </w:tc>
        <w:tc>
          <w:tcPr>
            <w:tcW w:w="2392"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1,669,908,265.18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1,424,776,194.72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106,191,600.83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368,325,773.52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295,771,984.84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1,128,647.24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2,038,234,038.70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1,720,548,179.56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107,320,248.07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1,407,399,357.46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1,075,549,372.13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60,358,558.62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4,435,382.55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25,625,240.26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1,411,834,740.01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1,101,174,612.39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60,358,558.62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626,399,298.69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619,373,567.17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46,961,689.45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按持股比例计算的净资产份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250,559,719.48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247,749,426.87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23,011,227.83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16,589,806.69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16,531,583.31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-301,746.89</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15,024,745.50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15,024,745.50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-37,648.23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-95,871.61</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1,602,709.42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1,602,709.42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-301,746.89</w:t>
            </w:r>
            <w:r>
              <w:rPr>
                <w:rFonts w:ascii="Times New Roman"/>
                <w:sz w:val="18"/>
              </w:rPr>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对联营企业权益投资的账面 价值</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267,149,526.17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264,281,010.18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22,709,480.94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966,299,541.55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396,395,246.70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789,470,579.16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27,800,175.38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27,042,597.38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5,831,527.07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370,425.00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28,170,600.38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27,042,597.38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5,831,527.07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本年度收到的来自联营企业 的股利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6" w:right="0"/>
              <w:jc w:val="left"/>
              <w:rPr>
                <w:rFonts w:ascii="Times New Roman" w:hAnsi="Times New Roman" w:cs="Times New Roman" w:eastAsia="Times New Roman" w:hint="default"/>
                <w:sz w:val="18"/>
                <w:szCs w:val="18"/>
              </w:rPr>
            </w:pPr>
            <w:r>
              <w:rPr>
                <w:rFonts w:ascii="Times New Roman"/>
                <w:sz w:val="18"/>
              </w:rPr>
              <w:t>8,457,947.54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3,157,261.75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2,597,639.73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不重要的合营企业和联营企业的汇总财务信息" w:id="339"/>
      <w:bookmarkEnd w:id="339"/>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41,528,828.02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57,676,581.87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-2,680,998.95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-3,625,029.59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-2,680,998.95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-3,625,029.59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在未纳入合并财务报表范围的结构化主体中的权益" w:id="340"/>
      <w:bookmarkEnd w:id="340"/>
      <w:r>
        <w:rPr>
          <w:b w:val="0"/>
          <w:bCs w:val="0"/>
        </w:rPr>
      </w:r>
      <w:r>
        <w:rPr>
          <w:rFonts w:ascii="Times New Roman" w:hAnsi="Times New Roman" w:cs="Times New Roman" w:eastAsia="Times New Roman" w:hint="default"/>
        </w:rPr>
        <w:t>4</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pStyle w:val="BodyText"/>
        <w:spacing w:line="240" w:lineRule="auto" w:before="100"/>
        <w:ind w:left="154" w:right="0"/>
        <w:jc w:val="left"/>
      </w:pPr>
      <w:r>
        <w:rPr/>
        <w:t>未纳入合并财务报表范围的结构化主体：</w:t>
      </w:r>
    </w:p>
    <w:p>
      <w:pPr>
        <w:spacing w:line="240" w:lineRule="auto" w:before="4"/>
        <w:rPr>
          <w:rFonts w:ascii="宋体" w:hAnsi="宋体" w:cs="宋体" w:eastAsia="宋体" w:hint="default"/>
          <w:sz w:val="7"/>
          <w:szCs w:val="7"/>
        </w:rPr>
      </w:pPr>
    </w:p>
    <w:tbl>
      <w:tblPr>
        <w:tblW w:w="0" w:type="auto"/>
        <w:jc w:val="left"/>
        <w:tblInd w:w="726" w:type="dxa"/>
        <w:tblLayout w:type="fixed"/>
        <w:tblCellMar>
          <w:top w:w="0" w:type="dxa"/>
          <w:left w:w="0" w:type="dxa"/>
          <w:bottom w:w="0" w:type="dxa"/>
          <w:right w:w="0" w:type="dxa"/>
        </w:tblCellMar>
        <w:tblLook w:val="01E0"/>
      </w:tblPr>
      <w:tblGrid>
        <w:gridCol w:w="2264"/>
        <w:gridCol w:w="1920"/>
        <w:gridCol w:w="1223"/>
        <w:gridCol w:w="1220"/>
        <w:gridCol w:w="1856"/>
      </w:tblGrid>
      <w:tr>
        <w:trPr>
          <w:trHeight w:val="6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持有信托产品子公司名称</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信托产品名称</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信托公司</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9"/>
              <w:jc w:val="left"/>
              <w:rPr>
                <w:rFonts w:ascii="宋体" w:hAnsi="宋体" w:cs="宋体" w:eastAsia="宋体" w:hint="default"/>
                <w:sz w:val="18"/>
                <w:szCs w:val="18"/>
              </w:rPr>
            </w:pPr>
            <w:r>
              <w:rPr>
                <w:rFonts w:ascii="宋体" w:hAnsi="宋体" w:cs="宋体" w:eastAsia="宋体" w:hint="default"/>
                <w:spacing w:val="20"/>
                <w:sz w:val="18"/>
                <w:szCs w:val="18"/>
              </w:rPr>
              <w:t>信托产品存续</w:t>
            </w:r>
            <w:r>
              <w:rPr>
                <w:rFonts w:ascii="宋体" w:hAnsi="宋体" w:cs="宋体" w:eastAsia="宋体" w:hint="default"/>
                <w:spacing w:val="-66"/>
                <w:sz w:val="18"/>
                <w:szCs w:val="18"/>
              </w:rPr>
              <w:t> </w:t>
            </w:r>
            <w:r>
              <w:rPr>
                <w:rFonts w:ascii="宋体" w:hAnsi="宋体" w:cs="宋体" w:eastAsia="宋体" w:hint="default"/>
                <w:sz w:val="18"/>
                <w:szCs w:val="18"/>
              </w:rPr>
              <w:t>期</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6" w:right="-21"/>
              <w:jc w:val="left"/>
              <w:rPr>
                <w:rFonts w:ascii="宋体" w:hAnsi="宋体" w:cs="宋体" w:eastAsia="宋体" w:hint="default"/>
                <w:sz w:val="18"/>
                <w:szCs w:val="18"/>
              </w:rPr>
            </w:pPr>
            <w:r>
              <w:rPr>
                <w:rFonts w:ascii="宋体" w:hAnsi="宋体" w:cs="宋体" w:eastAsia="宋体" w:hint="default"/>
                <w:spacing w:val="12"/>
                <w:sz w:val="18"/>
                <w:szCs w:val="18"/>
              </w:rPr>
              <w:t>截止</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2017.12.31</w:t>
            </w:r>
            <w:r>
              <w:rPr>
                <w:rFonts w:ascii="Times New Roman" w:hAnsi="Times New Roman" w:cs="Times New Roman" w:eastAsia="Times New Roman" w:hint="default"/>
                <w:spacing w:val="-20"/>
                <w:sz w:val="18"/>
                <w:szCs w:val="18"/>
              </w:rPr>
              <w:t> </w:t>
            </w:r>
            <w:r>
              <w:rPr>
                <w:rFonts w:ascii="宋体" w:hAnsi="宋体" w:cs="宋体" w:eastAsia="宋体" w:hint="default"/>
                <w:spacing w:val="16"/>
                <w:sz w:val="18"/>
                <w:szCs w:val="18"/>
              </w:rPr>
              <w:t>信托贷</w:t>
            </w:r>
            <w:r>
              <w:rPr>
                <w:rFonts w:ascii="宋体" w:hAnsi="宋体" w:cs="宋体" w:eastAsia="宋体" w:hint="default"/>
                <w:spacing w:val="-65"/>
                <w:sz w:val="18"/>
                <w:szCs w:val="18"/>
              </w:rPr>
              <w:t> </w:t>
            </w:r>
            <w:r>
              <w:rPr>
                <w:rFonts w:ascii="宋体" w:hAnsi="宋体" w:cs="宋体" w:eastAsia="宋体" w:hint="default"/>
                <w:sz w:val="18"/>
                <w:szCs w:val="18"/>
              </w:rPr>
              <w:t>款余额</w:t>
            </w:r>
          </w:p>
        </w:tc>
      </w:tr>
      <w:tr>
        <w:trPr>
          <w:trHeight w:val="6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8"/>
              <w:jc w:val="left"/>
              <w:rPr>
                <w:rFonts w:ascii="宋体" w:hAnsi="宋体" w:cs="宋体" w:eastAsia="宋体" w:hint="default"/>
                <w:sz w:val="18"/>
                <w:szCs w:val="18"/>
              </w:rPr>
            </w:pPr>
            <w:r>
              <w:rPr>
                <w:rFonts w:ascii="宋体" w:hAnsi="宋体" w:cs="宋体" w:eastAsia="宋体" w:hint="default"/>
                <w:spacing w:val="6"/>
                <w:sz w:val="18"/>
                <w:szCs w:val="18"/>
              </w:rPr>
              <w:t>深圳中金财富互联网金融服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9"/>
                <w:sz w:val="18"/>
                <w:szCs w:val="18"/>
              </w:rPr>
              <w:t>深泛联小微金融集合信</w:t>
            </w:r>
            <w:r>
              <w:rPr>
                <w:rFonts w:ascii="宋体" w:hAnsi="宋体" w:cs="宋体" w:eastAsia="宋体" w:hint="default"/>
                <w:sz w:val="18"/>
                <w:szCs w:val="18"/>
              </w:rPr>
              <w:t> 托</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 w:right="5"/>
              <w:jc w:val="left"/>
              <w:rPr>
                <w:rFonts w:ascii="宋体" w:hAnsi="宋体" w:cs="宋体" w:eastAsia="宋体" w:hint="default"/>
                <w:sz w:val="18"/>
                <w:szCs w:val="18"/>
              </w:rPr>
            </w:pPr>
            <w:r>
              <w:rPr>
                <w:rFonts w:ascii="宋体" w:hAnsi="宋体" w:cs="宋体" w:eastAsia="宋体" w:hint="default"/>
                <w:sz w:val="18"/>
                <w:szCs w:val="18"/>
              </w:rPr>
              <w:t>渤</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spacing w:val="-67"/>
                <w:sz w:val="18"/>
                <w:szCs w:val="18"/>
              </w:rPr>
              <w:t> </w:t>
            </w:r>
            <w:r>
              <w:rPr>
                <w:rFonts w:ascii="宋体" w:hAnsi="宋体" w:cs="宋体" w:eastAsia="宋体" w:hint="default"/>
                <w:sz w:val="18"/>
                <w:szCs w:val="18"/>
              </w:rPr>
              <w:t>国</w:t>
            </w:r>
            <w:r>
              <w:rPr>
                <w:rFonts w:ascii="宋体" w:hAnsi="宋体" w:cs="宋体" w:eastAsia="宋体" w:hint="default"/>
                <w:spacing w:val="-67"/>
                <w:sz w:val="18"/>
                <w:szCs w:val="18"/>
              </w:rPr>
              <w:t> </w:t>
            </w:r>
            <w:r>
              <w:rPr>
                <w:rFonts w:ascii="宋体" w:hAnsi="宋体" w:cs="宋体" w:eastAsia="宋体" w:hint="default"/>
                <w:sz w:val="18"/>
                <w:szCs w:val="18"/>
              </w:rPr>
              <w:t>际</w:t>
            </w:r>
            <w:r>
              <w:rPr>
                <w:rFonts w:ascii="宋体" w:hAnsi="宋体" w:cs="宋体" w:eastAsia="宋体" w:hint="default"/>
                <w:spacing w:val="-65"/>
                <w:sz w:val="18"/>
                <w:szCs w:val="18"/>
              </w:rPr>
              <w:t> </w:t>
            </w:r>
            <w:r>
              <w:rPr>
                <w:rFonts w:ascii="宋体" w:hAnsi="宋体" w:cs="宋体" w:eastAsia="宋体" w:hint="default"/>
                <w:sz w:val="18"/>
                <w:szCs w:val="18"/>
              </w:rPr>
              <w:t>信</w:t>
            </w:r>
            <w:r>
              <w:rPr>
                <w:rFonts w:ascii="宋体" w:hAnsi="宋体" w:cs="宋体" w:eastAsia="宋体" w:hint="default"/>
                <w:spacing w:val="-67"/>
                <w:sz w:val="18"/>
                <w:szCs w:val="18"/>
              </w:rPr>
              <w:t> </w:t>
            </w:r>
            <w:r>
              <w:rPr>
                <w:rFonts w:ascii="宋体" w:hAnsi="宋体" w:cs="宋体" w:eastAsia="宋体" w:hint="default"/>
                <w:sz w:val="18"/>
                <w:szCs w:val="18"/>
              </w:rPr>
              <w:t>托</w:t>
            </w:r>
            <w:r>
              <w:rPr>
                <w:rFonts w:ascii="宋体" w:hAnsi="宋体" w:cs="宋体" w:eastAsia="宋体" w:hint="default"/>
                <w:sz w:val="18"/>
                <w:szCs w:val="18"/>
              </w:rPr>
              <w:t> 股份有限公司</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55,000,000.00</w:t>
            </w:r>
          </w:p>
        </w:tc>
      </w:tr>
      <w:tr>
        <w:trPr>
          <w:trHeight w:val="6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8"/>
              <w:jc w:val="left"/>
              <w:rPr>
                <w:rFonts w:ascii="宋体" w:hAnsi="宋体" w:cs="宋体" w:eastAsia="宋体" w:hint="default"/>
                <w:sz w:val="18"/>
                <w:szCs w:val="18"/>
              </w:rPr>
            </w:pPr>
            <w:r>
              <w:rPr>
                <w:rFonts w:ascii="宋体" w:hAnsi="宋体" w:cs="宋体" w:eastAsia="宋体" w:hint="default"/>
                <w:spacing w:val="6"/>
                <w:sz w:val="18"/>
                <w:szCs w:val="18"/>
              </w:rPr>
              <w:t>深圳中金财富互联网金融服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9"/>
                <w:sz w:val="18"/>
                <w:szCs w:val="18"/>
              </w:rPr>
              <w:t>渤海汇和中小微企业集</w:t>
            </w:r>
            <w:r>
              <w:rPr>
                <w:rFonts w:ascii="宋体" w:hAnsi="宋体" w:cs="宋体" w:eastAsia="宋体" w:hint="default"/>
                <w:sz w:val="18"/>
                <w:szCs w:val="18"/>
              </w:rPr>
              <w:t> 合信托</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 w:right="5"/>
              <w:jc w:val="left"/>
              <w:rPr>
                <w:rFonts w:ascii="宋体" w:hAnsi="宋体" w:cs="宋体" w:eastAsia="宋体" w:hint="default"/>
                <w:sz w:val="18"/>
                <w:szCs w:val="18"/>
              </w:rPr>
            </w:pPr>
            <w:r>
              <w:rPr>
                <w:rFonts w:ascii="宋体" w:hAnsi="宋体" w:cs="宋体" w:eastAsia="宋体" w:hint="default"/>
                <w:sz w:val="18"/>
                <w:szCs w:val="18"/>
              </w:rPr>
              <w:t>渤</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spacing w:val="-67"/>
                <w:sz w:val="18"/>
                <w:szCs w:val="18"/>
              </w:rPr>
              <w:t> </w:t>
            </w:r>
            <w:r>
              <w:rPr>
                <w:rFonts w:ascii="宋体" w:hAnsi="宋体" w:cs="宋体" w:eastAsia="宋体" w:hint="default"/>
                <w:sz w:val="18"/>
                <w:szCs w:val="18"/>
              </w:rPr>
              <w:t>国</w:t>
            </w:r>
            <w:r>
              <w:rPr>
                <w:rFonts w:ascii="宋体" w:hAnsi="宋体" w:cs="宋体" w:eastAsia="宋体" w:hint="default"/>
                <w:spacing w:val="-67"/>
                <w:sz w:val="18"/>
                <w:szCs w:val="18"/>
              </w:rPr>
              <w:t> </w:t>
            </w:r>
            <w:r>
              <w:rPr>
                <w:rFonts w:ascii="宋体" w:hAnsi="宋体" w:cs="宋体" w:eastAsia="宋体" w:hint="default"/>
                <w:sz w:val="18"/>
                <w:szCs w:val="18"/>
              </w:rPr>
              <w:t>际</w:t>
            </w:r>
            <w:r>
              <w:rPr>
                <w:rFonts w:ascii="宋体" w:hAnsi="宋体" w:cs="宋体" w:eastAsia="宋体" w:hint="default"/>
                <w:spacing w:val="-65"/>
                <w:sz w:val="18"/>
                <w:szCs w:val="18"/>
              </w:rPr>
              <w:t> </w:t>
            </w:r>
            <w:r>
              <w:rPr>
                <w:rFonts w:ascii="宋体" w:hAnsi="宋体" w:cs="宋体" w:eastAsia="宋体" w:hint="default"/>
                <w:sz w:val="18"/>
                <w:szCs w:val="18"/>
              </w:rPr>
              <w:t>信</w:t>
            </w:r>
            <w:r>
              <w:rPr>
                <w:rFonts w:ascii="宋体" w:hAnsi="宋体" w:cs="宋体" w:eastAsia="宋体" w:hint="default"/>
                <w:spacing w:val="-67"/>
                <w:sz w:val="18"/>
                <w:szCs w:val="18"/>
              </w:rPr>
              <w:t> </w:t>
            </w:r>
            <w:r>
              <w:rPr>
                <w:rFonts w:ascii="宋体" w:hAnsi="宋体" w:cs="宋体" w:eastAsia="宋体" w:hint="default"/>
                <w:sz w:val="18"/>
                <w:szCs w:val="18"/>
              </w:rPr>
              <w:t>托</w:t>
            </w:r>
            <w:r>
              <w:rPr>
                <w:rFonts w:ascii="宋体" w:hAnsi="宋体" w:cs="宋体" w:eastAsia="宋体" w:hint="default"/>
                <w:sz w:val="18"/>
                <w:szCs w:val="18"/>
              </w:rPr>
              <w:t> 股份有限公司</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sz w:val="18"/>
              </w:rPr>
              <w:t>421,440,428.58</w:t>
            </w:r>
          </w:p>
        </w:tc>
      </w:tr>
      <w:tr>
        <w:trPr>
          <w:trHeight w:val="3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 w:right="0"/>
              <w:jc w:val="left"/>
              <w:rPr>
                <w:rFonts w:ascii="Times New Roman" w:hAnsi="Times New Roman" w:cs="Times New Roman" w:eastAsia="Times New Roman" w:hint="default"/>
                <w:sz w:val="18"/>
                <w:szCs w:val="18"/>
              </w:rPr>
            </w:pPr>
            <w:r>
              <w:rPr>
                <w:rFonts w:ascii="Times New Roman"/>
                <w:sz w:val="18"/>
              </w:rPr>
              <w:t>476,440,428.58</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both"/>
        <w:rPr>
          <w:b w:val="0"/>
          <w:bCs w:val="0"/>
        </w:rPr>
      </w:pPr>
      <w:bookmarkStart w:name="十、与金融工具相关的风险" w:id="341"/>
      <w:bookmarkEnd w:id="341"/>
      <w:r>
        <w:rPr>
          <w:b w:val="0"/>
          <w:bCs w:val="0"/>
        </w:rPr>
      </w:r>
      <w:r>
        <w:rPr/>
        <w:t>十、与金融工具相关的风险</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left="154" w:right="1142" w:firstLine="426"/>
        <w:jc w:val="both"/>
      </w:pPr>
      <w:r>
        <w:rPr>
          <w:spacing w:val="-1"/>
        </w:rPr>
        <w:t>本公司的主要金融工具包括应收款项、应付款项、可供出售金融资产等，各项金融工具的详细情况说明见</w:t>
      </w:r>
      <w:r>
        <w:rPr>
          <w:w w:val="100"/>
        </w:rPr>
        <w:t> </w:t>
      </w:r>
      <w:r>
        <w:rPr>
          <w:spacing w:val="-1"/>
        </w:rPr>
        <w:t>本附注五。与这些金融工具有关的风险，以及本公司为降低这些风险所采取的的风险管理政策如下所述。本公</w:t>
      </w:r>
      <w:r>
        <w:rPr>
          <w:spacing w:val="-63"/>
        </w:rPr>
        <w:t> </w:t>
      </w:r>
      <w:r>
        <w:rPr>
          <w:spacing w:val="-63"/>
        </w:rPr>
      </w:r>
      <w:r>
        <w:rPr/>
        <w:t>司管理层对这些风险敞口进行管理和监控以确保将上述风险控制在限定的范围之内。</w:t>
      </w:r>
    </w:p>
    <w:p>
      <w:pPr>
        <w:pStyle w:val="BodyText"/>
        <w:spacing w:line="405" w:lineRule="auto"/>
        <w:ind w:left="579" w:right="0"/>
        <w:jc w:val="left"/>
      </w:pPr>
      <w:r>
        <w:rPr/>
        <w:t>各类风险的管理目标和政策</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1"/>
        </w:rPr>
        <w:t>本公司从事风险管理的目标是在风险和收益之间取得适当的平衡，将风险对本公司经营业绩的负面影响减</w:t>
      </w:r>
    </w:p>
    <w:p>
      <w:pPr>
        <w:pStyle w:val="BodyText"/>
        <w:spacing w:line="429" w:lineRule="auto" w:before="68"/>
        <w:ind w:right="1169"/>
        <w:jc w:val="both"/>
      </w:pPr>
      <w:r>
        <w:rPr>
          <w:spacing w:val="-1"/>
        </w:rPr>
        <w:t>低到最低水平，使股东及其他权益投资者的利益最大化。基于该风险管理目标，本公司风险管理的基本政策是</w:t>
      </w:r>
      <w:r>
        <w:rPr>
          <w:spacing w:val="-63"/>
        </w:rPr>
        <w:t> </w:t>
      </w:r>
      <w:r>
        <w:rPr>
          <w:spacing w:val="-63"/>
        </w:rPr>
      </w:r>
      <w:r>
        <w:rPr>
          <w:spacing w:val="-1"/>
        </w:rPr>
        <w:t>确定和分析本公司所面临的各种风险，建立适当的风险承受底线并进行风险管理，并及时可靠地对各种风险进</w:t>
      </w:r>
      <w:r>
        <w:rPr>
          <w:spacing w:val="-63"/>
        </w:rPr>
        <w:t> </w:t>
      </w:r>
      <w:r>
        <w:rPr>
          <w:spacing w:val="-63"/>
        </w:rPr>
      </w:r>
      <w:r>
        <w:rPr/>
        <w:t>行监督，将风险控制在限定的范围之内。</w:t>
      </w:r>
    </w:p>
    <w:p>
      <w:pPr>
        <w:spacing w:after="0" w:line="42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0"/>
        <w:ind w:left="579" w:right="0"/>
        <w:jc w:val="left"/>
      </w:pPr>
      <w:r>
        <w:rPr/>
        <w:t>本公司金融工具的风险主要是信用风险、市场风险、流动性风险。</w:t>
      </w:r>
    </w:p>
    <w:p>
      <w:pPr>
        <w:spacing w:line="240" w:lineRule="auto" w:before="10"/>
        <w:rPr>
          <w:rFonts w:ascii="宋体" w:hAnsi="宋体" w:cs="宋体" w:eastAsia="宋体" w:hint="default"/>
          <w:sz w:val="15"/>
          <w:szCs w:val="15"/>
        </w:rPr>
      </w:pPr>
    </w:p>
    <w:p>
      <w:pPr>
        <w:pStyle w:val="BodyText"/>
        <w:spacing w:line="405" w:lineRule="auto" w:before="0"/>
        <w:ind w:left="580" w:right="111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信用风险</w:t>
      </w:r>
      <w:r>
        <w:rPr>
          <w:w w:val="100"/>
        </w:rPr>
        <w:t> </w:t>
      </w:r>
      <w:r>
        <w:rPr>
          <w:spacing w:val="-1"/>
        </w:rPr>
        <w:t>信用风险是指金融工具的一方不履行义务，造成另一方发生财务损失的风险。本公司主要面临赊销导致的</w:t>
      </w:r>
    </w:p>
    <w:p>
      <w:pPr>
        <w:pStyle w:val="BodyText"/>
        <w:spacing w:line="429" w:lineRule="auto" w:before="68"/>
        <w:ind w:left="154" w:right="1169"/>
        <w:jc w:val="both"/>
      </w:pPr>
      <w:r>
        <w:rPr>
          <w:spacing w:val="-1"/>
        </w:rPr>
        <w:t>客户信用风险。在签订新合同之前，本公司会对新客户的信用风险进行评估，包括外部信用评级和在某些情况</w:t>
      </w:r>
      <w:r>
        <w:rPr>
          <w:spacing w:val="-63"/>
        </w:rPr>
        <w:t> </w:t>
      </w:r>
      <w:r>
        <w:rPr>
          <w:spacing w:val="-63"/>
        </w:rPr>
      </w:r>
      <w:r>
        <w:rPr>
          <w:spacing w:val="-1"/>
        </w:rPr>
        <w:t>下的银行资信证明（当此信息可获取时）。公司对每一客户均设置了赊销限额，该限额为无需获得额外批准的</w:t>
      </w:r>
      <w:r>
        <w:rPr>
          <w:spacing w:val="-63"/>
        </w:rPr>
        <w:t> </w:t>
      </w:r>
      <w:r>
        <w:rPr>
          <w:spacing w:val="-63"/>
        </w:rPr>
      </w:r>
      <w:r>
        <w:rPr/>
        <w:t>最大额度。</w:t>
      </w:r>
    </w:p>
    <w:p>
      <w:pPr>
        <w:pStyle w:val="BodyText"/>
        <w:spacing w:line="422" w:lineRule="auto"/>
        <w:ind w:right="1142" w:firstLine="426"/>
        <w:jc w:val="both"/>
      </w:pPr>
      <w:r>
        <w:rPr>
          <w:spacing w:val="-1"/>
        </w:rPr>
        <w:t>公司通过对已有客户信用评级的季度监控以及应收账款账龄分析的月度审核来确保公司的整体信用风险在</w:t>
      </w:r>
      <w:r>
        <w:rPr>
          <w:w w:val="100"/>
        </w:rPr>
        <w:t> </w:t>
      </w:r>
      <w:r>
        <w:rPr/>
        <w:t>可控的范围内。在监控客户的信用风险时，按照客户的信用特征对其分组。被评为</w:t>
      </w:r>
      <w:r>
        <w:rPr>
          <w:rFonts w:ascii="Times New Roman" w:hAnsi="Times New Roman" w:cs="Times New Roman" w:eastAsia="Times New Roman" w:hint="default"/>
        </w:rPr>
        <w:t>“</w:t>
      </w:r>
      <w:r>
        <w:rPr/>
        <w:t>高风险</w:t>
      </w:r>
      <w:r>
        <w:rPr>
          <w:rFonts w:ascii="Times New Roman" w:hAnsi="Times New Roman" w:cs="Times New Roman" w:eastAsia="Times New Roman" w:hint="default"/>
        </w:rPr>
        <w:t>”</w:t>
      </w:r>
      <w:r>
        <w:rPr/>
        <w:t>级别的客户会放在</w:t>
      </w:r>
      <w:r>
        <w:rPr>
          <w:w w:val="100"/>
        </w:rPr>
        <w:t> </w:t>
      </w:r>
      <w:r>
        <w:rPr/>
        <w:t>受限制客户名单里，并且只有在额外批准的前提下，公司才可在未来期间内对其赊销，否则必须要求其提前支</w:t>
      </w:r>
      <w:r>
        <w:rPr>
          <w:w w:val="100"/>
        </w:rPr>
        <w:t> </w:t>
      </w:r>
      <w:r>
        <w:rPr/>
        <w:t>付相应款项。</w:t>
      </w:r>
    </w:p>
    <w:p>
      <w:pPr>
        <w:pStyle w:val="BodyText"/>
        <w:spacing w:line="405" w:lineRule="auto" w:before="54"/>
        <w:ind w:left="580" w:right="0"/>
        <w:jc w:val="left"/>
      </w:pPr>
      <w:r>
        <w:rPr>
          <w:rFonts w:ascii="Times New Roman" w:hAnsi="Times New Roman" w:cs="Times New Roman" w:eastAsia="Times New Roman" w:hint="default"/>
        </w:rPr>
        <w:t>(</w:t>
      </w:r>
      <w:r>
        <w:rPr/>
        <w:t>二）市场风险</w:t>
      </w:r>
      <w:r>
        <w:rPr>
          <w:w w:val="100"/>
        </w:rPr>
        <w:t> </w:t>
      </w:r>
      <w:r>
        <w:rPr>
          <w:spacing w:val="-1"/>
        </w:rPr>
        <w:t>金融工具的市场风险，是指金融工具的公允价值或未来现金流量因市场价格变动而发生波动的风险，包括</w:t>
      </w:r>
    </w:p>
    <w:p>
      <w:pPr>
        <w:pStyle w:val="BodyText"/>
        <w:spacing w:line="240" w:lineRule="auto" w:before="68"/>
        <w:ind w:left="154" w:right="0"/>
        <w:jc w:val="both"/>
      </w:pPr>
      <w:r>
        <w:rPr/>
        <w:t>汇率风险、利率风险和其他价格风险。</w:t>
      </w:r>
    </w:p>
    <w:p>
      <w:pPr>
        <w:spacing w:line="240" w:lineRule="auto" w:before="10"/>
        <w:rPr>
          <w:rFonts w:ascii="宋体" w:hAnsi="宋体" w:cs="宋体" w:eastAsia="宋体" w:hint="default"/>
          <w:sz w:val="15"/>
          <w:szCs w:val="15"/>
        </w:rPr>
      </w:pPr>
    </w:p>
    <w:p>
      <w:pPr>
        <w:pStyle w:val="BodyText"/>
        <w:spacing w:line="417" w:lineRule="auto" w:before="0"/>
        <w:ind w:left="580" w:right="1393"/>
        <w:jc w:val="left"/>
      </w:pPr>
      <w:r>
        <w:rPr/>
        <w:t>（</w:t>
      </w:r>
      <w:r>
        <w:rPr>
          <w:rFonts w:ascii="Times New Roman" w:hAnsi="Times New Roman" w:cs="Times New Roman" w:eastAsia="Times New Roman" w:hint="default"/>
        </w:rPr>
        <w:t>1</w:t>
      </w:r>
      <w:r>
        <w:rPr/>
        <w:t>）利率风险</w:t>
      </w:r>
      <w:r>
        <w:rPr>
          <w:w w:val="100"/>
        </w:rPr>
        <w:t> </w:t>
      </w:r>
      <w:r>
        <w:rPr>
          <w:spacing w:val="-1"/>
        </w:rPr>
        <w:t>利率风险，是指金融工具的公允价值或未来现金流量因市场利率变动而发生波动的风险。</w:t>
      </w:r>
      <w:r>
        <w:rPr>
          <w:spacing w:val="-70"/>
        </w:rPr>
        <w:t> </w:t>
      </w:r>
      <w:r>
        <w:rPr>
          <w:spacing w:val="-70"/>
        </w:rPr>
      </w:r>
      <w:r>
        <w:rPr/>
        <w:t>本公司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日发行的</w:t>
      </w:r>
      <w:r>
        <w:rPr>
          <w:rFonts w:ascii="Times New Roman" w:hAnsi="Times New Roman" w:cs="Times New Roman" w:eastAsia="Times New Roman" w:hint="default"/>
        </w:rPr>
        <w:t>2012</w:t>
      </w:r>
      <w:r>
        <w:rPr/>
        <w:t>中财债，按固定利率支付，无利率风险。</w:t>
      </w:r>
    </w:p>
    <w:p>
      <w:pPr>
        <w:pStyle w:val="BodyText"/>
        <w:spacing w:line="417" w:lineRule="auto" w:before="27"/>
        <w:ind w:left="580" w:right="1393"/>
        <w:jc w:val="left"/>
      </w:pPr>
      <w:r>
        <w:rPr/>
        <w:t>（</w:t>
      </w:r>
      <w:r>
        <w:rPr>
          <w:rFonts w:ascii="Times New Roman" w:hAnsi="Times New Roman" w:cs="Times New Roman" w:eastAsia="Times New Roman" w:hint="default"/>
        </w:rPr>
        <w:t>2</w:t>
      </w:r>
      <w:r>
        <w:rPr/>
        <w:t>）汇率风险</w:t>
      </w:r>
      <w:r>
        <w:rPr>
          <w:w w:val="100"/>
        </w:rPr>
        <w:t> </w:t>
      </w:r>
      <w:r>
        <w:rPr>
          <w:spacing w:val="-1"/>
        </w:rPr>
        <w:t>汇率风险，是指金融工具的公允价值或未来现金流量因外汇汇率变动而发生波动的风险。</w:t>
      </w:r>
      <w:r>
        <w:rPr>
          <w:spacing w:val="-70"/>
        </w:rPr>
        <w:t> </w:t>
      </w:r>
      <w:r>
        <w:rPr>
          <w:spacing w:val="-70"/>
        </w:rPr>
      </w:r>
      <w:r>
        <w:rPr/>
        <w:t>本公司本期以美元计价的金融资产和金融负债金额较小，无汇率风险。</w:t>
      </w:r>
    </w:p>
    <w:p>
      <w:pPr>
        <w:pStyle w:val="BodyText"/>
        <w:spacing w:line="405" w:lineRule="auto" w:before="58"/>
        <w:ind w:left="579" w:right="8627"/>
        <w:jc w:val="left"/>
      </w:pPr>
      <w:r>
        <w:rPr/>
        <w:t>（</w:t>
      </w:r>
      <w:r>
        <w:rPr>
          <w:rFonts w:ascii="Times New Roman" w:hAnsi="Times New Roman" w:cs="Times New Roman" w:eastAsia="Times New Roman" w:hint="default"/>
        </w:rPr>
        <w:t>3</w:t>
      </w:r>
      <w:r>
        <w:rPr/>
        <w:t>）其他价格风险</w:t>
      </w:r>
      <w:r>
        <w:rPr>
          <w:w w:val="100"/>
        </w:rPr>
        <w:t> </w:t>
      </w:r>
      <w:r>
        <w:rPr/>
        <w:t>无</w:t>
      </w:r>
    </w:p>
    <w:p>
      <w:pPr>
        <w:pStyle w:val="BodyText"/>
        <w:spacing w:line="405" w:lineRule="auto" w:before="68"/>
        <w:ind w:left="580"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流动性风险</w:t>
      </w:r>
      <w:r>
        <w:rPr>
          <w:w w:val="100"/>
        </w:rPr>
        <w:t> </w:t>
      </w:r>
      <w:r>
        <w:rPr>
          <w:spacing w:val="-1"/>
        </w:rPr>
        <w:t>流动风险，是指企业在履行以交付现金或其他金融资产的方式结算的义务时发生资金短缺的风险。本公司</w:t>
      </w:r>
    </w:p>
    <w:p>
      <w:pPr>
        <w:pStyle w:val="BodyText"/>
        <w:spacing w:line="417" w:lineRule="auto" w:before="68"/>
        <w:ind w:left="154" w:right="1168"/>
        <w:jc w:val="both"/>
      </w:pPr>
      <w:r>
        <w:rPr>
          <w:spacing w:val="-1"/>
        </w:rPr>
        <w:t>的政策是确保拥有充足的现金以偿还到期债务。流动性风险由本公司的财务部门集中控制。财务部门通过监控</w:t>
      </w:r>
      <w:r>
        <w:rPr>
          <w:spacing w:val="-63"/>
        </w:rPr>
        <w:t> </w:t>
      </w:r>
      <w:r>
        <w:rPr>
          <w:spacing w:val="-63"/>
        </w:rPr>
      </w:r>
      <w:r>
        <w:rPr>
          <w:spacing w:val="-1"/>
        </w:rPr>
        <w:t>现金余额、可随时变现的有价证券以及对未来</w:t>
      </w:r>
      <w:r>
        <w:rPr>
          <w:rFonts w:ascii="Times New Roman" w:hAnsi="Times New Roman" w:cs="Times New Roman" w:eastAsia="Times New Roman" w:hint="default"/>
          <w:spacing w:val="-1"/>
        </w:rPr>
        <w:t>12</w:t>
      </w:r>
      <w:r>
        <w:rPr>
          <w:spacing w:val="-1"/>
        </w:rPr>
        <w:t>个月现金流量的滚动预测，确保公司在所有合理预测的情况下</w:t>
      </w:r>
      <w:r>
        <w:rPr>
          <w:spacing w:val="-63"/>
        </w:rPr>
        <w:t> </w:t>
      </w:r>
      <w:r>
        <w:rPr>
          <w:spacing w:val="-63"/>
        </w:rPr>
      </w:r>
      <w:r>
        <w:rPr/>
        <w:t>拥有充足的资金偿还债务。</w:t>
      </w:r>
    </w:p>
    <w:p>
      <w:pPr>
        <w:pStyle w:val="BodyText"/>
        <w:spacing w:line="240" w:lineRule="auto" w:before="58"/>
        <w:ind w:left="580" w:right="0"/>
        <w:jc w:val="left"/>
      </w:pPr>
      <w:r>
        <w:rPr/>
        <w:t>本公司各项金融负债以未折现的合同现金流量按到期日列示如下：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724" w:type="dxa"/>
        <w:tblLayout w:type="fixed"/>
        <w:tblCellMar>
          <w:top w:w="0" w:type="dxa"/>
          <w:left w:w="0" w:type="dxa"/>
          <w:bottom w:w="0" w:type="dxa"/>
          <w:right w:w="0" w:type="dxa"/>
        </w:tblCellMar>
        <w:tblLook w:val="01E0"/>
      </w:tblPr>
      <w:tblGrid>
        <w:gridCol w:w="1309"/>
        <w:gridCol w:w="1055"/>
        <w:gridCol w:w="993"/>
        <w:gridCol w:w="1877"/>
        <w:gridCol w:w="1020"/>
        <w:gridCol w:w="852"/>
        <w:gridCol w:w="1378"/>
      </w:tblGrid>
      <w:tr>
        <w:trPr>
          <w:trHeight w:val="355" w:hRule="exact"/>
        </w:trPr>
        <w:tc>
          <w:tcPr>
            <w:tcW w:w="1309"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174" w:type="dxa"/>
            <w:gridSpan w:val="6"/>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2" w:hRule="exact"/>
        </w:trPr>
        <w:tc>
          <w:tcPr>
            <w:tcW w:w="1309" w:type="dxa"/>
            <w:vMerge/>
            <w:tcBorders>
              <w:left w:val="single" w:sz="6" w:space="0" w:color="000000"/>
              <w:bottom w:val="single" w:sz="12" w:space="0" w:color="000000"/>
              <w:right w:val="single" w:sz="6" w:space="0" w:color="000000"/>
            </w:tcBorders>
          </w:tcPr>
          <w:p>
            <w:pPr/>
          </w:p>
        </w:tc>
        <w:tc>
          <w:tcPr>
            <w:tcW w:w="10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个月以内</w:t>
            </w:r>
          </w:p>
        </w:tc>
        <w:tc>
          <w:tcPr>
            <w:tcW w:w="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个月</w:t>
            </w:r>
          </w:p>
        </w:tc>
        <w:tc>
          <w:tcPr>
            <w:tcW w:w="18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3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24" w:type="dxa"/>
        <w:tblLayout w:type="fixed"/>
        <w:tblCellMar>
          <w:top w:w="0" w:type="dxa"/>
          <w:left w:w="0" w:type="dxa"/>
          <w:bottom w:w="0" w:type="dxa"/>
          <w:right w:w="0" w:type="dxa"/>
        </w:tblCellMar>
        <w:tblLook w:val="01E0"/>
      </w:tblPr>
      <w:tblGrid>
        <w:gridCol w:w="1309"/>
        <w:gridCol w:w="1055"/>
        <w:gridCol w:w="993"/>
        <w:gridCol w:w="1877"/>
        <w:gridCol w:w="1020"/>
        <w:gridCol w:w="852"/>
        <w:gridCol w:w="1378"/>
      </w:tblGrid>
      <w:tr>
        <w:trPr>
          <w:trHeight w:val="355" w:hRule="exact"/>
        </w:trPr>
        <w:tc>
          <w:tcPr>
            <w:tcW w:w="13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中财债</w:t>
            </w:r>
          </w:p>
        </w:tc>
        <w:tc>
          <w:tcPr>
            <w:tcW w:w="1055" w:type="dxa"/>
            <w:tcBorders>
              <w:top w:val="single" w:sz="6" w:space="0" w:color="000000"/>
              <w:left w:val="single" w:sz="6" w:space="0" w:color="000000"/>
              <w:bottom w:val="single" w:sz="12" w:space="0" w:color="000000"/>
              <w:right w:val="single" w:sz="6" w:space="0" w:color="000000"/>
            </w:tcBorders>
          </w:tcPr>
          <w:p>
            <w:pPr/>
          </w:p>
        </w:tc>
        <w:tc>
          <w:tcPr>
            <w:tcW w:w="993" w:type="dxa"/>
            <w:tcBorders>
              <w:top w:val="single" w:sz="6" w:space="0" w:color="000000"/>
              <w:left w:val="single" w:sz="6" w:space="0" w:color="000000"/>
              <w:bottom w:val="single" w:sz="12" w:space="0" w:color="000000"/>
              <w:right w:val="single" w:sz="6" w:space="0" w:color="000000"/>
            </w:tcBorders>
          </w:tcPr>
          <w:p>
            <w:pPr/>
          </w:p>
        </w:tc>
        <w:tc>
          <w:tcPr>
            <w:tcW w:w="18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236,214,594.00</w:t>
            </w:r>
          </w:p>
        </w:tc>
        <w:tc>
          <w:tcPr>
            <w:tcW w:w="1020" w:type="dxa"/>
            <w:tcBorders>
              <w:top w:val="single" w:sz="6" w:space="0" w:color="000000"/>
              <w:left w:val="single" w:sz="6" w:space="0" w:color="000000"/>
              <w:bottom w:val="single" w:sz="12" w:space="0" w:color="000000"/>
              <w:right w:val="single" w:sz="6" w:space="0" w:color="000000"/>
            </w:tcBorders>
          </w:tcPr>
          <w:p>
            <w:pPr/>
          </w:p>
        </w:tc>
        <w:tc>
          <w:tcPr>
            <w:tcW w:w="852" w:type="dxa"/>
            <w:tcBorders>
              <w:top w:val="single" w:sz="6" w:space="0" w:color="000000"/>
              <w:left w:val="single" w:sz="6" w:space="0" w:color="000000"/>
              <w:bottom w:val="single" w:sz="12" w:space="0" w:color="000000"/>
              <w:right w:val="single" w:sz="6" w:space="0" w:color="000000"/>
            </w:tcBorders>
          </w:tcPr>
          <w:p>
            <w:pPr/>
          </w:p>
        </w:tc>
        <w:tc>
          <w:tcPr>
            <w:tcW w:w="137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236,214,594.00</w:t>
            </w:r>
          </w:p>
        </w:tc>
      </w:tr>
      <w:tr>
        <w:trPr>
          <w:trHeight w:val="353" w:hRule="exact"/>
        </w:trPr>
        <w:tc>
          <w:tcPr>
            <w:tcW w:w="1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55"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18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236,214,594.00</w:t>
            </w:r>
          </w:p>
        </w:tc>
        <w:tc>
          <w:tcPr>
            <w:tcW w:w="1020" w:type="dxa"/>
            <w:tcBorders>
              <w:top w:val="single" w:sz="12" w:space="0" w:color="000000"/>
              <w:left w:val="single" w:sz="6" w:space="0" w:color="000000"/>
              <w:bottom w:val="single" w:sz="12" w:space="0" w:color="000000"/>
              <w:right w:val="single" w:sz="6" w:space="0" w:color="000000"/>
            </w:tcBorders>
          </w:tcPr>
          <w:p>
            <w:pPr/>
          </w:p>
        </w:tc>
        <w:tc>
          <w:tcPr>
            <w:tcW w:w="852" w:type="dxa"/>
            <w:tcBorders>
              <w:top w:val="single" w:sz="12" w:space="0" w:color="000000"/>
              <w:left w:val="single" w:sz="6" w:space="0" w:color="000000"/>
              <w:bottom w:val="single" w:sz="12" w:space="0" w:color="000000"/>
              <w:right w:val="single" w:sz="6" w:space="0" w:color="000000"/>
            </w:tcBorders>
          </w:tcPr>
          <w:p>
            <w:pPr/>
          </w:p>
        </w:tc>
        <w:tc>
          <w:tcPr>
            <w:tcW w:w="13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236,214,594.00</w:t>
            </w:r>
          </w:p>
        </w:tc>
      </w:tr>
    </w:tbl>
    <w:p>
      <w:pPr>
        <w:spacing w:line="240" w:lineRule="auto" w:before="11"/>
        <w:rPr>
          <w:rFonts w:ascii="宋体" w:hAnsi="宋体" w:cs="宋体" w:eastAsia="宋体" w:hint="default"/>
          <w:sz w:val="23"/>
          <w:szCs w:val="23"/>
        </w:rPr>
      </w:pPr>
    </w:p>
    <w:tbl>
      <w:tblPr>
        <w:tblW w:w="0" w:type="auto"/>
        <w:jc w:val="left"/>
        <w:tblInd w:w="724" w:type="dxa"/>
        <w:tblLayout w:type="fixed"/>
        <w:tblCellMar>
          <w:top w:w="0" w:type="dxa"/>
          <w:left w:w="0" w:type="dxa"/>
          <w:bottom w:w="0" w:type="dxa"/>
          <w:right w:w="0" w:type="dxa"/>
        </w:tblCellMar>
        <w:tblLook w:val="01E0"/>
      </w:tblPr>
      <w:tblGrid>
        <w:gridCol w:w="1190"/>
        <w:gridCol w:w="1176"/>
        <w:gridCol w:w="884"/>
        <w:gridCol w:w="1343"/>
        <w:gridCol w:w="1505"/>
        <w:gridCol w:w="879"/>
        <w:gridCol w:w="1507"/>
      </w:tblGrid>
      <w:tr>
        <w:trPr>
          <w:trHeight w:val="355" w:hRule="exact"/>
        </w:trPr>
        <w:tc>
          <w:tcPr>
            <w:tcW w:w="1190"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293" w:type="dxa"/>
            <w:gridSpan w:val="6"/>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2" w:hRule="exact"/>
        </w:trPr>
        <w:tc>
          <w:tcPr>
            <w:tcW w:w="1190" w:type="dxa"/>
            <w:vMerge/>
            <w:tcBorders>
              <w:left w:val="single" w:sz="6" w:space="0" w:color="000000"/>
              <w:bottom w:val="single" w:sz="12" w:space="0" w:color="000000"/>
              <w:right w:val="single" w:sz="6" w:space="0" w:color="000000"/>
            </w:tcBorders>
          </w:tcPr>
          <w:p>
            <w:pPr/>
          </w:p>
        </w:tc>
        <w:tc>
          <w:tcPr>
            <w:tcW w:w="11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个月以内</w:t>
            </w:r>
          </w:p>
        </w:tc>
        <w:tc>
          <w:tcPr>
            <w:tcW w:w="8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个月</w:t>
            </w:r>
          </w:p>
        </w:tc>
        <w:tc>
          <w:tcPr>
            <w:tcW w:w="13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5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8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5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2" w:hRule="exact"/>
        </w:trPr>
        <w:tc>
          <w:tcPr>
            <w:tcW w:w="1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中财债</w:t>
            </w:r>
          </w:p>
        </w:tc>
        <w:tc>
          <w:tcPr>
            <w:tcW w:w="1176" w:type="dxa"/>
            <w:tcBorders>
              <w:top w:val="single" w:sz="12" w:space="0" w:color="000000"/>
              <w:left w:val="single" w:sz="6" w:space="0" w:color="000000"/>
              <w:bottom w:val="single" w:sz="12" w:space="0" w:color="000000"/>
              <w:right w:val="single" w:sz="6" w:space="0" w:color="000000"/>
            </w:tcBorders>
          </w:tcPr>
          <w:p>
            <w:pPr/>
          </w:p>
        </w:tc>
        <w:tc>
          <w:tcPr>
            <w:tcW w:w="884" w:type="dxa"/>
            <w:tcBorders>
              <w:top w:val="single" w:sz="12" w:space="0" w:color="000000"/>
              <w:left w:val="single" w:sz="6" w:space="0" w:color="000000"/>
              <w:bottom w:val="single" w:sz="12" w:space="0" w:color="000000"/>
              <w:right w:val="single" w:sz="6" w:space="0" w:color="000000"/>
            </w:tcBorders>
          </w:tcPr>
          <w:p>
            <w:pPr/>
          </w:p>
        </w:tc>
        <w:tc>
          <w:tcPr>
            <w:tcW w:w="13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91" w:right="0"/>
              <w:jc w:val="left"/>
              <w:rPr>
                <w:rFonts w:ascii="Times New Roman" w:hAnsi="Times New Roman" w:cs="Times New Roman" w:eastAsia="Times New Roman" w:hint="default"/>
                <w:sz w:val="18"/>
                <w:szCs w:val="18"/>
              </w:rPr>
            </w:pPr>
            <w:r>
              <w:rPr>
                <w:rFonts w:ascii="Times New Roman"/>
                <w:sz w:val="18"/>
              </w:rPr>
              <w:t>14,832,594.00</w:t>
            </w:r>
          </w:p>
        </w:tc>
        <w:tc>
          <w:tcPr>
            <w:tcW w:w="15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236,214,594.00</w:t>
            </w:r>
          </w:p>
        </w:tc>
        <w:tc>
          <w:tcPr>
            <w:tcW w:w="879" w:type="dxa"/>
            <w:tcBorders>
              <w:top w:val="single" w:sz="12" w:space="0" w:color="000000"/>
              <w:left w:val="single" w:sz="6" w:space="0" w:color="000000"/>
              <w:bottom w:val="single" w:sz="12" w:space="0" w:color="000000"/>
              <w:right w:val="single" w:sz="6" w:space="0" w:color="000000"/>
            </w:tcBorders>
          </w:tcPr>
          <w:p>
            <w:pPr/>
          </w:p>
        </w:tc>
        <w:tc>
          <w:tcPr>
            <w:tcW w:w="15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251,047,188.00</w:t>
            </w:r>
          </w:p>
        </w:tc>
      </w:tr>
      <w:tr>
        <w:trPr>
          <w:trHeight w:val="353" w:hRule="exact"/>
        </w:trPr>
        <w:tc>
          <w:tcPr>
            <w:tcW w:w="1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76" w:type="dxa"/>
            <w:tcBorders>
              <w:top w:val="single" w:sz="12" w:space="0" w:color="000000"/>
              <w:left w:val="single" w:sz="6" w:space="0" w:color="000000"/>
              <w:bottom w:val="single" w:sz="12" w:space="0" w:color="000000"/>
              <w:right w:val="single" w:sz="6" w:space="0" w:color="000000"/>
            </w:tcBorders>
          </w:tcPr>
          <w:p>
            <w:pPr/>
          </w:p>
        </w:tc>
        <w:tc>
          <w:tcPr>
            <w:tcW w:w="884" w:type="dxa"/>
            <w:tcBorders>
              <w:top w:val="single" w:sz="12" w:space="0" w:color="000000"/>
              <w:left w:val="single" w:sz="6" w:space="0" w:color="000000"/>
              <w:bottom w:val="single" w:sz="12" w:space="0" w:color="000000"/>
              <w:right w:val="single" w:sz="6" w:space="0" w:color="000000"/>
            </w:tcBorders>
          </w:tcPr>
          <w:p>
            <w:pPr/>
          </w:p>
        </w:tc>
        <w:tc>
          <w:tcPr>
            <w:tcW w:w="13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91" w:right="0"/>
              <w:jc w:val="left"/>
              <w:rPr>
                <w:rFonts w:ascii="Times New Roman" w:hAnsi="Times New Roman" w:cs="Times New Roman" w:eastAsia="Times New Roman" w:hint="default"/>
                <w:sz w:val="18"/>
                <w:szCs w:val="18"/>
              </w:rPr>
            </w:pPr>
            <w:r>
              <w:rPr>
                <w:rFonts w:ascii="Times New Roman"/>
                <w:sz w:val="18"/>
              </w:rPr>
              <w:t>14,832,594.00</w:t>
            </w:r>
          </w:p>
        </w:tc>
        <w:tc>
          <w:tcPr>
            <w:tcW w:w="15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236,214,594.00</w:t>
            </w:r>
          </w:p>
        </w:tc>
        <w:tc>
          <w:tcPr>
            <w:tcW w:w="879" w:type="dxa"/>
            <w:tcBorders>
              <w:top w:val="single" w:sz="12" w:space="0" w:color="000000"/>
              <w:left w:val="single" w:sz="6" w:space="0" w:color="000000"/>
              <w:bottom w:val="single" w:sz="12" w:space="0" w:color="000000"/>
              <w:right w:val="single" w:sz="6" w:space="0" w:color="000000"/>
            </w:tcBorders>
          </w:tcPr>
          <w:p>
            <w:pPr/>
          </w:p>
        </w:tc>
        <w:tc>
          <w:tcPr>
            <w:tcW w:w="15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251,047,188.00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一、关联方及关联交易" w:id="342"/>
      <w:bookmarkEnd w:id="342"/>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企业的母公司情况" w:id="343"/>
      <w:bookmarkEnd w:id="343"/>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3"/>
        <w:rPr>
          <w:rFonts w:ascii="宋体" w:hAnsi="宋体" w:cs="宋体" w:eastAsia="宋体" w:hint="default"/>
          <w:b/>
          <w:bCs/>
          <w:sz w:val="31"/>
          <w:szCs w:val="31"/>
        </w:rPr>
      </w:pPr>
    </w:p>
    <w:p>
      <w:pPr>
        <w:pStyle w:val="BodyText"/>
        <w:spacing w:line="429" w:lineRule="auto" w:before="0"/>
        <w:ind w:right="6793"/>
        <w:jc w:val="left"/>
      </w:pPr>
      <w:r>
        <w:rPr>
          <w:spacing w:val="-1"/>
        </w:rPr>
        <w:t>本企业最终控制方是沈飒、朱烨东夫妇。</w:t>
      </w:r>
      <w:r>
        <w:rPr>
          <w:spacing w:val="-85"/>
        </w:rPr>
        <w:t> </w:t>
      </w:r>
      <w:r>
        <w:rPr>
          <w:spacing w:val="-85"/>
        </w:rPr>
      </w:r>
      <w:r>
        <w:rPr/>
        <w:t>其他说明：</w:t>
      </w:r>
    </w:p>
    <w:p>
      <w:pPr>
        <w:pStyle w:val="BodyText"/>
        <w:spacing w:line="412" w:lineRule="auto"/>
        <w:ind w:right="1134" w:firstLine="426"/>
        <w:jc w:val="both"/>
      </w:pPr>
      <w:r>
        <w:rPr>
          <w:spacing w:val="-1"/>
        </w:rPr>
        <w:t>公司实际控制人为沈飒、朱烨东夫妇，本公司第一大股东为自然人沈飒，沈飒、朱烨东夫妇直接持有公司</w:t>
      </w:r>
      <w:r>
        <w:rPr>
          <w:w w:val="100"/>
        </w:rPr>
        <w:t> </w:t>
      </w:r>
      <w:r>
        <w:rPr>
          <w:rFonts w:ascii="Times New Roman" w:hAnsi="Times New Roman" w:cs="Times New Roman" w:eastAsia="Times New Roman" w:hint="default"/>
          <w:spacing w:val="-1"/>
        </w:rPr>
        <w:t>17.88%</w:t>
      </w:r>
      <w:r>
        <w:rPr>
          <w:spacing w:val="-1"/>
        </w:rPr>
        <w:t>的股份。陈绪华持有公司</w:t>
      </w:r>
      <w:r>
        <w:rPr>
          <w:rFonts w:ascii="Times New Roman" w:hAnsi="Times New Roman" w:cs="Times New Roman" w:eastAsia="Times New Roman" w:hint="default"/>
          <w:spacing w:val="-1"/>
        </w:rPr>
        <w:t>0.002%</w:t>
      </w:r>
      <w:r>
        <w:rPr>
          <w:spacing w:val="-1"/>
        </w:rPr>
        <w:t>的股份，沈飒、陈绪华、蔡迦为公司一致行动人。杨承宏、赫喆分别作</w:t>
      </w:r>
      <w:r>
        <w:rPr>
          <w:spacing w:val="-56"/>
        </w:rPr>
        <w:t> </w:t>
      </w:r>
      <w:r>
        <w:rPr>
          <w:spacing w:val="-56"/>
        </w:rPr>
      </w:r>
      <w:r>
        <w:rPr>
          <w:spacing w:val="-1"/>
        </w:rPr>
        <w:t>为陈绪华、蔡迦的一致行动人，分别持有公司</w:t>
      </w:r>
      <w:r>
        <w:rPr>
          <w:rFonts w:ascii="Times New Roman" w:hAnsi="Times New Roman" w:cs="Times New Roman" w:eastAsia="Times New Roman" w:hint="default"/>
          <w:spacing w:val="-1"/>
        </w:rPr>
        <w:t>1.87%</w:t>
      </w:r>
      <w:r>
        <w:rPr>
          <w:spacing w:val="-1"/>
        </w:rPr>
        <w:t>和</w:t>
      </w:r>
      <w:r>
        <w:rPr>
          <w:rFonts w:ascii="Times New Roman" w:hAnsi="Times New Roman" w:cs="Times New Roman" w:eastAsia="Times New Roman" w:hint="default"/>
          <w:spacing w:val="-1"/>
        </w:rPr>
        <w:t>1.95%</w:t>
      </w:r>
      <w:r>
        <w:rPr>
          <w:spacing w:val="-1"/>
        </w:rPr>
        <w:t>的股份。通过直接持股和一致行动安排，沈飒、朱</w:t>
      </w:r>
      <w:r>
        <w:rPr>
          <w:spacing w:val="-57"/>
        </w:rPr>
        <w:t> </w:t>
      </w:r>
      <w:r>
        <w:rPr>
          <w:spacing w:val="-57"/>
        </w:rPr>
      </w:r>
      <w:r>
        <w:rPr/>
        <w:t>烨东夫妇合计可支配公司</w:t>
      </w:r>
      <w:r>
        <w:rPr>
          <w:rFonts w:ascii="Times New Roman" w:hAnsi="Times New Roman" w:cs="Times New Roman" w:eastAsia="Times New Roman" w:hint="default"/>
        </w:rPr>
        <w:t>21.702%</w:t>
      </w:r>
      <w:r>
        <w:rPr/>
        <w:t>表决权的股份，为公司的实际控制人。</w:t>
      </w:r>
    </w:p>
    <w:p>
      <w:pPr>
        <w:spacing w:line="240" w:lineRule="auto" w:before="10"/>
        <w:rPr>
          <w:rFonts w:ascii="宋体" w:hAnsi="宋体" w:cs="宋体" w:eastAsia="宋体" w:hint="default"/>
          <w:sz w:val="18"/>
          <w:szCs w:val="18"/>
        </w:rPr>
      </w:pPr>
    </w:p>
    <w:p>
      <w:pPr>
        <w:spacing w:line="532" w:lineRule="auto" w:before="0"/>
        <w:ind w:left="154" w:right="5713" w:firstLine="0"/>
        <w:jc w:val="left"/>
        <w:rPr>
          <w:rFonts w:ascii="宋体" w:hAnsi="宋体" w:cs="宋体" w:eastAsia="宋体" w:hint="default"/>
          <w:sz w:val="21"/>
          <w:szCs w:val="21"/>
        </w:rPr>
      </w:pPr>
      <w:bookmarkStart w:name="2、本企业的子公司情况" w:id="344"/>
      <w:bookmarkEnd w:id="34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0"/>
          <w:szCs w:val="20"/>
        </w:rPr>
        <w:t>本企业子公司的情况详见附注九、在其他主体中的权益。</w:t>
      </w:r>
      <w:r>
        <w:rPr>
          <w:rFonts w:ascii="宋体" w:hAnsi="宋体" w:cs="宋体" w:eastAsia="宋体" w:hint="default"/>
          <w:w w:val="100"/>
          <w:sz w:val="20"/>
          <w:szCs w:val="20"/>
        </w:rPr>
        <w:t> </w:t>
      </w:r>
      <w:bookmarkStart w:name="3、本企业合营和联营企业情况" w:id="345"/>
      <w:bookmarkEnd w:id="345"/>
      <w:r>
        <w:rPr>
          <w:rFonts w:ascii="宋体" w:hAnsi="宋体" w:cs="宋体" w:eastAsia="宋体" w:hint="default"/>
          <w:w w:val="100"/>
          <w:sz w:val="20"/>
          <w:szCs w:val="20"/>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49"/>
        <w:ind w:left="154" w:right="0"/>
        <w:jc w:val="left"/>
      </w:pPr>
      <w:r>
        <w:rPr/>
        <w:t>本企业重要的合营或联营企业详见附注九、在其他主体中的权益。</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其他关联方情况" w:id="346"/>
      <w:bookmarkEnd w:id="34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董书倩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刘运龙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天津滨河数据信息技术有限公司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left="153" w:right="0"/>
        <w:jc w:val="left"/>
        <w:rPr>
          <w:b w:val="0"/>
          <w:bCs w:val="0"/>
        </w:rPr>
      </w:pPr>
      <w:bookmarkStart w:name="5、关联交易情况" w:id="347"/>
      <w:bookmarkEnd w:id="34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购销商品、提供和接受劳务的关联交易" w:id="348"/>
      <w:bookmarkEnd w:id="34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北京国信新网通讯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设备采购</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861,538.46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深圳市金方达信息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设备采购</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2,820,512.84</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深圳市金方达信息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1,711,711.73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金网络（北京）电 子商务有限公司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1,462,942.09</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金网络（北京）电子商务有限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2,327,735.86</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北京国信新网通讯技术有限公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1,078,471.70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深圳中金财富互联网金融服务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750,028.24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1,465,801.83</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北京奥金智策传媒科技有限公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93,584.75</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深圳中金财富互联网金融服务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1,847,020.74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关联担保情况" w:id="349"/>
      <w:bookmarkEnd w:id="349"/>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华缔资产管理（北京）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华缔资产管理（北京）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187,540,000.00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7"/>
              <w:jc w:val="center"/>
              <w:rPr>
                <w:rFonts w:ascii="宋体" w:hAnsi="宋体" w:cs="宋体" w:eastAsia="宋体" w:hint="default"/>
                <w:sz w:val="18"/>
                <w:szCs w:val="18"/>
              </w:rPr>
            </w:pPr>
            <w:r>
              <w:rPr>
                <w:rFonts w:ascii="宋体" w:hAnsi="宋体" w:cs="宋体" w:eastAsia="宋体" w:hint="default"/>
                <w:sz w:val="18"/>
                <w:szCs w:val="18"/>
              </w:rPr>
              <w:t>深圳中金财富互联网金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融服务有限公司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221,382,000.00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29,437,781.46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29,437,781.46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29,437,781.46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29,437,781.46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29,437,781.46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29,437,781.46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6,497,920.00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14,711,501.31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1,052,135.00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2,984,122.20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5,260,340.00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4,699,460.00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沈飒、朱烨东、北京中 科金财电子商务有限公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pStyle w:val="BodyText"/>
        <w:spacing w:line="240" w:lineRule="auto" w:before="100"/>
        <w:ind w:left="154" w:right="0"/>
        <w:jc w:val="left"/>
      </w:pPr>
      <w:r>
        <w:rPr/>
        <w:t>担保方提供的保证期间均为依照主合同而确定的债务履行期限届满之日起两年。</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关键管理人员报酬" w:id="350"/>
      <w:bookmarkEnd w:id="350"/>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4,513,134.00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4,869,420.20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应收应付款项" w:id="351"/>
      <w:bookmarkEnd w:id="35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项目" w:id="352"/>
      <w:bookmarkEnd w:id="352"/>
      <w:r>
        <w:rPr>
          <w:b w:val="0"/>
          <w:bCs w:val="0"/>
        </w:rPr>
      </w:r>
      <w:r>
        <w:rPr/>
        <w:t>（</w:t>
      </w:r>
      <w:r>
        <w:rPr>
          <w:rFonts w:ascii="Times New Roman" w:hAnsi="Times New Roman" w:cs="Times New Roman" w:eastAsia="Times New Roman" w:hint="default"/>
        </w:rPr>
        <w:t>1</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北京国信新网通讯技术有限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358,974.35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深圳市金方达信息技术有限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3,948,025.65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北京国信新网通讯技术有限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107,500.00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9,937,243.23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董书倩</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6,137,512.93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刘运龙</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3,040,074.98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天津滨河数据信息技术有限</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2,963,594.12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二、承诺及或有事项" w:id="353"/>
      <w:bookmarkEnd w:id="353"/>
      <w:r>
        <w:rPr>
          <w:b w:val="0"/>
          <w:bCs w:val="0"/>
        </w:rPr>
      </w:r>
      <w:r>
        <w:rPr/>
        <w:t>十二、承诺及或有事项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承诺事项" w:id="354"/>
      <w:bookmarkEnd w:id="354"/>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3"/>
        <w:rPr>
          <w:rFonts w:ascii="宋体" w:hAnsi="宋体" w:cs="宋体" w:eastAsia="宋体" w:hint="default"/>
          <w:b/>
          <w:bCs/>
          <w:sz w:val="31"/>
          <w:szCs w:val="31"/>
        </w:rPr>
      </w:pPr>
    </w:p>
    <w:p>
      <w:pPr>
        <w:pStyle w:val="BodyText"/>
        <w:spacing w:line="240" w:lineRule="auto" w:before="0"/>
        <w:ind w:left="154" w:right="0"/>
        <w:jc w:val="left"/>
      </w:pPr>
      <w:r>
        <w:rPr/>
        <w:t>资产负债表日存在的重要承诺</w:t>
      </w:r>
    </w:p>
    <w:p>
      <w:pPr>
        <w:spacing w:line="240" w:lineRule="auto" w:before="10"/>
        <w:rPr>
          <w:rFonts w:ascii="宋体" w:hAnsi="宋体" w:cs="宋体" w:eastAsia="宋体" w:hint="default"/>
          <w:sz w:val="15"/>
          <w:szCs w:val="15"/>
        </w:rPr>
      </w:pPr>
    </w:p>
    <w:p>
      <w:pPr>
        <w:pStyle w:val="BodyText"/>
        <w:spacing w:line="405" w:lineRule="auto" w:before="0"/>
        <w:ind w:right="0" w:firstLine="471"/>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w:t>
      </w:r>
      <w:r>
        <w:rPr>
          <w:spacing w:val="-1"/>
        </w:rPr>
        <w:t>日，公司与北京北航科技园有限公司签订了编号为</w:t>
      </w:r>
      <w:r>
        <w:rPr>
          <w:rFonts w:ascii="Times New Roman" w:hAnsi="Times New Roman" w:cs="Times New Roman" w:eastAsia="Times New Roman" w:hint="default"/>
          <w:spacing w:val="-1"/>
        </w:rPr>
        <w:t>KJWSHT-2017005</w:t>
      </w:r>
      <w:r>
        <w:rPr>
          <w:spacing w:val="-1"/>
        </w:rPr>
        <w:t>的房屋租赁合同，租赁北</w:t>
      </w:r>
      <w:r>
        <w:rPr>
          <w:w w:val="100"/>
        </w:rPr>
        <w:t> </w:t>
      </w:r>
      <w:r>
        <w:rPr>
          <w:spacing w:val="-2"/>
        </w:rPr>
        <w:t>京航空航天大学拥有的北京市海淀区学院路</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唯实大厦</w:t>
      </w:r>
      <w:r>
        <w:rPr>
          <w:rFonts w:ascii="Times New Roman" w:hAnsi="Times New Roman" w:cs="Times New Roman" w:eastAsia="Times New Roman" w:hint="default"/>
          <w:spacing w:val="-2"/>
        </w:rPr>
        <w:t>”</w:t>
      </w:r>
      <w:r>
        <w:rPr>
          <w:spacing w:val="-2"/>
        </w:rPr>
        <w:t>十层的物业为公司总部办公场所。租期自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spacing w:val="-48"/>
        </w:rPr>
        <w:t> </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日止，租赁建筑面积为</w:t>
      </w:r>
      <w:r>
        <w:rPr>
          <w:rFonts w:ascii="Times New Roman" w:hAnsi="Times New Roman" w:cs="Times New Roman" w:eastAsia="Times New Roman" w:hint="default"/>
        </w:rPr>
        <w:t>2,655.41m2</w:t>
      </w:r>
      <w:r>
        <w:rPr/>
        <w:t>，租金标准为</w:t>
      </w:r>
      <w:r>
        <w:rPr>
          <w:rFonts w:ascii="Times New Roman" w:hAnsi="Times New Roman" w:cs="Times New Roman" w:eastAsia="Times New Roman" w:hint="default"/>
        </w:rPr>
        <w:t>7.5</w:t>
      </w:r>
      <w:r>
        <w:rPr/>
        <w:t>元</w:t>
      </w:r>
      <w:r>
        <w:rPr>
          <w:rFonts w:ascii="Times New Roman" w:hAnsi="Times New Roman" w:cs="Times New Roman" w:eastAsia="Times New Roman" w:hint="default"/>
        </w:rPr>
        <w:t>/</w:t>
      </w:r>
      <w:r>
        <w:rPr/>
        <w:t>建筑平方米</w:t>
      </w:r>
      <w:r>
        <w:rPr>
          <w:rFonts w:ascii="Times New Roman" w:hAnsi="Times New Roman" w:cs="Times New Roman" w:eastAsia="Times New Roman" w:hint="default"/>
        </w:rPr>
        <w:t>/</w:t>
      </w:r>
      <w:r>
        <w:rPr/>
        <w:t>日</w:t>
      </w:r>
      <w:r>
        <w:rPr>
          <w:rFonts w:ascii="Times New Roman" w:hAnsi="Times New Roman" w:cs="Times New Roman" w:eastAsia="Times New Roman" w:hint="default"/>
        </w:rPr>
        <w:t>,</w:t>
      </w:r>
      <w:r>
        <w:rPr/>
        <w:t>物业管理费收费标准</w:t>
      </w:r>
      <w:r>
        <w:rPr>
          <w:w w:val="100"/>
        </w:rPr>
        <w:t> </w:t>
      </w:r>
      <w:r>
        <w:rPr/>
        <w:t>为</w:t>
      </w:r>
      <w:r>
        <w:rPr>
          <w:rFonts w:ascii="Times New Roman" w:hAnsi="Times New Roman" w:cs="Times New Roman" w:eastAsia="Times New Roman" w:hint="default"/>
        </w:rPr>
        <w:t>1.0</w:t>
      </w:r>
      <w:r>
        <w:rPr/>
        <w:t>元</w:t>
      </w:r>
      <w:r>
        <w:rPr>
          <w:rFonts w:ascii="Times New Roman" w:hAnsi="Times New Roman" w:cs="Times New Roman" w:eastAsia="Times New Roman" w:hint="default"/>
        </w:rPr>
        <w:t>/</w:t>
      </w:r>
      <w:r>
        <w:rPr/>
        <w:t>建筑平方米</w:t>
      </w:r>
      <w:r>
        <w:rPr>
          <w:rFonts w:ascii="Times New Roman" w:hAnsi="Times New Roman" w:cs="Times New Roman" w:eastAsia="Times New Roman" w:hint="default"/>
        </w:rPr>
        <w:t>/</w:t>
      </w:r>
      <w:r>
        <w:rPr/>
        <w:t>日。</w:t>
      </w:r>
    </w:p>
    <w:p>
      <w:pPr>
        <w:spacing w:line="240" w:lineRule="auto" w:before="4"/>
        <w:rPr>
          <w:rFonts w:ascii="宋体" w:hAnsi="宋体" w:cs="宋体" w:eastAsia="宋体" w:hint="default"/>
          <w:sz w:val="19"/>
          <w:szCs w:val="19"/>
        </w:rPr>
      </w:pPr>
    </w:p>
    <w:p>
      <w:pPr>
        <w:pStyle w:val="Heading3"/>
        <w:spacing w:line="240" w:lineRule="auto"/>
        <w:ind w:left="153" w:right="0"/>
        <w:jc w:val="left"/>
        <w:rPr>
          <w:b w:val="0"/>
          <w:bCs w:val="0"/>
        </w:rPr>
      </w:pPr>
      <w:bookmarkStart w:name="2、其他" w:id="355"/>
      <w:bookmarkEnd w:id="355"/>
      <w:r>
        <w:rPr>
          <w:b w:val="0"/>
          <w:bCs w:val="0"/>
        </w:rPr>
      </w:r>
      <w:r>
        <w:rPr>
          <w:rFonts w:ascii="Times New Roman" w:hAnsi="Times New Roman" w:cs="Times New Roman" w:eastAsia="Times New Roman" w:hint="default"/>
        </w:rPr>
        <w:t>2</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日，公司尚有未到期的由银行为公司提供的保函担保，明细见下表：</w:t>
      </w:r>
    </w:p>
    <w:p>
      <w:pPr>
        <w:spacing w:line="240" w:lineRule="auto" w:before="1"/>
        <w:rPr>
          <w:rFonts w:ascii="宋体" w:hAnsi="宋体" w:cs="宋体" w:eastAsia="宋体" w:hint="default"/>
          <w:sz w:val="3"/>
          <w:szCs w:val="3"/>
        </w:rPr>
      </w:pPr>
    </w:p>
    <w:tbl>
      <w:tblPr>
        <w:tblW w:w="0" w:type="auto"/>
        <w:jc w:val="left"/>
        <w:tblInd w:w="726" w:type="dxa"/>
        <w:tblLayout w:type="fixed"/>
        <w:tblCellMar>
          <w:top w:w="0" w:type="dxa"/>
          <w:left w:w="0" w:type="dxa"/>
          <w:bottom w:w="0" w:type="dxa"/>
          <w:right w:w="0" w:type="dxa"/>
        </w:tblCellMar>
        <w:tblLook w:val="01E0"/>
      </w:tblPr>
      <w:tblGrid>
        <w:gridCol w:w="3491"/>
        <w:gridCol w:w="875"/>
        <w:gridCol w:w="1015"/>
        <w:gridCol w:w="1500"/>
        <w:gridCol w:w="1602"/>
      </w:tblGrid>
      <w:tr>
        <w:trPr>
          <w:trHeight w:val="342"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担保银行</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币种</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担保份数</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8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担保事由</w:t>
            </w:r>
          </w:p>
        </w:tc>
      </w:tr>
      <w:tr>
        <w:trPr>
          <w:trHeight w:val="342"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86,924,099.31</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保函</w:t>
            </w:r>
          </w:p>
        </w:tc>
      </w:tr>
      <w:tr>
        <w:trPr>
          <w:trHeight w:val="342"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宁波银行北京分行营业部</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7,075,106.96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保函</w:t>
            </w:r>
          </w:p>
        </w:tc>
      </w:tr>
      <w:tr>
        <w:trPr>
          <w:trHeight w:val="342"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招商银行北京大运村支行</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4,124,000.00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保函</w:t>
            </w:r>
          </w:p>
        </w:tc>
      </w:tr>
      <w:tr>
        <w:trPr>
          <w:trHeight w:val="342"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华夏银行股份有限公司北京中轴路支行</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3,673,180.00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保函</w:t>
            </w:r>
          </w:p>
        </w:tc>
      </w:tr>
      <w:tr>
        <w:trPr>
          <w:trHeight w:val="342"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浙商银行股份有限公司北京分行</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568,586.50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保函</w:t>
            </w:r>
          </w:p>
        </w:tc>
      </w:tr>
      <w:tr>
        <w:trPr>
          <w:trHeight w:val="343"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8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102,364,972.77</w:t>
            </w:r>
          </w:p>
        </w:tc>
        <w:tc>
          <w:tcPr>
            <w:tcW w:w="16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BodyText"/>
        <w:spacing w:line="240" w:lineRule="auto" w:before="38"/>
        <w:ind w:left="154"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日，公司尚有已到期尚未撤销的由银行为公司提供的保函担保，明细见下表：</w:t>
      </w:r>
    </w:p>
    <w:p>
      <w:pPr>
        <w:spacing w:line="240" w:lineRule="auto" w:before="1"/>
        <w:rPr>
          <w:rFonts w:ascii="宋体" w:hAnsi="宋体" w:cs="宋体" w:eastAsia="宋体" w:hint="default"/>
          <w:sz w:val="3"/>
          <w:szCs w:val="3"/>
        </w:rPr>
      </w:pPr>
    </w:p>
    <w:tbl>
      <w:tblPr>
        <w:tblW w:w="0" w:type="auto"/>
        <w:jc w:val="left"/>
        <w:tblInd w:w="726" w:type="dxa"/>
        <w:tblLayout w:type="fixed"/>
        <w:tblCellMar>
          <w:top w:w="0" w:type="dxa"/>
          <w:left w:w="0" w:type="dxa"/>
          <w:bottom w:w="0" w:type="dxa"/>
          <w:right w:w="0" w:type="dxa"/>
        </w:tblCellMar>
        <w:tblLook w:val="01E0"/>
      </w:tblPr>
      <w:tblGrid>
        <w:gridCol w:w="3177"/>
        <w:gridCol w:w="949"/>
        <w:gridCol w:w="1475"/>
        <w:gridCol w:w="1678"/>
        <w:gridCol w:w="1205"/>
      </w:tblGrid>
      <w:tr>
        <w:trPr>
          <w:trHeight w:val="342" w:hRule="exact"/>
        </w:trPr>
        <w:tc>
          <w:tcPr>
            <w:tcW w:w="3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5"/>
                <w:szCs w:val="15"/>
              </w:rPr>
            </w:pPr>
            <w:r>
              <w:rPr>
                <w:rFonts w:ascii="宋体" w:hAnsi="宋体" w:cs="宋体" w:eastAsia="宋体" w:hint="default"/>
                <w:sz w:val="15"/>
                <w:szCs w:val="15"/>
              </w:rPr>
              <w:t>担保银行</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5"/>
                <w:szCs w:val="15"/>
              </w:rPr>
            </w:pPr>
            <w:r>
              <w:rPr>
                <w:rFonts w:ascii="宋体" w:hAnsi="宋体" w:cs="宋体" w:eastAsia="宋体" w:hint="default"/>
                <w:sz w:val="15"/>
                <w:szCs w:val="15"/>
              </w:rPr>
              <w:t>币种</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5"/>
                <w:szCs w:val="15"/>
              </w:rPr>
            </w:pPr>
            <w:r>
              <w:rPr>
                <w:rFonts w:ascii="宋体" w:hAnsi="宋体" w:cs="宋体" w:eastAsia="宋体" w:hint="default"/>
                <w:sz w:val="15"/>
                <w:szCs w:val="15"/>
              </w:rPr>
              <w:t>担保份数</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33" w:right="0"/>
              <w:jc w:val="left"/>
              <w:rPr>
                <w:rFonts w:ascii="宋体" w:hAnsi="宋体" w:cs="宋体" w:eastAsia="宋体" w:hint="default"/>
                <w:sz w:val="15"/>
                <w:szCs w:val="15"/>
              </w:rPr>
            </w:pPr>
            <w:r>
              <w:rPr>
                <w:rFonts w:ascii="宋体" w:hAnsi="宋体" w:cs="宋体" w:eastAsia="宋体" w:hint="default"/>
                <w:sz w:val="15"/>
                <w:szCs w:val="15"/>
              </w:rPr>
              <w:t>担保金额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担保事由</w:t>
            </w:r>
          </w:p>
        </w:tc>
      </w:tr>
      <w:tr>
        <w:trPr>
          <w:trHeight w:val="342" w:hRule="exact"/>
        </w:trPr>
        <w:tc>
          <w:tcPr>
            <w:tcW w:w="3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北京银行中关村科技园区支行</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15"/>
                <w:szCs w:val="15"/>
              </w:rPr>
            </w:pPr>
            <w:r>
              <w:rPr>
                <w:rFonts w:ascii="Times New Roman"/>
                <w:sz w:val="15"/>
              </w:rPr>
              <w:t>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right"/>
              <w:rPr>
                <w:rFonts w:ascii="Times New Roman" w:hAnsi="Times New Roman" w:cs="Times New Roman" w:eastAsia="Times New Roman" w:hint="default"/>
                <w:sz w:val="15"/>
                <w:szCs w:val="15"/>
              </w:rPr>
            </w:pPr>
            <w:r>
              <w:rPr>
                <w:rFonts w:ascii="Times New Roman"/>
                <w:spacing w:val="-1"/>
                <w:sz w:val="15"/>
              </w:rPr>
              <w:t>12,788,095.10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保函</w:t>
            </w:r>
          </w:p>
        </w:tc>
      </w:tr>
      <w:tr>
        <w:trPr>
          <w:trHeight w:val="342" w:hRule="exact"/>
        </w:trPr>
        <w:tc>
          <w:tcPr>
            <w:tcW w:w="3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949"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15"/>
                <w:szCs w:val="15"/>
              </w:rPr>
            </w:pPr>
            <w:r>
              <w:rPr>
                <w:rFonts w:ascii="Times New Roman"/>
                <w:sz w:val="15"/>
              </w:rPr>
              <w:t>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right"/>
              <w:rPr>
                <w:rFonts w:ascii="Times New Roman" w:hAnsi="Times New Roman" w:cs="Times New Roman" w:eastAsia="Times New Roman" w:hint="default"/>
                <w:sz w:val="15"/>
                <w:szCs w:val="15"/>
              </w:rPr>
            </w:pPr>
            <w:r>
              <w:rPr>
                <w:rFonts w:ascii="Times New Roman"/>
                <w:spacing w:val="-1"/>
                <w:sz w:val="15"/>
              </w:rPr>
              <w:t>12,788,095.10</w:t>
            </w: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三、资产负债表日后事项" w:id="356"/>
      <w:bookmarkEnd w:id="356"/>
      <w:r>
        <w:rPr>
          <w:b w:val="0"/>
          <w:bCs w:val="0"/>
        </w:rPr>
      </w: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利润分配情况" w:id="357"/>
      <w:bookmarkEnd w:id="357"/>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其他资产负债表日后事项说明" w:id="358"/>
      <w:bookmarkEnd w:id="358"/>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3"/>
        <w:rPr>
          <w:rFonts w:ascii="宋体" w:hAnsi="宋体" w:cs="宋体" w:eastAsia="宋体" w:hint="default"/>
          <w:b/>
          <w:bCs/>
          <w:sz w:val="31"/>
          <w:szCs w:val="31"/>
        </w:rPr>
      </w:pPr>
    </w:p>
    <w:p>
      <w:pPr>
        <w:pStyle w:val="BodyText"/>
        <w:spacing w:line="240" w:lineRule="auto" w:before="0"/>
        <w:ind w:left="625"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月，百融通达商业保理有限公司（以下简称</w:t>
      </w:r>
      <w:r>
        <w:rPr>
          <w:rFonts w:ascii="Times New Roman" w:hAnsi="Times New Roman" w:cs="Times New Roman" w:eastAsia="Times New Roman" w:hint="default"/>
        </w:rPr>
        <w:t>“</w:t>
      </w:r>
      <w:r>
        <w:rPr/>
        <w:t>百融通达</w:t>
      </w:r>
      <w:r>
        <w:rPr>
          <w:rFonts w:ascii="Times New Roman" w:hAnsi="Times New Roman" w:cs="Times New Roman" w:eastAsia="Times New Roman" w:hint="default"/>
        </w:rPr>
        <w:t>”</w:t>
      </w:r>
      <w:r>
        <w:rPr/>
        <w:t>）在本公司子公司大连金融资产交易所有</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412" w:lineRule="auto" w:before="0"/>
        <w:ind w:right="0"/>
        <w:jc w:val="left"/>
      </w:pPr>
      <w:r>
        <w:rPr>
          <w:spacing w:val="-2"/>
        </w:rPr>
        <w:t>限公司（以下简称</w:t>
      </w:r>
      <w:r>
        <w:rPr>
          <w:rFonts w:ascii="Times New Roman" w:hAnsi="Times New Roman" w:cs="Times New Roman" w:eastAsia="Times New Roman" w:hint="default"/>
          <w:spacing w:val="-2"/>
        </w:rPr>
        <w:t>“</w:t>
      </w:r>
      <w:r>
        <w:rPr>
          <w:spacing w:val="-2"/>
        </w:rPr>
        <w:t>大金所</w:t>
      </w:r>
      <w:r>
        <w:rPr>
          <w:rFonts w:ascii="Times New Roman" w:hAnsi="Times New Roman" w:cs="Times New Roman" w:eastAsia="Times New Roman" w:hint="default"/>
          <w:spacing w:val="-2"/>
        </w:rPr>
        <w:t>”</w:t>
      </w:r>
      <w:r>
        <w:rPr>
          <w:spacing w:val="-2"/>
        </w:rPr>
        <w:t>）登记发行</w:t>
      </w:r>
      <w:r>
        <w:rPr>
          <w:rFonts w:ascii="Times New Roman" w:hAnsi="Times New Roman" w:cs="Times New Roman" w:eastAsia="Times New Roman" w:hint="default"/>
          <w:spacing w:val="-2"/>
        </w:rPr>
        <w:t>“</w:t>
      </w:r>
      <w:r>
        <w:rPr>
          <w:spacing w:val="-2"/>
        </w:rPr>
        <w:t>百融通达投资收益权</w:t>
      </w:r>
      <w:r>
        <w:rPr>
          <w:rFonts w:ascii="Times New Roman" w:hAnsi="Times New Roman" w:cs="Times New Roman" w:eastAsia="Times New Roman" w:hint="default"/>
          <w:spacing w:val="-2"/>
        </w:rPr>
        <w:t>”</w:t>
      </w:r>
      <w:r>
        <w:rPr>
          <w:spacing w:val="-2"/>
        </w:rPr>
        <w:t>产品，融资本金</w:t>
      </w:r>
      <w:r>
        <w:rPr>
          <w:rFonts w:ascii="Times New Roman" w:hAnsi="Times New Roman" w:cs="Times New Roman" w:eastAsia="Times New Roman" w:hint="default"/>
          <w:spacing w:val="-2"/>
        </w:rPr>
        <w:t>5000</w:t>
      </w:r>
      <w:r>
        <w:rPr>
          <w:spacing w:val="-2"/>
        </w:rPr>
        <w:t>万元，融资利率不高于</w:t>
      </w:r>
      <w:r>
        <w:rPr>
          <w:rFonts w:ascii="Times New Roman" w:hAnsi="Times New Roman" w:cs="Times New Roman" w:eastAsia="Times New Roman" w:hint="default"/>
          <w:spacing w:val="-2"/>
        </w:rPr>
        <w:t>6.1%</w:t>
      </w:r>
      <w:r>
        <w:rPr>
          <w:spacing w:val="-2"/>
        </w:rPr>
        <w:t>，</w:t>
      </w:r>
      <w:r>
        <w:rPr>
          <w:spacing w:val="-40"/>
        </w:rPr>
        <w:t> </w:t>
      </w:r>
      <w:r>
        <w:rPr>
          <w:spacing w:val="-6"/>
          <w:w w:val="100"/>
        </w:rPr>
        <w:t>到期一次还本付息，各期产品到期日在</w:t>
      </w:r>
      <w:r>
        <w:rPr>
          <w:rFonts w:ascii="Times New Roman" w:hAnsi="Times New Roman" w:cs="Times New Roman" w:eastAsia="Times New Roman" w:hint="default"/>
          <w:spacing w:val="-6"/>
          <w:w w:val="100"/>
        </w:rPr>
        <w:t>2018</w:t>
      </w:r>
      <w:r>
        <w:rPr>
          <w:spacing w:val="-6"/>
          <w:w w:val="100"/>
        </w:rPr>
        <w:t>年</w:t>
      </w:r>
      <w:r>
        <w:rPr>
          <w:rFonts w:ascii="Times New Roman" w:hAnsi="Times New Roman" w:cs="Times New Roman" w:eastAsia="Times New Roman" w:hint="default"/>
          <w:spacing w:val="-6"/>
          <w:w w:val="100"/>
        </w:rPr>
        <w:t>1</w:t>
      </w:r>
      <w:r>
        <w:rPr>
          <w:spacing w:val="-6"/>
          <w:w w:val="100"/>
        </w:rPr>
        <w:t>月至</w:t>
      </w:r>
      <w:r>
        <w:rPr>
          <w:rFonts w:ascii="Times New Roman" w:hAnsi="Times New Roman" w:cs="Times New Roman" w:eastAsia="Times New Roman" w:hint="default"/>
          <w:spacing w:val="-6"/>
          <w:w w:val="100"/>
        </w:rPr>
        <w:t>2018</w:t>
      </w:r>
      <w:r>
        <w:rPr>
          <w:spacing w:val="-6"/>
          <w:w w:val="100"/>
        </w:rPr>
        <w:t>年</w:t>
      </w:r>
      <w:r>
        <w:rPr>
          <w:rFonts w:ascii="Times New Roman" w:hAnsi="Times New Roman" w:cs="Times New Roman" w:eastAsia="Times New Roman" w:hint="default"/>
          <w:spacing w:val="-6"/>
          <w:w w:val="100"/>
        </w:rPr>
        <w:t>4</w:t>
      </w:r>
      <w:r>
        <w:rPr>
          <w:spacing w:val="-6"/>
          <w:w w:val="100"/>
        </w:rPr>
        <w:t>月之间。产品由辽宁国融担保有限公司（以下简称</w:t>
      </w:r>
      <w:r>
        <w:rPr>
          <w:rFonts w:ascii="Times New Roman" w:hAnsi="Times New Roman" w:cs="Times New Roman" w:eastAsia="Times New Roman" w:hint="default"/>
          <w:spacing w:val="-6"/>
          <w:w w:val="100"/>
        </w:rPr>
        <w:t>“</w:t>
      </w:r>
      <w:r>
        <w:rPr>
          <w:spacing w:val="-6"/>
          <w:w w:val="100"/>
        </w:rPr>
        <w:t>辽</w:t>
      </w:r>
      <w:r>
        <w:rPr>
          <w:spacing w:val="-56"/>
          <w:w w:val="100"/>
        </w:rPr>
        <w:t> </w:t>
      </w:r>
      <w:r>
        <w:rPr/>
        <w:t>宁国融</w:t>
      </w:r>
      <w:r>
        <w:rPr>
          <w:rFonts w:ascii="Times New Roman" w:hAnsi="Times New Roman" w:cs="Times New Roman" w:eastAsia="Times New Roman" w:hint="default"/>
        </w:rPr>
        <w:t>”</w:t>
      </w:r>
      <w:r>
        <w:rPr/>
        <w:t>）提供连带责任保证担保。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日，大金所与百融通达签订《借款合同》，借款金额</w:t>
      </w:r>
      <w:r>
        <w:rPr>
          <w:rFonts w:ascii="Times New Roman" w:hAnsi="Times New Roman" w:cs="Times New Roman" w:eastAsia="Times New Roman" w:hint="default"/>
        </w:rPr>
        <w:t>5,160.78</w:t>
      </w:r>
      <w:r>
        <w:rPr>
          <w:rFonts w:ascii="Times New Roman" w:hAnsi="Times New Roman" w:cs="Times New Roman" w:eastAsia="Times New Roman" w:hint="default"/>
          <w:w w:val="100"/>
        </w:rPr>
        <w:t> </w:t>
      </w:r>
      <w:r>
        <w:rPr/>
        <w:t>万元，由王晶、辽宁国融投资有限公司、辽宁国融担保有限公司（以下简称</w:t>
      </w:r>
      <w:r>
        <w:rPr>
          <w:rFonts w:ascii="Times New Roman" w:hAnsi="Times New Roman" w:cs="Times New Roman" w:eastAsia="Times New Roman" w:hint="default"/>
        </w:rPr>
        <w:t>“</w:t>
      </w:r>
      <w:r>
        <w:rPr/>
        <w:t>辽宁国融</w:t>
      </w:r>
      <w:r>
        <w:rPr>
          <w:rFonts w:ascii="Times New Roman" w:hAnsi="Times New Roman" w:cs="Times New Roman" w:eastAsia="Times New Roman" w:hint="default"/>
        </w:rPr>
        <w:t>”</w:t>
      </w:r>
      <w:r>
        <w:rPr/>
        <w:t>）提供连带责任保证担</w:t>
      </w:r>
      <w:r>
        <w:rPr>
          <w:w w:val="100"/>
        </w:rPr>
        <w:t> </w:t>
      </w:r>
      <w:r>
        <w:rPr/>
        <w:t>保。借款用于偿还上述</w:t>
      </w:r>
      <w:r>
        <w:rPr>
          <w:rFonts w:ascii="Times New Roman" w:hAnsi="Times New Roman" w:cs="Times New Roman" w:eastAsia="Times New Roman" w:hint="default"/>
        </w:rPr>
        <w:t>“</w:t>
      </w:r>
      <w:r>
        <w:rPr/>
        <w:t>百融通达投资收益权</w:t>
      </w:r>
      <w:r>
        <w:rPr>
          <w:rFonts w:ascii="Times New Roman" w:hAnsi="Times New Roman" w:cs="Times New Roman" w:eastAsia="Times New Roman" w:hint="default"/>
        </w:rPr>
        <w:t>”</w:t>
      </w:r>
      <w:r>
        <w:rPr/>
        <w:t>产品本金及利息，按照产品到期日逐笔支付给投资者。截止审计</w:t>
      </w:r>
      <w:r>
        <w:rPr>
          <w:w w:val="100"/>
        </w:rPr>
        <w:t> </w:t>
      </w:r>
      <w:r>
        <w:rPr>
          <w:spacing w:val="-2"/>
        </w:rPr>
        <w:t>报告日，大金所已支付本金及利息合计</w:t>
      </w:r>
      <w:r>
        <w:rPr>
          <w:rFonts w:ascii="Times New Roman" w:hAnsi="Times New Roman" w:cs="Times New Roman" w:eastAsia="Times New Roman" w:hint="default"/>
          <w:spacing w:val="-2"/>
        </w:rPr>
        <w:t>5,160.78</w:t>
      </w:r>
      <w:r>
        <w:rPr>
          <w:spacing w:val="-2"/>
        </w:rPr>
        <w:t>万元。担保方辽宁国融将其持有的北京广聚福支付有限公司、大</w:t>
      </w:r>
      <w:r>
        <w:rPr>
          <w:spacing w:val="-69"/>
        </w:rPr>
        <w:t> </w:t>
      </w:r>
      <w:r>
        <w:rPr>
          <w:spacing w:val="-69"/>
        </w:rPr>
      </w:r>
      <w:r>
        <w:rPr/>
        <w:t>连光德粮食经贸有限公司、大连元丰粮食经贸有限公司、大连新港港湾国际物流有限公司、大连保税区天重国</w:t>
      </w:r>
      <w:r>
        <w:rPr>
          <w:w w:val="100"/>
        </w:rPr>
        <w:t> </w:t>
      </w:r>
      <w:r>
        <w:rPr/>
        <w:t>际贸易有限公司、大连鑫金城货运有限公司、大连九鼎自动化有限公司、大连嘉利德新材料有限公司合计债权</w:t>
      </w:r>
      <w:r>
        <w:rPr>
          <w:w w:val="100"/>
        </w:rPr>
        <w:t> </w:t>
      </w:r>
      <w:r>
        <w:rPr>
          <w:rFonts w:ascii="Times New Roman" w:hAnsi="Times New Roman" w:cs="Times New Roman" w:eastAsia="Times New Roman" w:hint="default"/>
        </w:rPr>
        <w:t>11,938.03</w:t>
      </w:r>
      <w:r>
        <w:rPr/>
        <w:t>万元转让给大金所，以债权的回款作为对大金所的还款。</w:t>
      </w:r>
    </w:p>
    <w:p>
      <w:pPr>
        <w:spacing w:line="240" w:lineRule="auto" w:before="0"/>
        <w:rPr>
          <w:rFonts w:ascii="宋体" w:hAnsi="宋体" w:cs="宋体" w:eastAsia="宋体" w:hint="default"/>
          <w:sz w:val="17"/>
          <w:szCs w:val="17"/>
        </w:rPr>
      </w:pPr>
    </w:p>
    <w:p>
      <w:pPr>
        <w:pStyle w:val="Heading2"/>
        <w:spacing w:line="240" w:lineRule="auto"/>
        <w:ind w:left="154" w:right="0"/>
        <w:jc w:val="left"/>
        <w:rPr>
          <w:b w:val="0"/>
          <w:bCs w:val="0"/>
        </w:rPr>
      </w:pPr>
      <w:bookmarkStart w:name="十四、其他重要事项" w:id="359"/>
      <w:bookmarkEnd w:id="359"/>
      <w:r>
        <w:rPr>
          <w:b w:val="0"/>
          <w:bCs w:val="0"/>
        </w:rPr>
      </w: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 w:id="360"/>
      <w:bookmarkEnd w:id="360"/>
      <w:r>
        <w:rPr>
          <w:b w:val="0"/>
          <w:bCs w:val="0"/>
        </w:rPr>
      </w:r>
      <w:r>
        <w:rPr>
          <w:rFonts w:ascii="Times New Roman" w:hAnsi="Times New Roman" w:cs="Times New Roman" w:eastAsia="Times New Roman" w:hint="default"/>
        </w:rPr>
        <w:t>1</w:t>
      </w:r>
      <w:r>
        <w:rPr/>
        <w:t>、其他</w:t>
      </w:r>
      <w:r>
        <w:rPr>
          <w:b w:val="0"/>
          <w:bCs w:val="0"/>
        </w:rPr>
      </w:r>
    </w:p>
    <w:p>
      <w:pPr>
        <w:spacing w:line="240" w:lineRule="auto" w:before="3"/>
        <w:rPr>
          <w:rFonts w:ascii="宋体" w:hAnsi="宋体" w:cs="宋体" w:eastAsia="宋体" w:hint="default"/>
          <w:b/>
          <w:bCs/>
          <w:sz w:val="31"/>
          <w:szCs w:val="31"/>
        </w:rPr>
      </w:pPr>
    </w:p>
    <w:p>
      <w:pPr>
        <w:pStyle w:val="BodyText"/>
        <w:spacing w:line="405" w:lineRule="auto" w:before="0"/>
        <w:ind w:left="580" w:right="0"/>
        <w:jc w:val="left"/>
      </w:pPr>
      <w:r>
        <w:rPr>
          <w:rFonts w:ascii="Times New Roman" w:hAnsi="Times New Roman" w:cs="Times New Roman" w:eastAsia="Times New Roman" w:hint="default"/>
        </w:rPr>
        <w:t>(1)</w:t>
      </w:r>
      <w:r>
        <w:rPr/>
        <w:t>辽宁辉山乳业集团有限公司</w:t>
      </w:r>
      <w:r>
        <w:rPr>
          <w:rFonts w:ascii="Times New Roman" w:hAnsi="Times New Roman" w:cs="Times New Roman" w:eastAsia="Times New Roman" w:hint="default"/>
        </w:rPr>
        <w:t>“</w:t>
      </w:r>
      <w:r>
        <w:rPr/>
        <w:t>辉山乳业定向融资计划</w:t>
      </w:r>
      <w:r>
        <w:rPr>
          <w:rFonts w:ascii="Times New Roman" w:hAnsi="Times New Roman" w:cs="Times New Roman" w:eastAsia="Times New Roman" w:hint="default"/>
        </w:rPr>
        <w:t>”</w:t>
      </w:r>
      <w:r>
        <w:rPr/>
        <w:t>产品情况</w:t>
      </w:r>
      <w:r>
        <w:rPr>
          <w:w w:val="100"/>
        </w:rPr>
        <w:t>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11</w:t>
      </w:r>
      <w:r>
        <w:rPr>
          <w:spacing w:val="-2"/>
        </w:rPr>
        <w:t>日，本公司子公司大金所在其平台已公告</w:t>
      </w:r>
      <w:r>
        <w:rPr>
          <w:rFonts w:ascii="Times New Roman" w:hAnsi="Times New Roman" w:cs="Times New Roman" w:eastAsia="Times New Roman" w:hint="default"/>
          <w:spacing w:val="-2"/>
        </w:rPr>
        <w:t>“</w:t>
      </w:r>
      <w:r>
        <w:rPr>
          <w:spacing w:val="-2"/>
        </w:rPr>
        <w:t>辽宁辉山乳业集团有限公司（以下简称</w:t>
      </w:r>
      <w:r>
        <w:rPr>
          <w:rFonts w:ascii="Times New Roman" w:hAnsi="Times New Roman" w:cs="Times New Roman" w:eastAsia="Times New Roman" w:hint="default"/>
          <w:spacing w:val="-2"/>
        </w:rPr>
        <w:t>“</w:t>
      </w:r>
      <w:r>
        <w:rPr>
          <w:spacing w:val="-2"/>
        </w:rPr>
        <w:t>辉山乳业</w:t>
      </w:r>
      <w:r>
        <w:rPr>
          <w:rFonts w:ascii="Times New Roman" w:hAnsi="Times New Roman" w:cs="Times New Roman" w:eastAsia="Times New Roman" w:hint="default"/>
          <w:spacing w:val="-2"/>
        </w:rPr>
        <w:t>”</w:t>
      </w:r>
      <w:r>
        <w:rPr>
          <w:spacing w:val="-2"/>
        </w:rPr>
        <w:t>）</w:t>
      </w:r>
    </w:p>
    <w:p>
      <w:pPr>
        <w:pStyle w:val="BodyText"/>
        <w:spacing w:line="405" w:lineRule="auto" w:before="38"/>
        <w:ind w:left="154" w:right="1131"/>
        <w:jc w:val="both"/>
        <w:rPr>
          <w:rFonts w:ascii="Times New Roman" w:hAnsi="Times New Roman" w:cs="Times New Roman" w:eastAsia="Times New Roman" w:hint="default"/>
        </w:rPr>
      </w:pPr>
      <w:r>
        <w:rPr/>
        <w:t>司法破产重整申请已于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日由法院裁定受理，即辉山乳业已经进入司法破产重整程序。辉山乳业产</w:t>
      </w:r>
      <w:r>
        <w:rPr>
          <w:w w:val="100"/>
        </w:rPr>
        <w:t> </w:t>
      </w:r>
      <w:r>
        <w:rPr/>
        <w:t>品的全部债务于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日视为到期，并于该日停止计算利息，不再向投资人支付利息。为保障辉山乳业</w:t>
      </w:r>
      <w:r>
        <w:rPr>
          <w:w w:val="100"/>
        </w:rPr>
        <w:t> </w:t>
      </w:r>
      <w:r>
        <w:rPr/>
        <w:t>产品投资人的合法权益，大金所已于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日配合受托管理人大连震霖投资管理有限公司（以下简称</w:t>
      </w:r>
      <w:r>
        <w:rPr>
          <w:rFonts w:ascii="Times New Roman" w:hAnsi="Times New Roman" w:cs="Times New Roman" w:eastAsia="Times New Roman" w:hint="default"/>
        </w:rPr>
        <w:t>“</w:t>
      </w:r>
      <w:r>
        <w:rPr/>
        <w:t>受</w:t>
      </w:r>
      <w:r>
        <w:rPr>
          <w:w w:val="100"/>
        </w:rPr>
        <w:t> </w:t>
      </w:r>
      <w:r>
        <w:rPr>
          <w:spacing w:val="-2"/>
        </w:rPr>
        <w:t>托管理人</w:t>
      </w:r>
      <w:r>
        <w:rPr>
          <w:rFonts w:ascii="Times New Roman" w:hAnsi="Times New Roman" w:cs="Times New Roman" w:eastAsia="Times New Roman" w:hint="default"/>
          <w:spacing w:val="-2"/>
        </w:rPr>
        <w:t>”</w:t>
      </w:r>
      <w:r>
        <w:rPr>
          <w:spacing w:val="-2"/>
        </w:rPr>
        <w:t>）按照相关法律规定向辉山乳业破产管理人集中进行辉山乳业产品持有人债权申报，并收到破产重整</w:t>
      </w:r>
      <w:r>
        <w:rPr>
          <w:spacing w:val="-65"/>
        </w:rPr>
        <w:t> </w:t>
      </w:r>
      <w:r>
        <w:rPr>
          <w:spacing w:val="-65"/>
        </w:rPr>
      </w:r>
      <w:r>
        <w:rPr/>
        <w:t>案债权申报登记回执，投资人债权的确认及偿付最终经由司法裁决确定。</w:t>
      </w:r>
      <w:r>
        <w:rPr>
          <w:rFonts w:ascii="Times New Roman" w:hAnsi="Times New Roman" w:cs="Times New Roman" w:eastAsia="Times New Roman" w:hint="default"/>
        </w:rPr>
        <w:t>”</w:t>
      </w:r>
    </w:p>
    <w:p>
      <w:pPr>
        <w:pStyle w:val="BodyText"/>
        <w:spacing w:line="240" w:lineRule="auto" w:before="38"/>
        <w:ind w:left="580"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月，辉山乳业在大金所登记发行</w:t>
      </w:r>
      <w:r>
        <w:rPr>
          <w:rFonts w:ascii="Times New Roman" w:hAnsi="Times New Roman" w:cs="Times New Roman" w:eastAsia="Times New Roman" w:hint="default"/>
        </w:rPr>
        <w:t>“</w:t>
      </w:r>
      <w:r>
        <w:rPr/>
        <w:t>辉山乳业定向融资计划</w:t>
      </w:r>
      <w:r>
        <w:rPr>
          <w:rFonts w:ascii="Times New Roman" w:hAnsi="Times New Roman" w:cs="Times New Roman" w:eastAsia="Times New Roman" w:hint="default"/>
        </w:rPr>
        <w:t>”</w:t>
      </w:r>
      <w:r>
        <w:rPr/>
        <w:t>产品，融资本金</w:t>
      </w:r>
      <w:r>
        <w:rPr>
          <w:rFonts w:ascii="Times New Roman" w:hAnsi="Times New Roman" w:cs="Times New Roman" w:eastAsia="Times New Roman" w:hint="default"/>
        </w:rPr>
        <w:t>3</w:t>
      </w:r>
      <w:r>
        <w:rPr/>
        <w:t>亿元，融资利率不高于</w:t>
      </w:r>
    </w:p>
    <w:p>
      <w:pPr>
        <w:spacing w:line="240" w:lineRule="auto" w:before="8"/>
        <w:rPr>
          <w:rFonts w:ascii="宋体" w:hAnsi="宋体" w:cs="宋体" w:eastAsia="宋体" w:hint="default"/>
          <w:sz w:val="14"/>
          <w:szCs w:val="14"/>
        </w:rPr>
      </w:pPr>
    </w:p>
    <w:p>
      <w:pPr>
        <w:pStyle w:val="BodyText"/>
        <w:spacing w:line="405" w:lineRule="auto" w:before="0"/>
        <w:ind w:right="0"/>
        <w:jc w:val="left"/>
      </w:pPr>
      <w:r>
        <w:rPr>
          <w:rFonts w:ascii="Times New Roman" w:hAnsi="Times New Roman" w:cs="Times New Roman" w:eastAsia="Times New Roman" w:hint="default"/>
          <w:spacing w:val="-1"/>
        </w:rPr>
        <w:t>7.2%</w:t>
      </w:r>
      <w:r>
        <w:rPr>
          <w:spacing w:val="-1"/>
        </w:rPr>
        <w:t>，</w:t>
      </w:r>
      <w:r>
        <w:rPr>
          <w:rFonts w:ascii="Times New Roman" w:hAnsi="Times New Roman" w:cs="Times New Roman" w:eastAsia="Times New Roman" w:hint="default"/>
          <w:spacing w:val="-1"/>
        </w:rPr>
        <w:t>6</w:t>
      </w:r>
      <w:r>
        <w:rPr>
          <w:spacing w:val="-1"/>
        </w:rPr>
        <w:t>个月支付一次利息，到期还本，各期产品到期日在</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月之间。产品由辉山乳业之控</w:t>
      </w:r>
      <w:r>
        <w:rPr>
          <w:spacing w:val="-57"/>
        </w:rPr>
        <w:t> </w:t>
      </w:r>
      <w:r>
        <w:rPr>
          <w:spacing w:val="-57"/>
        </w:rPr>
      </w:r>
      <w:r>
        <w:rPr/>
        <w:t>股股东中国辉山乳业控股有限公司提供连带责任保证担保。</w:t>
      </w:r>
    </w:p>
    <w:p>
      <w:pPr>
        <w:pStyle w:val="BodyText"/>
        <w:spacing w:line="240" w:lineRule="auto" w:before="68"/>
        <w:ind w:left="579" w:right="0"/>
        <w:jc w:val="left"/>
      </w:pPr>
      <w:r>
        <w:rPr>
          <w:rFonts w:ascii="Times New Roman" w:hAnsi="Times New Roman" w:cs="Times New Roman" w:eastAsia="Times New Roman" w:hint="default"/>
        </w:rPr>
        <w:t>(2)</w:t>
      </w:r>
      <w:r>
        <w:rPr/>
        <w:t>大股东股权质押情况</w:t>
      </w:r>
    </w:p>
    <w:p>
      <w:pPr>
        <w:spacing w:line="240" w:lineRule="auto" w:before="8"/>
        <w:rPr>
          <w:rFonts w:ascii="宋体" w:hAnsi="宋体" w:cs="宋体" w:eastAsia="宋体" w:hint="default"/>
          <w:sz w:val="14"/>
          <w:szCs w:val="14"/>
        </w:rPr>
      </w:pPr>
    </w:p>
    <w:p>
      <w:pPr>
        <w:pStyle w:val="BodyText"/>
        <w:spacing w:line="405" w:lineRule="auto" w:before="0"/>
        <w:ind w:right="0" w:firstLine="426"/>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日，公司第一大股东沈飒持有公司股份 </w:t>
      </w:r>
      <w:r>
        <w:rPr>
          <w:rFonts w:ascii="Times New Roman" w:hAnsi="Times New Roman" w:cs="Times New Roman" w:eastAsia="Times New Roman" w:hint="default"/>
        </w:rPr>
        <w:t>57,092,918 </w:t>
      </w:r>
      <w:r>
        <w:rPr/>
        <w:t>股，占公司总股本的</w:t>
      </w:r>
      <w:r>
        <w:rPr>
          <w:spacing w:val="-71"/>
        </w:rPr>
        <w:t> </w:t>
      </w:r>
      <w:r>
        <w:rPr>
          <w:rFonts w:ascii="Times New Roman" w:hAnsi="Times New Roman" w:cs="Times New Roman" w:eastAsia="Times New Roman" w:hint="default"/>
        </w:rPr>
        <w:t>16.91%</w:t>
      </w:r>
      <w:r>
        <w:rPr/>
        <w:t>，其中</w:t>
      </w:r>
      <w:r>
        <w:rPr>
          <w:w w:val="100"/>
        </w:rPr>
        <w:t> </w:t>
      </w:r>
      <w:r>
        <w:rPr/>
        <w:t>共质押公司股份</w:t>
      </w:r>
      <w:r>
        <w:rPr>
          <w:rFonts w:ascii="Times New Roman" w:hAnsi="Times New Roman" w:cs="Times New Roman" w:eastAsia="Times New Roman" w:hint="default"/>
        </w:rPr>
        <w:t>40,200,000.00</w:t>
      </w:r>
      <w:r>
        <w:rPr/>
        <w:t>股，占其持有公司股份总数的</w:t>
      </w:r>
      <w:r>
        <w:rPr>
          <w:rFonts w:ascii="Times New Roman" w:hAnsi="Times New Roman" w:cs="Times New Roman" w:eastAsia="Times New Roman" w:hint="default"/>
        </w:rPr>
        <w:t>70.41%</w:t>
      </w:r>
      <w:r>
        <w:rPr/>
        <w:t>，占公司总股本的</w:t>
      </w:r>
      <w:r>
        <w:rPr>
          <w:rFonts w:ascii="Times New Roman" w:hAnsi="Times New Roman" w:cs="Times New Roman" w:eastAsia="Times New Roman" w:hint="default"/>
        </w:rPr>
        <w:t>11.91%</w:t>
      </w:r>
      <w:r>
        <w:rPr/>
        <w:t>。</w:t>
      </w:r>
    </w:p>
    <w:p>
      <w:pPr>
        <w:pStyle w:val="BodyText"/>
        <w:spacing w:line="405" w:lineRule="auto" w:before="38"/>
        <w:ind w:left="579" w:right="0"/>
        <w:jc w:val="left"/>
      </w:pPr>
      <w:r>
        <w:rPr>
          <w:rFonts w:ascii="Times New Roman" w:hAnsi="Times New Roman" w:cs="Times New Roman" w:eastAsia="Times New Roman" w:hint="default"/>
        </w:rPr>
        <w:t>(3)</w:t>
      </w:r>
      <w:r>
        <w:rPr/>
        <w:t>大连金融资产交易所平台发行产品情况</w:t>
      </w:r>
      <w:r>
        <w:rPr>
          <w:w w:val="100"/>
        </w:rPr>
        <w:t> </w:t>
      </w:r>
      <w:r>
        <w:rPr>
          <w:spacing w:val="-4"/>
          <w:w w:val="100"/>
        </w:rPr>
        <w:t>截至</w:t>
      </w:r>
      <w:r>
        <w:rPr>
          <w:rFonts w:ascii="宋体" w:hAnsi="宋体" w:cs="宋体" w:eastAsia="宋体" w:hint="default"/>
          <w:spacing w:val="-4"/>
          <w:w w:val="100"/>
        </w:rPr>
        <w:t>2017</w:t>
      </w:r>
      <w:r>
        <w:rPr>
          <w:spacing w:val="-4"/>
          <w:w w:val="100"/>
        </w:rPr>
        <w:t>年</w:t>
      </w:r>
      <w:r>
        <w:rPr>
          <w:rFonts w:ascii="宋体" w:hAnsi="宋体" w:cs="宋体" w:eastAsia="宋体" w:hint="default"/>
          <w:spacing w:val="-4"/>
          <w:w w:val="100"/>
        </w:rPr>
        <w:t>12</w:t>
      </w:r>
      <w:r>
        <w:rPr>
          <w:spacing w:val="-4"/>
          <w:w w:val="100"/>
        </w:rPr>
        <w:t>月</w:t>
      </w:r>
      <w:r>
        <w:rPr>
          <w:rFonts w:ascii="宋体" w:hAnsi="宋体" w:cs="宋体" w:eastAsia="宋体" w:hint="default"/>
          <w:spacing w:val="-4"/>
          <w:w w:val="100"/>
        </w:rPr>
        <w:t>31</w:t>
      </w:r>
      <w:r>
        <w:rPr>
          <w:spacing w:val="-4"/>
          <w:w w:val="100"/>
        </w:rPr>
        <w:t>日，在大金所交易平台登记发行产品未到期本金</w:t>
      </w:r>
      <w:r>
        <w:rPr>
          <w:rFonts w:ascii="宋体" w:hAnsi="宋体" w:cs="宋体" w:eastAsia="宋体" w:hint="default"/>
          <w:spacing w:val="-4"/>
          <w:w w:val="100"/>
        </w:rPr>
        <w:t>13.66</w:t>
      </w:r>
      <w:r>
        <w:rPr>
          <w:spacing w:val="-4"/>
          <w:w w:val="100"/>
        </w:rPr>
        <w:t>亿元，未付利息金额</w:t>
      </w:r>
      <w:r>
        <w:rPr>
          <w:rFonts w:ascii="宋体" w:hAnsi="宋体" w:cs="宋体" w:eastAsia="宋体" w:hint="default"/>
          <w:spacing w:val="-4"/>
          <w:w w:val="100"/>
        </w:rPr>
        <w:t>6,563.91</w:t>
      </w:r>
      <w:r>
        <w:rPr>
          <w:spacing w:val="-4"/>
          <w:w w:val="100"/>
        </w:rPr>
        <w:t>万元，</w:t>
      </w:r>
    </w:p>
    <w:p>
      <w:pPr>
        <w:pStyle w:val="BodyText"/>
        <w:spacing w:line="429" w:lineRule="auto" w:before="68"/>
        <w:ind w:right="0"/>
        <w:jc w:val="left"/>
      </w:pPr>
      <w:r>
        <w:rPr>
          <w:spacing w:val="-1"/>
        </w:rPr>
        <w:t>其中辉山乳业产品本金</w:t>
      </w:r>
      <w:r>
        <w:rPr>
          <w:rFonts w:ascii="宋体" w:hAnsi="宋体" w:cs="宋体" w:eastAsia="宋体" w:hint="default"/>
          <w:spacing w:val="-1"/>
        </w:rPr>
        <w:t>3</w:t>
      </w:r>
      <w:r>
        <w:rPr>
          <w:spacing w:val="-1"/>
        </w:rPr>
        <w:t>亿元，未付利息</w:t>
      </w:r>
      <w:r>
        <w:rPr>
          <w:rFonts w:ascii="宋体" w:hAnsi="宋体" w:cs="宋体" w:eastAsia="宋体" w:hint="default"/>
          <w:spacing w:val="-1"/>
        </w:rPr>
        <w:t>608.77</w:t>
      </w:r>
      <w:r>
        <w:rPr>
          <w:spacing w:val="-1"/>
        </w:rPr>
        <w:t>万元，百融通达产品本金</w:t>
      </w:r>
      <w:r>
        <w:rPr>
          <w:rFonts w:ascii="宋体" w:hAnsi="宋体" w:cs="宋体" w:eastAsia="宋体" w:hint="default"/>
          <w:spacing w:val="-1"/>
        </w:rPr>
        <w:t>5,000.00</w:t>
      </w:r>
      <w:r>
        <w:rPr>
          <w:spacing w:val="-1"/>
        </w:rPr>
        <w:t>万元，未付利息</w:t>
      </w:r>
      <w:r>
        <w:rPr>
          <w:rFonts w:ascii="宋体" w:hAnsi="宋体" w:cs="宋体" w:eastAsia="宋体" w:hint="default"/>
          <w:spacing w:val="-1"/>
        </w:rPr>
        <w:t>160.78</w:t>
      </w:r>
      <w:r>
        <w:rPr>
          <w:spacing w:val="-1"/>
        </w:rPr>
        <w:t>万元。</w:t>
      </w:r>
      <w:r>
        <w:rPr>
          <w:spacing w:val="-52"/>
        </w:rPr>
        <w:t> </w:t>
      </w:r>
      <w:r>
        <w:rPr>
          <w:spacing w:val="-52"/>
        </w:rPr>
      </w:r>
      <w:r>
        <w:rPr/>
        <w:t>截至审计报告日止，除辉山乳业产品外其他发行的产品已到期偿付本金</w:t>
      </w:r>
      <w:r>
        <w:rPr>
          <w:rFonts w:ascii="宋体" w:hAnsi="宋体" w:cs="宋体" w:eastAsia="宋体" w:hint="default"/>
        </w:rPr>
        <w:t>4.49</w:t>
      </w:r>
      <w:r>
        <w:rPr/>
        <w:t>亿元，利息</w:t>
      </w:r>
      <w:r>
        <w:rPr>
          <w:rFonts w:ascii="宋体" w:hAnsi="宋体" w:cs="宋体" w:eastAsia="宋体" w:hint="default"/>
        </w:rPr>
        <w:t>2,712.37</w:t>
      </w:r>
      <w:r>
        <w:rPr/>
        <w:t>万元。</w:t>
      </w:r>
    </w:p>
    <w:p>
      <w:pPr>
        <w:spacing w:after="0" w:line="429"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五、母公司财务报表主要项目注释" w:id="361"/>
      <w:bookmarkEnd w:id="361"/>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 w:id="362"/>
      <w:bookmarkEnd w:id="362"/>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分类披露" w:id="363"/>
      <w:bookmarkEnd w:id="36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73,206,7</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50.28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5,672,00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7.75%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67,534,74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46,739,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756.78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4,840,824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41,898,932.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73,206,7</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50.28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5,672,00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7.75%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67,534,74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3.14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46,739,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756.78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4,840,824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10.36%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41,898,932.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61,462,356.56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3,073,117.83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61,462,356.56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3,073,117.83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5,570,935.51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557,093.55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3,497,277.84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699,455.57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2,676,180.37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1,342,340.19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50.16%</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2,667,680.37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1,333,840.19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73,206,750.28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5,672,007.14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7.75%</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after="0" w:line="338"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本期计提、收回或转回的坏账准备情况" w:id="364"/>
      <w:bookmarkEnd w:id="36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831,182.85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按欠款方归集的期末余额前五名的应收账款情况" w:id="365"/>
      <w:bookmarkEnd w:id="365"/>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704" w:type="dxa"/>
        <w:tblLayout w:type="fixed"/>
        <w:tblCellMar>
          <w:top w:w="0" w:type="dxa"/>
          <w:left w:w="0" w:type="dxa"/>
          <w:bottom w:w="0" w:type="dxa"/>
          <w:right w:w="0" w:type="dxa"/>
        </w:tblCellMar>
        <w:tblLook w:val="01E0"/>
      </w:tblPr>
      <w:tblGrid>
        <w:gridCol w:w="3225"/>
        <w:gridCol w:w="1766"/>
        <w:gridCol w:w="1767"/>
        <w:gridCol w:w="1771"/>
      </w:tblGrid>
      <w:tr>
        <w:trPr>
          <w:trHeight w:val="342" w:hRule="exact"/>
        </w:trPr>
        <w:tc>
          <w:tcPr>
            <w:tcW w:w="32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3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3225" w:type="dxa"/>
            <w:vMerge/>
            <w:tcBorders>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51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562" w:right="69" w:hanging="49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3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8,384,000.00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11.45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419,200.00</w:t>
            </w:r>
          </w:p>
        </w:tc>
      </w:tr>
      <w:tr>
        <w:trPr>
          <w:trHeight w:val="342" w:hRule="exact"/>
        </w:trPr>
        <w:tc>
          <w:tcPr>
            <w:tcW w:w="3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农信银资金清算中心有限责任公司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6,943,223.46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9.48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347,161.17</w:t>
            </w:r>
          </w:p>
        </w:tc>
      </w:tr>
      <w:tr>
        <w:trPr>
          <w:trHeight w:val="342" w:hRule="exact"/>
        </w:trPr>
        <w:tc>
          <w:tcPr>
            <w:tcW w:w="3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天津港信息技术发展有限公司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5,920,000.00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8.09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296,000.00</w:t>
            </w:r>
          </w:p>
        </w:tc>
      </w:tr>
      <w:tr>
        <w:trPr>
          <w:trHeight w:val="654" w:hRule="exact"/>
        </w:trPr>
        <w:tc>
          <w:tcPr>
            <w:tcW w:w="32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6"/>
              <w:jc w:val="left"/>
              <w:rPr>
                <w:rFonts w:ascii="宋体" w:hAnsi="宋体" w:cs="宋体" w:eastAsia="宋体" w:hint="default"/>
                <w:sz w:val="18"/>
                <w:szCs w:val="18"/>
              </w:rPr>
            </w:pPr>
            <w:r>
              <w:rPr>
                <w:rFonts w:ascii="宋体" w:hAnsi="宋体" w:cs="宋体" w:eastAsia="宋体" w:hint="default"/>
                <w:spacing w:val="8"/>
                <w:sz w:val="18"/>
                <w:szCs w:val="18"/>
              </w:rPr>
              <w:t>中国石油天然气股份有限公司兰州石化</w:t>
            </w:r>
            <w:r>
              <w:rPr>
                <w:rFonts w:ascii="宋体" w:hAnsi="宋体" w:cs="宋体" w:eastAsia="宋体" w:hint="default"/>
                <w:sz w:val="18"/>
                <w:szCs w:val="18"/>
              </w:rPr>
              <w:t> 分公司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2,935,000.00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4.01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146,750.00</w:t>
            </w:r>
          </w:p>
        </w:tc>
      </w:tr>
      <w:tr>
        <w:trPr>
          <w:trHeight w:val="654" w:hRule="exact"/>
        </w:trPr>
        <w:tc>
          <w:tcPr>
            <w:tcW w:w="32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6"/>
              <w:jc w:val="left"/>
              <w:rPr>
                <w:rFonts w:ascii="宋体" w:hAnsi="宋体" w:cs="宋体" w:eastAsia="宋体" w:hint="default"/>
                <w:sz w:val="18"/>
                <w:szCs w:val="18"/>
              </w:rPr>
            </w:pPr>
            <w:r>
              <w:rPr>
                <w:rFonts w:ascii="宋体" w:hAnsi="宋体" w:cs="宋体" w:eastAsia="宋体" w:hint="default"/>
                <w:spacing w:val="8"/>
                <w:sz w:val="18"/>
                <w:szCs w:val="18"/>
              </w:rPr>
              <w:t>中华人民共和国厦门出入境边防检查总</w:t>
            </w:r>
            <w:r>
              <w:rPr>
                <w:rFonts w:ascii="宋体" w:hAnsi="宋体" w:cs="宋体" w:eastAsia="宋体" w:hint="default"/>
                <w:sz w:val="18"/>
                <w:szCs w:val="18"/>
              </w:rPr>
              <w:t> 站</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2,328,000.00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3.18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116,400.00</w:t>
            </w:r>
          </w:p>
        </w:tc>
      </w:tr>
      <w:tr>
        <w:trPr>
          <w:trHeight w:val="342" w:hRule="exact"/>
        </w:trPr>
        <w:tc>
          <w:tcPr>
            <w:tcW w:w="3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26,510,223.46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36.21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1,325,511.17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其他应收款" w:id="366"/>
      <w:bookmarkEnd w:id="36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67"/>
      <w:bookmarkEnd w:id="36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531,540,</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007.89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6,971,29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1.31%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524,568,7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13.44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55,351,</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189.31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7,559,827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47,791,361.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531,540,</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007.89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6,971,29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1.31%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524,568,7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13.44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55,351,</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189.31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7,559,827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13.66%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47,791,361.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32,918,003.76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1,645,900.19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32,918,003.76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1,645,900.19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7,170,886.85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717,088.69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2,369,830.58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473,966.12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7,081,286.70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4,134,339.45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58.38%</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5,893,894.50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2,946,947.25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857,747.95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857,747.95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329,644.25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329,644.25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49,540,007.89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6,971,294.45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14.07%</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704" w:type="dxa"/>
        <w:tblLayout w:type="fixed"/>
        <w:tblCellMar>
          <w:top w:w="0" w:type="dxa"/>
          <w:left w:w="0" w:type="dxa"/>
          <w:bottom w:w="0" w:type="dxa"/>
          <w:right w:w="0" w:type="dxa"/>
        </w:tblCellMar>
        <w:tblLook w:val="01E0"/>
      </w:tblPr>
      <w:tblGrid>
        <w:gridCol w:w="2909"/>
        <w:gridCol w:w="1599"/>
        <w:gridCol w:w="1462"/>
        <w:gridCol w:w="2560"/>
      </w:tblGrid>
      <w:tr>
        <w:trPr>
          <w:trHeight w:val="34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18"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24" w:right="0"/>
              <w:jc w:val="left"/>
              <w:rPr>
                <w:rFonts w:ascii="宋体" w:hAnsi="宋体" w:cs="宋体" w:eastAsia="宋体" w:hint="default"/>
                <w:sz w:val="18"/>
                <w:szCs w:val="18"/>
              </w:rPr>
            </w:pPr>
            <w:r>
              <w:rPr>
                <w:rFonts w:ascii="宋体" w:hAnsi="宋体" w:cs="宋体" w:eastAsia="宋体" w:hint="default"/>
                <w:sz w:val="18"/>
                <w:szCs w:val="18"/>
              </w:rPr>
              <w:t>不计提理由</w:t>
            </w:r>
          </w:p>
        </w:tc>
      </w:tr>
      <w:tr>
        <w:trPr>
          <w:trHeight w:val="6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2"/>
              <w:jc w:val="left"/>
              <w:rPr>
                <w:rFonts w:ascii="宋体" w:hAnsi="宋体" w:cs="宋体" w:eastAsia="宋体" w:hint="default"/>
                <w:sz w:val="18"/>
                <w:szCs w:val="18"/>
              </w:rPr>
            </w:pPr>
            <w:r>
              <w:rPr>
                <w:rFonts w:ascii="宋体" w:hAnsi="宋体" w:cs="宋体" w:eastAsia="宋体" w:hint="default"/>
                <w:sz w:val="18"/>
                <w:szCs w:val="18"/>
              </w:rPr>
              <w:t>深圳中金财富互联网金融服务有限公 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48,000,000.00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10" w:right="0"/>
              <w:jc w:val="left"/>
              <w:rPr>
                <w:rFonts w:ascii="宋体" w:hAnsi="宋体" w:cs="宋体" w:eastAsia="宋体" w:hint="default"/>
                <w:sz w:val="18"/>
                <w:szCs w:val="18"/>
              </w:rPr>
            </w:pPr>
            <w:r>
              <w:rPr>
                <w:rFonts w:ascii="宋体" w:hAnsi="宋体" w:cs="宋体" w:eastAsia="宋体" w:hint="default"/>
                <w:sz w:val="18"/>
                <w:szCs w:val="18"/>
              </w:rPr>
              <w:t>合并范围内往来</w:t>
            </w:r>
          </w:p>
        </w:tc>
      </w:tr>
      <w:tr>
        <w:trPr>
          <w:trHeight w:val="34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华缔资产管理（北京）有限公司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434,000,000.00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10" w:right="0"/>
              <w:jc w:val="left"/>
              <w:rPr>
                <w:rFonts w:ascii="宋体" w:hAnsi="宋体" w:cs="宋体" w:eastAsia="宋体" w:hint="default"/>
                <w:sz w:val="18"/>
                <w:szCs w:val="18"/>
              </w:rPr>
            </w:pPr>
            <w:r>
              <w:rPr>
                <w:rFonts w:ascii="宋体" w:hAnsi="宋体" w:cs="宋体" w:eastAsia="宋体" w:hint="default"/>
                <w:sz w:val="18"/>
                <w:szCs w:val="18"/>
              </w:rPr>
              <w:t>合并范围内往来</w:t>
            </w:r>
          </w:p>
        </w:tc>
      </w:tr>
      <w:tr>
        <w:trPr>
          <w:trHeight w:val="34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482,000,000.00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25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368"/>
      <w:bookmarkEnd w:id="36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588,533.05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其他应收款按款项性质分类情况" w:id="369"/>
      <w:bookmarkEnd w:id="369"/>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46,912,921.64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42,105,991.55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90,049.03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526,131.94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2,228,652.00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1,832,196.00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482,000,000.00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10,683,250.00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308,385.22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203,619.82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531,540,007.89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55,351,189.31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其他应收款情况" w:id="370"/>
      <w:bookmarkEnd w:id="370"/>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pacing w:val="-10"/>
                <w:sz w:val="18"/>
                <w:szCs w:val="18"/>
              </w:rPr>
              <w:t>华缔资产管理（北京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p>
            <w:pPr>
              <w:pStyle w:val="TableParagraph"/>
              <w:spacing w:line="560" w:lineRule="exact"/>
              <w:ind w:right="-36"/>
              <w:jc w:val="left"/>
              <w:rPr>
                <w:rFonts w:ascii="宋体" w:hAnsi="宋体" w:cs="宋体" w:eastAsia="宋体" w:hint="default"/>
                <w:sz w:val="20"/>
                <w:szCs w:val="20"/>
              </w:rPr>
            </w:pPr>
            <w:r>
              <w:rPr>
                <w:rFonts w:ascii="宋体" w:hAnsi="宋体" w:cs="宋体" w:eastAsia="宋体" w:hint="default"/>
                <w:position w:val="-10"/>
                <w:sz w:val="20"/>
                <w:szCs w:val="20"/>
              </w:rPr>
              <w:pict>
                <v:group style="width:77.1pt;height:28.05pt;mso-position-horizontal-relative:char;mso-position-vertical-relative:line" coordorigin="0,0" coordsize="1542,561">
                  <v:group style="position:absolute;left:0;top:0;width:1542;height:156" coordorigin="0,0" coordsize="1542,156">
                    <v:shape style="position:absolute;left:0;top:0;width:1542;height:156" coordorigin="0,0" coordsize="1542,156" path="m0,156l1542,156,1542,0,0,0,0,156xe" filled="true" fillcolor="#ffffff" stroked="false">
                      <v:path arrowok="t"/>
                      <v:fill type="solid"/>
                    </v:shape>
                  </v:group>
                  <v:group style="position:absolute;left:12;top:156;width:2;height:393" coordorigin="12,156" coordsize="2,393">
                    <v:shape style="position:absolute;left:12;top:156;width:2;height:393" coordorigin="12,156" coordsize="0,393" path="m12,156l12,548e" filled="false" stroked="true" strokeweight="1.2pt" strokecolor="#ffffff">
                      <v:path arrowok="t"/>
                    </v:shape>
                  </v:group>
                  <v:group style="position:absolute;left:24;top:156;width:1494;height:393" coordorigin="24,156" coordsize="1494,393">
                    <v:shape style="position:absolute;left:24;top:156;width:1494;height:393" coordorigin="24,156" coordsize="1494,393" path="m24,548l1518,548,1518,156,24,156,24,548xe" filled="true" fillcolor="#ffffff" stroked="false">
                      <v:path arrowok="t"/>
                      <v:fill type="solid"/>
                    </v:shape>
                  </v:group>
                </v:group>
              </w:pict>
            </w:r>
            <w:r>
              <w:rPr>
                <w:rFonts w:ascii="宋体" w:hAnsi="宋体" w:cs="宋体" w:eastAsia="宋体" w:hint="default"/>
                <w:position w:val="-10"/>
                <w:sz w:val="20"/>
                <w:szCs w:val="20"/>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81.65%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深圳中金财富互联网 金融服务有限公司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中科软科技股份有限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6,235,598.65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1,041,332.65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北京财贸职业学院</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1,910,044.00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948,026.00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492,605,642.65</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92.67%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2,112,358.65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71"/>
      <w:bookmarkEnd w:id="37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1,586,655,444.36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1,586,655,444.36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1,048,876,847.56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1,048,876,847.56</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306,299,607.14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306,299,607.14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342,485,127.65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342,485,127.65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1,892,955,051.50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1,892,955,051.50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1,391,361,975.21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1,391,361,975.21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72"/>
      <w:bookmarkEnd w:id="37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北京中科金财电 子商务有限公司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109,624,410.57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110,124,410.57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北京中科金财软 件技术有限公司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北京中科金财投 资管理有限公司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天津滨河创新科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53"/>
              <w:jc w:val="both"/>
              <w:rPr>
                <w:rFonts w:ascii="宋体" w:hAnsi="宋体" w:cs="宋体" w:eastAsia="宋体" w:hint="default"/>
                <w:sz w:val="18"/>
                <w:szCs w:val="18"/>
              </w:rPr>
            </w:pPr>
            <w:r>
              <w:rPr>
                <w:rFonts w:ascii="宋体" w:hAnsi="宋体" w:cs="宋体" w:eastAsia="宋体" w:hint="default"/>
                <w:sz w:val="18"/>
                <w:szCs w:val="18"/>
              </w:rPr>
              <w:t>北京国信金泽投 资中心（有限合 伙）</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1,299,870.00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1,299,870.00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1"/>
              <w:ind w:left="22" w:right="-37"/>
              <w:jc w:val="center"/>
              <w:rPr>
                <w:rFonts w:ascii="宋体" w:hAnsi="宋体" w:cs="宋体" w:eastAsia="宋体" w:hint="default"/>
                <w:sz w:val="18"/>
                <w:szCs w:val="18"/>
              </w:rPr>
            </w:pPr>
            <w:r>
              <w:rPr>
                <w:rFonts w:ascii="宋体" w:hAnsi="宋体" w:cs="宋体" w:eastAsia="宋体" w:hint="default"/>
                <w:sz w:val="18"/>
                <w:szCs w:val="18"/>
              </w:rPr>
              <w:t>中科金财（上海）</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7" w:right="0"/>
              <w:jc w:val="left"/>
              <w:rPr>
                <w:rFonts w:ascii="Times New Roman" w:hAnsi="Times New Roman" w:cs="Times New Roman" w:eastAsia="Times New Roman" w:hint="default"/>
                <w:sz w:val="18"/>
                <w:szCs w:val="18"/>
              </w:rPr>
            </w:pPr>
            <w:r>
              <w:rPr>
                <w:rFonts w:ascii="Times New Roman"/>
                <w:sz w:val="18"/>
              </w:rPr>
              <w:t>40,000,000.00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67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3"/>
              <w:jc w:val="left"/>
              <w:rPr>
                <w:rFonts w:ascii="宋体" w:hAnsi="宋体" w:cs="宋体" w:eastAsia="宋体" w:hint="default"/>
                <w:sz w:val="18"/>
                <w:szCs w:val="18"/>
              </w:rPr>
            </w:pPr>
            <w:r>
              <w:rPr>
                <w:rFonts w:ascii="宋体" w:hAnsi="宋体" w:cs="宋体" w:eastAsia="宋体" w:hint="default"/>
                <w:sz w:val="18"/>
                <w:szCs w:val="18"/>
              </w:rPr>
              <w:t>互联网金融信息 服务有限公司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北京中科金财互 联网服务有限公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大连金融资产交 易所有限公司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101,852,566.99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101,852,566.99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深圳中金财富互 联网金融服务有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200,210,236.43</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200,210,236.43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深圳前海中科金 财金控投资有限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霍尔果斯金财科 技服务有限公司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中科金财保险经 纪有限公司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香港中科金财科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68,360.37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68,360.37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1,048,876,847.56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594,778,596.80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57,000,000.00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1,586,655,444.36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373"/>
      <w:bookmarkEnd w:id="37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北京中科 金财电子 产品有限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22,995,08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-19,600,0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-2,571,70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-823,378.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中科环嘉 电子商务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1,711,782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-18,436.7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1,693,346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深圳中金 财富互联 网金融服</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17,441,31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-815,731.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-16,625,5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务有限公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北京中关 村互联网 金融信息 服务中心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3,439,228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26,708.69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3,465,937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安粮期货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264,281,0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10.18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11,326,46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-8,457,94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267,149,5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26.17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金网络</w:t>
            </w:r>
          </w:p>
          <w:p>
            <w:pPr>
              <w:pStyle w:val="TableParagraph"/>
              <w:spacing w:line="319"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（北京） 电子商务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14,595,87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-1,889,59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12,706,28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2.33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北京国信 新网通讯 技术有限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136,586.0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5,736,586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安金资产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10,320,58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-109,445.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10,211,13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6.71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北京奥金 智策传媒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2,100,250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-579,818.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1,520,431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深圳市金 方达信息 技术有限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-383,638.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3,816,361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342,485,1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27.65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-19,600,0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7,693,093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-11,029,6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50.98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-17,448,9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63.51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306,299,6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07.14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342,485,1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27.65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-19,600,0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7,693,093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-11,029,6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50.98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-17,448,9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63.51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306,299,6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07.14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营业收入和营业成本" w:id="374"/>
      <w:bookmarkEnd w:id="37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95"/>
        <w:gridCol w:w="1826"/>
        <w:gridCol w:w="1912"/>
        <w:gridCol w:w="1914"/>
        <w:gridCol w:w="1901"/>
      </w:tblGrid>
      <w:tr>
        <w:trPr>
          <w:trHeight w:val="207"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738" w:type="dxa"/>
            <w:gridSpan w:val="2"/>
            <w:vMerge/>
            <w:tcBorders>
              <w:left w:val="single" w:sz="4" w:space="0" w:color="000000"/>
              <w:bottom w:val="single" w:sz="4" w:space="0" w:color="000000"/>
              <w:right w:val="single" w:sz="4" w:space="0" w:color="000000"/>
            </w:tcBorders>
            <w:shd w:val="clear" w:color="auto" w:fill="D2D2D2"/>
          </w:tcPr>
          <w:p>
            <w:pPr/>
          </w:p>
        </w:tc>
        <w:tc>
          <w:tcPr>
            <w:tcW w:w="3815"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收入</w:t>
            </w:r>
          </w:p>
        </w:tc>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26" w:type="dxa"/>
            <w:vMerge/>
            <w:tcBorders>
              <w:left w:val="single" w:sz="4" w:space="0" w:color="000000"/>
              <w:bottom w:val="single" w:sz="4" w:space="0" w:color="000000"/>
              <w:right w:val="single" w:sz="4" w:space="0" w:color="000000"/>
            </w:tcBorders>
            <w:shd w:val="clear" w:color="auto" w:fill="D2D2D2"/>
          </w:tcPr>
          <w:p>
            <w:pPr/>
          </w:p>
        </w:tc>
        <w:tc>
          <w:tcPr>
            <w:tcW w:w="1912"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20" w:right="0"/>
              <w:jc w:val="left"/>
              <w:rPr>
                <w:rFonts w:ascii="Times New Roman" w:hAnsi="Times New Roman" w:cs="Times New Roman" w:eastAsia="Times New Roman" w:hint="default"/>
                <w:sz w:val="18"/>
                <w:szCs w:val="18"/>
              </w:rPr>
            </w:pPr>
            <w:r>
              <w:rPr>
                <w:rFonts w:ascii="Times New Roman"/>
                <w:sz w:val="18"/>
              </w:rPr>
              <w:t>1,090,108,052.41</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834,759,392.06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1" w:right="0"/>
              <w:jc w:val="left"/>
              <w:rPr>
                <w:rFonts w:ascii="Times New Roman" w:hAnsi="Times New Roman" w:cs="Times New Roman" w:eastAsia="Times New Roman" w:hint="default"/>
                <w:sz w:val="18"/>
                <w:szCs w:val="18"/>
              </w:rPr>
            </w:pPr>
            <w:r>
              <w:rPr>
                <w:rFonts w:ascii="Times New Roman"/>
                <w:sz w:val="18"/>
              </w:rPr>
              <w:t>1,132,019,052.78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917,622,420.58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11,581,547.56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11,033,461.55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12,159,919.71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10,252,124.84</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1,101,689,599.97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845,792,853.61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1,144,178,972.49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927,874,545.42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375"/>
      <w:bookmarkEnd w:id="37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4,644,415.46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7,693,093.98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11,720,828.70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2,674,048.88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3,842,547.57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2,722,178.72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36,719,983.46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17,675,700.00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54,453,720.50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33,239,076.27</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六、补充资料" w:id="376"/>
      <w:bookmarkEnd w:id="376"/>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377"/>
      <w:bookmarkEnd w:id="37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736,933.19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9,054,871.43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2,250,179.50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62,332,059.40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235,371.42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10,560,284.32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1,875,976.67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62,173,153.95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before="61"/>
        <w:ind w:left="153" w:right="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说明原因。</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4"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4,114,531.75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1"/>
              <w:jc w:val="both"/>
              <w:rPr>
                <w:rFonts w:ascii="宋体" w:hAnsi="宋体" w:cs="宋体" w:eastAsia="宋体" w:hint="default"/>
                <w:sz w:val="18"/>
                <w:szCs w:val="18"/>
              </w:rPr>
            </w:pPr>
            <w:r>
              <w:rPr>
                <w:rFonts w:ascii="宋体" w:hAnsi="宋体" w:cs="宋体" w:eastAsia="宋体" w:hint="default"/>
                <w:sz w:val="18"/>
                <w:szCs w:val="18"/>
              </w:rPr>
              <w:t>该项政府补助系与公司正常经营业务密 切相关，符合国家政策规定、按照一定 标准定额和定量持续享受的政府补助。</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净资产收益率及每股收益" w:id="378"/>
      <w:bookmarkEnd w:id="37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-0.70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-0.70</w:t>
            </w:r>
            <w:r>
              <w:rPr>
                <w:rFonts w:ascii="Times New Roman"/>
                <w:sz w:val="18"/>
              </w:rPr>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-0.89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-0.89</w:t>
            </w:r>
            <w:r>
              <w:rPr>
                <w:rFonts w:ascii="Times New Roman"/>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其他" w:id="379"/>
      <w:bookmarkEnd w:id="379"/>
      <w:r>
        <w:rPr>
          <w:b w:val="0"/>
          <w:bCs w:val="0"/>
        </w:rPr>
      </w:r>
      <w:r>
        <w:rPr>
          <w:rFonts w:ascii="Times New Roman" w:hAnsi="Times New Roman" w:cs="Times New Roman" w:eastAsia="Times New Roman" w:hint="default"/>
        </w:rPr>
        <w:t>3</w:t>
      </w:r>
      <w:r>
        <w:rPr/>
        <w:t>、其他</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1960"/>
        <w:gridCol w:w="2121"/>
        <w:gridCol w:w="2140"/>
        <w:gridCol w:w="1260"/>
        <w:gridCol w:w="2172"/>
      </w:tblGrid>
      <w:tr>
        <w:trPr>
          <w:trHeight w:val="323"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74" w:right="0"/>
              <w:jc w:val="left"/>
              <w:rPr>
                <w:rFonts w:ascii="宋体" w:hAnsi="宋体" w:cs="宋体" w:eastAsia="宋体" w:hint="default"/>
                <w:sz w:val="20"/>
                <w:szCs w:val="20"/>
              </w:rPr>
            </w:pPr>
            <w:r>
              <w:rPr>
                <w:rFonts w:ascii="宋体" w:hAnsi="宋体" w:cs="宋体" w:eastAsia="宋体" w:hint="default"/>
                <w:b/>
                <w:bCs/>
                <w:sz w:val="20"/>
                <w:szCs w:val="20"/>
              </w:rPr>
              <w:t>报表项目</w:t>
            </w:r>
            <w:r>
              <w:rPr>
                <w:rFonts w:ascii="宋体" w:hAnsi="宋体" w:cs="宋体" w:eastAsia="宋体" w:hint="default"/>
                <w:sz w:val="20"/>
                <w:szCs w:val="20"/>
              </w:rPr>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3"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63" w:right="0"/>
              <w:jc w:val="left"/>
              <w:rPr>
                <w:rFonts w:ascii="宋体" w:hAnsi="宋体" w:cs="宋体" w:eastAsia="宋体" w:hint="default"/>
                <w:sz w:val="20"/>
                <w:szCs w:val="20"/>
              </w:rPr>
            </w:pPr>
            <w:r>
              <w:rPr>
                <w:rFonts w:ascii="宋体" w:hAnsi="宋体" w:cs="宋体" w:eastAsia="宋体" w:hint="default"/>
                <w:b/>
                <w:bCs/>
                <w:sz w:val="20"/>
                <w:szCs w:val="20"/>
              </w:rPr>
              <w:t>期初余额</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3" w:right="0"/>
              <w:jc w:val="left"/>
              <w:rPr>
                <w:rFonts w:ascii="宋体" w:hAnsi="宋体" w:cs="宋体" w:eastAsia="宋体" w:hint="default"/>
                <w:sz w:val="20"/>
                <w:szCs w:val="20"/>
              </w:rPr>
            </w:pPr>
            <w:r>
              <w:rPr>
                <w:rFonts w:ascii="宋体" w:hAnsi="宋体" w:cs="宋体" w:eastAsia="宋体" w:hint="default"/>
                <w:b/>
                <w:bCs/>
                <w:sz w:val="20"/>
                <w:szCs w:val="20"/>
              </w:rPr>
              <w:t>变动比例</w:t>
            </w:r>
            <w:r>
              <w:rPr>
                <w:rFonts w:ascii="宋体" w:hAnsi="宋体" w:cs="宋体" w:eastAsia="宋体" w:hint="default"/>
                <w:sz w:val="20"/>
                <w:szCs w:val="20"/>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77" w:right="0"/>
              <w:jc w:val="left"/>
              <w:rPr>
                <w:rFonts w:ascii="宋体" w:hAnsi="宋体" w:cs="宋体" w:eastAsia="宋体" w:hint="default"/>
                <w:sz w:val="20"/>
                <w:szCs w:val="20"/>
              </w:rPr>
            </w:pPr>
            <w:r>
              <w:rPr>
                <w:rFonts w:ascii="宋体" w:hAnsi="宋体" w:cs="宋体" w:eastAsia="宋体" w:hint="default"/>
                <w:b/>
                <w:bCs/>
                <w:sz w:val="20"/>
                <w:szCs w:val="20"/>
              </w:rPr>
              <w:t>变动原因说明</w:t>
            </w:r>
            <w:r>
              <w:rPr>
                <w:rFonts w:ascii="宋体" w:hAnsi="宋体" w:cs="宋体" w:eastAsia="宋体" w:hint="default"/>
                <w:sz w:val="20"/>
                <w:szCs w:val="20"/>
              </w:rPr>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8,137,514.49</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4"/>
              <w:jc w:val="right"/>
              <w:rPr>
                <w:rFonts w:ascii="宋体" w:hAnsi="宋体" w:cs="宋体" w:eastAsia="宋体" w:hint="default"/>
                <w:sz w:val="20"/>
                <w:szCs w:val="20"/>
              </w:rPr>
            </w:pPr>
            <w:r>
              <w:rPr>
                <w:rFonts w:ascii="宋体"/>
                <w:spacing w:val="-1"/>
                <w:sz w:val="20"/>
              </w:rPr>
              <w:t>15,819,408.67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-48.56%</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主要系部分期初银行</w:t>
            </w:r>
            <w:r>
              <w:rPr>
                <w:rFonts w:ascii="宋体" w:hAnsi="宋体" w:cs="宋体" w:eastAsia="宋体" w:hint="default"/>
                <w:w w:val="100"/>
                <w:sz w:val="20"/>
                <w:szCs w:val="20"/>
              </w:rPr>
              <w:t> </w:t>
            </w:r>
            <w:r>
              <w:rPr>
                <w:rFonts w:ascii="宋体" w:hAnsi="宋体" w:cs="宋体" w:eastAsia="宋体" w:hint="default"/>
                <w:sz w:val="20"/>
                <w:szCs w:val="20"/>
              </w:rPr>
              <w:t>承兑汇票承兑所致。</w:t>
            </w:r>
          </w:p>
        </w:tc>
      </w:tr>
      <w:tr>
        <w:trPr>
          <w:trHeight w:val="946"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305"/>
              <w:jc w:val="right"/>
              <w:rPr>
                <w:rFonts w:ascii="宋体" w:hAnsi="宋体" w:cs="宋体" w:eastAsia="宋体" w:hint="default"/>
                <w:sz w:val="20"/>
                <w:szCs w:val="20"/>
              </w:rPr>
            </w:pPr>
            <w:r>
              <w:rPr>
                <w:rFonts w:ascii="宋体"/>
                <w:spacing w:val="-1"/>
                <w:sz w:val="20"/>
              </w:rPr>
              <w:t>6,159,904.41</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224"/>
              <w:jc w:val="right"/>
              <w:rPr>
                <w:rFonts w:ascii="宋体" w:hAnsi="宋体" w:cs="宋体" w:eastAsia="宋体" w:hint="default"/>
                <w:sz w:val="20"/>
                <w:szCs w:val="20"/>
              </w:rPr>
            </w:pPr>
            <w:r>
              <w:rPr>
                <w:rFonts w:ascii="宋体"/>
                <w:spacing w:val="-1"/>
                <w:sz w:val="20"/>
              </w:rPr>
              <w:t>20,532,649.50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-70.00%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both"/>
              <w:rPr>
                <w:rFonts w:ascii="宋体" w:hAnsi="宋体" w:cs="宋体" w:eastAsia="宋体" w:hint="default"/>
                <w:sz w:val="20"/>
                <w:szCs w:val="20"/>
              </w:rPr>
            </w:pPr>
            <w:r>
              <w:rPr>
                <w:rFonts w:ascii="宋体" w:hAnsi="宋体" w:cs="宋体" w:eastAsia="宋体" w:hint="default"/>
                <w:sz w:val="20"/>
                <w:szCs w:val="20"/>
              </w:rPr>
              <w:t>主要系期初部分预付</w:t>
            </w:r>
            <w:r>
              <w:rPr>
                <w:rFonts w:ascii="宋体" w:hAnsi="宋体" w:cs="宋体" w:eastAsia="宋体" w:hint="default"/>
                <w:w w:val="100"/>
                <w:sz w:val="20"/>
                <w:szCs w:val="20"/>
              </w:rPr>
              <w:t> </w:t>
            </w:r>
            <w:r>
              <w:rPr>
                <w:rFonts w:ascii="宋体" w:hAnsi="宋体" w:cs="宋体" w:eastAsia="宋体" w:hint="default"/>
                <w:sz w:val="20"/>
                <w:szCs w:val="20"/>
              </w:rPr>
              <w:t>账款本期到货入库所</w:t>
            </w:r>
            <w:r>
              <w:rPr>
                <w:rFonts w:ascii="宋体" w:hAnsi="宋体" w:cs="宋体" w:eastAsia="宋体" w:hint="default"/>
                <w:w w:val="100"/>
                <w:sz w:val="20"/>
                <w:szCs w:val="20"/>
              </w:rPr>
              <w:t> </w:t>
            </w:r>
            <w:r>
              <w:rPr>
                <w:rFonts w:ascii="宋体" w:hAnsi="宋体" w:cs="宋体" w:eastAsia="宋体" w:hint="default"/>
                <w:sz w:val="20"/>
                <w:szCs w:val="20"/>
              </w:rPr>
              <w:t>致。</w:t>
            </w:r>
          </w:p>
        </w:tc>
      </w:tr>
      <w:tr>
        <w:trPr>
          <w:trHeight w:val="1571"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305"/>
              <w:jc w:val="right"/>
              <w:rPr>
                <w:rFonts w:ascii="宋体" w:hAnsi="宋体" w:cs="宋体" w:eastAsia="宋体" w:hint="default"/>
                <w:sz w:val="20"/>
                <w:szCs w:val="20"/>
              </w:rPr>
            </w:pPr>
            <w:r>
              <w:rPr>
                <w:rFonts w:ascii="宋体"/>
                <w:spacing w:val="-1"/>
                <w:sz w:val="20"/>
              </w:rPr>
              <w:t>64,796,993.48</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224"/>
              <w:jc w:val="right"/>
              <w:rPr>
                <w:rFonts w:ascii="宋体" w:hAnsi="宋体" w:cs="宋体" w:eastAsia="宋体" w:hint="default"/>
                <w:sz w:val="20"/>
                <w:szCs w:val="20"/>
              </w:rPr>
            </w:pPr>
            <w:r>
              <w:rPr>
                <w:rFonts w:ascii="宋体"/>
                <w:spacing w:val="-1"/>
                <w:sz w:val="20"/>
              </w:rPr>
              <w:t>38,610,879.54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100"/>
              <w:jc w:val="right"/>
              <w:rPr>
                <w:rFonts w:ascii="宋体" w:hAnsi="宋体" w:cs="宋体" w:eastAsia="宋体" w:hint="default"/>
                <w:sz w:val="20"/>
                <w:szCs w:val="20"/>
              </w:rPr>
            </w:pPr>
            <w:r>
              <w:rPr>
                <w:rFonts w:ascii="宋体"/>
                <w:sz w:val="20"/>
              </w:rPr>
              <w:t>67.82%</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z w:val="20"/>
                <w:szCs w:val="20"/>
              </w:rPr>
              <w:t>主要系公司业务开展</w:t>
            </w:r>
            <w:r>
              <w:rPr>
                <w:rFonts w:ascii="宋体" w:hAnsi="宋体" w:cs="宋体" w:eastAsia="宋体" w:hint="default"/>
                <w:w w:val="100"/>
                <w:sz w:val="20"/>
                <w:szCs w:val="20"/>
              </w:rPr>
              <w:t> </w:t>
            </w:r>
            <w:r>
              <w:rPr>
                <w:rFonts w:ascii="宋体" w:hAnsi="宋体" w:cs="宋体" w:eastAsia="宋体" w:hint="default"/>
                <w:spacing w:val="-6"/>
                <w:sz w:val="20"/>
                <w:szCs w:val="20"/>
              </w:rPr>
              <w:t>向客户、招标单位及合</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作单位支付各类保证</w:t>
            </w:r>
            <w:r>
              <w:rPr>
                <w:rFonts w:ascii="宋体" w:hAnsi="宋体" w:cs="宋体" w:eastAsia="宋体" w:hint="default"/>
                <w:w w:val="100"/>
                <w:sz w:val="20"/>
                <w:szCs w:val="20"/>
              </w:rPr>
              <w:t> </w:t>
            </w:r>
            <w:r>
              <w:rPr>
                <w:rFonts w:ascii="宋体" w:hAnsi="宋体" w:cs="宋体" w:eastAsia="宋体" w:hint="default"/>
                <w:sz w:val="20"/>
                <w:szCs w:val="20"/>
              </w:rPr>
              <w:t>金增加及合并范围变</w:t>
            </w:r>
            <w:r>
              <w:rPr>
                <w:rFonts w:ascii="宋体" w:hAnsi="宋体" w:cs="宋体" w:eastAsia="宋体" w:hint="default"/>
                <w:w w:val="100"/>
                <w:sz w:val="20"/>
                <w:szCs w:val="20"/>
              </w:rPr>
              <w:t> </w:t>
            </w:r>
            <w:r>
              <w:rPr>
                <w:rFonts w:ascii="宋体" w:hAnsi="宋体" w:cs="宋体" w:eastAsia="宋体" w:hint="default"/>
                <w:sz w:val="20"/>
                <w:szCs w:val="20"/>
              </w:rPr>
              <w:t>化所致。</w:t>
            </w:r>
          </w:p>
        </w:tc>
      </w:tr>
      <w:tr>
        <w:trPr>
          <w:trHeight w:val="1258"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305"/>
              <w:jc w:val="right"/>
              <w:rPr>
                <w:rFonts w:ascii="宋体" w:hAnsi="宋体" w:cs="宋体" w:eastAsia="宋体" w:hint="default"/>
                <w:sz w:val="20"/>
                <w:szCs w:val="20"/>
              </w:rPr>
            </w:pPr>
            <w:r>
              <w:rPr>
                <w:rFonts w:ascii="宋体"/>
                <w:spacing w:val="-1"/>
                <w:sz w:val="20"/>
              </w:rPr>
              <w:t>458,110,365.52</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23"/>
              <w:jc w:val="right"/>
              <w:rPr>
                <w:rFonts w:ascii="宋体" w:hAnsi="宋体" w:cs="宋体" w:eastAsia="宋体" w:hint="default"/>
                <w:sz w:val="20"/>
                <w:szCs w:val="20"/>
              </w:rPr>
            </w:pPr>
            <w:r>
              <w:rPr>
                <w:rFonts w:ascii="宋体"/>
                <w:spacing w:val="-1"/>
                <w:sz w:val="20"/>
              </w:rPr>
              <w:t>283,664,703.12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20"/>
                <w:szCs w:val="20"/>
              </w:rPr>
            </w:pPr>
            <w:r>
              <w:rPr>
                <w:rFonts w:ascii="宋体"/>
                <w:sz w:val="20"/>
              </w:rPr>
              <w:t>61.50%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both"/>
              <w:rPr>
                <w:rFonts w:ascii="宋体" w:hAnsi="宋体" w:cs="宋体" w:eastAsia="宋体" w:hint="default"/>
                <w:sz w:val="20"/>
                <w:szCs w:val="20"/>
              </w:rPr>
            </w:pPr>
            <w:r>
              <w:rPr>
                <w:rFonts w:ascii="宋体" w:hAnsi="宋体" w:cs="宋体" w:eastAsia="宋体" w:hint="default"/>
                <w:sz w:val="20"/>
                <w:szCs w:val="20"/>
              </w:rPr>
              <w:t>主要系公司因项目需</w:t>
            </w:r>
            <w:r>
              <w:rPr>
                <w:rFonts w:ascii="宋体" w:hAnsi="宋体" w:cs="宋体" w:eastAsia="宋体" w:hint="default"/>
                <w:w w:val="100"/>
                <w:sz w:val="20"/>
                <w:szCs w:val="20"/>
              </w:rPr>
              <w:t> </w:t>
            </w:r>
            <w:r>
              <w:rPr>
                <w:rFonts w:ascii="宋体" w:hAnsi="宋体" w:cs="宋体" w:eastAsia="宋体" w:hint="default"/>
                <w:sz w:val="20"/>
                <w:szCs w:val="20"/>
              </w:rPr>
              <w:t>要购入存货已发出未</w:t>
            </w:r>
            <w:r>
              <w:rPr>
                <w:rFonts w:ascii="宋体" w:hAnsi="宋体" w:cs="宋体" w:eastAsia="宋体" w:hint="default"/>
                <w:w w:val="100"/>
                <w:sz w:val="20"/>
                <w:szCs w:val="20"/>
              </w:rPr>
              <w:t> </w:t>
            </w:r>
            <w:r>
              <w:rPr>
                <w:rFonts w:ascii="宋体" w:hAnsi="宋体" w:cs="宋体" w:eastAsia="宋体" w:hint="default"/>
                <w:sz w:val="20"/>
                <w:szCs w:val="20"/>
              </w:rPr>
              <w:t>完成交付实施及成本</w:t>
            </w:r>
            <w:r>
              <w:rPr>
                <w:rFonts w:ascii="宋体" w:hAnsi="宋体" w:cs="宋体" w:eastAsia="宋体" w:hint="default"/>
                <w:w w:val="100"/>
                <w:sz w:val="20"/>
                <w:szCs w:val="20"/>
              </w:rPr>
              <w:t> </w:t>
            </w:r>
            <w:r>
              <w:rPr>
                <w:rFonts w:ascii="宋体" w:hAnsi="宋体" w:cs="宋体" w:eastAsia="宋体" w:hint="default"/>
                <w:sz w:val="20"/>
                <w:szCs w:val="20"/>
              </w:rPr>
              <w:t>结转所致。</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2,097,788,069.28</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3"/>
              <w:jc w:val="right"/>
              <w:rPr>
                <w:rFonts w:ascii="宋体" w:hAnsi="宋体" w:cs="宋体" w:eastAsia="宋体" w:hint="default"/>
                <w:sz w:val="20"/>
                <w:szCs w:val="20"/>
              </w:rPr>
            </w:pPr>
            <w:r>
              <w:rPr>
                <w:rFonts w:ascii="宋体"/>
                <w:spacing w:val="-1"/>
                <w:sz w:val="20"/>
              </w:rPr>
              <w:t>1,069,916,633.93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z w:val="20"/>
              </w:rPr>
              <w:t>96.07%</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主要系本期合并范围</w:t>
            </w:r>
            <w:r>
              <w:rPr>
                <w:rFonts w:ascii="宋体" w:hAnsi="宋体" w:cs="宋体" w:eastAsia="宋体" w:hint="default"/>
                <w:w w:val="100"/>
                <w:sz w:val="20"/>
                <w:szCs w:val="20"/>
              </w:rPr>
              <w:t> </w:t>
            </w:r>
            <w:r>
              <w:rPr>
                <w:rFonts w:ascii="宋体" w:hAnsi="宋体" w:cs="宋体" w:eastAsia="宋体" w:hint="default"/>
                <w:sz w:val="20"/>
                <w:szCs w:val="20"/>
              </w:rPr>
              <w:t>变化所致。</w:t>
            </w:r>
          </w:p>
        </w:tc>
      </w:tr>
      <w:tr>
        <w:trPr>
          <w:trHeight w:val="63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05"/>
              <w:jc w:val="right"/>
              <w:rPr>
                <w:rFonts w:ascii="宋体" w:hAnsi="宋体" w:cs="宋体" w:eastAsia="宋体" w:hint="default"/>
                <w:sz w:val="20"/>
                <w:szCs w:val="20"/>
              </w:rPr>
            </w:pPr>
            <w:r>
              <w:rPr>
                <w:rFonts w:ascii="宋体"/>
                <w:spacing w:val="-1"/>
                <w:sz w:val="20"/>
              </w:rPr>
              <w:t>3,403,645,721.52</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3"/>
              <w:jc w:val="right"/>
              <w:rPr>
                <w:rFonts w:ascii="宋体" w:hAnsi="宋体" w:cs="宋体" w:eastAsia="宋体" w:hint="default"/>
                <w:sz w:val="20"/>
                <w:szCs w:val="20"/>
              </w:rPr>
            </w:pPr>
            <w:r>
              <w:rPr>
                <w:rFonts w:ascii="宋体"/>
                <w:spacing w:val="-1"/>
                <w:sz w:val="20"/>
              </w:rPr>
              <w:t>2,248,643,054.57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宋体" w:hAnsi="宋体" w:cs="宋体" w:eastAsia="宋体" w:hint="default"/>
                <w:sz w:val="20"/>
                <w:szCs w:val="20"/>
              </w:rPr>
            </w:pPr>
            <w:r>
              <w:rPr>
                <w:rFonts w:ascii="宋体"/>
                <w:sz w:val="20"/>
              </w:rPr>
              <w:t>51.36%</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主要系本期合并范围</w:t>
            </w:r>
            <w:r>
              <w:rPr>
                <w:rFonts w:ascii="宋体" w:hAnsi="宋体" w:cs="宋体" w:eastAsia="宋体" w:hint="default"/>
                <w:w w:val="100"/>
                <w:sz w:val="20"/>
                <w:szCs w:val="20"/>
              </w:rPr>
              <w:t> </w:t>
            </w:r>
            <w:r>
              <w:rPr>
                <w:rFonts w:ascii="宋体" w:hAnsi="宋体" w:cs="宋体" w:eastAsia="宋体" w:hint="default"/>
                <w:sz w:val="20"/>
                <w:szCs w:val="20"/>
              </w:rPr>
              <w:t>变化所致。</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19,248,400.00</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3"/>
              <w:jc w:val="right"/>
              <w:rPr>
                <w:rFonts w:ascii="宋体" w:hAnsi="宋体" w:cs="宋体" w:eastAsia="宋体" w:hint="default"/>
                <w:sz w:val="20"/>
                <w:szCs w:val="20"/>
              </w:rPr>
            </w:pPr>
            <w:r>
              <w:rPr>
                <w:rFonts w:ascii="宋体"/>
                <w:spacing w:val="-1"/>
                <w:sz w:val="20"/>
              </w:rPr>
              <w:t>150,148,400.00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-87.18%</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主要系本期处置部分</w:t>
            </w:r>
            <w:r>
              <w:rPr>
                <w:rFonts w:ascii="宋体" w:hAnsi="宋体" w:cs="宋体" w:eastAsia="宋体" w:hint="default"/>
                <w:w w:val="100"/>
                <w:sz w:val="20"/>
                <w:szCs w:val="20"/>
              </w:rPr>
              <w:t> </w:t>
            </w:r>
            <w:r>
              <w:rPr>
                <w:rFonts w:ascii="宋体" w:hAnsi="宋体" w:cs="宋体" w:eastAsia="宋体" w:hint="default"/>
                <w:sz w:val="20"/>
                <w:szCs w:val="20"/>
              </w:rPr>
              <w:t>股权投资所致。</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05"/>
              <w:jc w:val="right"/>
              <w:rPr>
                <w:rFonts w:ascii="宋体" w:hAnsi="宋体" w:cs="宋体" w:eastAsia="宋体" w:hint="default"/>
                <w:sz w:val="20"/>
                <w:szCs w:val="20"/>
              </w:rPr>
            </w:pPr>
            <w:r>
              <w:rPr>
                <w:rFonts w:ascii="宋体"/>
                <w:spacing w:val="-1"/>
                <w:sz w:val="20"/>
              </w:rPr>
              <w:t>28,697,969.27</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4"/>
              <w:jc w:val="right"/>
              <w:rPr>
                <w:rFonts w:ascii="宋体" w:hAnsi="宋体" w:cs="宋体" w:eastAsia="宋体" w:hint="default"/>
                <w:sz w:val="20"/>
                <w:szCs w:val="20"/>
              </w:rPr>
            </w:pPr>
            <w:r>
              <w:rPr>
                <w:rFonts w:ascii="宋体"/>
                <w:spacing w:val="-1"/>
                <w:sz w:val="20"/>
              </w:rPr>
              <w:t>45,318,385.37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宋体" w:hAnsi="宋体" w:cs="宋体" w:eastAsia="宋体" w:hint="default"/>
                <w:sz w:val="20"/>
                <w:szCs w:val="20"/>
              </w:rPr>
            </w:pPr>
            <w:r>
              <w:rPr>
                <w:rFonts w:ascii="宋体"/>
                <w:spacing w:val="-1"/>
                <w:sz w:val="20"/>
              </w:rPr>
              <w:t>-36.67%</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主要系期初固定资产</w:t>
            </w:r>
            <w:r>
              <w:rPr>
                <w:rFonts w:ascii="宋体" w:hAnsi="宋体" w:cs="宋体" w:eastAsia="宋体" w:hint="default"/>
                <w:w w:val="100"/>
                <w:sz w:val="20"/>
                <w:szCs w:val="20"/>
              </w:rPr>
              <w:t> </w:t>
            </w:r>
            <w:r>
              <w:rPr>
                <w:rFonts w:ascii="宋体" w:hAnsi="宋体" w:cs="宋体" w:eastAsia="宋体" w:hint="default"/>
                <w:sz w:val="20"/>
                <w:szCs w:val="20"/>
              </w:rPr>
              <w:t>正常计提折旧所致。</w:t>
            </w:r>
          </w:p>
        </w:tc>
      </w:tr>
      <w:tr>
        <w:trPr>
          <w:trHeight w:val="63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05"/>
              <w:jc w:val="right"/>
              <w:rPr>
                <w:rFonts w:ascii="宋体" w:hAnsi="宋体" w:cs="宋体" w:eastAsia="宋体" w:hint="default"/>
                <w:sz w:val="20"/>
                <w:szCs w:val="20"/>
              </w:rPr>
            </w:pPr>
            <w:r>
              <w:rPr>
                <w:rFonts w:ascii="宋体"/>
                <w:spacing w:val="-1"/>
                <w:sz w:val="20"/>
              </w:rPr>
              <w:t>76,282.04</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3"/>
              <w:jc w:val="right"/>
              <w:rPr>
                <w:rFonts w:ascii="宋体" w:hAnsi="宋体" w:cs="宋体" w:eastAsia="宋体" w:hint="default"/>
                <w:sz w:val="20"/>
                <w:szCs w:val="20"/>
              </w:rPr>
            </w:pPr>
            <w:r>
              <w:rPr>
                <w:rFonts w:ascii="宋体"/>
                <w:spacing w:val="-1"/>
                <w:sz w:val="20"/>
              </w:rPr>
              <w:t>1,075,348.71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宋体" w:hAnsi="宋体" w:cs="宋体" w:eastAsia="宋体" w:hint="default"/>
                <w:sz w:val="20"/>
                <w:szCs w:val="20"/>
              </w:rPr>
            </w:pPr>
            <w:r>
              <w:rPr>
                <w:rFonts w:ascii="宋体"/>
                <w:spacing w:val="-1"/>
                <w:sz w:val="20"/>
              </w:rPr>
              <w:t>-92.91%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主要系期初在建工程</w:t>
            </w:r>
            <w:r>
              <w:rPr>
                <w:rFonts w:ascii="宋体" w:hAnsi="宋体" w:cs="宋体" w:eastAsia="宋体" w:hint="default"/>
                <w:w w:val="100"/>
                <w:sz w:val="20"/>
                <w:szCs w:val="20"/>
              </w:rPr>
              <w:t> </w:t>
            </w:r>
            <w:r>
              <w:rPr>
                <w:rFonts w:ascii="宋体" w:hAnsi="宋体" w:cs="宋体" w:eastAsia="宋体" w:hint="default"/>
                <w:sz w:val="20"/>
                <w:szCs w:val="20"/>
              </w:rPr>
              <w:t>转入无形资产所致。</w:t>
            </w:r>
          </w:p>
        </w:tc>
      </w:tr>
    </w:tbl>
    <w:p>
      <w:pPr>
        <w:spacing w:after="0" w:line="285"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1960"/>
        <w:gridCol w:w="2121"/>
        <w:gridCol w:w="2140"/>
        <w:gridCol w:w="1260"/>
        <w:gridCol w:w="2172"/>
      </w:tblGrid>
      <w:tr>
        <w:trPr>
          <w:trHeight w:val="629" w:hRule="exact"/>
        </w:trPr>
        <w:tc>
          <w:tcPr>
            <w:tcW w:w="1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1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77,938,706.58</w:t>
            </w:r>
          </w:p>
        </w:tc>
        <w:tc>
          <w:tcPr>
            <w:tcW w:w="21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0"/>
              <w:ind w:right="223"/>
              <w:jc w:val="right"/>
              <w:rPr>
                <w:rFonts w:ascii="宋体" w:hAnsi="宋体" w:cs="宋体" w:eastAsia="宋体" w:hint="default"/>
                <w:sz w:val="20"/>
                <w:szCs w:val="20"/>
              </w:rPr>
            </w:pPr>
            <w:r>
              <w:rPr>
                <w:rFonts w:ascii="宋体"/>
                <w:spacing w:val="-1"/>
                <w:sz w:val="20"/>
              </w:rPr>
              <w:t>116,032,496.38</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-32.83%</w:t>
            </w:r>
          </w:p>
        </w:tc>
        <w:tc>
          <w:tcPr>
            <w:tcW w:w="2172"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主要系期初无形资产</w:t>
            </w:r>
            <w:r>
              <w:rPr>
                <w:rFonts w:ascii="宋体" w:hAnsi="宋体" w:cs="宋体" w:eastAsia="宋体" w:hint="default"/>
                <w:w w:val="100"/>
                <w:sz w:val="20"/>
                <w:szCs w:val="20"/>
              </w:rPr>
              <w:t> </w:t>
            </w:r>
            <w:r>
              <w:rPr>
                <w:rFonts w:ascii="宋体" w:hAnsi="宋体" w:cs="宋体" w:eastAsia="宋体" w:hint="default"/>
                <w:sz w:val="20"/>
                <w:szCs w:val="20"/>
              </w:rPr>
              <w:t>正常计提摊销所致。</w:t>
            </w:r>
          </w:p>
        </w:tc>
      </w:tr>
      <w:tr>
        <w:trPr>
          <w:trHeight w:val="946"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305"/>
              <w:jc w:val="right"/>
              <w:rPr>
                <w:rFonts w:ascii="宋体" w:hAnsi="宋体" w:cs="宋体" w:eastAsia="宋体" w:hint="default"/>
                <w:sz w:val="20"/>
                <w:szCs w:val="20"/>
              </w:rPr>
            </w:pPr>
            <w:r>
              <w:rPr>
                <w:rFonts w:ascii="宋体"/>
                <w:spacing w:val="-1"/>
                <w:sz w:val="20"/>
              </w:rPr>
              <w:t>42,594,598.91</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4"/>
              <w:jc w:val="right"/>
              <w:rPr>
                <w:rFonts w:ascii="宋体" w:hAnsi="宋体" w:cs="宋体" w:eastAsia="宋体" w:hint="default"/>
                <w:sz w:val="20"/>
                <w:szCs w:val="20"/>
              </w:rPr>
            </w:pPr>
            <w:r>
              <w:rPr>
                <w:rFonts w:ascii="宋体"/>
                <w:spacing w:val="-1"/>
                <w:sz w:val="20"/>
              </w:rPr>
              <w:t>19,258,498.39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121.17%</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both"/>
              <w:rPr>
                <w:rFonts w:ascii="宋体" w:hAnsi="宋体" w:cs="宋体" w:eastAsia="宋体" w:hint="default"/>
                <w:sz w:val="20"/>
                <w:szCs w:val="20"/>
              </w:rPr>
            </w:pPr>
            <w:r>
              <w:rPr>
                <w:rFonts w:ascii="宋体" w:hAnsi="宋体" w:cs="宋体" w:eastAsia="宋体" w:hint="default"/>
                <w:sz w:val="20"/>
                <w:szCs w:val="20"/>
              </w:rPr>
              <w:t>主要系本期开展产品</w:t>
            </w:r>
            <w:r>
              <w:rPr>
                <w:rFonts w:ascii="宋体" w:hAnsi="宋体" w:cs="宋体" w:eastAsia="宋体" w:hint="default"/>
                <w:w w:val="100"/>
                <w:sz w:val="20"/>
                <w:szCs w:val="20"/>
              </w:rPr>
              <w:t> </w:t>
            </w:r>
            <w:r>
              <w:rPr>
                <w:rFonts w:ascii="宋体" w:hAnsi="宋体" w:cs="宋体" w:eastAsia="宋体" w:hint="default"/>
                <w:sz w:val="20"/>
                <w:szCs w:val="20"/>
              </w:rPr>
              <w:t>及研发项目开发投入</w:t>
            </w:r>
            <w:r>
              <w:rPr>
                <w:rFonts w:ascii="宋体" w:hAnsi="宋体" w:cs="宋体" w:eastAsia="宋体" w:hint="default"/>
                <w:w w:val="100"/>
                <w:sz w:val="20"/>
                <w:szCs w:val="20"/>
              </w:rPr>
              <w:t> </w:t>
            </w:r>
            <w:r>
              <w:rPr>
                <w:rFonts w:ascii="宋体" w:hAnsi="宋体" w:cs="宋体" w:eastAsia="宋体" w:hint="default"/>
                <w:sz w:val="20"/>
                <w:szCs w:val="20"/>
              </w:rPr>
              <w:t>所致。</w:t>
            </w:r>
          </w:p>
        </w:tc>
      </w:tr>
      <w:tr>
        <w:trPr>
          <w:trHeight w:val="63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05"/>
              <w:jc w:val="right"/>
              <w:rPr>
                <w:rFonts w:ascii="宋体" w:hAnsi="宋体" w:cs="宋体" w:eastAsia="宋体" w:hint="default"/>
                <w:sz w:val="20"/>
                <w:szCs w:val="20"/>
              </w:rPr>
            </w:pPr>
            <w:r>
              <w:rPr>
                <w:rFonts w:ascii="宋体"/>
                <w:spacing w:val="-1"/>
                <w:sz w:val="20"/>
              </w:rPr>
              <w:t>328,615,904.09</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3"/>
              <w:jc w:val="right"/>
              <w:rPr>
                <w:rFonts w:ascii="宋体" w:hAnsi="宋体" w:cs="宋体" w:eastAsia="宋体" w:hint="default"/>
                <w:sz w:val="20"/>
                <w:szCs w:val="20"/>
              </w:rPr>
            </w:pPr>
            <w:r>
              <w:rPr>
                <w:rFonts w:ascii="宋体"/>
                <w:spacing w:val="-1"/>
                <w:sz w:val="20"/>
              </w:rPr>
              <w:t>696,991,143.95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宋体" w:hAnsi="宋体" w:cs="宋体" w:eastAsia="宋体" w:hint="default"/>
                <w:sz w:val="20"/>
                <w:szCs w:val="20"/>
              </w:rPr>
            </w:pPr>
            <w:r>
              <w:rPr>
                <w:rFonts w:ascii="宋体"/>
                <w:spacing w:val="-1"/>
                <w:sz w:val="20"/>
              </w:rPr>
              <w:t>-52.85%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主要系计提商誉减值</w:t>
            </w:r>
            <w:r>
              <w:rPr>
                <w:rFonts w:ascii="宋体" w:hAnsi="宋体" w:cs="宋体" w:eastAsia="宋体" w:hint="default"/>
                <w:w w:val="100"/>
                <w:sz w:val="20"/>
                <w:szCs w:val="20"/>
              </w:rPr>
              <w:t> </w:t>
            </w:r>
            <w:r>
              <w:rPr>
                <w:rFonts w:ascii="宋体" w:hAnsi="宋体" w:cs="宋体" w:eastAsia="宋体" w:hint="default"/>
                <w:sz w:val="20"/>
                <w:szCs w:val="20"/>
              </w:rPr>
              <w:t>所致。</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1,557,866.93</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3"/>
              <w:jc w:val="right"/>
              <w:rPr>
                <w:rFonts w:ascii="宋体" w:hAnsi="宋体" w:cs="宋体" w:eastAsia="宋体" w:hint="default"/>
                <w:sz w:val="20"/>
                <w:szCs w:val="20"/>
              </w:rPr>
            </w:pPr>
            <w:r>
              <w:rPr>
                <w:rFonts w:ascii="宋体"/>
                <w:spacing w:val="-1"/>
                <w:sz w:val="20"/>
              </w:rPr>
              <w:t>3,913,919.15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-60.20%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主要系期初装修费本</w:t>
            </w:r>
            <w:r>
              <w:rPr>
                <w:rFonts w:ascii="宋体" w:hAnsi="宋体" w:cs="宋体" w:eastAsia="宋体" w:hint="default"/>
                <w:w w:val="100"/>
                <w:sz w:val="20"/>
                <w:szCs w:val="20"/>
              </w:rPr>
              <w:t> </w:t>
            </w:r>
            <w:r>
              <w:rPr>
                <w:rFonts w:ascii="宋体" w:hAnsi="宋体" w:cs="宋体" w:eastAsia="宋体" w:hint="default"/>
                <w:sz w:val="20"/>
                <w:szCs w:val="20"/>
              </w:rPr>
              <w:t>期摊销所致。</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322,990,025.18</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4"/>
              <w:jc w:val="right"/>
              <w:rPr>
                <w:rFonts w:ascii="宋体" w:hAnsi="宋体" w:cs="宋体" w:eastAsia="宋体" w:hint="default"/>
                <w:sz w:val="20"/>
                <w:szCs w:val="20"/>
              </w:rPr>
            </w:pPr>
            <w:r>
              <w:rPr>
                <w:rFonts w:ascii="宋体"/>
                <w:spacing w:val="-1"/>
                <w:sz w:val="20"/>
              </w:rPr>
              <w:t>14,036,112.82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2201.14%</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主要系本期合并范围</w:t>
            </w:r>
            <w:r>
              <w:rPr>
                <w:rFonts w:ascii="宋体" w:hAnsi="宋体" w:cs="宋体" w:eastAsia="宋体" w:hint="default"/>
                <w:w w:val="100"/>
                <w:sz w:val="20"/>
                <w:szCs w:val="20"/>
              </w:rPr>
              <w:t> </w:t>
            </w:r>
            <w:r>
              <w:rPr>
                <w:rFonts w:ascii="宋体" w:hAnsi="宋体" w:cs="宋体" w:eastAsia="宋体" w:hint="default"/>
                <w:sz w:val="20"/>
                <w:szCs w:val="20"/>
              </w:rPr>
              <w:t>变化所致。</w:t>
            </w:r>
          </w:p>
        </w:tc>
      </w:tr>
      <w:tr>
        <w:trPr>
          <w:trHeight w:val="947"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305"/>
              <w:jc w:val="right"/>
              <w:rPr>
                <w:rFonts w:ascii="宋体" w:hAnsi="宋体" w:cs="宋体" w:eastAsia="宋体" w:hint="default"/>
                <w:sz w:val="20"/>
                <w:szCs w:val="20"/>
              </w:rPr>
            </w:pPr>
            <w:r>
              <w:rPr>
                <w:rFonts w:ascii="宋体"/>
                <w:spacing w:val="-1"/>
                <w:sz w:val="20"/>
              </w:rPr>
              <w:t>270,960,365.89</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23"/>
              <w:jc w:val="right"/>
              <w:rPr>
                <w:rFonts w:ascii="宋体" w:hAnsi="宋体" w:cs="宋体" w:eastAsia="宋体" w:hint="default"/>
                <w:sz w:val="20"/>
                <w:szCs w:val="20"/>
              </w:rPr>
            </w:pPr>
            <w:r>
              <w:rPr>
                <w:rFonts w:ascii="宋体"/>
                <w:spacing w:val="-1"/>
                <w:sz w:val="20"/>
              </w:rPr>
              <w:t>4,020,000.00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6640.31%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both"/>
              <w:rPr>
                <w:rFonts w:ascii="宋体" w:hAnsi="宋体" w:cs="宋体" w:eastAsia="宋体" w:hint="default"/>
                <w:sz w:val="20"/>
                <w:szCs w:val="20"/>
              </w:rPr>
            </w:pPr>
            <w:r>
              <w:rPr>
                <w:rFonts w:ascii="宋体" w:hAnsi="宋体" w:cs="宋体" w:eastAsia="宋体" w:hint="default"/>
                <w:sz w:val="20"/>
                <w:szCs w:val="20"/>
              </w:rPr>
              <w:t>主要系因业务发展需</w:t>
            </w:r>
            <w:r>
              <w:rPr>
                <w:rFonts w:ascii="宋体" w:hAnsi="宋体" w:cs="宋体" w:eastAsia="宋体" w:hint="default"/>
                <w:w w:val="100"/>
                <w:sz w:val="20"/>
                <w:szCs w:val="20"/>
              </w:rPr>
              <w:t> </w:t>
            </w:r>
            <w:r>
              <w:rPr>
                <w:rFonts w:ascii="宋体" w:hAnsi="宋体" w:cs="宋体" w:eastAsia="宋体" w:hint="default"/>
                <w:sz w:val="20"/>
                <w:szCs w:val="20"/>
              </w:rPr>
              <w:t>要增加银行短期借款</w:t>
            </w:r>
            <w:r>
              <w:rPr>
                <w:rFonts w:ascii="宋体" w:hAnsi="宋体" w:cs="宋体" w:eastAsia="宋体" w:hint="default"/>
                <w:w w:val="100"/>
                <w:sz w:val="20"/>
                <w:szCs w:val="20"/>
              </w:rPr>
              <w:t> </w:t>
            </w:r>
            <w:r>
              <w:rPr>
                <w:rFonts w:ascii="宋体" w:hAnsi="宋体" w:cs="宋体" w:eastAsia="宋体" w:hint="default"/>
                <w:sz w:val="20"/>
                <w:szCs w:val="20"/>
              </w:rPr>
              <w:t>所致。</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450,000.00</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3"/>
              <w:jc w:val="right"/>
              <w:rPr>
                <w:rFonts w:ascii="宋体" w:hAnsi="宋体" w:cs="宋体" w:eastAsia="宋体" w:hint="default"/>
                <w:sz w:val="20"/>
                <w:szCs w:val="20"/>
              </w:rPr>
            </w:pPr>
            <w:r>
              <w:rPr>
                <w:rFonts w:ascii="宋体"/>
                <w:spacing w:val="-1"/>
                <w:sz w:val="20"/>
              </w:rPr>
              <w:t>700,000.00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-35.71%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主要系部分期初银行</w:t>
            </w:r>
            <w:r>
              <w:rPr>
                <w:rFonts w:ascii="宋体" w:hAnsi="宋体" w:cs="宋体" w:eastAsia="宋体" w:hint="default"/>
                <w:w w:val="100"/>
                <w:sz w:val="20"/>
                <w:szCs w:val="20"/>
              </w:rPr>
              <w:t> </w:t>
            </w:r>
            <w:r>
              <w:rPr>
                <w:rFonts w:ascii="宋体" w:hAnsi="宋体" w:cs="宋体" w:eastAsia="宋体" w:hint="default"/>
                <w:sz w:val="20"/>
                <w:szCs w:val="20"/>
              </w:rPr>
              <w:t>承兑汇票承兑所致。</w:t>
            </w:r>
          </w:p>
        </w:tc>
      </w:tr>
      <w:tr>
        <w:trPr>
          <w:trHeight w:val="946"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305"/>
              <w:jc w:val="right"/>
              <w:rPr>
                <w:rFonts w:ascii="宋体" w:hAnsi="宋体" w:cs="宋体" w:eastAsia="宋体" w:hint="default"/>
                <w:sz w:val="20"/>
                <w:szCs w:val="20"/>
              </w:rPr>
            </w:pPr>
            <w:r>
              <w:rPr>
                <w:rFonts w:ascii="宋体"/>
                <w:spacing w:val="-1"/>
                <w:sz w:val="20"/>
              </w:rPr>
              <w:t>272,518,102.26</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3"/>
              <w:jc w:val="right"/>
              <w:rPr>
                <w:rFonts w:ascii="宋体" w:hAnsi="宋体" w:cs="宋体" w:eastAsia="宋体" w:hint="default"/>
                <w:sz w:val="20"/>
                <w:szCs w:val="20"/>
              </w:rPr>
            </w:pPr>
            <w:r>
              <w:rPr>
                <w:rFonts w:ascii="宋体"/>
                <w:spacing w:val="-1"/>
                <w:sz w:val="20"/>
              </w:rPr>
              <w:t>162,404,314.69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z w:val="20"/>
              </w:rPr>
              <w:t>67.80%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both"/>
              <w:rPr>
                <w:rFonts w:ascii="宋体" w:hAnsi="宋体" w:cs="宋体" w:eastAsia="宋体" w:hint="default"/>
                <w:sz w:val="20"/>
                <w:szCs w:val="20"/>
              </w:rPr>
            </w:pPr>
            <w:r>
              <w:rPr>
                <w:rFonts w:ascii="宋体" w:hAnsi="宋体" w:cs="宋体" w:eastAsia="宋体" w:hint="default"/>
                <w:sz w:val="20"/>
                <w:szCs w:val="20"/>
              </w:rPr>
              <w:t>主要系公司采购存货</w:t>
            </w:r>
            <w:r>
              <w:rPr>
                <w:rFonts w:ascii="宋体" w:hAnsi="宋体" w:cs="宋体" w:eastAsia="宋体" w:hint="default"/>
                <w:w w:val="100"/>
                <w:sz w:val="20"/>
                <w:szCs w:val="20"/>
              </w:rPr>
              <w:t> </w:t>
            </w:r>
            <w:r>
              <w:rPr>
                <w:rFonts w:ascii="宋体" w:hAnsi="宋体" w:cs="宋体" w:eastAsia="宋体" w:hint="default"/>
                <w:sz w:val="20"/>
                <w:szCs w:val="20"/>
              </w:rPr>
              <w:t>及商品未到合同约定</w:t>
            </w:r>
            <w:r>
              <w:rPr>
                <w:rFonts w:ascii="宋体" w:hAnsi="宋体" w:cs="宋体" w:eastAsia="宋体" w:hint="default"/>
                <w:w w:val="100"/>
                <w:sz w:val="20"/>
                <w:szCs w:val="20"/>
              </w:rPr>
              <w:t> </w:t>
            </w:r>
            <w:r>
              <w:rPr>
                <w:rFonts w:ascii="宋体" w:hAnsi="宋体" w:cs="宋体" w:eastAsia="宋体" w:hint="default"/>
                <w:sz w:val="20"/>
                <w:szCs w:val="20"/>
              </w:rPr>
              <w:t>付款期所致。</w:t>
            </w:r>
          </w:p>
        </w:tc>
      </w:tr>
      <w:tr>
        <w:trPr>
          <w:trHeight w:val="63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05"/>
              <w:jc w:val="right"/>
              <w:rPr>
                <w:rFonts w:ascii="宋体" w:hAnsi="宋体" w:cs="宋体" w:eastAsia="宋体" w:hint="default"/>
                <w:sz w:val="20"/>
                <w:szCs w:val="20"/>
              </w:rPr>
            </w:pPr>
            <w:r>
              <w:rPr>
                <w:rFonts w:ascii="宋体"/>
                <w:spacing w:val="-1"/>
                <w:sz w:val="20"/>
              </w:rPr>
              <w:t>9,965,860.99</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4"/>
              <w:jc w:val="right"/>
              <w:rPr>
                <w:rFonts w:ascii="宋体" w:hAnsi="宋体" w:cs="宋体" w:eastAsia="宋体" w:hint="default"/>
                <w:sz w:val="20"/>
                <w:szCs w:val="20"/>
              </w:rPr>
            </w:pPr>
            <w:r>
              <w:rPr>
                <w:rFonts w:ascii="宋体"/>
                <w:spacing w:val="-1"/>
                <w:sz w:val="20"/>
              </w:rPr>
              <w:t>23,398,325.46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宋体" w:hAnsi="宋体" w:cs="宋体" w:eastAsia="宋体" w:hint="default"/>
                <w:sz w:val="20"/>
                <w:szCs w:val="20"/>
              </w:rPr>
            </w:pPr>
            <w:r>
              <w:rPr>
                <w:rFonts w:ascii="宋体"/>
                <w:spacing w:val="-1"/>
                <w:sz w:val="20"/>
              </w:rPr>
              <w:t>-57.41%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主要系期末计提应付</w:t>
            </w:r>
            <w:r>
              <w:rPr>
                <w:rFonts w:ascii="宋体" w:hAnsi="宋体" w:cs="宋体" w:eastAsia="宋体" w:hint="default"/>
                <w:w w:val="100"/>
                <w:sz w:val="20"/>
                <w:szCs w:val="20"/>
              </w:rPr>
              <w:t> </w:t>
            </w:r>
            <w:r>
              <w:rPr>
                <w:rFonts w:ascii="宋体" w:hAnsi="宋体" w:cs="宋体" w:eastAsia="宋体" w:hint="default"/>
                <w:sz w:val="20"/>
                <w:szCs w:val="20"/>
              </w:rPr>
              <w:t>职工薪酬减少所致。</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05"/>
              <w:jc w:val="right"/>
              <w:rPr>
                <w:rFonts w:ascii="宋体" w:hAnsi="宋体" w:cs="宋体" w:eastAsia="宋体" w:hint="default"/>
                <w:sz w:val="20"/>
                <w:szCs w:val="20"/>
              </w:rPr>
            </w:pPr>
            <w:r>
              <w:rPr>
                <w:rFonts w:ascii="宋体"/>
                <w:spacing w:val="-1"/>
                <w:sz w:val="20"/>
              </w:rPr>
              <w:t>155,095,955.99</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4"/>
              <w:jc w:val="right"/>
              <w:rPr>
                <w:rFonts w:ascii="宋体" w:hAnsi="宋体" w:cs="宋体" w:eastAsia="宋体" w:hint="default"/>
                <w:sz w:val="20"/>
                <w:szCs w:val="20"/>
              </w:rPr>
            </w:pPr>
            <w:r>
              <w:rPr>
                <w:rFonts w:ascii="宋体"/>
                <w:spacing w:val="-1"/>
                <w:sz w:val="20"/>
              </w:rPr>
              <w:t>46,595,507.53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20"/>
                <w:szCs w:val="20"/>
              </w:rPr>
            </w:pPr>
            <w:r>
              <w:rPr>
                <w:rFonts w:ascii="宋体"/>
                <w:spacing w:val="-1"/>
                <w:sz w:val="20"/>
              </w:rPr>
              <w:t>232.86%</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主要系业务保证金及</w:t>
            </w:r>
            <w:r>
              <w:rPr>
                <w:rFonts w:ascii="宋体" w:hAnsi="宋体" w:cs="宋体" w:eastAsia="宋体" w:hint="default"/>
                <w:w w:val="100"/>
                <w:sz w:val="20"/>
                <w:szCs w:val="20"/>
              </w:rPr>
              <w:t> </w:t>
            </w:r>
            <w:r>
              <w:rPr>
                <w:rFonts w:ascii="宋体" w:hAnsi="宋体" w:cs="宋体" w:eastAsia="宋体" w:hint="default"/>
                <w:sz w:val="20"/>
                <w:szCs w:val="20"/>
              </w:rPr>
              <w:t>代管资金增加所致。</w:t>
            </w:r>
          </w:p>
        </w:tc>
      </w:tr>
      <w:tr>
        <w:trPr>
          <w:trHeight w:val="1258"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一年内到期的非流</w:t>
            </w:r>
            <w:r>
              <w:rPr>
                <w:rFonts w:ascii="宋体" w:hAnsi="宋体" w:cs="宋体" w:eastAsia="宋体" w:hint="default"/>
                <w:w w:val="100"/>
                <w:sz w:val="20"/>
                <w:szCs w:val="20"/>
              </w:rPr>
              <w:t> </w:t>
            </w:r>
            <w:r>
              <w:rPr>
                <w:rFonts w:ascii="宋体" w:hAnsi="宋体" w:cs="宋体" w:eastAsia="宋体" w:hint="default"/>
                <w:sz w:val="20"/>
                <w:szCs w:val="20"/>
              </w:rPr>
              <w:t>动负债</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305"/>
              <w:jc w:val="right"/>
              <w:rPr>
                <w:rFonts w:ascii="宋体" w:hAnsi="宋体" w:cs="宋体" w:eastAsia="宋体" w:hint="default"/>
                <w:sz w:val="20"/>
                <w:szCs w:val="20"/>
              </w:rPr>
            </w:pPr>
            <w:r>
              <w:rPr>
                <w:rFonts w:ascii="宋体"/>
                <w:spacing w:val="-1"/>
                <w:sz w:val="20"/>
              </w:rPr>
              <w:t>280,137,562.92</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424"/>
              <w:jc w:val="right"/>
              <w:rPr>
                <w:rFonts w:ascii="宋体" w:hAnsi="宋体" w:cs="宋体" w:eastAsia="宋体" w:hint="default"/>
                <w:sz w:val="20"/>
                <w:szCs w:val="20"/>
              </w:rPr>
            </w:pPr>
            <w:r>
              <w:rPr>
                <w:rFonts w:ascii="宋体"/>
                <w:w w:val="100"/>
                <w:sz w:val="20"/>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100.00%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z w:val="20"/>
                <w:szCs w:val="20"/>
              </w:rPr>
              <w:t>主要系将</w:t>
            </w:r>
            <w:r>
              <w:rPr>
                <w:rFonts w:ascii="宋体" w:hAnsi="宋体" w:cs="宋体" w:eastAsia="宋体" w:hint="default"/>
                <w:spacing w:val="-74"/>
                <w:sz w:val="20"/>
                <w:szCs w:val="20"/>
              </w:rPr>
              <w:t> </w:t>
            </w:r>
            <w:r>
              <w:rPr>
                <w:rFonts w:ascii="宋体" w:hAnsi="宋体" w:cs="宋体" w:eastAsia="宋体" w:hint="default"/>
                <w:sz w:val="20"/>
                <w:szCs w:val="20"/>
              </w:rPr>
              <w:t>1</w:t>
            </w:r>
            <w:r>
              <w:rPr>
                <w:rFonts w:ascii="宋体" w:hAnsi="宋体" w:cs="宋体" w:eastAsia="宋体" w:hint="default"/>
                <w:spacing w:val="-73"/>
                <w:sz w:val="20"/>
                <w:szCs w:val="20"/>
              </w:rPr>
              <w:t> </w:t>
            </w:r>
            <w:r>
              <w:rPr>
                <w:rFonts w:ascii="宋体" w:hAnsi="宋体" w:cs="宋体" w:eastAsia="宋体" w:hint="default"/>
                <w:sz w:val="20"/>
                <w:szCs w:val="20"/>
              </w:rPr>
              <w:t>年内到期的</w:t>
            </w:r>
            <w:r>
              <w:rPr>
                <w:rFonts w:ascii="宋体" w:hAnsi="宋体" w:cs="宋体" w:eastAsia="宋体" w:hint="default"/>
                <w:w w:val="100"/>
                <w:sz w:val="20"/>
                <w:szCs w:val="20"/>
              </w:rPr>
              <w:t> </w:t>
            </w:r>
            <w:r>
              <w:rPr>
                <w:rFonts w:ascii="宋体" w:hAnsi="宋体" w:cs="宋体" w:eastAsia="宋体" w:hint="default"/>
                <w:sz w:val="20"/>
                <w:szCs w:val="20"/>
              </w:rPr>
              <w:t>应付债券重分类至一</w:t>
            </w:r>
            <w:r>
              <w:rPr>
                <w:rFonts w:ascii="宋体" w:hAnsi="宋体" w:cs="宋体" w:eastAsia="宋体" w:hint="default"/>
                <w:w w:val="100"/>
                <w:sz w:val="20"/>
                <w:szCs w:val="20"/>
              </w:rPr>
              <w:t> </w:t>
            </w:r>
            <w:r>
              <w:rPr>
                <w:rFonts w:ascii="宋体" w:hAnsi="宋体" w:cs="宋体" w:eastAsia="宋体" w:hint="default"/>
                <w:sz w:val="20"/>
                <w:szCs w:val="20"/>
              </w:rPr>
              <w:t>年内到期的非流动负</w:t>
            </w:r>
            <w:r>
              <w:rPr>
                <w:rFonts w:ascii="宋体" w:hAnsi="宋体" w:cs="宋体" w:eastAsia="宋体" w:hint="default"/>
                <w:w w:val="100"/>
                <w:sz w:val="20"/>
                <w:szCs w:val="20"/>
              </w:rPr>
              <w:t> </w:t>
            </w:r>
            <w:r>
              <w:rPr>
                <w:rFonts w:ascii="宋体" w:hAnsi="宋体" w:cs="宋体" w:eastAsia="宋体" w:hint="default"/>
                <w:sz w:val="20"/>
                <w:szCs w:val="20"/>
              </w:rPr>
              <w:t>债所致。</w:t>
            </w:r>
          </w:p>
        </w:tc>
      </w:tr>
      <w:tr>
        <w:trPr>
          <w:trHeight w:val="63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05"/>
              <w:jc w:val="right"/>
              <w:rPr>
                <w:rFonts w:ascii="宋体" w:hAnsi="宋体" w:cs="宋体" w:eastAsia="宋体" w:hint="default"/>
                <w:sz w:val="20"/>
                <w:szCs w:val="20"/>
              </w:rPr>
            </w:pPr>
            <w:r>
              <w:rPr>
                <w:rFonts w:ascii="宋体"/>
                <w:spacing w:val="-1"/>
                <w:sz w:val="20"/>
              </w:rPr>
              <w:t>550,595,620.43</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4"/>
              <w:jc w:val="right"/>
              <w:rPr>
                <w:rFonts w:ascii="宋体" w:hAnsi="宋体" w:cs="宋体" w:eastAsia="宋体" w:hint="default"/>
                <w:sz w:val="20"/>
                <w:szCs w:val="20"/>
              </w:rPr>
            </w:pPr>
            <w:r>
              <w:rPr>
                <w:rFonts w:ascii="宋体"/>
                <w:spacing w:val="-1"/>
                <w:sz w:val="20"/>
              </w:rPr>
              <w:t>211,555.56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宋体" w:hAnsi="宋体" w:cs="宋体" w:eastAsia="宋体" w:hint="default"/>
                <w:sz w:val="20"/>
                <w:szCs w:val="20"/>
              </w:rPr>
            </w:pPr>
            <w:r>
              <w:rPr>
                <w:rFonts w:ascii="宋体"/>
                <w:spacing w:val="-1"/>
                <w:sz w:val="20"/>
              </w:rPr>
              <w:t>260160.53%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主要系本期合并范围</w:t>
            </w:r>
            <w:r>
              <w:rPr>
                <w:rFonts w:ascii="宋体" w:hAnsi="宋体" w:cs="宋体" w:eastAsia="宋体" w:hint="default"/>
                <w:w w:val="100"/>
                <w:sz w:val="20"/>
                <w:szCs w:val="20"/>
              </w:rPr>
              <w:t> </w:t>
            </w:r>
            <w:r>
              <w:rPr>
                <w:rFonts w:ascii="宋体" w:hAnsi="宋体" w:cs="宋体" w:eastAsia="宋体" w:hint="default"/>
                <w:sz w:val="20"/>
                <w:szCs w:val="20"/>
              </w:rPr>
              <w:t>变化所致。</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1,893,431,415.50</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3"/>
              <w:jc w:val="right"/>
              <w:rPr>
                <w:rFonts w:ascii="宋体" w:hAnsi="宋体" w:cs="宋体" w:eastAsia="宋体" w:hint="default"/>
                <w:sz w:val="20"/>
                <w:szCs w:val="20"/>
              </w:rPr>
            </w:pPr>
            <w:r>
              <w:rPr>
                <w:rFonts w:ascii="宋体"/>
                <w:spacing w:val="-1"/>
                <w:sz w:val="20"/>
              </w:rPr>
              <w:t>588,297,522.29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221.85%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主要系上述因素综合</w:t>
            </w:r>
            <w:r>
              <w:rPr>
                <w:rFonts w:ascii="宋体" w:hAnsi="宋体" w:cs="宋体" w:eastAsia="宋体" w:hint="default"/>
                <w:w w:val="100"/>
                <w:sz w:val="20"/>
                <w:szCs w:val="20"/>
              </w:rPr>
              <w:t> </w:t>
            </w:r>
            <w:r>
              <w:rPr>
                <w:rFonts w:ascii="宋体" w:hAnsi="宋体" w:cs="宋体" w:eastAsia="宋体" w:hint="default"/>
                <w:sz w:val="20"/>
                <w:szCs w:val="20"/>
              </w:rPr>
              <w:t>影响所致。</w:t>
            </w:r>
          </w:p>
        </w:tc>
      </w:tr>
      <w:tr>
        <w:trPr>
          <w:trHeight w:val="1258"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505"/>
              <w:jc w:val="right"/>
              <w:rPr>
                <w:rFonts w:ascii="宋体" w:hAnsi="宋体" w:cs="宋体" w:eastAsia="宋体" w:hint="default"/>
                <w:sz w:val="20"/>
                <w:szCs w:val="20"/>
              </w:rPr>
            </w:pPr>
            <w:r>
              <w:rPr>
                <w:rFonts w:ascii="宋体"/>
                <w:w w:val="100"/>
                <w:sz w:val="20"/>
              </w:rPr>
              <w:t>-</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23"/>
              <w:jc w:val="right"/>
              <w:rPr>
                <w:rFonts w:ascii="宋体" w:hAnsi="宋体" w:cs="宋体" w:eastAsia="宋体" w:hint="default"/>
                <w:sz w:val="20"/>
                <w:szCs w:val="20"/>
              </w:rPr>
            </w:pPr>
            <w:r>
              <w:rPr>
                <w:rFonts w:ascii="宋体"/>
                <w:spacing w:val="-1"/>
                <w:sz w:val="20"/>
              </w:rPr>
              <w:t>220,782,000.00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-100.00%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55"/>
              <w:jc w:val="left"/>
              <w:rPr>
                <w:rFonts w:ascii="宋体" w:hAnsi="宋体" w:cs="宋体" w:eastAsia="宋体" w:hint="default"/>
                <w:sz w:val="20"/>
                <w:szCs w:val="20"/>
              </w:rPr>
            </w:pPr>
            <w:r>
              <w:rPr>
                <w:rFonts w:ascii="宋体" w:hAnsi="宋体" w:cs="宋体" w:eastAsia="宋体" w:hint="default"/>
                <w:sz w:val="20"/>
                <w:szCs w:val="20"/>
              </w:rPr>
              <w:t>主要系将 </w:t>
            </w:r>
            <w:r>
              <w:rPr>
                <w:rFonts w:ascii="宋体" w:hAnsi="宋体" w:cs="宋体" w:eastAsia="宋体" w:hint="default"/>
                <w:sz w:val="20"/>
                <w:szCs w:val="20"/>
              </w:rPr>
              <w:t>1</w:t>
            </w:r>
            <w:r>
              <w:rPr>
                <w:rFonts w:ascii="宋体" w:hAnsi="宋体" w:cs="宋体" w:eastAsia="宋体" w:hint="default"/>
                <w:spacing w:val="1"/>
                <w:sz w:val="20"/>
                <w:szCs w:val="20"/>
              </w:rPr>
              <w:t> </w:t>
            </w:r>
            <w:r>
              <w:rPr>
                <w:rFonts w:ascii="宋体" w:hAnsi="宋体" w:cs="宋体" w:eastAsia="宋体" w:hint="default"/>
                <w:sz w:val="20"/>
                <w:szCs w:val="20"/>
              </w:rPr>
              <w:t>年内到期</w:t>
            </w:r>
            <w:r>
              <w:rPr>
                <w:rFonts w:ascii="宋体" w:hAnsi="宋体" w:cs="宋体" w:eastAsia="宋体" w:hint="default"/>
                <w:w w:val="100"/>
                <w:sz w:val="20"/>
                <w:szCs w:val="20"/>
              </w:rPr>
              <w:t> </w:t>
            </w:r>
            <w:r>
              <w:rPr>
                <w:rFonts w:ascii="宋体" w:hAnsi="宋体" w:cs="宋体" w:eastAsia="宋体" w:hint="default"/>
                <w:sz w:val="20"/>
                <w:szCs w:val="20"/>
              </w:rPr>
              <w:t>的应付债券重分类至</w:t>
            </w:r>
            <w:r>
              <w:rPr>
                <w:rFonts w:ascii="宋体" w:hAnsi="宋体" w:cs="宋体" w:eastAsia="宋体" w:hint="default"/>
                <w:w w:val="100"/>
                <w:sz w:val="20"/>
                <w:szCs w:val="20"/>
              </w:rPr>
              <w:t> </w:t>
            </w:r>
            <w:r>
              <w:rPr>
                <w:rFonts w:ascii="宋体" w:hAnsi="宋体" w:cs="宋体" w:eastAsia="宋体" w:hint="default"/>
                <w:sz w:val="20"/>
                <w:szCs w:val="20"/>
              </w:rPr>
              <w:t>一年内到期的非流动</w:t>
            </w:r>
            <w:r>
              <w:rPr>
                <w:rFonts w:ascii="宋体" w:hAnsi="宋体" w:cs="宋体" w:eastAsia="宋体" w:hint="default"/>
                <w:w w:val="100"/>
                <w:sz w:val="20"/>
                <w:szCs w:val="20"/>
              </w:rPr>
              <w:t> </w:t>
            </w:r>
            <w:r>
              <w:rPr>
                <w:rFonts w:ascii="宋体" w:hAnsi="宋体" w:cs="宋体" w:eastAsia="宋体" w:hint="default"/>
                <w:sz w:val="20"/>
                <w:szCs w:val="20"/>
              </w:rPr>
              <w:t>负债所致。</w:t>
            </w:r>
          </w:p>
        </w:tc>
      </w:tr>
      <w:tr>
        <w:trPr>
          <w:trHeight w:val="63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05"/>
              <w:jc w:val="right"/>
              <w:rPr>
                <w:rFonts w:ascii="宋体" w:hAnsi="宋体" w:cs="宋体" w:eastAsia="宋体" w:hint="default"/>
                <w:sz w:val="20"/>
                <w:szCs w:val="20"/>
              </w:rPr>
            </w:pPr>
            <w:r>
              <w:rPr>
                <w:rFonts w:ascii="宋体"/>
                <w:spacing w:val="-1"/>
                <w:sz w:val="20"/>
              </w:rPr>
              <w:t>94,617,770.41</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424"/>
              <w:jc w:val="right"/>
              <w:rPr>
                <w:rFonts w:ascii="宋体" w:hAnsi="宋体" w:cs="宋体" w:eastAsia="宋体" w:hint="default"/>
                <w:sz w:val="20"/>
                <w:szCs w:val="20"/>
              </w:rPr>
            </w:pPr>
            <w:r>
              <w:rPr>
                <w:rFonts w:ascii="宋体"/>
                <w:w w:val="100"/>
                <w:sz w:val="20"/>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20"/>
                <w:szCs w:val="20"/>
              </w:rPr>
            </w:pPr>
            <w:r>
              <w:rPr>
                <w:rFonts w:ascii="宋体"/>
                <w:spacing w:val="-1"/>
                <w:sz w:val="20"/>
              </w:rPr>
              <w:t>100.00%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主要系本期应付融资</w:t>
            </w:r>
            <w:r>
              <w:rPr>
                <w:rFonts w:ascii="宋体" w:hAnsi="宋体" w:cs="宋体" w:eastAsia="宋体" w:hint="default"/>
                <w:w w:val="100"/>
                <w:sz w:val="20"/>
                <w:szCs w:val="20"/>
              </w:rPr>
              <w:t> </w:t>
            </w:r>
            <w:r>
              <w:rPr>
                <w:rFonts w:ascii="宋体" w:hAnsi="宋体" w:cs="宋体" w:eastAsia="宋体" w:hint="default"/>
                <w:sz w:val="20"/>
                <w:szCs w:val="20"/>
              </w:rPr>
              <w:t>租赁款增加所致。</w:t>
            </w:r>
          </w:p>
        </w:tc>
      </w:tr>
      <w:tr>
        <w:trPr>
          <w:trHeight w:val="946"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305"/>
              <w:jc w:val="right"/>
              <w:rPr>
                <w:rFonts w:ascii="宋体" w:hAnsi="宋体" w:cs="宋体" w:eastAsia="宋体" w:hint="default"/>
                <w:sz w:val="20"/>
                <w:szCs w:val="20"/>
              </w:rPr>
            </w:pPr>
            <w:r>
              <w:rPr>
                <w:rFonts w:ascii="宋体"/>
                <w:spacing w:val="-1"/>
                <w:sz w:val="20"/>
              </w:rPr>
              <w:t>7,634,245.36</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4"/>
              <w:jc w:val="right"/>
              <w:rPr>
                <w:rFonts w:ascii="宋体" w:hAnsi="宋体" w:cs="宋体" w:eastAsia="宋体" w:hint="default"/>
                <w:sz w:val="20"/>
                <w:szCs w:val="20"/>
              </w:rPr>
            </w:pPr>
            <w:r>
              <w:rPr>
                <w:rFonts w:ascii="宋体"/>
                <w:spacing w:val="-1"/>
                <w:sz w:val="20"/>
              </w:rPr>
              <w:t>15,987,539.34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-52.25%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both"/>
              <w:rPr>
                <w:rFonts w:ascii="宋体" w:hAnsi="宋体" w:cs="宋体" w:eastAsia="宋体" w:hint="default"/>
                <w:sz w:val="20"/>
                <w:szCs w:val="20"/>
              </w:rPr>
            </w:pPr>
            <w:r>
              <w:rPr>
                <w:rFonts w:ascii="宋体" w:hAnsi="宋体" w:cs="宋体" w:eastAsia="宋体" w:hint="default"/>
                <w:sz w:val="20"/>
                <w:szCs w:val="20"/>
              </w:rPr>
              <w:t>主要系资本性政府补</w:t>
            </w:r>
            <w:r>
              <w:rPr>
                <w:rFonts w:ascii="宋体" w:hAnsi="宋体" w:cs="宋体" w:eastAsia="宋体" w:hint="default"/>
                <w:w w:val="100"/>
                <w:sz w:val="20"/>
                <w:szCs w:val="20"/>
              </w:rPr>
              <w:t> </w:t>
            </w:r>
            <w:r>
              <w:rPr>
                <w:rFonts w:ascii="宋体" w:hAnsi="宋体" w:cs="宋体" w:eastAsia="宋体" w:hint="default"/>
                <w:sz w:val="20"/>
                <w:szCs w:val="20"/>
              </w:rPr>
              <w:t>助本期确认其他收益</w:t>
            </w:r>
            <w:r>
              <w:rPr>
                <w:rFonts w:ascii="宋体" w:hAnsi="宋体" w:cs="宋体" w:eastAsia="宋体" w:hint="default"/>
                <w:w w:val="100"/>
                <w:sz w:val="20"/>
                <w:szCs w:val="20"/>
              </w:rPr>
              <w:t> </w:t>
            </w:r>
            <w:r>
              <w:rPr>
                <w:rFonts w:ascii="宋体" w:hAnsi="宋体" w:cs="宋体" w:eastAsia="宋体" w:hint="default"/>
                <w:sz w:val="20"/>
                <w:szCs w:val="20"/>
              </w:rPr>
              <w:t>所致。</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102,252,015.77</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3"/>
              <w:jc w:val="right"/>
              <w:rPr>
                <w:rFonts w:ascii="宋体" w:hAnsi="宋体" w:cs="宋体" w:eastAsia="宋体" w:hint="default"/>
                <w:sz w:val="20"/>
                <w:szCs w:val="20"/>
              </w:rPr>
            </w:pPr>
            <w:r>
              <w:rPr>
                <w:rFonts w:ascii="宋体"/>
                <w:spacing w:val="-1"/>
                <w:sz w:val="20"/>
              </w:rPr>
              <w:t>236,769,539.34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-56.81%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z w:val="20"/>
                <w:szCs w:val="20"/>
              </w:rPr>
              <w:t>主要系</w:t>
            </w:r>
            <w:r>
              <w:rPr>
                <w:rFonts w:ascii="宋体" w:hAnsi="宋体" w:cs="宋体" w:eastAsia="宋体" w:hint="default"/>
                <w:spacing w:val="-75"/>
                <w:sz w:val="20"/>
                <w:szCs w:val="20"/>
              </w:rPr>
              <w:t> </w:t>
            </w:r>
            <w:r>
              <w:rPr>
                <w:rFonts w:ascii="宋体" w:hAnsi="宋体" w:cs="宋体" w:eastAsia="宋体" w:hint="default"/>
                <w:sz w:val="20"/>
                <w:szCs w:val="20"/>
              </w:rPr>
              <w:t>1</w:t>
            </w:r>
            <w:r>
              <w:rPr>
                <w:rFonts w:ascii="宋体" w:hAnsi="宋体" w:cs="宋体" w:eastAsia="宋体" w:hint="default"/>
                <w:spacing w:val="-73"/>
                <w:sz w:val="20"/>
                <w:szCs w:val="20"/>
              </w:rPr>
              <w:t> </w:t>
            </w:r>
            <w:r>
              <w:rPr>
                <w:rFonts w:ascii="宋体" w:hAnsi="宋体" w:cs="宋体" w:eastAsia="宋体" w:hint="default"/>
                <w:sz w:val="20"/>
                <w:szCs w:val="20"/>
              </w:rPr>
              <w:t>年内到期的应</w:t>
            </w:r>
            <w:r>
              <w:rPr>
                <w:rFonts w:ascii="宋体" w:hAnsi="宋体" w:cs="宋体" w:eastAsia="宋体" w:hint="default"/>
                <w:w w:val="100"/>
                <w:sz w:val="20"/>
                <w:szCs w:val="20"/>
              </w:rPr>
              <w:t> </w:t>
            </w:r>
            <w:r>
              <w:rPr>
                <w:rFonts w:ascii="宋体" w:hAnsi="宋体" w:cs="宋体" w:eastAsia="宋体" w:hint="default"/>
                <w:sz w:val="20"/>
                <w:szCs w:val="20"/>
              </w:rPr>
              <w:t>付债券重分类所致。</w:t>
            </w:r>
          </w:p>
        </w:tc>
      </w:tr>
      <w:tr>
        <w:trPr>
          <w:trHeight w:val="63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05"/>
              <w:jc w:val="right"/>
              <w:rPr>
                <w:rFonts w:ascii="宋体" w:hAnsi="宋体" w:cs="宋体" w:eastAsia="宋体" w:hint="default"/>
                <w:sz w:val="20"/>
                <w:szCs w:val="20"/>
              </w:rPr>
            </w:pPr>
            <w:r>
              <w:rPr>
                <w:rFonts w:ascii="宋体"/>
                <w:spacing w:val="-1"/>
                <w:sz w:val="20"/>
              </w:rPr>
              <w:t>1,995,683,431.27</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3"/>
              <w:jc w:val="right"/>
              <w:rPr>
                <w:rFonts w:ascii="宋体" w:hAnsi="宋体" w:cs="宋体" w:eastAsia="宋体" w:hint="default"/>
                <w:sz w:val="20"/>
                <w:szCs w:val="20"/>
              </w:rPr>
            </w:pPr>
            <w:r>
              <w:rPr>
                <w:rFonts w:ascii="宋体"/>
                <w:spacing w:val="-1"/>
                <w:sz w:val="20"/>
              </w:rPr>
              <w:t>825,067,061.63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20"/>
                <w:szCs w:val="20"/>
              </w:rPr>
            </w:pPr>
            <w:r>
              <w:rPr>
                <w:rFonts w:ascii="宋体"/>
                <w:spacing w:val="-1"/>
                <w:sz w:val="20"/>
              </w:rPr>
              <w:t>141.88%</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主要系流动负债增加</w:t>
            </w:r>
            <w:r>
              <w:rPr>
                <w:rFonts w:ascii="宋体" w:hAnsi="宋体" w:cs="宋体" w:eastAsia="宋体" w:hint="default"/>
                <w:w w:val="100"/>
                <w:sz w:val="20"/>
                <w:szCs w:val="20"/>
              </w:rPr>
              <w:t> </w:t>
            </w:r>
            <w:r>
              <w:rPr>
                <w:rFonts w:ascii="宋体" w:hAnsi="宋体" w:cs="宋体" w:eastAsia="宋体" w:hint="default"/>
                <w:sz w:val="20"/>
                <w:szCs w:val="20"/>
              </w:rPr>
              <w:t>所致。</w:t>
            </w:r>
          </w:p>
        </w:tc>
      </w:tr>
    </w:tbl>
    <w:p>
      <w:pPr>
        <w:spacing w:after="0" w:line="285"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1960"/>
        <w:gridCol w:w="2121"/>
        <w:gridCol w:w="2140"/>
        <w:gridCol w:w="1260"/>
        <w:gridCol w:w="2172"/>
      </w:tblGrid>
      <w:tr>
        <w:trPr>
          <w:trHeight w:val="629" w:hRule="exact"/>
        </w:trPr>
        <w:tc>
          <w:tcPr>
            <w:tcW w:w="1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21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1,121.95</w:t>
            </w:r>
          </w:p>
        </w:tc>
        <w:tc>
          <w:tcPr>
            <w:tcW w:w="21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0"/>
              <w:ind w:right="424"/>
              <w:jc w:val="right"/>
              <w:rPr>
                <w:rFonts w:ascii="宋体" w:hAnsi="宋体" w:cs="宋体" w:eastAsia="宋体" w:hint="default"/>
                <w:sz w:val="20"/>
                <w:szCs w:val="20"/>
              </w:rPr>
            </w:pPr>
            <w:r>
              <w:rPr>
                <w:rFonts w:ascii="宋体"/>
                <w:w w:val="100"/>
                <w:sz w:val="20"/>
              </w:rPr>
              <w:t>-</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100.00%</w:t>
            </w:r>
          </w:p>
        </w:tc>
        <w:tc>
          <w:tcPr>
            <w:tcW w:w="2172"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56"/>
              <w:jc w:val="left"/>
              <w:rPr>
                <w:rFonts w:ascii="宋体" w:hAnsi="宋体" w:cs="宋体" w:eastAsia="宋体" w:hint="default"/>
                <w:sz w:val="20"/>
                <w:szCs w:val="20"/>
              </w:rPr>
            </w:pPr>
            <w:r>
              <w:rPr>
                <w:rFonts w:ascii="宋体" w:hAnsi="宋体" w:cs="宋体" w:eastAsia="宋体" w:hint="default"/>
                <w:sz w:val="20"/>
                <w:szCs w:val="20"/>
              </w:rPr>
              <w:t>主要系香港子公司外</w:t>
            </w:r>
            <w:r>
              <w:rPr>
                <w:rFonts w:ascii="宋体" w:hAnsi="宋体" w:cs="宋体" w:eastAsia="宋体" w:hint="default"/>
                <w:w w:val="100"/>
                <w:sz w:val="20"/>
                <w:szCs w:val="20"/>
              </w:rPr>
              <w:t> </w:t>
            </w:r>
            <w:r>
              <w:rPr>
                <w:rFonts w:ascii="宋体" w:hAnsi="宋体" w:cs="宋体" w:eastAsia="宋体" w:hint="default"/>
                <w:sz w:val="20"/>
                <w:szCs w:val="20"/>
              </w:rPr>
              <w:t>币报表折算差额所致。</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343,508,039.25</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3"/>
              <w:jc w:val="right"/>
              <w:rPr>
                <w:rFonts w:ascii="宋体" w:hAnsi="宋体" w:cs="宋体" w:eastAsia="宋体" w:hint="default"/>
                <w:sz w:val="20"/>
                <w:szCs w:val="20"/>
              </w:rPr>
            </w:pPr>
            <w:r>
              <w:rPr>
                <w:rFonts w:ascii="宋体"/>
                <w:spacing w:val="-1"/>
                <w:sz w:val="20"/>
              </w:rPr>
              <w:t>608,374,942.46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-43.54%</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主要系计提商誉减值</w:t>
            </w:r>
            <w:r>
              <w:rPr>
                <w:rFonts w:ascii="宋体" w:hAnsi="宋体" w:cs="宋体" w:eastAsia="宋体" w:hint="default"/>
                <w:w w:val="100"/>
                <w:sz w:val="20"/>
                <w:szCs w:val="20"/>
              </w:rPr>
              <w:t> </w:t>
            </w:r>
            <w:r>
              <w:rPr>
                <w:rFonts w:ascii="宋体" w:hAnsi="宋体" w:cs="宋体" w:eastAsia="宋体" w:hint="default"/>
                <w:sz w:val="20"/>
                <w:szCs w:val="20"/>
              </w:rPr>
              <w:t>所致。</w:t>
            </w:r>
          </w:p>
        </w:tc>
      </w:tr>
      <w:tr>
        <w:trPr>
          <w:trHeight w:val="63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305"/>
              <w:jc w:val="right"/>
              <w:rPr>
                <w:rFonts w:ascii="宋体" w:hAnsi="宋体" w:cs="宋体" w:eastAsia="宋体" w:hint="default"/>
                <w:sz w:val="20"/>
                <w:szCs w:val="20"/>
              </w:rPr>
            </w:pPr>
            <w:r>
              <w:rPr>
                <w:rFonts w:ascii="宋体"/>
                <w:spacing w:val="-1"/>
                <w:sz w:val="20"/>
              </w:rPr>
              <w:t>36,355,654.53</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4"/>
              <w:jc w:val="right"/>
              <w:rPr>
                <w:rFonts w:ascii="宋体" w:hAnsi="宋体" w:cs="宋体" w:eastAsia="宋体" w:hint="default"/>
                <w:sz w:val="20"/>
                <w:szCs w:val="20"/>
              </w:rPr>
            </w:pPr>
            <w:r>
              <w:rPr>
                <w:rFonts w:ascii="宋体"/>
                <w:spacing w:val="-1"/>
                <w:sz w:val="20"/>
              </w:rPr>
              <w:t>58,365,879.26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宋体" w:hAnsi="宋体" w:cs="宋体" w:eastAsia="宋体" w:hint="default"/>
                <w:sz w:val="20"/>
                <w:szCs w:val="20"/>
              </w:rPr>
            </w:pPr>
            <w:r>
              <w:rPr>
                <w:rFonts w:ascii="宋体"/>
                <w:spacing w:val="-1"/>
                <w:sz w:val="20"/>
              </w:rPr>
              <w:t>-37.71%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主要系本期合并范围</w:t>
            </w:r>
            <w:r>
              <w:rPr>
                <w:rFonts w:ascii="宋体" w:hAnsi="宋体" w:cs="宋体" w:eastAsia="宋体" w:hint="default"/>
                <w:w w:val="100"/>
                <w:sz w:val="20"/>
                <w:szCs w:val="20"/>
              </w:rPr>
              <w:t> </w:t>
            </w:r>
            <w:r>
              <w:rPr>
                <w:rFonts w:ascii="宋体" w:hAnsi="宋体" w:cs="宋体" w:eastAsia="宋体" w:hint="default"/>
                <w:sz w:val="20"/>
                <w:szCs w:val="20"/>
              </w:rPr>
              <w:t>变化所致。</w:t>
            </w:r>
          </w:p>
        </w:tc>
      </w:tr>
      <w:tr>
        <w:trPr>
          <w:trHeight w:val="322"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74" w:right="0"/>
              <w:jc w:val="left"/>
              <w:rPr>
                <w:rFonts w:ascii="宋体" w:hAnsi="宋体" w:cs="宋体" w:eastAsia="宋体" w:hint="default"/>
                <w:sz w:val="20"/>
                <w:szCs w:val="20"/>
              </w:rPr>
            </w:pPr>
            <w:r>
              <w:rPr>
                <w:rFonts w:ascii="宋体" w:hAnsi="宋体" w:cs="宋体" w:eastAsia="宋体" w:hint="default"/>
                <w:b/>
                <w:bCs/>
                <w:sz w:val="20"/>
                <w:szCs w:val="20"/>
              </w:rPr>
              <w:t>报表项目</w:t>
            </w:r>
            <w:r>
              <w:rPr>
                <w:rFonts w:ascii="宋体" w:hAnsi="宋体" w:cs="宋体" w:eastAsia="宋体" w:hint="default"/>
                <w:sz w:val="20"/>
                <w:szCs w:val="20"/>
              </w:rPr>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53" w:right="0"/>
              <w:jc w:val="left"/>
              <w:rPr>
                <w:rFonts w:ascii="宋体" w:hAnsi="宋体" w:cs="宋体" w:eastAsia="宋体" w:hint="default"/>
                <w:sz w:val="20"/>
                <w:szCs w:val="20"/>
              </w:rPr>
            </w:pPr>
            <w:r>
              <w:rPr>
                <w:rFonts w:ascii="宋体" w:hAnsi="宋体" w:cs="宋体" w:eastAsia="宋体" w:hint="default"/>
                <w:b/>
                <w:bCs/>
                <w:sz w:val="20"/>
                <w:szCs w:val="20"/>
              </w:rPr>
              <w:t>本期发生额</w:t>
            </w:r>
            <w:r>
              <w:rPr>
                <w:rFonts w:ascii="宋体" w:hAnsi="宋体" w:cs="宋体" w:eastAsia="宋体" w:hint="default"/>
                <w:sz w:val="20"/>
                <w:szCs w:val="20"/>
              </w:rPr>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62" w:right="0"/>
              <w:jc w:val="left"/>
              <w:rPr>
                <w:rFonts w:ascii="宋体" w:hAnsi="宋体" w:cs="宋体" w:eastAsia="宋体" w:hint="default"/>
                <w:sz w:val="20"/>
                <w:szCs w:val="20"/>
              </w:rPr>
            </w:pPr>
            <w:r>
              <w:rPr>
                <w:rFonts w:ascii="宋体" w:hAnsi="宋体" w:cs="宋体" w:eastAsia="宋体" w:hint="default"/>
                <w:b/>
                <w:bCs/>
                <w:sz w:val="20"/>
                <w:szCs w:val="20"/>
              </w:rPr>
              <w:t>上期发生额</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3" w:right="0"/>
              <w:jc w:val="left"/>
              <w:rPr>
                <w:rFonts w:ascii="宋体" w:hAnsi="宋体" w:cs="宋体" w:eastAsia="宋体" w:hint="default"/>
                <w:sz w:val="20"/>
                <w:szCs w:val="20"/>
              </w:rPr>
            </w:pPr>
            <w:r>
              <w:rPr>
                <w:rFonts w:ascii="宋体" w:hAnsi="宋体" w:cs="宋体" w:eastAsia="宋体" w:hint="default"/>
                <w:b/>
                <w:bCs/>
                <w:sz w:val="20"/>
                <w:szCs w:val="20"/>
              </w:rPr>
              <w:t>变动比例</w:t>
            </w:r>
            <w:r>
              <w:rPr>
                <w:rFonts w:ascii="宋体" w:hAnsi="宋体" w:cs="宋体" w:eastAsia="宋体" w:hint="default"/>
                <w:sz w:val="20"/>
                <w:szCs w:val="20"/>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77" w:right="0"/>
              <w:jc w:val="left"/>
              <w:rPr>
                <w:rFonts w:ascii="宋体" w:hAnsi="宋体" w:cs="宋体" w:eastAsia="宋体" w:hint="default"/>
                <w:sz w:val="20"/>
                <w:szCs w:val="20"/>
              </w:rPr>
            </w:pPr>
            <w:r>
              <w:rPr>
                <w:rFonts w:ascii="宋体" w:hAnsi="宋体" w:cs="宋体" w:eastAsia="宋体" w:hint="default"/>
                <w:b/>
                <w:bCs/>
                <w:sz w:val="20"/>
                <w:szCs w:val="20"/>
              </w:rPr>
              <w:t>变动原因说明</w:t>
            </w:r>
            <w:r>
              <w:rPr>
                <w:rFonts w:ascii="宋体" w:hAnsi="宋体" w:cs="宋体" w:eastAsia="宋体" w:hint="default"/>
                <w:sz w:val="20"/>
                <w:szCs w:val="20"/>
              </w:rPr>
            </w:r>
          </w:p>
        </w:tc>
      </w:tr>
      <w:tr>
        <w:trPr>
          <w:trHeight w:val="946"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305"/>
              <w:jc w:val="right"/>
              <w:rPr>
                <w:rFonts w:ascii="宋体" w:hAnsi="宋体" w:cs="宋体" w:eastAsia="宋体" w:hint="default"/>
                <w:sz w:val="20"/>
                <w:szCs w:val="20"/>
              </w:rPr>
            </w:pPr>
            <w:r>
              <w:rPr>
                <w:rFonts w:ascii="宋体"/>
                <w:spacing w:val="-1"/>
                <w:sz w:val="20"/>
              </w:rPr>
              <w:t>10,499,115.45</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3"/>
              <w:jc w:val="right"/>
              <w:rPr>
                <w:rFonts w:ascii="宋体" w:hAnsi="宋体" w:cs="宋体" w:eastAsia="宋体" w:hint="default"/>
                <w:sz w:val="20"/>
                <w:szCs w:val="20"/>
              </w:rPr>
            </w:pPr>
            <w:r>
              <w:rPr>
                <w:rFonts w:ascii="宋体"/>
                <w:spacing w:val="-1"/>
                <w:sz w:val="20"/>
              </w:rPr>
              <w:t>2,676,799.58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292.23%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both"/>
              <w:rPr>
                <w:rFonts w:ascii="宋体" w:hAnsi="宋体" w:cs="宋体" w:eastAsia="宋体" w:hint="default"/>
                <w:sz w:val="20"/>
                <w:szCs w:val="20"/>
              </w:rPr>
            </w:pPr>
            <w:r>
              <w:rPr>
                <w:rFonts w:ascii="宋体" w:hAnsi="宋体" w:cs="宋体" w:eastAsia="宋体" w:hint="default"/>
                <w:sz w:val="20"/>
                <w:szCs w:val="20"/>
              </w:rPr>
              <w:t>主要系本期银行短期</w:t>
            </w:r>
            <w:r>
              <w:rPr>
                <w:rFonts w:ascii="宋体" w:hAnsi="宋体" w:cs="宋体" w:eastAsia="宋体" w:hint="default"/>
                <w:w w:val="100"/>
                <w:sz w:val="20"/>
                <w:szCs w:val="20"/>
              </w:rPr>
              <w:t> </w:t>
            </w:r>
            <w:r>
              <w:rPr>
                <w:rFonts w:ascii="宋体" w:hAnsi="宋体" w:cs="宋体" w:eastAsia="宋体" w:hint="default"/>
                <w:sz w:val="20"/>
                <w:szCs w:val="20"/>
              </w:rPr>
              <w:t>借款利息支出增加所</w:t>
            </w:r>
            <w:r>
              <w:rPr>
                <w:rFonts w:ascii="宋体" w:hAnsi="宋体" w:cs="宋体" w:eastAsia="宋体" w:hint="default"/>
                <w:w w:val="100"/>
                <w:sz w:val="20"/>
                <w:szCs w:val="20"/>
              </w:rPr>
              <w:t> </w:t>
            </w:r>
            <w:r>
              <w:rPr>
                <w:rFonts w:ascii="宋体" w:hAnsi="宋体" w:cs="宋体" w:eastAsia="宋体" w:hint="default"/>
                <w:sz w:val="20"/>
                <w:szCs w:val="20"/>
              </w:rPr>
              <w:t>致。</w:t>
            </w:r>
          </w:p>
        </w:tc>
      </w:tr>
      <w:tr>
        <w:trPr>
          <w:trHeight w:val="63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05"/>
              <w:jc w:val="right"/>
              <w:rPr>
                <w:rFonts w:ascii="宋体" w:hAnsi="宋体" w:cs="宋体" w:eastAsia="宋体" w:hint="default"/>
                <w:sz w:val="20"/>
                <w:szCs w:val="20"/>
              </w:rPr>
            </w:pPr>
            <w:r>
              <w:rPr>
                <w:rFonts w:ascii="宋体"/>
                <w:spacing w:val="-1"/>
                <w:sz w:val="20"/>
              </w:rPr>
              <w:t>389,188,128.64</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3"/>
              <w:jc w:val="right"/>
              <w:rPr>
                <w:rFonts w:ascii="宋体" w:hAnsi="宋体" w:cs="宋体" w:eastAsia="宋体" w:hint="default"/>
                <w:sz w:val="20"/>
                <w:szCs w:val="20"/>
              </w:rPr>
            </w:pPr>
            <w:r>
              <w:rPr>
                <w:rFonts w:ascii="宋体"/>
                <w:spacing w:val="-1"/>
                <w:sz w:val="20"/>
              </w:rPr>
              <w:t>3,238,704.74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20"/>
                <w:szCs w:val="20"/>
              </w:rPr>
            </w:pPr>
            <w:r>
              <w:rPr>
                <w:rFonts w:ascii="宋体"/>
                <w:spacing w:val="-1"/>
                <w:sz w:val="20"/>
              </w:rPr>
              <w:t>11916.78%</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主要系计提商誉减值</w:t>
            </w:r>
            <w:r>
              <w:rPr>
                <w:rFonts w:ascii="宋体" w:hAnsi="宋体" w:cs="宋体" w:eastAsia="宋体" w:hint="default"/>
                <w:w w:val="100"/>
                <w:sz w:val="20"/>
                <w:szCs w:val="20"/>
              </w:rPr>
              <w:t> </w:t>
            </w:r>
            <w:r>
              <w:rPr>
                <w:rFonts w:ascii="宋体" w:hAnsi="宋体" w:cs="宋体" w:eastAsia="宋体" w:hint="default"/>
                <w:sz w:val="20"/>
                <w:szCs w:val="20"/>
              </w:rPr>
              <w:t>所致。</w:t>
            </w:r>
          </w:p>
        </w:tc>
      </w:tr>
      <w:tr>
        <w:trPr>
          <w:trHeight w:val="1258"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其他收益</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305"/>
              <w:jc w:val="right"/>
              <w:rPr>
                <w:rFonts w:ascii="宋体" w:hAnsi="宋体" w:cs="宋体" w:eastAsia="宋体" w:hint="default"/>
                <w:sz w:val="20"/>
                <w:szCs w:val="20"/>
              </w:rPr>
            </w:pPr>
            <w:r>
              <w:rPr>
                <w:rFonts w:ascii="宋体"/>
                <w:spacing w:val="-1"/>
                <w:sz w:val="20"/>
              </w:rPr>
              <w:t>12,967,825.73</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424"/>
              <w:jc w:val="right"/>
              <w:rPr>
                <w:rFonts w:ascii="宋体" w:hAnsi="宋体" w:cs="宋体" w:eastAsia="宋体" w:hint="default"/>
                <w:sz w:val="20"/>
                <w:szCs w:val="20"/>
              </w:rPr>
            </w:pPr>
            <w:r>
              <w:rPr>
                <w:rFonts w:ascii="宋体"/>
                <w:w w:val="100"/>
                <w:sz w:val="20"/>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100.00%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both"/>
              <w:rPr>
                <w:rFonts w:ascii="宋体" w:hAnsi="宋体" w:cs="宋体" w:eastAsia="宋体" w:hint="default"/>
                <w:sz w:val="20"/>
                <w:szCs w:val="20"/>
              </w:rPr>
            </w:pPr>
            <w:r>
              <w:rPr>
                <w:rFonts w:ascii="宋体" w:hAnsi="宋体" w:cs="宋体" w:eastAsia="宋体" w:hint="default"/>
                <w:sz w:val="20"/>
                <w:szCs w:val="20"/>
              </w:rPr>
              <w:t>主要系按会计政策调</w:t>
            </w:r>
            <w:r>
              <w:rPr>
                <w:rFonts w:ascii="宋体" w:hAnsi="宋体" w:cs="宋体" w:eastAsia="宋体" w:hint="default"/>
                <w:w w:val="100"/>
                <w:sz w:val="20"/>
                <w:szCs w:val="20"/>
              </w:rPr>
              <w:t> </w:t>
            </w:r>
            <w:r>
              <w:rPr>
                <w:rFonts w:ascii="宋体" w:hAnsi="宋体" w:cs="宋体" w:eastAsia="宋体" w:hint="default"/>
                <w:sz w:val="20"/>
                <w:szCs w:val="20"/>
              </w:rPr>
              <w:t>整将收到的与经营相</w:t>
            </w:r>
            <w:r>
              <w:rPr>
                <w:rFonts w:ascii="宋体" w:hAnsi="宋体" w:cs="宋体" w:eastAsia="宋体" w:hint="default"/>
                <w:w w:val="100"/>
                <w:sz w:val="20"/>
                <w:szCs w:val="20"/>
              </w:rPr>
              <w:t> </w:t>
            </w:r>
            <w:r>
              <w:rPr>
                <w:rFonts w:ascii="宋体" w:hAnsi="宋体" w:cs="宋体" w:eastAsia="宋体" w:hint="default"/>
                <w:sz w:val="20"/>
                <w:szCs w:val="20"/>
              </w:rPr>
              <w:t>关的政府补贴列示至</w:t>
            </w:r>
            <w:r>
              <w:rPr>
                <w:rFonts w:ascii="宋体" w:hAnsi="宋体" w:cs="宋体" w:eastAsia="宋体" w:hint="default"/>
                <w:w w:val="100"/>
                <w:sz w:val="20"/>
                <w:szCs w:val="20"/>
              </w:rPr>
              <w:t> </w:t>
            </w:r>
            <w:r>
              <w:rPr>
                <w:rFonts w:ascii="宋体" w:hAnsi="宋体" w:cs="宋体" w:eastAsia="宋体" w:hint="default"/>
                <w:sz w:val="20"/>
                <w:szCs w:val="20"/>
              </w:rPr>
              <w:t>此报表项目所致。</w:t>
            </w:r>
          </w:p>
        </w:tc>
      </w:tr>
      <w:tr>
        <w:trPr>
          <w:trHeight w:val="946"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资产处置损失</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305"/>
              <w:jc w:val="right"/>
              <w:rPr>
                <w:rFonts w:ascii="宋体" w:hAnsi="宋体" w:cs="宋体" w:eastAsia="宋体" w:hint="default"/>
                <w:sz w:val="20"/>
                <w:szCs w:val="20"/>
              </w:rPr>
            </w:pPr>
            <w:r>
              <w:rPr>
                <w:rFonts w:ascii="宋体"/>
                <w:spacing w:val="-1"/>
                <w:sz w:val="20"/>
              </w:rPr>
              <w:t>-340,290.42</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4"/>
              <w:jc w:val="right"/>
              <w:rPr>
                <w:rFonts w:ascii="宋体" w:hAnsi="宋体" w:cs="宋体" w:eastAsia="宋体" w:hint="default"/>
                <w:sz w:val="20"/>
                <w:szCs w:val="20"/>
              </w:rPr>
            </w:pPr>
            <w:r>
              <w:rPr>
                <w:rFonts w:ascii="宋体"/>
                <w:spacing w:val="-1"/>
                <w:sz w:val="20"/>
              </w:rPr>
              <w:t>-26,698,537.71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z w:val="20"/>
              </w:rPr>
              <w:t>98.73%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both"/>
              <w:rPr>
                <w:rFonts w:ascii="宋体" w:hAnsi="宋体" w:cs="宋体" w:eastAsia="宋体" w:hint="default"/>
                <w:sz w:val="20"/>
                <w:szCs w:val="20"/>
              </w:rPr>
            </w:pPr>
            <w:r>
              <w:rPr>
                <w:rFonts w:ascii="宋体" w:hAnsi="宋体" w:cs="宋体" w:eastAsia="宋体" w:hint="default"/>
                <w:sz w:val="20"/>
                <w:szCs w:val="20"/>
              </w:rPr>
              <w:t>主要是上期滨河顺通</w:t>
            </w:r>
            <w:r>
              <w:rPr>
                <w:rFonts w:ascii="宋体" w:hAnsi="宋体" w:cs="宋体" w:eastAsia="宋体" w:hint="default"/>
                <w:w w:val="100"/>
                <w:sz w:val="20"/>
                <w:szCs w:val="20"/>
              </w:rPr>
              <w:t> </w:t>
            </w:r>
            <w:r>
              <w:rPr>
                <w:rFonts w:ascii="宋体" w:hAnsi="宋体" w:cs="宋体" w:eastAsia="宋体" w:hint="default"/>
                <w:sz w:val="20"/>
                <w:szCs w:val="20"/>
              </w:rPr>
              <w:t>处置无形资产及在建</w:t>
            </w:r>
            <w:r>
              <w:rPr>
                <w:rFonts w:ascii="宋体" w:hAnsi="宋体" w:cs="宋体" w:eastAsia="宋体" w:hint="default"/>
                <w:w w:val="100"/>
                <w:sz w:val="20"/>
                <w:szCs w:val="20"/>
              </w:rPr>
              <w:t> </w:t>
            </w:r>
            <w:r>
              <w:rPr>
                <w:rFonts w:ascii="宋体" w:hAnsi="宋体" w:cs="宋体" w:eastAsia="宋体" w:hint="default"/>
                <w:sz w:val="20"/>
                <w:szCs w:val="20"/>
              </w:rPr>
              <w:t>工程所致。</w:t>
            </w:r>
          </w:p>
        </w:tc>
      </w:tr>
      <w:tr>
        <w:trPr>
          <w:trHeight w:val="63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营业利润（亏损以</w:t>
            </w:r>
            <w:r>
              <w:rPr>
                <w:rFonts w:ascii="宋体" w:hAnsi="宋体" w:cs="宋体" w:eastAsia="宋体" w:hint="default"/>
                <w:w w:val="100"/>
                <w:sz w:val="20"/>
                <w:szCs w:val="20"/>
              </w:rPr>
              <w:t> </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”号填列）</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05"/>
              <w:jc w:val="right"/>
              <w:rPr>
                <w:rFonts w:ascii="宋体" w:hAnsi="宋体" w:cs="宋体" w:eastAsia="宋体" w:hint="default"/>
                <w:sz w:val="20"/>
                <w:szCs w:val="20"/>
              </w:rPr>
            </w:pPr>
            <w:r>
              <w:rPr>
                <w:rFonts w:ascii="宋体"/>
                <w:spacing w:val="-1"/>
                <w:sz w:val="20"/>
              </w:rPr>
              <w:t>-245,571,589.10</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3"/>
              <w:jc w:val="right"/>
              <w:rPr>
                <w:rFonts w:ascii="宋体" w:hAnsi="宋体" w:cs="宋体" w:eastAsia="宋体" w:hint="default"/>
                <w:sz w:val="20"/>
                <w:szCs w:val="20"/>
              </w:rPr>
            </w:pPr>
            <w:r>
              <w:rPr>
                <w:rFonts w:ascii="宋体"/>
                <w:spacing w:val="-1"/>
                <w:sz w:val="20"/>
              </w:rPr>
              <w:t>171,674,270.01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20"/>
                <w:szCs w:val="20"/>
              </w:rPr>
            </w:pPr>
            <w:r>
              <w:rPr>
                <w:rFonts w:ascii="宋体"/>
                <w:spacing w:val="-1"/>
                <w:sz w:val="20"/>
              </w:rPr>
              <w:t>-243.05%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主要系计提商誉减值</w:t>
            </w:r>
            <w:r>
              <w:rPr>
                <w:rFonts w:ascii="宋体" w:hAnsi="宋体" w:cs="宋体" w:eastAsia="宋体" w:hint="default"/>
                <w:w w:val="100"/>
                <w:sz w:val="20"/>
                <w:szCs w:val="20"/>
              </w:rPr>
              <w:t> </w:t>
            </w:r>
            <w:r>
              <w:rPr>
                <w:rFonts w:ascii="宋体" w:hAnsi="宋体" w:cs="宋体" w:eastAsia="宋体" w:hint="default"/>
                <w:sz w:val="20"/>
                <w:szCs w:val="20"/>
              </w:rPr>
              <w:t>所致。</w:t>
            </w:r>
          </w:p>
        </w:tc>
      </w:tr>
      <w:tr>
        <w:trPr>
          <w:trHeight w:val="1570"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103"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305"/>
              <w:jc w:val="right"/>
              <w:rPr>
                <w:rFonts w:ascii="宋体" w:hAnsi="宋体" w:cs="宋体" w:eastAsia="宋体" w:hint="default"/>
                <w:sz w:val="20"/>
                <w:szCs w:val="20"/>
              </w:rPr>
            </w:pPr>
            <w:r>
              <w:rPr>
                <w:rFonts w:ascii="宋体"/>
                <w:spacing w:val="-1"/>
                <w:sz w:val="20"/>
              </w:rPr>
              <w:t>551,747.66</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224"/>
              <w:jc w:val="right"/>
              <w:rPr>
                <w:rFonts w:ascii="宋体" w:hAnsi="宋体" w:cs="宋体" w:eastAsia="宋体" w:hint="default"/>
                <w:sz w:val="20"/>
                <w:szCs w:val="20"/>
              </w:rPr>
            </w:pPr>
            <w:r>
              <w:rPr>
                <w:rFonts w:ascii="宋体"/>
                <w:spacing w:val="-1"/>
                <w:sz w:val="20"/>
              </w:rPr>
              <w:t>29,162,615.29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100"/>
              <w:jc w:val="right"/>
              <w:rPr>
                <w:rFonts w:ascii="宋体" w:hAnsi="宋体" w:cs="宋体" w:eastAsia="宋体" w:hint="default"/>
                <w:sz w:val="20"/>
                <w:szCs w:val="20"/>
              </w:rPr>
            </w:pPr>
            <w:r>
              <w:rPr>
                <w:rFonts w:ascii="宋体"/>
                <w:spacing w:val="-1"/>
                <w:sz w:val="20"/>
              </w:rPr>
              <w:t>-98.11%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both"/>
              <w:rPr>
                <w:rFonts w:ascii="宋体" w:hAnsi="宋体" w:cs="宋体" w:eastAsia="宋体" w:hint="default"/>
                <w:sz w:val="20"/>
                <w:szCs w:val="20"/>
              </w:rPr>
            </w:pPr>
            <w:r>
              <w:rPr>
                <w:rFonts w:ascii="宋体" w:hAnsi="宋体" w:cs="宋体" w:eastAsia="宋体" w:hint="default"/>
                <w:sz w:val="20"/>
                <w:szCs w:val="20"/>
              </w:rPr>
              <w:t>主要系按会计政策调</w:t>
            </w:r>
            <w:r>
              <w:rPr>
                <w:rFonts w:ascii="宋体" w:hAnsi="宋体" w:cs="宋体" w:eastAsia="宋体" w:hint="default"/>
                <w:w w:val="100"/>
                <w:sz w:val="20"/>
                <w:szCs w:val="20"/>
              </w:rPr>
              <w:t> </w:t>
            </w:r>
            <w:r>
              <w:rPr>
                <w:rFonts w:ascii="宋体" w:hAnsi="宋体" w:cs="宋体" w:eastAsia="宋体" w:hint="default"/>
                <w:sz w:val="20"/>
                <w:szCs w:val="20"/>
              </w:rPr>
              <w:t>整将收到的与经营相</w:t>
            </w:r>
            <w:r>
              <w:rPr>
                <w:rFonts w:ascii="宋体" w:hAnsi="宋体" w:cs="宋体" w:eastAsia="宋体" w:hint="default"/>
                <w:w w:val="100"/>
                <w:sz w:val="20"/>
                <w:szCs w:val="20"/>
              </w:rPr>
              <w:t> </w:t>
            </w:r>
            <w:r>
              <w:rPr>
                <w:rFonts w:ascii="宋体" w:hAnsi="宋体" w:cs="宋体" w:eastAsia="宋体" w:hint="default"/>
                <w:sz w:val="20"/>
                <w:szCs w:val="20"/>
              </w:rPr>
              <w:t>关的政府补贴列示至</w:t>
            </w:r>
            <w:r>
              <w:rPr>
                <w:rFonts w:ascii="宋体" w:hAnsi="宋体" w:cs="宋体" w:eastAsia="宋体" w:hint="default"/>
                <w:w w:val="100"/>
                <w:sz w:val="20"/>
                <w:szCs w:val="20"/>
              </w:rPr>
              <w:t> </w:t>
            </w:r>
            <w:r>
              <w:rPr>
                <w:rFonts w:ascii="宋体" w:hAnsi="宋体" w:cs="宋体" w:eastAsia="宋体" w:hint="default"/>
                <w:sz w:val="20"/>
                <w:szCs w:val="20"/>
              </w:rPr>
              <w:t>其他收益且不追溯调</w:t>
            </w:r>
            <w:r>
              <w:rPr>
                <w:rFonts w:ascii="宋体" w:hAnsi="宋体" w:cs="宋体" w:eastAsia="宋体" w:hint="default"/>
                <w:w w:val="100"/>
                <w:sz w:val="20"/>
                <w:szCs w:val="20"/>
              </w:rPr>
              <w:t> </w:t>
            </w:r>
            <w:r>
              <w:rPr>
                <w:rFonts w:ascii="宋体" w:hAnsi="宋体" w:cs="宋体" w:eastAsia="宋体" w:hint="default"/>
                <w:sz w:val="20"/>
                <w:szCs w:val="20"/>
              </w:rPr>
              <w:t>整上期所致。</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114,798.79</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3"/>
              <w:jc w:val="right"/>
              <w:rPr>
                <w:rFonts w:ascii="宋体" w:hAnsi="宋体" w:cs="宋体" w:eastAsia="宋体" w:hint="default"/>
                <w:sz w:val="20"/>
                <w:szCs w:val="20"/>
              </w:rPr>
            </w:pPr>
            <w:r>
              <w:rPr>
                <w:rFonts w:ascii="宋体"/>
                <w:spacing w:val="-1"/>
                <w:sz w:val="20"/>
              </w:rPr>
              <w:t>2,607,239.36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-95.60%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主要系对外捐赠支出</w:t>
            </w:r>
            <w:r>
              <w:rPr>
                <w:rFonts w:ascii="宋体" w:hAnsi="宋体" w:cs="宋体" w:eastAsia="宋体" w:hint="default"/>
                <w:w w:val="100"/>
                <w:sz w:val="20"/>
                <w:szCs w:val="20"/>
              </w:rPr>
              <w:t> </w:t>
            </w:r>
            <w:r>
              <w:rPr>
                <w:rFonts w:ascii="宋体" w:hAnsi="宋体" w:cs="宋体" w:eastAsia="宋体" w:hint="default"/>
                <w:sz w:val="20"/>
                <w:szCs w:val="20"/>
              </w:rPr>
              <w:t>减少所致。</w:t>
            </w:r>
          </w:p>
        </w:tc>
      </w:tr>
      <w:tr>
        <w:trPr>
          <w:trHeight w:val="63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利润总额（亏损以</w:t>
            </w:r>
            <w:r>
              <w:rPr>
                <w:rFonts w:ascii="宋体" w:hAnsi="宋体" w:cs="宋体" w:eastAsia="宋体" w:hint="default"/>
                <w:w w:val="100"/>
                <w:sz w:val="20"/>
                <w:szCs w:val="20"/>
              </w:rPr>
              <w:t> </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”号填列）</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05"/>
              <w:jc w:val="right"/>
              <w:rPr>
                <w:rFonts w:ascii="宋体" w:hAnsi="宋体" w:cs="宋体" w:eastAsia="宋体" w:hint="default"/>
                <w:sz w:val="20"/>
                <w:szCs w:val="20"/>
              </w:rPr>
            </w:pPr>
            <w:r>
              <w:rPr>
                <w:rFonts w:ascii="宋体"/>
                <w:spacing w:val="-1"/>
                <w:sz w:val="20"/>
              </w:rPr>
              <w:t>-245,134,640.23</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3"/>
              <w:jc w:val="right"/>
              <w:rPr>
                <w:rFonts w:ascii="宋体" w:hAnsi="宋体" w:cs="宋体" w:eastAsia="宋体" w:hint="default"/>
                <w:sz w:val="20"/>
                <w:szCs w:val="20"/>
              </w:rPr>
            </w:pPr>
            <w:r>
              <w:rPr>
                <w:rFonts w:ascii="宋体"/>
                <w:spacing w:val="-1"/>
                <w:sz w:val="20"/>
              </w:rPr>
              <w:t>198,229,645.94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20"/>
                <w:szCs w:val="20"/>
              </w:rPr>
            </w:pPr>
            <w:r>
              <w:rPr>
                <w:rFonts w:ascii="宋体"/>
                <w:spacing w:val="-1"/>
                <w:sz w:val="20"/>
              </w:rPr>
              <w:t>-223.66%</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主要系计提商誉减值</w:t>
            </w:r>
            <w:r>
              <w:rPr>
                <w:rFonts w:ascii="宋体" w:hAnsi="宋体" w:cs="宋体" w:eastAsia="宋体" w:hint="default"/>
                <w:w w:val="100"/>
                <w:sz w:val="20"/>
                <w:szCs w:val="20"/>
              </w:rPr>
              <w:t> </w:t>
            </w:r>
            <w:r>
              <w:rPr>
                <w:rFonts w:ascii="宋体" w:hAnsi="宋体" w:cs="宋体" w:eastAsia="宋体" w:hint="default"/>
                <w:sz w:val="20"/>
                <w:szCs w:val="20"/>
              </w:rPr>
              <w:t>所致。</w:t>
            </w:r>
          </w:p>
        </w:tc>
      </w:tr>
      <w:tr>
        <w:trPr>
          <w:trHeight w:val="1258"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305"/>
              <w:jc w:val="right"/>
              <w:rPr>
                <w:rFonts w:ascii="宋体" w:hAnsi="宋体" w:cs="宋体" w:eastAsia="宋体" w:hint="default"/>
                <w:sz w:val="20"/>
                <w:szCs w:val="20"/>
              </w:rPr>
            </w:pPr>
            <w:r>
              <w:rPr>
                <w:rFonts w:ascii="宋体"/>
                <w:spacing w:val="-1"/>
                <w:sz w:val="20"/>
              </w:rPr>
              <w:t>12,966,372.70</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24"/>
              <w:jc w:val="right"/>
              <w:rPr>
                <w:rFonts w:ascii="宋体" w:hAnsi="宋体" w:cs="宋体" w:eastAsia="宋体" w:hint="default"/>
                <w:sz w:val="20"/>
                <w:szCs w:val="20"/>
              </w:rPr>
            </w:pPr>
            <w:r>
              <w:rPr>
                <w:rFonts w:ascii="宋体"/>
                <w:spacing w:val="-1"/>
                <w:sz w:val="20"/>
              </w:rPr>
              <w:t>20,487,886.60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-36.71%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both"/>
              <w:rPr>
                <w:rFonts w:ascii="宋体" w:hAnsi="宋体" w:cs="宋体" w:eastAsia="宋体" w:hint="default"/>
                <w:sz w:val="20"/>
                <w:szCs w:val="20"/>
              </w:rPr>
            </w:pPr>
            <w:r>
              <w:rPr>
                <w:rFonts w:ascii="宋体" w:hAnsi="宋体" w:cs="宋体" w:eastAsia="宋体" w:hint="default"/>
                <w:sz w:val="20"/>
                <w:szCs w:val="20"/>
              </w:rPr>
              <w:t>主要系滨河创新利润</w:t>
            </w:r>
            <w:r>
              <w:rPr>
                <w:rFonts w:ascii="宋体" w:hAnsi="宋体" w:cs="宋体" w:eastAsia="宋体" w:hint="default"/>
                <w:w w:val="100"/>
                <w:sz w:val="20"/>
                <w:szCs w:val="20"/>
              </w:rPr>
              <w:t> </w:t>
            </w:r>
            <w:r>
              <w:rPr>
                <w:rFonts w:ascii="宋体" w:hAnsi="宋体" w:cs="宋体" w:eastAsia="宋体" w:hint="default"/>
                <w:sz w:val="20"/>
                <w:szCs w:val="20"/>
              </w:rPr>
              <w:t>下降及部分子公司享</w:t>
            </w:r>
            <w:r>
              <w:rPr>
                <w:rFonts w:ascii="宋体" w:hAnsi="宋体" w:cs="宋体" w:eastAsia="宋体" w:hint="default"/>
                <w:w w:val="100"/>
                <w:sz w:val="20"/>
                <w:szCs w:val="20"/>
              </w:rPr>
              <w:t> </w:t>
            </w:r>
            <w:r>
              <w:rPr>
                <w:rFonts w:ascii="宋体" w:hAnsi="宋体" w:cs="宋体" w:eastAsia="宋体" w:hint="default"/>
                <w:sz w:val="20"/>
                <w:szCs w:val="20"/>
              </w:rPr>
              <w:t>受所得税优惠政策所</w:t>
            </w:r>
            <w:r>
              <w:rPr>
                <w:rFonts w:ascii="宋体" w:hAnsi="宋体" w:cs="宋体" w:eastAsia="宋体" w:hint="default"/>
                <w:w w:val="100"/>
                <w:sz w:val="20"/>
                <w:szCs w:val="20"/>
              </w:rPr>
              <w:t> </w:t>
            </w:r>
            <w:r>
              <w:rPr>
                <w:rFonts w:ascii="宋体" w:hAnsi="宋体" w:cs="宋体" w:eastAsia="宋体" w:hint="default"/>
                <w:sz w:val="20"/>
                <w:szCs w:val="20"/>
              </w:rPr>
              <w:t>致。</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
              <w:jc w:val="left"/>
              <w:rPr>
                <w:rFonts w:ascii="宋体" w:hAnsi="宋体" w:cs="宋体" w:eastAsia="宋体" w:hint="default"/>
                <w:sz w:val="20"/>
                <w:szCs w:val="20"/>
              </w:rPr>
            </w:pPr>
            <w:r>
              <w:rPr>
                <w:rFonts w:ascii="宋体" w:hAnsi="宋体" w:cs="宋体" w:eastAsia="宋体" w:hint="default"/>
                <w:spacing w:val="-6"/>
                <w:sz w:val="20"/>
                <w:szCs w:val="20"/>
              </w:rPr>
              <w:t>净利润（亏损以“</w:t>
            </w:r>
            <w:r>
              <w:rPr>
                <w:rFonts w:ascii="宋体" w:hAnsi="宋体" w:cs="宋体" w:eastAsia="宋体" w:hint="default"/>
                <w:spacing w:val="-6"/>
                <w:sz w:val="20"/>
                <w:szCs w:val="20"/>
              </w:rPr>
              <w:t>-</w:t>
            </w:r>
            <w:r>
              <w:rPr>
                <w:rFonts w:ascii="宋体" w:hAnsi="宋体" w:cs="宋体" w:eastAsia="宋体" w:hint="default"/>
                <w:spacing w:val="-6"/>
                <w:sz w:val="20"/>
                <w:szCs w:val="20"/>
              </w:rPr>
              <w:t>”</w:t>
            </w:r>
            <w:r>
              <w:rPr>
                <w:rFonts w:ascii="宋体" w:hAnsi="宋体" w:cs="宋体" w:eastAsia="宋体" w:hint="default"/>
                <w:spacing w:val="-97"/>
                <w:sz w:val="20"/>
                <w:szCs w:val="20"/>
              </w:rPr>
              <w:t> </w:t>
            </w:r>
            <w:r>
              <w:rPr>
                <w:rFonts w:ascii="宋体" w:hAnsi="宋体" w:cs="宋体" w:eastAsia="宋体" w:hint="default"/>
                <w:sz w:val="20"/>
                <w:szCs w:val="20"/>
              </w:rPr>
              <w:t>号填列）</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-258,101,012.93</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3"/>
              <w:jc w:val="right"/>
              <w:rPr>
                <w:rFonts w:ascii="宋体" w:hAnsi="宋体" w:cs="宋体" w:eastAsia="宋体" w:hint="default"/>
                <w:sz w:val="20"/>
                <w:szCs w:val="20"/>
              </w:rPr>
            </w:pPr>
            <w:r>
              <w:rPr>
                <w:rFonts w:ascii="宋体"/>
                <w:spacing w:val="-1"/>
                <w:sz w:val="20"/>
              </w:rPr>
              <w:t>177,741,759.34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-245.21%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7"/>
              <w:jc w:val="left"/>
              <w:rPr>
                <w:rFonts w:ascii="宋体" w:hAnsi="宋体" w:cs="宋体" w:eastAsia="宋体" w:hint="default"/>
                <w:sz w:val="20"/>
                <w:szCs w:val="20"/>
              </w:rPr>
            </w:pPr>
            <w:r>
              <w:rPr>
                <w:rFonts w:ascii="宋体" w:hAnsi="宋体" w:cs="宋体" w:eastAsia="宋体" w:hint="default"/>
                <w:sz w:val="20"/>
                <w:szCs w:val="20"/>
              </w:rPr>
              <w:t>主要系计提商誉减值</w:t>
            </w:r>
            <w:r>
              <w:rPr>
                <w:rFonts w:ascii="宋体" w:hAnsi="宋体" w:cs="宋体" w:eastAsia="宋体" w:hint="default"/>
                <w:w w:val="100"/>
                <w:sz w:val="20"/>
                <w:szCs w:val="20"/>
              </w:rPr>
              <w:t> </w:t>
            </w:r>
            <w:r>
              <w:rPr>
                <w:rFonts w:ascii="宋体" w:hAnsi="宋体" w:cs="宋体" w:eastAsia="宋体" w:hint="default"/>
                <w:sz w:val="20"/>
                <w:szCs w:val="20"/>
              </w:rPr>
              <w:t>所致。</w:t>
            </w:r>
          </w:p>
        </w:tc>
      </w:tr>
      <w:tr>
        <w:trPr>
          <w:trHeight w:val="63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sz w:val="20"/>
                <w:szCs w:val="20"/>
              </w:rPr>
              <w:t>持续经营净利润</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05"/>
              <w:jc w:val="right"/>
              <w:rPr>
                <w:rFonts w:ascii="宋体" w:hAnsi="宋体" w:cs="宋体" w:eastAsia="宋体" w:hint="default"/>
                <w:sz w:val="20"/>
                <w:szCs w:val="20"/>
              </w:rPr>
            </w:pPr>
            <w:r>
              <w:rPr>
                <w:rFonts w:ascii="宋体"/>
                <w:spacing w:val="-1"/>
                <w:sz w:val="20"/>
              </w:rPr>
              <w:t>-258,101,012.93</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3"/>
              <w:jc w:val="right"/>
              <w:rPr>
                <w:rFonts w:ascii="宋体" w:hAnsi="宋体" w:cs="宋体" w:eastAsia="宋体" w:hint="default"/>
                <w:sz w:val="20"/>
                <w:szCs w:val="20"/>
              </w:rPr>
            </w:pPr>
            <w:r>
              <w:rPr>
                <w:rFonts w:ascii="宋体"/>
                <w:spacing w:val="-1"/>
                <w:sz w:val="20"/>
              </w:rPr>
              <w:t>177,741,759.34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20"/>
                <w:szCs w:val="20"/>
              </w:rPr>
            </w:pPr>
            <w:r>
              <w:rPr>
                <w:rFonts w:ascii="宋体"/>
                <w:spacing w:val="-1"/>
                <w:sz w:val="20"/>
              </w:rPr>
              <w:t>-245.21%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主要系计提商誉减值</w:t>
            </w:r>
            <w:r>
              <w:rPr>
                <w:rFonts w:ascii="宋体" w:hAnsi="宋体" w:cs="宋体" w:eastAsia="宋体" w:hint="default"/>
                <w:w w:val="100"/>
                <w:sz w:val="20"/>
                <w:szCs w:val="20"/>
              </w:rPr>
              <w:t> </w:t>
            </w:r>
            <w:r>
              <w:rPr>
                <w:rFonts w:ascii="宋体" w:hAnsi="宋体" w:cs="宋体" w:eastAsia="宋体" w:hint="default"/>
                <w:sz w:val="20"/>
                <w:szCs w:val="20"/>
              </w:rPr>
              <w:t>所致。</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归属于母公司所有</w:t>
            </w:r>
            <w:r>
              <w:rPr>
                <w:rFonts w:ascii="宋体" w:hAnsi="宋体" w:cs="宋体" w:eastAsia="宋体" w:hint="default"/>
                <w:w w:val="100"/>
                <w:sz w:val="20"/>
                <w:szCs w:val="20"/>
              </w:rPr>
              <w:t> </w:t>
            </w:r>
            <w:r>
              <w:rPr>
                <w:rFonts w:ascii="宋体" w:hAnsi="宋体" w:cs="宋体" w:eastAsia="宋体" w:hint="default"/>
                <w:sz w:val="20"/>
                <w:szCs w:val="20"/>
              </w:rPr>
              <w:t>者的净利润</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-236,661,197.94</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3"/>
              <w:jc w:val="right"/>
              <w:rPr>
                <w:rFonts w:ascii="宋体" w:hAnsi="宋体" w:cs="宋体" w:eastAsia="宋体" w:hint="default"/>
                <w:sz w:val="20"/>
                <w:szCs w:val="20"/>
              </w:rPr>
            </w:pPr>
            <w:r>
              <w:rPr>
                <w:rFonts w:ascii="宋体"/>
                <w:spacing w:val="-1"/>
                <w:sz w:val="20"/>
              </w:rPr>
              <w:t>177,933,924.25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-233.01%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主要系计提商誉减值</w:t>
            </w:r>
            <w:r>
              <w:rPr>
                <w:rFonts w:ascii="宋体" w:hAnsi="宋体" w:cs="宋体" w:eastAsia="宋体" w:hint="default"/>
                <w:w w:val="100"/>
                <w:sz w:val="20"/>
                <w:szCs w:val="20"/>
              </w:rPr>
              <w:t> </w:t>
            </w:r>
            <w:r>
              <w:rPr>
                <w:rFonts w:ascii="宋体" w:hAnsi="宋体" w:cs="宋体" w:eastAsia="宋体" w:hint="default"/>
                <w:sz w:val="20"/>
                <w:szCs w:val="20"/>
              </w:rPr>
              <w:t>所致。</w:t>
            </w:r>
          </w:p>
        </w:tc>
      </w:tr>
      <w:tr>
        <w:trPr>
          <w:trHeight w:val="947"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305"/>
              <w:jc w:val="right"/>
              <w:rPr>
                <w:rFonts w:ascii="宋体" w:hAnsi="宋体" w:cs="宋体" w:eastAsia="宋体" w:hint="default"/>
                <w:sz w:val="20"/>
                <w:szCs w:val="20"/>
              </w:rPr>
            </w:pPr>
            <w:r>
              <w:rPr>
                <w:rFonts w:ascii="宋体"/>
                <w:spacing w:val="-1"/>
                <w:sz w:val="20"/>
              </w:rPr>
              <w:t>-21,439,814.99</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3"/>
              <w:jc w:val="right"/>
              <w:rPr>
                <w:rFonts w:ascii="宋体" w:hAnsi="宋体" w:cs="宋体" w:eastAsia="宋体" w:hint="default"/>
                <w:sz w:val="20"/>
                <w:szCs w:val="20"/>
              </w:rPr>
            </w:pPr>
            <w:r>
              <w:rPr>
                <w:rFonts w:ascii="宋体"/>
                <w:spacing w:val="-1"/>
                <w:sz w:val="20"/>
              </w:rPr>
              <w:t>-192,164.91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-11056.99%</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both"/>
              <w:rPr>
                <w:rFonts w:ascii="宋体" w:hAnsi="宋体" w:cs="宋体" w:eastAsia="宋体" w:hint="default"/>
                <w:sz w:val="20"/>
                <w:szCs w:val="20"/>
              </w:rPr>
            </w:pPr>
            <w:r>
              <w:rPr>
                <w:rFonts w:ascii="宋体" w:hAnsi="宋体" w:cs="宋体" w:eastAsia="宋体" w:hint="default"/>
                <w:sz w:val="20"/>
                <w:szCs w:val="20"/>
              </w:rPr>
              <w:t>主要系本期将大金所</w:t>
            </w:r>
            <w:r>
              <w:rPr>
                <w:rFonts w:ascii="宋体" w:hAnsi="宋体" w:cs="宋体" w:eastAsia="宋体" w:hint="default"/>
                <w:w w:val="100"/>
                <w:sz w:val="20"/>
                <w:szCs w:val="20"/>
              </w:rPr>
              <w:t> </w:t>
            </w:r>
            <w:r>
              <w:rPr>
                <w:rFonts w:ascii="宋体" w:hAnsi="宋体" w:cs="宋体" w:eastAsia="宋体" w:hint="default"/>
                <w:sz w:val="20"/>
                <w:szCs w:val="20"/>
              </w:rPr>
              <w:t>利润表纳入合并范围</w:t>
            </w:r>
            <w:r>
              <w:rPr>
                <w:rFonts w:ascii="宋体" w:hAnsi="宋体" w:cs="宋体" w:eastAsia="宋体" w:hint="default"/>
                <w:w w:val="100"/>
                <w:sz w:val="20"/>
                <w:szCs w:val="20"/>
              </w:rPr>
              <w:t> </w:t>
            </w:r>
            <w:r>
              <w:rPr>
                <w:rFonts w:ascii="宋体" w:hAnsi="宋体" w:cs="宋体" w:eastAsia="宋体" w:hint="default"/>
                <w:sz w:val="20"/>
                <w:szCs w:val="20"/>
              </w:rPr>
              <w:t>所致。</w:t>
            </w:r>
          </w:p>
        </w:tc>
      </w:tr>
    </w:tbl>
    <w:p>
      <w:pPr>
        <w:spacing w:after="0" w:line="285" w:lineRule="auto"/>
        <w:jc w:val="both"/>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1960"/>
        <w:gridCol w:w="2121"/>
        <w:gridCol w:w="2140"/>
        <w:gridCol w:w="1260"/>
        <w:gridCol w:w="2172"/>
      </w:tblGrid>
      <w:tr>
        <w:trPr>
          <w:trHeight w:val="629" w:hRule="exact"/>
        </w:trPr>
        <w:tc>
          <w:tcPr>
            <w:tcW w:w="1960"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其他综合收益的税</w:t>
            </w:r>
            <w:r>
              <w:rPr>
                <w:rFonts w:ascii="宋体" w:hAnsi="宋体" w:cs="宋体" w:eastAsia="宋体" w:hint="default"/>
                <w:w w:val="100"/>
                <w:sz w:val="20"/>
                <w:szCs w:val="20"/>
              </w:rPr>
              <w:t> </w:t>
            </w:r>
            <w:r>
              <w:rPr>
                <w:rFonts w:ascii="宋体" w:hAnsi="宋体" w:cs="宋体" w:eastAsia="宋体" w:hint="default"/>
                <w:sz w:val="20"/>
                <w:szCs w:val="20"/>
              </w:rPr>
              <w:t>后净额</w:t>
            </w:r>
          </w:p>
        </w:tc>
        <w:tc>
          <w:tcPr>
            <w:tcW w:w="21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1,121.95</w:t>
            </w:r>
          </w:p>
        </w:tc>
        <w:tc>
          <w:tcPr>
            <w:tcW w:w="21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0"/>
              <w:ind w:right="224"/>
              <w:jc w:val="right"/>
              <w:rPr>
                <w:rFonts w:ascii="宋体" w:hAnsi="宋体" w:cs="宋体" w:eastAsia="宋体" w:hint="default"/>
                <w:sz w:val="20"/>
                <w:szCs w:val="20"/>
              </w:rPr>
            </w:pPr>
            <w:r>
              <w:rPr>
                <w:rFonts w:ascii="宋体"/>
                <w:spacing w:val="-1"/>
                <w:sz w:val="20"/>
              </w:rPr>
              <w:t>-31,771.66</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103.53%</w:t>
            </w:r>
          </w:p>
        </w:tc>
        <w:tc>
          <w:tcPr>
            <w:tcW w:w="2172"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56"/>
              <w:jc w:val="left"/>
              <w:rPr>
                <w:rFonts w:ascii="宋体" w:hAnsi="宋体" w:cs="宋体" w:eastAsia="宋体" w:hint="default"/>
                <w:sz w:val="20"/>
                <w:szCs w:val="20"/>
              </w:rPr>
            </w:pPr>
            <w:r>
              <w:rPr>
                <w:rFonts w:ascii="宋体" w:hAnsi="宋体" w:cs="宋体" w:eastAsia="宋体" w:hint="default"/>
                <w:sz w:val="20"/>
                <w:szCs w:val="20"/>
              </w:rPr>
              <w:t>主要系香港子公司外</w:t>
            </w:r>
            <w:r>
              <w:rPr>
                <w:rFonts w:ascii="宋体" w:hAnsi="宋体" w:cs="宋体" w:eastAsia="宋体" w:hint="default"/>
                <w:w w:val="100"/>
                <w:sz w:val="20"/>
                <w:szCs w:val="20"/>
              </w:rPr>
              <w:t> </w:t>
            </w:r>
            <w:r>
              <w:rPr>
                <w:rFonts w:ascii="宋体" w:hAnsi="宋体" w:cs="宋体" w:eastAsia="宋体" w:hint="default"/>
                <w:sz w:val="20"/>
                <w:szCs w:val="20"/>
              </w:rPr>
              <w:t>币报表折算差额所致。</w:t>
            </w:r>
          </w:p>
        </w:tc>
      </w:tr>
      <w:tr>
        <w:trPr>
          <w:trHeight w:val="322"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74" w:right="0"/>
              <w:jc w:val="left"/>
              <w:rPr>
                <w:rFonts w:ascii="宋体" w:hAnsi="宋体" w:cs="宋体" w:eastAsia="宋体" w:hint="default"/>
                <w:sz w:val="20"/>
                <w:szCs w:val="20"/>
              </w:rPr>
            </w:pPr>
            <w:r>
              <w:rPr>
                <w:rFonts w:ascii="宋体" w:hAnsi="宋体" w:cs="宋体" w:eastAsia="宋体" w:hint="default"/>
                <w:b/>
                <w:bCs/>
                <w:sz w:val="20"/>
                <w:szCs w:val="20"/>
              </w:rPr>
              <w:t>报表项目</w:t>
            </w:r>
            <w:r>
              <w:rPr>
                <w:rFonts w:ascii="宋体" w:hAnsi="宋体" w:cs="宋体" w:eastAsia="宋体" w:hint="default"/>
                <w:sz w:val="20"/>
                <w:szCs w:val="20"/>
              </w:rPr>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53" w:right="0"/>
              <w:jc w:val="left"/>
              <w:rPr>
                <w:rFonts w:ascii="宋体" w:hAnsi="宋体" w:cs="宋体" w:eastAsia="宋体" w:hint="default"/>
                <w:sz w:val="20"/>
                <w:szCs w:val="20"/>
              </w:rPr>
            </w:pPr>
            <w:r>
              <w:rPr>
                <w:rFonts w:ascii="宋体" w:hAnsi="宋体" w:cs="宋体" w:eastAsia="宋体" w:hint="default"/>
                <w:b/>
                <w:bCs/>
                <w:sz w:val="20"/>
                <w:szCs w:val="20"/>
              </w:rPr>
              <w:t>本期发生额</w:t>
            </w:r>
            <w:r>
              <w:rPr>
                <w:rFonts w:ascii="宋体" w:hAnsi="宋体" w:cs="宋体" w:eastAsia="宋体" w:hint="default"/>
                <w:sz w:val="20"/>
                <w:szCs w:val="20"/>
              </w:rPr>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62" w:right="0"/>
              <w:jc w:val="left"/>
              <w:rPr>
                <w:rFonts w:ascii="宋体" w:hAnsi="宋体" w:cs="宋体" w:eastAsia="宋体" w:hint="default"/>
                <w:sz w:val="20"/>
                <w:szCs w:val="20"/>
              </w:rPr>
            </w:pPr>
            <w:r>
              <w:rPr>
                <w:rFonts w:ascii="宋体" w:hAnsi="宋体" w:cs="宋体" w:eastAsia="宋体" w:hint="default"/>
                <w:b/>
                <w:bCs/>
                <w:sz w:val="20"/>
                <w:szCs w:val="20"/>
              </w:rPr>
              <w:t>上期发生额</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3" w:right="0"/>
              <w:jc w:val="left"/>
              <w:rPr>
                <w:rFonts w:ascii="宋体" w:hAnsi="宋体" w:cs="宋体" w:eastAsia="宋体" w:hint="default"/>
                <w:sz w:val="20"/>
                <w:szCs w:val="20"/>
              </w:rPr>
            </w:pPr>
            <w:r>
              <w:rPr>
                <w:rFonts w:ascii="宋体" w:hAnsi="宋体" w:cs="宋体" w:eastAsia="宋体" w:hint="default"/>
                <w:b/>
                <w:bCs/>
                <w:sz w:val="20"/>
                <w:szCs w:val="20"/>
              </w:rPr>
              <w:t>变动比例</w:t>
            </w:r>
            <w:r>
              <w:rPr>
                <w:rFonts w:ascii="宋体" w:hAnsi="宋体" w:cs="宋体" w:eastAsia="宋体" w:hint="default"/>
                <w:sz w:val="20"/>
                <w:szCs w:val="20"/>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77" w:right="0"/>
              <w:jc w:val="left"/>
              <w:rPr>
                <w:rFonts w:ascii="宋体" w:hAnsi="宋体" w:cs="宋体" w:eastAsia="宋体" w:hint="default"/>
                <w:sz w:val="20"/>
                <w:szCs w:val="20"/>
              </w:rPr>
            </w:pPr>
            <w:r>
              <w:rPr>
                <w:rFonts w:ascii="宋体" w:hAnsi="宋体" w:cs="宋体" w:eastAsia="宋体" w:hint="default"/>
                <w:b/>
                <w:bCs/>
                <w:sz w:val="20"/>
                <w:szCs w:val="20"/>
              </w:rPr>
              <w:t>变动原因说明</w:t>
            </w:r>
            <w:r>
              <w:rPr>
                <w:rFonts w:ascii="宋体" w:hAnsi="宋体" w:cs="宋体" w:eastAsia="宋体" w:hint="default"/>
                <w:sz w:val="20"/>
                <w:szCs w:val="20"/>
              </w:rPr>
            </w:r>
          </w:p>
        </w:tc>
      </w:tr>
      <w:tr>
        <w:trPr>
          <w:trHeight w:val="63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05"/>
              <w:jc w:val="right"/>
              <w:rPr>
                <w:rFonts w:ascii="宋体" w:hAnsi="宋体" w:cs="宋体" w:eastAsia="宋体" w:hint="default"/>
                <w:sz w:val="20"/>
                <w:szCs w:val="20"/>
              </w:rPr>
            </w:pPr>
            <w:r>
              <w:rPr>
                <w:rFonts w:ascii="宋体"/>
                <w:spacing w:val="-1"/>
                <w:sz w:val="20"/>
              </w:rPr>
              <w:t>4,114,531.75</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4"/>
              <w:jc w:val="right"/>
              <w:rPr>
                <w:rFonts w:ascii="宋体" w:hAnsi="宋体" w:cs="宋体" w:eastAsia="宋体" w:hint="default"/>
                <w:sz w:val="20"/>
                <w:szCs w:val="20"/>
              </w:rPr>
            </w:pPr>
            <w:r>
              <w:rPr>
                <w:rFonts w:ascii="宋体"/>
                <w:spacing w:val="-1"/>
                <w:sz w:val="20"/>
              </w:rPr>
              <w:t>14,947,387.59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宋体" w:hAnsi="宋体" w:cs="宋体" w:eastAsia="宋体" w:hint="default"/>
                <w:sz w:val="20"/>
                <w:szCs w:val="20"/>
              </w:rPr>
            </w:pPr>
            <w:r>
              <w:rPr>
                <w:rFonts w:ascii="宋体"/>
                <w:spacing w:val="-1"/>
                <w:sz w:val="20"/>
              </w:rPr>
              <w:t>-72.47%</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主要系本期收到的增</w:t>
            </w:r>
            <w:r>
              <w:rPr>
                <w:rFonts w:ascii="宋体" w:hAnsi="宋体" w:cs="宋体" w:eastAsia="宋体" w:hint="default"/>
                <w:w w:val="100"/>
                <w:sz w:val="20"/>
                <w:szCs w:val="20"/>
              </w:rPr>
              <w:t> </w:t>
            </w:r>
            <w:r>
              <w:rPr>
                <w:rFonts w:ascii="宋体" w:hAnsi="宋体" w:cs="宋体" w:eastAsia="宋体" w:hint="default"/>
                <w:sz w:val="20"/>
                <w:szCs w:val="20"/>
              </w:rPr>
              <w:t>值税返还减少所致。</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收到其他与经营活</w:t>
            </w:r>
            <w:r>
              <w:rPr>
                <w:rFonts w:ascii="宋体" w:hAnsi="宋体" w:cs="宋体" w:eastAsia="宋体" w:hint="default"/>
                <w:w w:val="100"/>
                <w:sz w:val="20"/>
                <w:szCs w:val="20"/>
              </w:rPr>
              <w:t> </w:t>
            </w:r>
            <w:r>
              <w:rPr>
                <w:rFonts w:ascii="宋体" w:hAnsi="宋体" w:cs="宋体" w:eastAsia="宋体" w:hint="default"/>
                <w:sz w:val="20"/>
                <w:szCs w:val="20"/>
              </w:rPr>
              <w:t>动有关的现金</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275,084,217.33</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3"/>
              <w:jc w:val="right"/>
              <w:rPr>
                <w:rFonts w:ascii="宋体" w:hAnsi="宋体" w:cs="宋体" w:eastAsia="宋体" w:hint="default"/>
                <w:sz w:val="20"/>
                <w:szCs w:val="20"/>
              </w:rPr>
            </w:pPr>
            <w:r>
              <w:rPr>
                <w:rFonts w:ascii="宋体"/>
                <w:spacing w:val="-1"/>
                <w:sz w:val="20"/>
              </w:rPr>
              <w:t>186,582,460.73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z w:val="20"/>
              </w:rPr>
              <w:t>47.43%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56"/>
              <w:jc w:val="left"/>
              <w:rPr>
                <w:rFonts w:ascii="宋体" w:hAnsi="宋体" w:cs="宋体" w:eastAsia="宋体" w:hint="default"/>
                <w:sz w:val="20"/>
                <w:szCs w:val="20"/>
              </w:rPr>
            </w:pPr>
            <w:r>
              <w:rPr>
                <w:rFonts w:ascii="宋体" w:hAnsi="宋体" w:cs="宋体" w:eastAsia="宋体" w:hint="default"/>
                <w:sz w:val="20"/>
                <w:szCs w:val="20"/>
              </w:rPr>
              <w:t>主要系本期收到及收</w:t>
            </w:r>
            <w:r>
              <w:rPr>
                <w:rFonts w:ascii="宋体" w:hAnsi="宋体" w:cs="宋体" w:eastAsia="宋体" w:hint="default"/>
                <w:w w:val="100"/>
                <w:sz w:val="20"/>
                <w:szCs w:val="20"/>
              </w:rPr>
              <w:t> </w:t>
            </w:r>
            <w:r>
              <w:rPr>
                <w:rFonts w:ascii="宋体" w:hAnsi="宋体" w:cs="宋体" w:eastAsia="宋体" w:hint="default"/>
                <w:sz w:val="20"/>
                <w:szCs w:val="20"/>
              </w:rPr>
              <w:t>回的保证金增加所致。</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支付给职工以及为</w:t>
            </w:r>
            <w:r>
              <w:rPr>
                <w:rFonts w:ascii="宋体" w:hAnsi="宋体" w:cs="宋体" w:eastAsia="宋体" w:hint="default"/>
                <w:w w:val="100"/>
                <w:sz w:val="20"/>
                <w:szCs w:val="20"/>
              </w:rPr>
              <w:t> </w:t>
            </w:r>
            <w:r>
              <w:rPr>
                <w:rFonts w:ascii="宋体" w:hAnsi="宋体" w:cs="宋体" w:eastAsia="宋体" w:hint="default"/>
                <w:sz w:val="20"/>
                <w:szCs w:val="20"/>
              </w:rPr>
              <w:t>职工支付的现金</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148,396,481.56</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3"/>
              <w:jc w:val="right"/>
              <w:rPr>
                <w:rFonts w:ascii="宋体" w:hAnsi="宋体" w:cs="宋体" w:eastAsia="宋体" w:hint="default"/>
                <w:sz w:val="20"/>
                <w:szCs w:val="20"/>
              </w:rPr>
            </w:pPr>
            <w:r>
              <w:rPr>
                <w:rFonts w:ascii="宋体"/>
                <w:spacing w:val="-1"/>
                <w:sz w:val="20"/>
              </w:rPr>
              <w:t>112,174,856.23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z w:val="20"/>
              </w:rPr>
              <w:t>32.29%</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主要系本期合并范围</w:t>
            </w:r>
            <w:r>
              <w:rPr>
                <w:rFonts w:ascii="宋体" w:hAnsi="宋体" w:cs="宋体" w:eastAsia="宋体" w:hint="default"/>
                <w:w w:val="100"/>
                <w:sz w:val="20"/>
                <w:szCs w:val="20"/>
              </w:rPr>
              <w:t> </w:t>
            </w:r>
            <w:r>
              <w:rPr>
                <w:rFonts w:ascii="宋体" w:hAnsi="宋体" w:cs="宋体" w:eastAsia="宋体" w:hint="default"/>
                <w:sz w:val="20"/>
                <w:szCs w:val="20"/>
              </w:rPr>
              <w:t>变化所致。</w:t>
            </w:r>
          </w:p>
        </w:tc>
      </w:tr>
      <w:tr>
        <w:trPr>
          <w:trHeight w:val="63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支付其他与经营活</w:t>
            </w:r>
            <w:r>
              <w:rPr>
                <w:rFonts w:ascii="宋体" w:hAnsi="宋体" w:cs="宋体" w:eastAsia="宋体" w:hint="default"/>
                <w:w w:val="100"/>
                <w:sz w:val="20"/>
                <w:szCs w:val="20"/>
              </w:rPr>
              <w:t> </w:t>
            </w:r>
            <w:r>
              <w:rPr>
                <w:rFonts w:ascii="宋体" w:hAnsi="宋体" w:cs="宋体" w:eastAsia="宋体" w:hint="default"/>
                <w:sz w:val="20"/>
                <w:szCs w:val="20"/>
              </w:rPr>
              <w:t>动有关的现金</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05"/>
              <w:jc w:val="right"/>
              <w:rPr>
                <w:rFonts w:ascii="宋体" w:hAnsi="宋体" w:cs="宋体" w:eastAsia="宋体" w:hint="default"/>
                <w:sz w:val="20"/>
                <w:szCs w:val="20"/>
              </w:rPr>
            </w:pPr>
            <w:r>
              <w:rPr>
                <w:rFonts w:ascii="宋体"/>
                <w:spacing w:val="-1"/>
                <w:sz w:val="20"/>
              </w:rPr>
              <w:t>307,357,121.75</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3"/>
              <w:jc w:val="right"/>
              <w:rPr>
                <w:rFonts w:ascii="宋体" w:hAnsi="宋体" w:cs="宋体" w:eastAsia="宋体" w:hint="default"/>
                <w:sz w:val="20"/>
                <w:szCs w:val="20"/>
              </w:rPr>
            </w:pPr>
            <w:r>
              <w:rPr>
                <w:rFonts w:ascii="宋体"/>
                <w:spacing w:val="-1"/>
                <w:sz w:val="20"/>
              </w:rPr>
              <w:t>216,064,865.15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宋体" w:hAnsi="宋体" w:cs="宋体" w:eastAsia="宋体" w:hint="default"/>
                <w:sz w:val="20"/>
                <w:szCs w:val="20"/>
              </w:rPr>
            </w:pPr>
            <w:r>
              <w:rPr>
                <w:rFonts w:ascii="宋体"/>
                <w:sz w:val="20"/>
              </w:rPr>
              <w:t>42.25%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56"/>
              <w:jc w:val="left"/>
              <w:rPr>
                <w:rFonts w:ascii="宋体" w:hAnsi="宋体" w:cs="宋体" w:eastAsia="宋体" w:hint="default"/>
                <w:sz w:val="20"/>
                <w:szCs w:val="20"/>
              </w:rPr>
            </w:pPr>
            <w:r>
              <w:rPr>
                <w:rFonts w:ascii="宋体" w:hAnsi="宋体" w:cs="宋体" w:eastAsia="宋体" w:hint="default"/>
                <w:sz w:val="20"/>
                <w:szCs w:val="20"/>
              </w:rPr>
              <w:t>主要系本期支付及退</w:t>
            </w:r>
            <w:r>
              <w:rPr>
                <w:rFonts w:ascii="宋体" w:hAnsi="宋体" w:cs="宋体" w:eastAsia="宋体" w:hint="default"/>
                <w:w w:val="100"/>
                <w:sz w:val="20"/>
                <w:szCs w:val="20"/>
              </w:rPr>
              <w:t> </w:t>
            </w:r>
            <w:r>
              <w:rPr>
                <w:rFonts w:ascii="宋体" w:hAnsi="宋体" w:cs="宋体" w:eastAsia="宋体" w:hint="default"/>
                <w:sz w:val="20"/>
                <w:szCs w:val="20"/>
              </w:rPr>
              <w:t>回的保证金增加所致。</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经营活动产生的现</w:t>
            </w:r>
            <w:r>
              <w:rPr>
                <w:rFonts w:ascii="宋体" w:hAnsi="宋体" w:cs="宋体" w:eastAsia="宋体" w:hint="default"/>
                <w:w w:val="100"/>
                <w:sz w:val="20"/>
                <w:szCs w:val="20"/>
              </w:rPr>
              <w:t> </w:t>
            </w:r>
            <w:r>
              <w:rPr>
                <w:rFonts w:ascii="宋体" w:hAnsi="宋体" w:cs="宋体" w:eastAsia="宋体" w:hint="default"/>
                <w:sz w:val="20"/>
                <w:szCs w:val="20"/>
              </w:rPr>
              <w:t>金流量净额</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108,428,190.60</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3"/>
              <w:jc w:val="right"/>
              <w:rPr>
                <w:rFonts w:ascii="宋体" w:hAnsi="宋体" w:cs="宋体" w:eastAsia="宋体" w:hint="default"/>
                <w:sz w:val="20"/>
                <w:szCs w:val="20"/>
              </w:rPr>
            </w:pPr>
            <w:r>
              <w:rPr>
                <w:rFonts w:ascii="宋体"/>
                <w:spacing w:val="-1"/>
                <w:sz w:val="20"/>
              </w:rPr>
              <w:t>267,550,282.51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-59.47%</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以上因素综合影响所</w:t>
            </w:r>
            <w:r>
              <w:rPr>
                <w:rFonts w:ascii="宋体" w:hAnsi="宋体" w:cs="宋体" w:eastAsia="宋体" w:hint="default"/>
                <w:w w:val="100"/>
                <w:sz w:val="20"/>
                <w:szCs w:val="20"/>
              </w:rPr>
              <w:t> </w:t>
            </w:r>
            <w:r>
              <w:rPr>
                <w:rFonts w:ascii="宋体" w:hAnsi="宋体" w:cs="宋体" w:eastAsia="宋体" w:hint="default"/>
                <w:sz w:val="20"/>
                <w:szCs w:val="20"/>
              </w:rPr>
              <w:t>致</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收回投资收到的现</w:t>
            </w:r>
            <w:r>
              <w:rPr>
                <w:rFonts w:ascii="宋体" w:hAnsi="宋体" w:cs="宋体" w:eastAsia="宋体" w:hint="default"/>
                <w:w w:val="100"/>
                <w:sz w:val="20"/>
                <w:szCs w:val="20"/>
              </w:rPr>
              <w:t> </w:t>
            </w:r>
            <w:r>
              <w:rPr>
                <w:rFonts w:ascii="宋体" w:hAnsi="宋体" w:cs="宋体" w:eastAsia="宋体" w:hint="default"/>
                <w:sz w:val="20"/>
                <w:szCs w:val="20"/>
              </w:rPr>
              <w:t>金</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5,714,367,763.62</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3"/>
              <w:jc w:val="right"/>
              <w:rPr>
                <w:rFonts w:ascii="宋体" w:hAnsi="宋体" w:cs="宋体" w:eastAsia="宋体" w:hint="default"/>
                <w:sz w:val="20"/>
                <w:szCs w:val="20"/>
              </w:rPr>
            </w:pPr>
            <w:r>
              <w:rPr>
                <w:rFonts w:ascii="宋体"/>
                <w:spacing w:val="-1"/>
                <w:sz w:val="20"/>
              </w:rPr>
              <w:t>4,162,150,000.00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z w:val="20"/>
              </w:rPr>
              <w:t>37.29%</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主要系赎回理财产品</w:t>
            </w:r>
            <w:r>
              <w:rPr>
                <w:rFonts w:ascii="宋体" w:hAnsi="宋体" w:cs="宋体" w:eastAsia="宋体" w:hint="default"/>
                <w:w w:val="100"/>
                <w:sz w:val="20"/>
                <w:szCs w:val="20"/>
              </w:rPr>
              <w:t> </w:t>
            </w:r>
            <w:r>
              <w:rPr>
                <w:rFonts w:ascii="宋体" w:hAnsi="宋体" w:cs="宋体" w:eastAsia="宋体" w:hint="default"/>
                <w:sz w:val="20"/>
                <w:szCs w:val="20"/>
              </w:rPr>
              <w:t>增加所致。</w:t>
            </w:r>
          </w:p>
        </w:tc>
      </w:tr>
      <w:tr>
        <w:trPr>
          <w:trHeight w:val="63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取得投资收益收到</w:t>
            </w:r>
            <w:r>
              <w:rPr>
                <w:rFonts w:ascii="宋体" w:hAnsi="宋体" w:cs="宋体" w:eastAsia="宋体" w:hint="default"/>
                <w:w w:val="100"/>
                <w:sz w:val="20"/>
                <w:szCs w:val="20"/>
              </w:rPr>
              <w:t> </w:t>
            </w:r>
            <w:r>
              <w:rPr>
                <w:rFonts w:ascii="宋体" w:hAnsi="宋体" w:cs="宋体" w:eastAsia="宋体" w:hint="default"/>
                <w:sz w:val="20"/>
                <w:szCs w:val="20"/>
              </w:rPr>
              <w:t>的现金</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05"/>
              <w:jc w:val="right"/>
              <w:rPr>
                <w:rFonts w:ascii="宋体" w:hAnsi="宋体" w:cs="宋体" w:eastAsia="宋体" w:hint="default"/>
                <w:sz w:val="20"/>
                <w:szCs w:val="20"/>
              </w:rPr>
            </w:pPr>
            <w:r>
              <w:rPr>
                <w:rFonts w:ascii="宋体"/>
                <w:spacing w:val="-1"/>
                <w:sz w:val="20"/>
              </w:rPr>
              <w:t>90,864,060.65</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4"/>
              <w:jc w:val="right"/>
              <w:rPr>
                <w:rFonts w:ascii="宋体" w:hAnsi="宋体" w:cs="宋体" w:eastAsia="宋体" w:hint="default"/>
                <w:sz w:val="20"/>
                <w:szCs w:val="20"/>
              </w:rPr>
            </w:pPr>
            <w:r>
              <w:rPr>
                <w:rFonts w:ascii="宋体"/>
                <w:spacing w:val="-1"/>
                <w:sz w:val="20"/>
              </w:rPr>
              <w:t>25,883,284.28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20"/>
                <w:szCs w:val="20"/>
              </w:rPr>
            </w:pPr>
            <w:r>
              <w:rPr>
                <w:rFonts w:ascii="宋体"/>
                <w:spacing w:val="-1"/>
                <w:sz w:val="20"/>
              </w:rPr>
              <w:t>251.05%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主要系收到理财产品</w:t>
            </w:r>
            <w:r>
              <w:rPr>
                <w:rFonts w:ascii="宋体" w:hAnsi="宋体" w:cs="宋体" w:eastAsia="宋体" w:hint="default"/>
                <w:w w:val="100"/>
                <w:sz w:val="20"/>
                <w:szCs w:val="20"/>
              </w:rPr>
              <w:t> </w:t>
            </w:r>
            <w:r>
              <w:rPr>
                <w:rFonts w:ascii="宋体" w:hAnsi="宋体" w:cs="宋体" w:eastAsia="宋体" w:hint="default"/>
                <w:sz w:val="20"/>
                <w:szCs w:val="20"/>
              </w:rPr>
              <w:t>收益增加所致。</w:t>
            </w:r>
          </w:p>
        </w:tc>
      </w:tr>
      <w:tr>
        <w:trPr>
          <w:trHeight w:val="946"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0"/>
              <w:jc w:val="left"/>
              <w:rPr>
                <w:rFonts w:ascii="宋体" w:hAnsi="宋体" w:cs="宋体" w:eastAsia="宋体" w:hint="default"/>
                <w:sz w:val="20"/>
                <w:szCs w:val="20"/>
              </w:rPr>
            </w:pPr>
            <w:r>
              <w:rPr>
                <w:rFonts w:ascii="宋体" w:hAnsi="宋体" w:cs="宋体" w:eastAsia="宋体" w:hint="default"/>
                <w:spacing w:val="-7"/>
                <w:sz w:val="20"/>
                <w:szCs w:val="20"/>
              </w:rPr>
              <w:t>处置固定资产、无形</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资产和其他长期资</w:t>
            </w:r>
            <w:r>
              <w:rPr>
                <w:rFonts w:ascii="宋体" w:hAnsi="宋体" w:cs="宋体" w:eastAsia="宋体" w:hint="default"/>
                <w:w w:val="100"/>
                <w:sz w:val="20"/>
                <w:szCs w:val="20"/>
              </w:rPr>
              <w:t> </w:t>
            </w:r>
            <w:r>
              <w:rPr>
                <w:rFonts w:ascii="宋体" w:hAnsi="宋体" w:cs="宋体" w:eastAsia="宋体" w:hint="default"/>
                <w:sz w:val="20"/>
                <w:szCs w:val="20"/>
              </w:rPr>
              <w:t>产收回的现金净额</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305"/>
              <w:jc w:val="right"/>
              <w:rPr>
                <w:rFonts w:ascii="宋体" w:hAnsi="宋体" w:cs="宋体" w:eastAsia="宋体" w:hint="default"/>
                <w:sz w:val="20"/>
                <w:szCs w:val="20"/>
              </w:rPr>
            </w:pPr>
            <w:r>
              <w:rPr>
                <w:rFonts w:ascii="宋体"/>
                <w:spacing w:val="-1"/>
                <w:sz w:val="20"/>
              </w:rPr>
              <w:t>143,650.00</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4"/>
              <w:jc w:val="right"/>
              <w:rPr>
                <w:rFonts w:ascii="宋体" w:hAnsi="宋体" w:cs="宋体" w:eastAsia="宋体" w:hint="default"/>
                <w:sz w:val="20"/>
                <w:szCs w:val="20"/>
              </w:rPr>
            </w:pPr>
            <w:r>
              <w:rPr>
                <w:rFonts w:ascii="宋体"/>
                <w:spacing w:val="-1"/>
                <w:sz w:val="20"/>
              </w:rPr>
              <w:t>11,057,718.38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-98.70%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both"/>
              <w:rPr>
                <w:rFonts w:ascii="宋体" w:hAnsi="宋体" w:cs="宋体" w:eastAsia="宋体" w:hint="default"/>
                <w:sz w:val="20"/>
                <w:szCs w:val="20"/>
              </w:rPr>
            </w:pPr>
            <w:r>
              <w:rPr>
                <w:rFonts w:ascii="宋体" w:hAnsi="宋体" w:cs="宋体" w:eastAsia="宋体" w:hint="default"/>
                <w:sz w:val="20"/>
                <w:szCs w:val="20"/>
              </w:rPr>
              <w:t>主要是上期滨河顺通</w:t>
            </w:r>
            <w:r>
              <w:rPr>
                <w:rFonts w:ascii="宋体" w:hAnsi="宋体" w:cs="宋体" w:eastAsia="宋体" w:hint="default"/>
                <w:w w:val="100"/>
                <w:sz w:val="20"/>
                <w:szCs w:val="20"/>
              </w:rPr>
              <w:t> </w:t>
            </w:r>
            <w:r>
              <w:rPr>
                <w:rFonts w:ascii="宋体" w:hAnsi="宋体" w:cs="宋体" w:eastAsia="宋体" w:hint="default"/>
                <w:sz w:val="20"/>
                <w:szCs w:val="20"/>
              </w:rPr>
              <w:t>处置无形资产及在建</w:t>
            </w:r>
            <w:r>
              <w:rPr>
                <w:rFonts w:ascii="宋体" w:hAnsi="宋体" w:cs="宋体" w:eastAsia="宋体" w:hint="default"/>
                <w:w w:val="100"/>
                <w:sz w:val="20"/>
                <w:szCs w:val="20"/>
              </w:rPr>
              <w:t> </w:t>
            </w:r>
            <w:r>
              <w:rPr>
                <w:rFonts w:ascii="宋体" w:hAnsi="宋体" w:cs="宋体" w:eastAsia="宋体" w:hint="default"/>
                <w:sz w:val="20"/>
                <w:szCs w:val="20"/>
              </w:rPr>
              <w:t>工程所致。</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收到其他与投资活</w:t>
            </w:r>
            <w:r>
              <w:rPr>
                <w:rFonts w:ascii="宋体" w:hAnsi="宋体" w:cs="宋体" w:eastAsia="宋体" w:hint="default"/>
                <w:w w:val="100"/>
                <w:sz w:val="20"/>
                <w:szCs w:val="20"/>
              </w:rPr>
              <w:t> </w:t>
            </w:r>
            <w:r>
              <w:rPr>
                <w:rFonts w:ascii="宋体" w:hAnsi="宋体" w:cs="宋体" w:eastAsia="宋体" w:hint="default"/>
                <w:sz w:val="20"/>
                <w:szCs w:val="20"/>
              </w:rPr>
              <w:t>动有关的现金</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41,405,771.20</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424"/>
              <w:jc w:val="right"/>
              <w:rPr>
                <w:rFonts w:ascii="宋体" w:hAnsi="宋体" w:cs="宋体" w:eastAsia="宋体" w:hint="default"/>
                <w:sz w:val="20"/>
                <w:szCs w:val="20"/>
              </w:rPr>
            </w:pPr>
            <w:r>
              <w:rPr>
                <w:rFonts w:ascii="宋体"/>
                <w:w w:val="100"/>
                <w:sz w:val="20"/>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100.00%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主要系本期合并范围</w:t>
            </w:r>
            <w:r>
              <w:rPr>
                <w:rFonts w:ascii="宋体" w:hAnsi="宋体" w:cs="宋体" w:eastAsia="宋体" w:hint="default"/>
                <w:w w:val="100"/>
                <w:sz w:val="20"/>
                <w:szCs w:val="20"/>
              </w:rPr>
              <w:t> </w:t>
            </w:r>
            <w:r>
              <w:rPr>
                <w:rFonts w:ascii="宋体" w:hAnsi="宋体" w:cs="宋体" w:eastAsia="宋体" w:hint="default"/>
                <w:sz w:val="20"/>
                <w:szCs w:val="20"/>
              </w:rPr>
              <w:t>变化所致。</w:t>
            </w:r>
          </w:p>
        </w:tc>
      </w:tr>
      <w:tr>
        <w:trPr>
          <w:trHeight w:val="63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投资活动现金流入</w:t>
            </w:r>
            <w:r>
              <w:rPr>
                <w:rFonts w:ascii="宋体" w:hAnsi="宋体" w:cs="宋体" w:eastAsia="宋体" w:hint="default"/>
                <w:w w:val="100"/>
                <w:sz w:val="20"/>
                <w:szCs w:val="20"/>
              </w:rPr>
              <w:t> </w:t>
            </w:r>
            <w:r>
              <w:rPr>
                <w:rFonts w:ascii="宋体" w:hAnsi="宋体" w:cs="宋体" w:eastAsia="宋体" w:hint="default"/>
                <w:sz w:val="20"/>
                <w:szCs w:val="20"/>
              </w:rPr>
              <w:t>小计</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05"/>
              <w:jc w:val="right"/>
              <w:rPr>
                <w:rFonts w:ascii="宋体" w:hAnsi="宋体" w:cs="宋体" w:eastAsia="宋体" w:hint="default"/>
                <w:sz w:val="20"/>
                <w:szCs w:val="20"/>
              </w:rPr>
            </w:pPr>
            <w:r>
              <w:rPr>
                <w:rFonts w:ascii="宋体"/>
                <w:spacing w:val="-1"/>
                <w:sz w:val="20"/>
              </w:rPr>
              <w:t>5,846,781,245.47</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3"/>
              <w:jc w:val="right"/>
              <w:rPr>
                <w:rFonts w:ascii="宋体" w:hAnsi="宋体" w:cs="宋体" w:eastAsia="宋体" w:hint="default"/>
                <w:sz w:val="20"/>
                <w:szCs w:val="20"/>
              </w:rPr>
            </w:pPr>
            <w:r>
              <w:rPr>
                <w:rFonts w:ascii="宋体"/>
                <w:spacing w:val="-1"/>
                <w:sz w:val="20"/>
              </w:rPr>
              <w:t>4,199,091,002.66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宋体" w:hAnsi="宋体" w:cs="宋体" w:eastAsia="宋体" w:hint="default"/>
                <w:sz w:val="20"/>
                <w:szCs w:val="20"/>
              </w:rPr>
            </w:pPr>
            <w:r>
              <w:rPr>
                <w:rFonts w:ascii="宋体"/>
                <w:sz w:val="20"/>
              </w:rPr>
              <w:t>39.24%</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主要系本期赎回理财</w:t>
            </w:r>
            <w:r>
              <w:rPr>
                <w:rFonts w:ascii="宋体" w:hAnsi="宋体" w:cs="宋体" w:eastAsia="宋体" w:hint="default"/>
                <w:w w:val="100"/>
                <w:sz w:val="20"/>
                <w:szCs w:val="20"/>
              </w:rPr>
              <w:t> </w:t>
            </w:r>
            <w:r>
              <w:rPr>
                <w:rFonts w:ascii="宋体" w:hAnsi="宋体" w:cs="宋体" w:eastAsia="宋体" w:hint="default"/>
                <w:sz w:val="20"/>
                <w:szCs w:val="20"/>
              </w:rPr>
              <w:t>产品增加所致。</w:t>
            </w:r>
          </w:p>
        </w:tc>
      </w:tr>
      <w:tr>
        <w:trPr>
          <w:trHeight w:val="946"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both"/>
              <w:rPr>
                <w:rFonts w:ascii="宋体" w:hAnsi="宋体" w:cs="宋体" w:eastAsia="宋体" w:hint="default"/>
                <w:sz w:val="20"/>
                <w:szCs w:val="20"/>
              </w:rPr>
            </w:pPr>
            <w:r>
              <w:rPr>
                <w:rFonts w:ascii="宋体" w:hAnsi="宋体" w:cs="宋体" w:eastAsia="宋体" w:hint="default"/>
                <w:sz w:val="20"/>
                <w:szCs w:val="20"/>
              </w:rPr>
              <w:t>取得子公司及其他</w:t>
            </w:r>
            <w:r>
              <w:rPr>
                <w:rFonts w:ascii="宋体" w:hAnsi="宋体" w:cs="宋体" w:eastAsia="宋体" w:hint="default"/>
                <w:w w:val="100"/>
                <w:sz w:val="20"/>
                <w:szCs w:val="20"/>
              </w:rPr>
              <w:t> </w:t>
            </w:r>
            <w:r>
              <w:rPr>
                <w:rFonts w:ascii="宋体" w:hAnsi="宋体" w:cs="宋体" w:eastAsia="宋体" w:hint="default"/>
                <w:sz w:val="20"/>
                <w:szCs w:val="20"/>
              </w:rPr>
              <w:t>营业单位支付的现</w:t>
            </w:r>
            <w:r>
              <w:rPr>
                <w:rFonts w:ascii="宋体" w:hAnsi="宋体" w:cs="宋体" w:eastAsia="宋体" w:hint="default"/>
                <w:w w:val="100"/>
                <w:sz w:val="20"/>
                <w:szCs w:val="20"/>
              </w:rPr>
              <w:t> </w:t>
            </w:r>
            <w:r>
              <w:rPr>
                <w:rFonts w:ascii="宋体" w:hAnsi="宋体" w:cs="宋体" w:eastAsia="宋体" w:hint="default"/>
                <w:sz w:val="20"/>
                <w:szCs w:val="20"/>
              </w:rPr>
              <w:t>金净额</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305"/>
              <w:jc w:val="right"/>
              <w:rPr>
                <w:rFonts w:ascii="宋体" w:hAnsi="宋体" w:cs="宋体" w:eastAsia="宋体" w:hint="default"/>
                <w:sz w:val="20"/>
                <w:szCs w:val="20"/>
              </w:rPr>
            </w:pPr>
            <w:r>
              <w:rPr>
                <w:rFonts w:ascii="宋体"/>
                <w:spacing w:val="-1"/>
                <w:sz w:val="20"/>
              </w:rPr>
              <w:t>22,101,116.23</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4"/>
              <w:jc w:val="right"/>
              <w:rPr>
                <w:rFonts w:ascii="宋体" w:hAnsi="宋体" w:cs="宋体" w:eastAsia="宋体" w:hint="default"/>
                <w:sz w:val="20"/>
                <w:szCs w:val="20"/>
              </w:rPr>
            </w:pPr>
            <w:r>
              <w:rPr>
                <w:rFonts w:ascii="宋体"/>
                <w:spacing w:val="-1"/>
                <w:sz w:val="20"/>
              </w:rPr>
              <w:t>82,654,947.52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-73.26%</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03" w:right="256"/>
              <w:jc w:val="left"/>
              <w:rPr>
                <w:rFonts w:ascii="宋体" w:hAnsi="宋体" w:cs="宋体" w:eastAsia="宋体" w:hint="default"/>
                <w:sz w:val="20"/>
                <w:szCs w:val="20"/>
              </w:rPr>
            </w:pPr>
            <w:r>
              <w:rPr>
                <w:rFonts w:ascii="宋体" w:hAnsi="宋体" w:cs="宋体" w:eastAsia="宋体" w:hint="default"/>
                <w:sz w:val="20"/>
                <w:szCs w:val="20"/>
              </w:rPr>
              <w:t>主要系上期收购大金</w:t>
            </w:r>
            <w:r>
              <w:rPr>
                <w:rFonts w:ascii="宋体" w:hAnsi="宋体" w:cs="宋体" w:eastAsia="宋体" w:hint="default"/>
                <w:w w:val="100"/>
                <w:sz w:val="20"/>
                <w:szCs w:val="20"/>
              </w:rPr>
              <w:t> </w:t>
            </w:r>
            <w:r>
              <w:rPr>
                <w:rFonts w:ascii="宋体" w:hAnsi="宋体" w:cs="宋体" w:eastAsia="宋体" w:hint="default"/>
                <w:sz w:val="20"/>
                <w:szCs w:val="20"/>
              </w:rPr>
              <w:t>所股权所致。</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支付其他与投资活</w:t>
            </w:r>
            <w:r>
              <w:rPr>
                <w:rFonts w:ascii="宋体" w:hAnsi="宋体" w:cs="宋体" w:eastAsia="宋体" w:hint="default"/>
                <w:w w:val="100"/>
                <w:sz w:val="20"/>
                <w:szCs w:val="20"/>
              </w:rPr>
              <w:t> </w:t>
            </w:r>
            <w:r>
              <w:rPr>
                <w:rFonts w:ascii="宋体" w:hAnsi="宋体" w:cs="宋体" w:eastAsia="宋体" w:hint="default"/>
                <w:sz w:val="20"/>
                <w:szCs w:val="20"/>
              </w:rPr>
              <w:t>动有关的现金</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11,231,600.00</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3"/>
              <w:jc w:val="right"/>
              <w:rPr>
                <w:rFonts w:ascii="宋体" w:hAnsi="宋体" w:cs="宋体" w:eastAsia="宋体" w:hint="default"/>
                <w:sz w:val="20"/>
                <w:szCs w:val="20"/>
              </w:rPr>
            </w:pPr>
            <w:r>
              <w:rPr>
                <w:rFonts w:ascii="宋体"/>
                <w:spacing w:val="-1"/>
                <w:sz w:val="20"/>
              </w:rPr>
              <w:t>5,268,027.76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113.20%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主要系本期支付信托</w:t>
            </w:r>
            <w:r>
              <w:rPr>
                <w:rFonts w:ascii="宋体" w:hAnsi="宋体" w:cs="宋体" w:eastAsia="宋体" w:hint="default"/>
                <w:w w:val="100"/>
                <w:sz w:val="20"/>
                <w:szCs w:val="20"/>
              </w:rPr>
              <w:t> </w:t>
            </w:r>
            <w:r>
              <w:rPr>
                <w:rFonts w:ascii="宋体" w:hAnsi="宋体" w:cs="宋体" w:eastAsia="宋体" w:hint="default"/>
                <w:sz w:val="20"/>
                <w:szCs w:val="20"/>
              </w:rPr>
              <w:t>保证金所致。</w:t>
            </w:r>
          </w:p>
        </w:tc>
      </w:tr>
      <w:tr>
        <w:trPr>
          <w:trHeight w:val="63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投资活动产生的现</w:t>
            </w:r>
            <w:r>
              <w:rPr>
                <w:rFonts w:ascii="宋体" w:hAnsi="宋体" w:cs="宋体" w:eastAsia="宋体" w:hint="default"/>
                <w:w w:val="100"/>
                <w:sz w:val="20"/>
                <w:szCs w:val="20"/>
              </w:rPr>
              <w:t> </w:t>
            </w:r>
            <w:r>
              <w:rPr>
                <w:rFonts w:ascii="宋体" w:hAnsi="宋体" w:cs="宋体" w:eastAsia="宋体" w:hint="default"/>
                <w:sz w:val="20"/>
                <w:szCs w:val="20"/>
              </w:rPr>
              <w:t>金流量净额</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05"/>
              <w:jc w:val="right"/>
              <w:rPr>
                <w:rFonts w:ascii="宋体" w:hAnsi="宋体" w:cs="宋体" w:eastAsia="宋体" w:hint="default"/>
                <w:sz w:val="20"/>
                <w:szCs w:val="20"/>
              </w:rPr>
            </w:pPr>
            <w:r>
              <w:rPr>
                <w:rFonts w:ascii="宋体"/>
                <w:spacing w:val="-1"/>
                <w:sz w:val="20"/>
              </w:rPr>
              <w:t>-666,136,154.56</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3"/>
              <w:jc w:val="right"/>
              <w:rPr>
                <w:rFonts w:ascii="宋体" w:hAnsi="宋体" w:cs="宋体" w:eastAsia="宋体" w:hint="default"/>
                <w:sz w:val="20"/>
                <w:szCs w:val="20"/>
              </w:rPr>
            </w:pPr>
            <w:r>
              <w:rPr>
                <w:rFonts w:ascii="宋体"/>
                <w:spacing w:val="-1"/>
                <w:sz w:val="20"/>
              </w:rPr>
              <w:t>-1,008,220,870.13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宋体" w:hAnsi="宋体" w:cs="宋体" w:eastAsia="宋体" w:hint="default"/>
                <w:sz w:val="20"/>
                <w:szCs w:val="20"/>
              </w:rPr>
            </w:pPr>
            <w:r>
              <w:rPr>
                <w:rFonts w:ascii="宋体"/>
                <w:sz w:val="20"/>
              </w:rPr>
              <w:t>33.93%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以上因素综合影响所</w:t>
            </w:r>
            <w:r>
              <w:rPr>
                <w:rFonts w:ascii="宋体" w:hAnsi="宋体" w:cs="宋体" w:eastAsia="宋体" w:hint="default"/>
                <w:w w:val="100"/>
                <w:sz w:val="20"/>
                <w:szCs w:val="20"/>
              </w:rPr>
              <w:t> </w:t>
            </w:r>
            <w:r>
              <w:rPr>
                <w:rFonts w:ascii="宋体" w:hAnsi="宋体" w:cs="宋体" w:eastAsia="宋体" w:hint="default"/>
                <w:sz w:val="20"/>
                <w:szCs w:val="20"/>
              </w:rPr>
              <w:t>致。</w:t>
            </w:r>
          </w:p>
        </w:tc>
      </w:tr>
      <w:tr>
        <w:trPr>
          <w:trHeight w:val="946"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03" w:right="244"/>
              <w:jc w:val="left"/>
              <w:rPr>
                <w:rFonts w:ascii="宋体" w:hAnsi="宋体" w:cs="宋体" w:eastAsia="宋体" w:hint="default"/>
                <w:sz w:val="20"/>
                <w:szCs w:val="20"/>
              </w:rPr>
            </w:pPr>
            <w:r>
              <w:rPr>
                <w:rFonts w:ascii="宋体" w:hAnsi="宋体" w:cs="宋体" w:eastAsia="宋体" w:hint="default"/>
                <w:sz w:val="20"/>
                <w:szCs w:val="20"/>
              </w:rPr>
              <w:t>吸收投资收到的现</w:t>
            </w:r>
            <w:r>
              <w:rPr>
                <w:rFonts w:ascii="宋体" w:hAnsi="宋体" w:cs="宋体" w:eastAsia="宋体" w:hint="default"/>
                <w:w w:val="100"/>
                <w:sz w:val="20"/>
                <w:szCs w:val="20"/>
              </w:rPr>
              <w:t> </w:t>
            </w:r>
            <w:r>
              <w:rPr>
                <w:rFonts w:ascii="宋体" w:hAnsi="宋体" w:cs="宋体" w:eastAsia="宋体" w:hint="default"/>
                <w:sz w:val="20"/>
                <w:szCs w:val="20"/>
              </w:rPr>
              <w:t>金</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505"/>
              <w:jc w:val="right"/>
              <w:rPr>
                <w:rFonts w:ascii="宋体" w:hAnsi="宋体" w:cs="宋体" w:eastAsia="宋体" w:hint="default"/>
                <w:sz w:val="20"/>
                <w:szCs w:val="20"/>
              </w:rPr>
            </w:pPr>
            <w:r>
              <w:rPr>
                <w:rFonts w:ascii="宋体"/>
                <w:w w:val="100"/>
                <w:sz w:val="20"/>
              </w:rPr>
              <w:t>-</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3"/>
              <w:jc w:val="right"/>
              <w:rPr>
                <w:rFonts w:ascii="宋体" w:hAnsi="宋体" w:cs="宋体" w:eastAsia="宋体" w:hint="default"/>
                <w:sz w:val="20"/>
                <w:szCs w:val="20"/>
              </w:rPr>
            </w:pPr>
            <w:r>
              <w:rPr>
                <w:rFonts w:ascii="宋体"/>
                <w:spacing w:val="-1"/>
                <w:sz w:val="20"/>
              </w:rPr>
              <w:t>960,200,923.96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-100.00%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both"/>
              <w:rPr>
                <w:rFonts w:ascii="宋体" w:hAnsi="宋体" w:cs="宋体" w:eastAsia="宋体" w:hint="default"/>
                <w:sz w:val="20"/>
                <w:szCs w:val="20"/>
              </w:rPr>
            </w:pPr>
            <w:r>
              <w:rPr>
                <w:rFonts w:ascii="宋体" w:hAnsi="宋体" w:cs="宋体" w:eastAsia="宋体" w:hint="default"/>
                <w:sz w:val="20"/>
                <w:szCs w:val="20"/>
              </w:rPr>
              <w:t>主要系公司上期收到</w:t>
            </w:r>
            <w:r>
              <w:rPr>
                <w:rFonts w:ascii="宋体" w:hAnsi="宋体" w:cs="宋体" w:eastAsia="宋体" w:hint="default"/>
                <w:w w:val="100"/>
                <w:sz w:val="20"/>
                <w:szCs w:val="20"/>
              </w:rPr>
              <w:t> </w:t>
            </w:r>
            <w:r>
              <w:rPr>
                <w:rFonts w:ascii="宋体" w:hAnsi="宋体" w:cs="宋体" w:eastAsia="宋体" w:hint="default"/>
                <w:sz w:val="20"/>
                <w:szCs w:val="20"/>
              </w:rPr>
              <w:t>非公开发行股票募集</w:t>
            </w:r>
            <w:r>
              <w:rPr>
                <w:rFonts w:ascii="宋体" w:hAnsi="宋体" w:cs="宋体" w:eastAsia="宋体" w:hint="default"/>
                <w:w w:val="100"/>
                <w:sz w:val="20"/>
                <w:szCs w:val="20"/>
              </w:rPr>
              <w:t> </w:t>
            </w:r>
            <w:r>
              <w:rPr>
                <w:rFonts w:ascii="宋体" w:hAnsi="宋体" w:cs="宋体" w:eastAsia="宋体" w:hint="default"/>
                <w:sz w:val="20"/>
                <w:szCs w:val="20"/>
              </w:rPr>
              <w:t>资金所致。</w:t>
            </w:r>
          </w:p>
        </w:tc>
      </w:tr>
      <w:tr>
        <w:trPr>
          <w:trHeight w:val="946"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03" w:right="244"/>
              <w:jc w:val="left"/>
              <w:rPr>
                <w:rFonts w:ascii="宋体" w:hAnsi="宋体" w:cs="宋体" w:eastAsia="宋体" w:hint="default"/>
                <w:sz w:val="20"/>
                <w:szCs w:val="20"/>
              </w:rPr>
            </w:pPr>
            <w:r>
              <w:rPr>
                <w:rFonts w:ascii="宋体" w:hAnsi="宋体" w:cs="宋体" w:eastAsia="宋体" w:hint="default"/>
                <w:sz w:val="20"/>
                <w:szCs w:val="20"/>
              </w:rPr>
              <w:t>取得借款收到的现</w:t>
            </w:r>
            <w:r>
              <w:rPr>
                <w:rFonts w:ascii="宋体" w:hAnsi="宋体" w:cs="宋体" w:eastAsia="宋体" w:hint="default"/>
                <w:w w:val="100"/>
                <w:sz w:val="20"/>
                <w:szCs w:val="20"/>
              </w:rPr>
              <w:t> </w:t>
            </w:r>
            <w:r>
              <w:rPr>
                <w:rFonts w:ascii="宋体" w:hAnsi="宋体" w:cs="宋体" w:eastAsia="宋体" w:hint="default"/>
                <w:sz w:val="20"/>
                <w:szCs w:val="20"/>
              </w:rPr>
              <w:t>金</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305"/>
              <w:jc w:val="right"/>
              <w:rPr>
                <w:rFonts w:ascii="宋体" w:hAnsi="宋体" w:cs="宋体" w:eastAsia="宋体" w:hint="default"/>
                <w:sz w:val="20"/>
                <w:szCs w:val="20"/>
              </w:rPr>
            </w:pPr>
            <w:r>
              <w:rPr>
                <w:rFonts w:ascii="宋体"/>
                <w:spacing w:val="-1"/>
                <w:sz w:val="20"/>
              </w:rPr>
              <w:t>594,729,365.89</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4"/>
              <w:jc w:val="right"/>
              <w:rPr>
                <w:rFonts w:ascii="宋体" w:hAnsi="宋体" w:cs="宋体" w:eastAsia="宋体" w:hint="default"/>
                <w:sz w:val="20"/>
                <w:szCs w:val="20"/>
              </w:rPr>
            </w:pPr>
            <w:r>
              <w:rPr>
                <w:rFonts w:ascii="宋体"/>
                <w:spacing w:val="-1"/>
                <w:sz w:val="20"/>
              </w:rPr>
              <w:t>37,823,459.00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1472.38%</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both"/>
              <w:rPr>
                <w:rFonts w:ascii="宋体" w:hAnsi="宋体" w:cs="宋体" w:eastAsia="宋体" w:hint="default"/>
                <w:sz w:val="20"/>
                <w:szCs w:val="20"/>
              </w:rPr>
            </w:pPr>
            <w:r>
              <w:rPr>
                <w:rFonts w:ascii="宋体" w:hAnsi="宋体" w:cs="宋体" w:eastAsia="宋体" w:hint="default"/>
                <w:sz w:val="20"/>
                <w:szCs w:val="20"/>
              </w:rPr>
              <w:t>主要系本期增加短期</w:t>
            </w:r>
            <w:r>
              <w:rPr>
                <w:rFonts w:ascii="宋体" w:hAnsi="宋体" w:cs="宋体" w:eastAsia="宋体" w:hint="default"/>
                <w:w w:val="100"/>
                <w:sz w:val="20"/>
                <w:szCs w:val="20"/>
              </w:rPr>
              <w:t> </w:t>
            </w:r>
            <w:r>
              <w:rPr>
                <w:rFonts w:ascii="宋体" w:hAnsi="宋体" w:cs="宋体" w:eastAsia="宋体" w:hint="default"/>
                <w:sz w:val="20"/>
                <w:szCs w:val="20"/>
              </w:rPr>
              <w:t>借款及合并范围变化</w:t>
            </w:r>
            <w:r>
              <w:rPr>
                <w:rFonts w:ascii="宋体" w:hAnsi="宋体" w:cs="宋体" w:eastAsia="宋体" w:hint="default"/>
                <w:w w:val="100"/>
                <w:sz w:val="20"/>
                <w:szCs w:val="20"/>
              </w:rPr>
              <w:t> </w:t>
            </w:r>
            <w:r>
              <w:rPr>
                <w:rFonts w:ascii="宋体" w:hAnsi="宋体" w:cs="宋体" w:eastAsia="宋体" w:hint="default"/>
                <w:sz w:val="20"/>
                <w:szCs w:val="20"/>
              </w:rPr>
              <w:t>所致。</w:t>
            </w:r>
          </w:p>
        </w:tc>
      </w:tr>
      <w:tr>
        <w:trPr>
          <w:trHeight w:val="63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收到其他与筹资活</w:t>
            </w:r>
            <w:r>
              <w:rPr>
                <w:rFonts w:ascii="宋体" w:hAnsi="宋体" w:cs="宋体" w:eastAsia="宋体" w:hint="default"/>
                <w:w w:val="100"/>
                <w:sz w:val="20"/>
                <w:szCs w:val="20"/>
              </w:rPr>
              <w:t> </w:t>
            </w:r>
            <w:r>
              <w:rPr>
                <w:rFonts w:ascii="宋体" w:hAnsi="宋体" w:cs="宋体" w:eastAsia="宋体" w:hint="default"/>
                <w:sz w:val="20"/>
                <w:szCs w:val="20"/>
              </w:rPr>
              <w:t>动有关的现金</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05"/>
              <w:jc w:val="right"/>
              <w:rPr>
                <w:rFonts w:ascii="宋体" w:hAnsi="宋体" w:cs="宋体" w:eastAsia="宋体" w:hint="default"/>
                <w:sz w:val="20"/>
                <w:szCs w:val="20"/>
              </w:rPr>
            </w:pPr>
            <w:r>
              <w:rPr>
                <w:rFonts w:ascii="宋体"/>
                <w:spacing w:val="-1"/>
                <w:sz w:val="20"/>
              </w:rPr>
              <w:t>160,367,043.86</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3"/>
              <w:jc w:val="right"/>
              <w:rPr>
                <w:rFonts w:ascii="宋体" w:hAnsi="宋体" w:cs="宋体" w:eastAsia="宋体" w:hint="default"/>
                <w:sz w:val="20"/>
                <w:szCs w:val="20"/>
              </w:rPr>
            </w:pPr>
            <w:r>
              <w:rPr>
                <w:rFonts w:ascii="宋体"/>
                <w:spacing w:val="-1"/>
                <w:sz w:val="20"/>
              </w:rPr>
              <w:t>6,693,034.75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20"/>
                <w:szCs w:val="20"/>
              </w:rPr>
            </w:pPr>
            <w:r>
              <w:rPr>
                <w:rFonts w:ascii="宋体"/>
                <w:spacing w:val="-1"/>
                <w:sz w:val="20"/>
              </w:rPr>
              <w:t>2296.03%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主要系本期收到融资</w:t>
            </w:r>
            <w:r>
              <w:rPr>
                <w:rFonts w:ascii="宋体" w:hAnsi="宋体" w:cs="宋体" w:eastAsia="宋体" w:hint="default"/>
                <w:w w:val="100"/>
                <w:sz w:val="20"/>
                <w:szCs w:val="20"/>
              </w:rPr>
              <w:t> </w:t>
            </w:r>
            <w:r>
              <w:rPr>
                <w:rFonts w:ascii="宋体" w:hAnsi="宋体" w:cs="宋体" w:eastAsia="宋体" w:hint="default"/>
                <w:sz w:val="20"/>
                <w:szCs w:val="20"/>
              </w:rPr>
              <w:t>租赁款所致。</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偿还债务支付的现</w:t>
            </w:r>
            <w:r>
              <w:rPr>
                <w:rFonts w:ascii="宋体" w:hAnsi="宋体" w:cs="宋体" w:eastAsia="宋体" w:hint="default"/>
                <w:w w:val="100"/>
                <w:sz w:val="20"/>
                <w:szCs w:val="20"/>
              </w:rPr>
              <w:t> </w:t>
            </w:r>
            <w:r>
              <w:rPr>
                <w:rFonts w:ascii="宋体" w:hAnsi="宋体" w:cs="宋体" w:eastAsia="宋体" w:hint="default"/>
                <w:sz w:val="20"/>
                <w:szCs w:val="20"/>
              </w:rPr>
              <w:t>金</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05"/>
              <w:jc w:val="right"/>
              <w:rPr>
                <w:rFonts w:ascii="宋体" w:hAnsi="宋体" w:cs="宋体" w:eastAsia="宋体" w:hint="default"/>
                <w:sz w:val="20"/>
                <w:szCs w:val="20"/>
              </w:rPr>
            </w:pPr>
            <w:r>
              <w:rPr>
                <w:rFonts w:ascii="宋体"/>
                <w:spacing w:val="-1"/>
                <w:sz w:val="20"/>
              </w:rPr>
              <w:t>312,851,000.00</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4"/>
              <w:jc w:val="right"/>
              <w:rPr>
                <w:rFonts w:ascii="宋体" w:hAnsi="宋体" w:cs="宋体" w:eastAsia="宋体" w:hint="default"/>
                <w:sz w:val="20"/>
                <w:szCs w:val="20"/>
              </w:rPr>
            </w:pPr>
            <w:r>
              <w:rPr>
                <w:rFonts w:ascii="宋体"/>
                <w:spacing w:val="-1"/>
                <w:sz w:val="20"/>
              </w:rPr>
              <w:t>54,241,009.27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20"/>
                <w:szCs w:val="20"/>
              </w:rPr>
            </w:pPr>
            <w:r>
              <w:rPr>
                <w:rFonts w:ascii="宋体"/>
                <w:spacing w:val="-1"/>
                <w:sz w:val="20"/>
              </w:rPr>
              <w:t>476.78%</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主要系本期合并范围</w:t>
            </w:r>
            <w:r>
              <w:rPr>
                <w:rFonts w:ascii="宋体" w:hAnsi="宋体" w:cs="宋体" w:eastAsia="宋体" w:hint="default"/>
                <w:w w:val="100"/>
                <w:sz w:val="20"/>
                <w:szCs w:val="20"/>
              </w:rPr>
              <w:t> </w:t>
            </w:r>
            <w:r>
              <w:rPr>
                <w:rFonts w:ascii="宋体" w:hAnsi="宋体" w:cs="宋体" w:eastAsia="宋体" w:hint="default"/>
                <w:sz w:val="20"/>
                <w:szCs w:val="20"/>
              </w:rPr>
              <w:t>变化所致。</w:t>
            </w:r>
          </w:p>
        </w:tc>
      </w:tr>
      <w:tr>
        <w:trPr>
          <w:trHeight w:val="63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0"/>
              <w:jc w:val="left"/>
              <w:rPr>
                <w:rFonts w:ascii="宋体" w:hAnsi="宋体" w:cs="宋体" w:eastAsia="宋体" w:hint="default"/>
                <w:sz w:val="20"/>
                <w:szCs w:val="20"/>
              </w:rPr>
            </w:pPr>
            <w:r>
              <w:rPr>
                <w:rFonts w:ascii="宋体" w:hAnsi="宋体" w:cs="宋体" w:eastAsia="宋体" w:hint="default"/>
                <w:spacing w:val="-7"/>
                <w:sz w:val="20"/>
                <w:szCs w:val="20"/>
              </w:rPr>
              <w:t>分配股利、利润或偿</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付利息支付的现金</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48,079,013.32</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4"/>
              <w:jc w:val="right"/>
              <w:rPr>
                <w:rFonts w:ascii="宋体" w:hAnsi="宋体" w:cs="宋体" w:eastAsia="宋体" w:hint="default"/>
                <w:sz w:val="20"/>
                <w:szCs w:val="20"/>
              </w:rPr>
            </w:pPr>
            <w:r>
              <w:rPr>
                <w:rFonts w:ascii="宋体"/>
                <w:spacing w:val="-1"/>
                <w:sz w:val="20"/>
              </w:rPr>
              <w:t>30,843,815.07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z w:val="20"/>
              </w:rPr>
              <w:t>55.88%</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7"/>
              <w:jc w:val="left"/>
              <w:rPr>
                <w:rFonts w:ascii="宋体" w:hAnsi="宋体" w:cs="宋体" w:eastAsia="宋体" w:hint="default"/>
                <w:sz w:val="20"/>
                <w:szCs w:val="20"/>
              </w:rPr>
            </w:pPr>
            <w:r>
              <w:rPr>
                <w:rFonts w:ascii="宋体" w:hAnsi="宋体" w:cs="宋体" w:eastAsia="宋体" w:hint="default"/>
                <w:sz w:val="20"/>
                <w:szCs w:val="20"/>
              </w:rPr>
              <w:t>主要系本期借款支付</w:t>
            </w:r>
            <w:r>
              <w:rPr>
                <w:rFonts w:ascii="宋体" w:hAnsi="宋体" w:cs="宋体" w:eastAsia="宋体" w:hint="default"/>
                <w:w w:val="100"/>
                <w:sz w:val="20"/>
                <w:szCs w:val="20"/>
              </w:rPr>
              <w:t> </w:t>
            </w:r>
            <w:r>
              <w:rPr>
                <w:rFonts w:ascii="宋体" w:hAnsi="宋体" w:cs="宋体" w:eastAsia="宋体" w:hint="default"/>
                <w:sz w:val="20"/>
                <w:szCs w:val="20"/>
              </w:rPr>
              <w:t>的利息增加所致。</w:t>
            </w:r>
          </w:p>
        </w:tc>
      </w:tr>
    </w:tbl>
    <w:p>
      <w:pPr>
        <w:spacing w:after="0" w:line="285"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1960"/>
        <w:gridCol w:w="2121"/>
        <w:gridCol w:w="2140"/>
        <w:gridCol w:w="1260"/>
        <w:gridCol w:w="2172"/>
      </w:tblGrid>
      <w:tr>
        <w:trPr>
          <w:trHeight w:val="941" w:hRule="exact"/>
        </w:trPr>
        <w:tc>
          <w:tcPr>
            <w:tcW w:w="1960" w:type="dxa"/>
            <w:tcBorders>
              <w:top w:val="nil" w:sz="6" w:space="0" w:color="auto"/>
              <w:left w:val="single" w:sz="4" w:space="0" w:color="000000"/>
              <w:bottom w:val="single" w:sz="4" w:space="0" w:color="000000"/>
              <w:right w:val="single" w:sz="4" w:space="0" w:color="000000"/>
            </w:tcBorders>
          </w:tcPr>
          <w:p>
            <w:pPr>
              <w:pStyle w:val="TableParagraph"/>
              <w:spacing w:line="285" w:lineRule="auto" w:before="150"/>
              <w:ind w:left="103" w:right="244"/>
              <w:jc w:val="left"/>
              <w:rPr>
                <w:rFonts w:ascii="宋体" w:hAnsi="宋体" w:cs="宋体" w:eastAsia="宋体" w:hint="default"/>
                <w:sz w:val="20"/>
                <w:szCs w:val="20"/>
              </w:rPr>
            </w:pPr>
            <w:r>
              <w:rPr>
                <w:rFonts w:ascii="宋体" w:hAnsi="宋体" w:cs="宋体" w:eastAsia="宋体" w:hint="default"/>
                <w:sz w:val="20"/>
                <w:szCs w:val="20"/>
              </w:rPr>
              <w:t>支付其他与筹资活</w:t>
            </w:r>
            <w:r>
              <w:rPr>
                <w:rFonts w:ascii="宋体" w:hAnsi="宋体" w:cs="宋体" w:eastAsia="宋体" w:hint="default"/>
                <w:w w:val="100"/>
                <w:sz w:val="20"/>
                <w:szCs w:val="20"/>
              </w:rPr>
              <w:t> </w:t>
            </w:r>
            <w:r>
              <w:rPr>
                <w:rFonts w:ascii="宋体" w:hAnsi="宋体" w:cs="宋体" w:eastAsia="宋体" w:hint="default"/>
                <w:sz w:val="20"/>
                <w:szCs w:val="20"/>
              </w:rPr>
              <w:t>动有关的现金</w:t>
            </w:r>
          </w:p>
        </w:tc>
        <w:tc>
          <w:tcPr>
            <w:tcW w:w="21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305"/>
              <w:jc w:val="right"/>
              <w:rPr>
                <w:rFonts w:ascii="宋体" w:hAnsi="宋体" w:cs="宋体" w:eastAsia="宋体" w:hint="default"/>
                <w:sz w:val="20"/>
                <w:szCs w:val="20"/>
              </w:rPr>
            </w:pPr>
            <w:r>
              <w:rPr>
                <w:rFonts w:ascii="宋体"/>
                <w:spacing w:val="-1"/>
                <w:sz w:val="20"/>
              </w:rPr>
              <w:t>12,757,675.24</w:t>
            </w:r>
          </w:p>
        </w:tc>
        <w:tc>
          <w:tcPr>
            <w:tcW w:w="21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3"/>
              <w:jc w:val="right"/>
              <w:rPr>
                <w:rFonts w:ascii="宋体" w:hAnsi="宋体" w:cs="宋体" w:eastAsia="宋体" w:hint="default"/>
                <w:sz w:val="20"/>
                <w:szCs w:val="20"/>
              </w:rPr>
            </w:pPr>
            <w:r>
              <w:rPr>
                <w:rFonts w:ascii="宋体"/>
                <w:spacing w:val="-1"/>
                <w:sz w:val="20"/>
              </w:rPr>
              <w:t>6,551,403.30</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z w:val="20"/>
              </w:rPr>
              <w:t>94.73%</w:t>
            </w:r>
          </w:p>
        </w:tc>
        <w:tc>
          <w:tcPr>
            <w:tcW w:w="2172"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256"/>
              <w:jc w:val="both"/>
              <w:rPr>
                <w:rFonts w:ascii="宋体" w:hAnsi="宋体" w:cs="宋体" w:eastAsia="宋体" w:hint="default"/>
                <w:sz w:val="20"/>
                <w:szCs w:val="20"/>
              </w:rPr>
            </w:pPr>
            <w:r>
              <w:rPr>
                <w:rFonts w:ascii="宋体" w:hAnsi="宋体" w:cs="宋体" w:eastAsia="宋体" w:hint="default"/>
                <w:sz w:val="20"/>
                <w:szCs w:val="20"/>
              </w:rPr>
              <w:t>主要系本期支付融资</w:t>
            </w:r>
            <w:r>
              <w:rPr>
                <w:rFonts w:ascii="宋体" w:hAnsi="宋体" w:cs="宋体" w:eastAsia="宋体" w:hint="default"/>
                <w:w w:val="100"/>
                <w:sz w:val="20"/>
                <w:szCs w:val="20"/>
              </w:rPr>
              <w:t> </w:t>
            </w:r>
            <w:r>
              <w:rPr>
                <w:rFonts w:ascii="宋体" w:hAnsi="宋体" w:cs="宋体" w:eastAsia="宋体" w:hint="default"/>
                <w:sz w:val="20"/>
                <w:szCs w:val="20"/>
              </w:rPr>
              <w:t>租赁咨询服务费及保</w:t>
            </w:r>
            <w:r>
              <w:rPr>
                <w:rFonts w:ascii="宋体" w:hAnsi="宋体" w:cs="宋体" w:eastAsia="宋体" w:hint="default"/>
                <w:w w:val="100"/>
                <w:sz w:val="20"/>
                <w:szCs w:val="20"/>
              </w:rPr>
              <w:t> </w:t>
            </w:r>
            <w:r>
              <w:rPr>
                <w:rFonts w:ascii="宋体" w:hAnsi="宋体" w:cs="宋体" w:eastAsia="宋体" w:hint="default"/>
                <w:sz w:val="20"/>
                <w:szCs w:val="20"/>
              </w:rPr>
              <w:t>证金所致。</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筹资活动现金流出</w:t>
            </w:r>
            <w:r>
              <w:rPr>
                <w:rFonts w:ascii="宋体" w:hAnsi="宋体" w:cs="宋体" w:eastAsia="宋体" w:hint="default"/>
                <w:w w:val="100"/>
                <w:sz w:val="20"/>
                <w:szCs w:val="20"/>
              </w:rPr>
              <w:t> </w:t>
            </w:r>
            <w:r>
              <w:rPr>
                <w:rFonts w:ascii="宋体" w:hAnsi="宋体" w:cs="宋体" w:eastAsia="宋体" w:hint="default"/>
                <w:sz w:val="20"/>
                <w:szCs w:val="20"/>
              </w:rPr>
              <w:t>小计</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373,687,688.56</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4"/>
              <w:jc w:val="right"/>
              <w:rPr>
                <w:rFonts w:ascii="宋体" w:hAnsi="宋体" w:cs="宋体" w:eastAsia="宋体" w:hint="default"/>
                <w:sz w:val="20"/>
                <w:szCs w:val="20"/>
              </w:rPr>
            </w:pPr>
            <w:r>
              <w:rPr>
                <w:rFonts w:ascii="宋体"/>
                <w:spacing w:val="-1"/>
                <w:sz w:val="20"/>
              </w:rPr>
              <w:t>91,636,227.64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307.79%</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主要系本期合并范围</w:t>
            </w:r>
            <w:r>
              <w:rPr>
                <w:rFonts w:ascii="宋体" w:hAnsi="宋体" w:cs="宋体" w:eastAsia="宋体" w:hint="default"/>
                <w:w w:val="100"/>
                <w:sz w:val="20"/>
                <w:szCs w:val="20"/>
              </w:rPr>
              <w:t> </w:t>
            </w:r>
            <w:r>
              <w:rPr>
                <w:rFonts w:ascii="宋体" w:hAnsi="宋体" w:cs="宋体" w:eastAsia="宋体" w:hint="default"/>
                <w:sz w:val="20"/>
                <w:szCs w:val="20"/>
              </w:rPr>
              <w:t>变化所致。</w:t>
            </w:r>
          </w:p>
        </w:tc>
      </w:tr>
      <w:tr>
        <w:trPr>
          <w:trHeight w:val="635"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筹资活动产生的现</w:t>
            </w:r>
            <w:r>
              <w:rPr>
                <w:rFonts w:ascii="宋体" w:hAnsi="宋体" w:cs="宋体" w:eastAsia="宋体" w:hint="default"/>
                <w:w w:val="100"/>
                <w:sz w:val="20"/>
                <w:szCs w:val="20"/>
              </w:rPr>
              <w:t> </w:t>
            </w:r>
            <w:r>
              <w:rPr>
                <w:rFonts w:ascii="宋体" w:hAnsi="宋体" w:cs="宋体" w:eastAsia="宋体" w:hint="default"/>
                <w:sz w:val="20"/>
                <w:szCs w:val="20"/>
              </w:rPr>
              <w:t>金流量净额</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05"/>
              <w:jc w:val="right"/>
              <w:rPr>
                <w:rFonts w:ascii="宋体" w:hAnsi="宋体" w:cs="宋体" w:eastAsia="宋体" w:hint="default"/>
                <w:sz w:val="20"/>
                <w:szCs w:val="20"/>
              </w:rPr>
            </w:pPr>
            <w:r>
              <w:rPr>
                <w:rFonts w:ascii="宋体"/>
                <w:spacing w:val="-1"/>
                <w:sz w:val="20"/>
              </w:rPr>
              <w:t>381,408,721.19</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3"/>
              <w:jc w:val="right"/>
              <w:rPr>
                <w:rFonts w:ascii="宋体" w:hAnsi="宋体" w:cs="宋体" w:eastAsia="宋体" w:hint="default"/>
                <w:sz w:val="20"/>
                <w:szCs w:val="20"/>
              </w:rPr>
            </w:pPr>
            <w:r>
              <w:rPr>
                <w:rFonts w:ascii="宋体"/>
                <w:spacing w:val="-1"/>
                <w:sz w:val="20"/>
              </w:rPr>
              <w:t>913,081,190.07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宋体" w:hAnsi="宋体" w:cs="宋体" w:eastAsia="宋体" w:hint="default"/>
                <w:sz w:val="20"/>
                <w:szCs w:val="20"/>
              </w:rPr>
            </w:pPr>
            <w:r>
              <w:rPr>
                <w:rFonts w:ascii="宋体"/>
                <w:spacing w:val="-1"/>
                <w:sz w:val="20"/>
              </w:rPr>
              <w:t>-58.23%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56"/>
              <w:jc w:val="left"/>
              <w:rPr>
                <w:rFonts w:ascii="宋体" w:hAnsi="宋体" w:cs="宋体" w:eastAsia="宋体" w:hint="default"/>
                <w:sz w:val="20"/>
                <w:szCs w:val="20"/>
              </w:rPr>
            </w:pPr>
            <w:r>
              <w:rPr>
                <w:rFonts w:ascii="宋体" w:hAnsi="宋体" w:cs="宋体" w:eastAsia="宋体" w:hint="default"/>
                <w:sz w:val="20"/>
                <w:szCs w:val="20"/>
              </w:rPr>
              <w:t>以上因素综合影响所</w:t>
            </w:r>
            <w:r>
              <w:rPr>
                <w:rFonts w:ascii="宋体" w:hAnsi="宋体" w:cs="宋体" w:eastAsia="宋体" w:hint="default"/>
                <w:w w:val="100"/>
                <w:sz w:val="20"/>
                <w:szCs w:val="20"/>
              </w:rPr>
              <w:t> </w:t>
            </w:r>
            <w:r>
              <w:rPr>
                <w:rFonts w:ascii="宋体" w:hAnsi="宋体" w:cs="宋体" w:eastAsia="宋体" w:hint="default"/>
                <w:sz w:val="20"/>
                <w:szCs w:val="20"/>
              </w:rPr>
              <w:t>致。</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44"/>
              <w:jc w:val="left"/>
              <w:rPr>
                <w:rFonts w:ascii="宋体" w:hAnsi="宋体" w:cs="宋体" w:eastAsia="宋体" w:hint="default"/>
                <w:sz w:val="20"/>
                <w:szCs w:val="20"/>
              </w:rPr>
            </w:pPr>
            <w:r>
              <w:rPr>
                <w:rFonts w:ascii="宋体" w:hAnsi="宋体" w:cs="宋体" w:eastAsia="宋体" w:hint="default"/>
                <w:sz w:val="20"/>
                <w:szCs w:val="20"/>
              </w:rPr>
              <w:t>汇率变动对现金及</w:t>
            </w:r>
            <w:r>
              <w:rPr>
                <w:rFonts w:ascii="宋体" w:hAnsi="宋体" w:cs="宋体" w:eastAsia="宋体" w:hint="default"/>
                <w:w w:val="100"/>
                <w:sz w:val="20"/>
                <w:szCs w:val="20"/>
              </w:rPr>
              <w:t> </w:t>
            </w:r>
            <w:r>
              <w:rPr>
                <w:rFonts w:ascii="宋体" w:hAnsi="宋体" w:cs="宋体" w:eastAsia="宋体" w:hint="default"/>
                <w:sz w:val="20"/>
                <w:szCs w:val="20"/>
              </w:rPr>
              <w:t>现金等价物的影响</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305"/>
              <w:jc w:val="right"/>
              <w:rPr>
                <w:rFonts w:ascii="宋体" w:hAnsi="宋体" w:cs="宋体" w:eastAsia="宋体" w:hint="default"/>
                <w:sz w:val="20"/>
                <w:szCs w:val="20"/>
              </w:rPr>
            </w:pPr>
            <w:r>
              <w:rPr>
                <w:rFonts w:ascii="宋体"/>
                <w:spacing w:val="-1"/>
                <w:sz w:val="20"/>
              </w:rPr>
              <w:t>1,346.36</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4"/>
              <w:jc w:val="right"/>
              <w:rPr>
                <w:rFonts w:ascii="宋体" w:hAnsi="宋体" w:cs="宋体" w:eastAsia="宋体" w:hint="default"/>
                <w:sz w:val="20"/>
                <w:szCs w:val="20"/>
              </w:rPr>
            </w:pPr>
            <w:r>
              <w:rPr>
                <w:rFonts w:ascii="宋体"/>
                <w:spacing w:val="-1"/>
                <w:sz w:val="20"/>
              </w:rPr>
              <w:t>72,926.96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-98.15%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56"/>
              <w:jc w:val="left"/>
              <w:rPr>
                <w:rFonts w:ascii="宋体" w:hAnsi="宋体" w:cs="宋体" w:eastAsia="宋体" w:hint="default"/>
                <w:sz w:val="20"/>
                <w:szCs w:val="20"/>
              </w:rPr>
            </w:pPr>
            <w:r>
              <w:rPr>
                <w:rFonts w:ascii="宋体" w:hAnsi="宋体" w:cs="宋体" w:eastAsia="宋体" w:hint="default"/>
                <w:sz w:val="20"/>
                <w:szCs w:val="20"/>
              </w:rPr>
              <w:t>主要系香港子公司外</w:t>
            </w:r>
            <w:r>
              <w:rPr>
                <w:rFonts w:ascii="宋体" w:hAnsi="宋体" w:cs="宋体" w:eastAsia="宋体" w:hint="default"/>
                <w:w w:val="100"/>
                <w:sz w:val="20"/>
                <w:szCs w:val="20"/>
              </w:rPr>
              <w:t> </w:t>
            </w:r>
            <w:r>
              <w:rPr>
                <w:rFonts w:ascii="宋体" w:hAnsi="宋体" w:cs="宋体" w:eastAsia="宋体" w:hint="default"/>
                <w:sz w:val="20"/>
                <w:szCs w:val="20"/>
              </w:rPr>
              <w:t>币报表折算差额所致。</w:t>
            </w:r>
          </w:p>
        </w:tc>
      </w:tr>
      <w:tr>
        <w:trPr>
          <w:trHeight w:val="947"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03" w:right="244"/>
              <w:jc w:val="left"/>
              <w:rPr>
                <w:rFonts w:ascii="宋体" w:hAnsi="宋体" w:cs="宋体" w:eastAsia="宋体" w:hint="default"/>
                <w:sz w:val="20"/>
                <w:szCs w:val="20"/>
              </w:rPr>
            </w:pPr>
            <w:r>
              <w:rPr>
                <w:rFonts w:ascii="宋体" w:hAnsi="宋体" w:cs="宋体" w:eastAsia="宋体" w:hint="default"/>
                <w:sz w:val="20"/>
                <w:szCs w:val="20"/>
              </w:rPr>
              <w:t>现金及现金等价物</w:t>
            </w:r>
            <w:r>
              <w:rPr>
                <w:rFonts w:ascii="宋体" w:hAnsi="宋体" w:cs="宋体" w:eastAsia="宋体" w:hint="default"/>
                <w:w w:val="100"/>
                <w:sz w:val="20"/>
                <w:szCs w:val="20"/>
              </w:rPr>
              <w:t> </w:t>
            </w:r>
            <w:r>
              <w:rPr>
                <w:rFonts w:ascii="宋体" w:hAnsi="宋体" w:cs="宋体" w:eastAsia="宋体" w:hint="default"/>
                <w:sz w:val="20"/>
                <w:szCs w:val="20"/>
              </w:rPr>
              <w:t>净增加额</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305"/>
              <w:jc w:val="right"/>
              <w:rPr>
                <w:rFonts w:ascii="宋体" w:hAnsi="宋体" w:cs="宋体" w:eastAsia="宋体" w:hint="default"/>
                <w:sz w:val="20"/>
                <w:szCs w:val="20"/>
              </w:rPr>
            </w:pPr>
            <w:r>
              <w:rPr>
                <w:rFonts w:ascii="宋体"/>
                <w:spacing w:val="-1"/>
                <w:sz w:val="20"/>
              </w:rPr>
              <w:t>-176,297,896.41</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3"/>
              <w:jc w:val="right"/>
              <w:rPr>
                <w:rFonts w:ascii="宋体" w:hAnsi="宋体" w:cs="宋体" w:eastAsia="宋体" w:hint="default"/>
                <w:sz w:val="20"/>
                <w:szCs w:val="20"/>
              </w:rPr>
            </w:pPr>
            <w:r>
              <w:rPr>
                <w:rFonts w:ascii="宋体"/>
                <w:spacing w:val="-1"/>
                <w:sz w:val="20"/>
              </w:rPr>
              <w:t>172,483,529.41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-202.21%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56"/>
              <w:jc w:val="left"/>
              <w:rPr>
                <w:rFonts w:ascii="宋体" w:hAnsi="宋体" w:cs="宋体" w:eastAsia="宋体" w:hint="default"/>
                <w:sz w:val="20"/>
                <w:szCs w:val="20"/>
              </w:rPr>
            </w:pPr>
            <w:r>
              <w:rPr>
                <w:rFonts w:ascii="宋体" w:hAnsi="宋体" w:cs="宋体" w:eastAsia="宋体" w:hint="default"/>
                <w:sz w:val="20"/>
                <w:szCs w:val="20"/>
              </w:rPr>
              <w:t>主要系本期筹资活动、</w:t>
            </w:r>
            <w:r>
              <w:rPr>
                <w:rFonts w:ascii="宋体" w:hAnsi="宋体" w:cs="宋体" w:eastAsia="宋体" w:hint="default"/>
                <w:w w:val="100"/>
                <w:sz w:val="20"/>
                <w:szCs w:val="20"/>
              </w:rPr>
              <w:t> </w:t>
            </w:r>
            <w:r>
              <w:rPr>
                <w:rFonts w:ascii="宋体" w:hAnsi="宋体" w:cs="宋体" w:eastAsia="宋体" w:hint="default"/>
                <w:sz w:val="20"/>
                <w:szCs w:val="20"/>
              </w:rPr>
              <w:t>经营活动现金净流量</w:t>
            </w:r>
            <w:r>
              <w:rPr>
                <w:rFonts w:ascii="宋体" w:hAnsi="宋体" w:cs="宋体" w:eastAsia="宋体" w:hint="default"/>
                <w:w w:val="100"/>
                <w:sz w:val="20"/>
                <w:szCs w:val="20"/>
              </w:rPr>
              <w:t> </w:t>
            </w:r>
            <w:r>
              <w:rPr>
                <w:rFonts w:ascii="宋体" w:hAnsi="宋体" w:cs="宋体" w:eastAsia="宋体" w:hint="default"/>
                <w:sz w:val="20"/>
                <w:szCs w:val="20"/>
              </w:rPr>
              <w:t>较上期减少所致。</w:t>
            </w:r>
          </w:p>
        </w:tc>
      </w:tr>
    </w:tbl>
    <w:p>
      <w:pPr>
        <w:spacing w:after="0" w:line="285"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286" w:right="0"/>
        <w:jc w:val="left"/>
        <w:rPr>
          <w:b w:val="0"/>
          <w:bCs w:val="0"/>
        </w:rPr>
      </w:pPr>
      <w:bookmarkStart w:name="第十二节 备查文件目录" w:id="380"/>
      <w:bookmarkEnd w:id="380"/>
      <w:r>
        <w:rPr>
          <w:b w:val="0"/>
          <w:bCs w:val="0"/>
        </w:rPr>
      </w:r>
      <w:bookmarkStart w:name="_bookmark10" w:id="381"/>
      <w:bookmarkEnd w:id="381"/>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载有法定代表人、财务负责人、会计机构负责人签名并盖章的财务报表。</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载有会计师事务所盖章、注册会计师签名并盖章的审计报告原件。</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报告期内在中国证监会指定报纸上公开披露过的所有公司文件的正本及公告原稿。</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载有董事长签名的</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年年度报告文本原件。</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以上备查文件的备置地点：公司董事会办公室。</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32840" type="#_x0000_t75" stroked="false">
          <v:imagedata r:id="rId1" o:title=""/>
        </v:shape>
      </w:pict>
    </w:r>
    <w:r>
      <w:rPr/>
      <w:pict>
        <v:shape style="position:absolute;margin-left:533.179993pt;margin-top:795.517944pt;width:6.5pt;height:11pt;mso-position-horizontal-relative:page;mso-position-vertical-relative:page;z-index:-11328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32792" type="#_x0000_t75" stroked="false">
          <v:imagedata r:id="rId1" o:title=""/>
        </v:shape>
      </w:pict>
    </w:r>
    <w:r>
      <w:rPr/>
      <w:pict>
        <v:shape style="position:absolute;margin-left:527.679993pt;margin-top:781.957947pt;width:13pt;height:11pt;mso-position-horizontal-relative:page;mso-position-vertical-relative:page;z-index:-1132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32744" type="#_x0000_t75" stroked="false">
          <v:imagedata r:id="rId1" o:title=""/>
        </v:shape>
      </w:pict>
    </w:r>
    <w:r>
      <w:rPr/>
      <w:pict>
        <v:shape style="position:absolute;margin-left:524.179993pt;margin-top:781.957947pt;width:15.5pt;height:11pt;mso-position-horizontal-relative:page;mso-position-vertical-relative:page;z-index:-11327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32696" type="#_x0000_t75" stroked="false">
          <v:imagedata r:id="rId1" o:title=""/>
        </v:shape>
      </w:pict>
    </w:r>
    <w:r>
      <w:rPr/>
      <w:pict>
        <v:shape style="position:absolute;margin-left:523.179993pt;margin-top:781.957947pt;width:17.5pt;height:11pt;mso-position-horizontal-relative:page;mso-position-vertical-relative:page;z-index:-1132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1328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spacing w:before="48"/>
      <w:ind w:left="153"/>
    </w:pPr>
    <w:rPr>
      <w:rFonts w:ascii="宋体" w:hAnsi="宋体" w:eastAsia="宋体"/>
      <w:sz w:val="20"/>
      <w:szCs w:val="20"/>
    </w:rPr>
  </w:style>
  <w:style w:styleId="Heading1" w:type="paragraph">
    <w:name w:val="Heading 1"/>
    <w:basedOn w:val="Normal"/>
    <w:uiPriority w:val="1"/>
    <w:qFormat/>
    <w:pPr>
      <w:spacing w:before="1"/>
      <w:ind w:left="242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inodata.net.cn/" TargetMode="External"/><Relationship Id="rId10" Type="http://schemas.openxmlformats.org/officeDocument/2006/relationships/hyperlink" Target="mailto:zkjc@sinodata.net.cn" TargetMode="External"/><Relationship Id="rId11" Type="http://schemas.openxmlformats.org/officeDocument/2006/relationships/hyperlink" Target="http://www.cninfo.com.cn/" TargetMode="External"/><Relationship Id="rId12" Type="http://schemas.openxmlformats.org/officeDocument/2006/relationships/hyperlink" Target="http://www/" TargetMode="External"/><Relationship Id="rId13" Type="http://schemas.openxmlformats.org/officeDocument/2006/relationships/image" Target="media/image3.jpeg"/><Relationship Id="rId14" Type="http://schemas.openxmlformats.org/officeDocument/2006/relationships/hyperlink" Target="http://www.cninfo.co/" TargetMode="External"/><Relationship Id="rId15" Type="http://schemas.openxmlformats.org/officeDocument/2006/relationships/footer" Target="footer3.xml"/><Relationship Id="rId16"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北京中科金财科技股份有限公司</dc:creator>
  <dc:title>北京中科金财科技股份有限公司2017年年度报告全文</dc:title>
  <dcterms:created xsi:type="dcterms:W3CDTF">2020-05-02T22:59:05Z</dcterms:created>
  <dcterms:modified xsi:type="dcterms:W3CDTF">2020-05-02T22:59:05Z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Microsoft® Office Word 2007</vt:lpwstr>
  </property>
  <property fmtid="{D5CDD505-2E9C-101B-9397-08002B2CF9AE}" pid="4" name="LastSaved">
    <vt:filetime>2020-05-02T00:00:00Z</vt:filetime>
  </property>
</Properties>
</file>