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1368" w:lineRule="exact"/>
        <w:ind w:left="40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6"/>
          <w:sz w:val="20"/>
          <w:szCs w:val="20"/>
        </w:rPr>
        <w:drawing>
          <wp:inline distT="0" distB="0" distL="0" distR="0">
            <wp:extent cx="1128395" cy="868679"/>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128395" cy="868679"/>
                    </a:xfrm>
                    <a:prstGeom prst="rect">
                      <a:avLst/>
                    </a:prstGeom>
                  </pic:spPr>
                </pic:pic>
              </a:graphicData>
            </a:graphic>
          </wp:inline>
        </w:drawing>
      </w:r>
      <w:r>
        <w:rPr>
          <w:rFonts w:ascii="Times New Roman" w:hAnsi="Times New Roman" w:cs="Times New Roman" w:eastAsia="Times New Roman" w:hint="default"/>
          <w:position w:val="-26"/>
          <w:sz w:val="20"/>
          <w:szCs w:val="20"/>
        </w:rPr>
      </w:r>
    </w:p>
    <w:p>
      <w:pPr>
        <w:spacing w:line="240" w:lineRule="auto" w:before="4"/>
        <w:rPr>
          <w:rFonts w:ascii="Times New Roman" w:hAnsi="Times New Roman" w:cs="Times New Roman" w:eastAsia="Times New Roman" w:hint="default"/>
          <w:sz w:val="13"/>
          <w:szCs w:val="13"/>
        </w:rPr>
      </w:pPr>
    </w:p>
    <w:p>
      <w:pPr>
        <w:spacing w:line="460" w:lineRule="exact" w:before="0"/>
        <w:ind w:left="2424" w:right="3401" w:firstLine="0"/>
        <w:jc w:val="center"/>
        <w:rPr>
          <w:rFonts w:ascii="宋体" w:hAnsi="宋体" w:cs="宋体" w:eastAsia="宋体" w:hint="default"/>
          <w:sz w:val="36"/>
          <w:szCs w:val="36"/>
        </w:rPr>
      </w:pPr>
      <w:r>
        <w:rPr>
          <w:rFonts w:ascii="宋体" w:hAnsi="宋体" w:cs="宋体" w:eastAsia="宋体" w:hint="default"/>
          <w:b/>
          <w:bCs/>
          <w:sz w:val="36"/>
          <w:szCs w:val="36"/>
        </w:rPr>
        <w:t>北京中科金财科技股份有限公司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422" w:right="340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2424" w:right="340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_TOC_250011"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公司负责人朱烨东、主管会计工作负责人赵学荣及会计机构负责人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洪珊声明：保证年度报告中财务报告的真实、准确、完整。</w:t>
      </w:r>
      <w:r>
        <w:rPr>
          <w:rFonts w:ascii="宋体" w:hAnsi="宋体" w:cs="宋体" w:eastAsia="宋体" w:hint="default"/>
          <w:sz w:val="28"/>
          <w:szCs w:val="28"/>
        </w:rPr>
      </w:r>
    </w:p>
    <w:p>
      <w:pPr>
        <w:spacing w:before="14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10"/>
        <w:rPr>
          <w:rFonts w:ascii="宋体" w:hAnsi="宋体" w:cs="宋体" w:eastAsia="宋体" w:hint="default"/>
          <w:b/>
          <w:bCs/>
          <w:sz w:val="20"/>
          <w:szCs w:val="20"/>
        </w:rPr>
      </w:pPr>
    </w:p>
    <w:tbl>
      <w:tblPr>
        <w:tblW w:w="0" w:type="auto"/>
        <w:jc w:val="left"/>
        <w:tblInd w:w="149" w:type="dxa"/>
        <w:tblLayout w:type="fixed"/>
        <w:tblCellMar>
          <w:top w:w="0" w:type="dxa"/>
          <w:left w:w="0" w:type="dxa"/>
          <w:bottom w:w="0" w:type="dxa"/>
          <w:right w:w="0" w:type="dxa"/>
        </w:tblCellMar>
        <w:tblLook w:val="01E0"/>
      </w:tblPr>
      <w:tblGrid>
        <w:gridCol w:w="2936"/>
        <w:gridCol w:w="2211"/>
        <w:gridCol w:w="2212"/>
        <w:gridCol w:w="2210"/>
      </w:tblGrid>
      <w:tr>
        <w:trPr>
          <w:trHeight w:val="401" w:hRule="exact"/>
        </w:trPr>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2" w:right="0"/>
              <w:jc w:val="left"/>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0" w:right="0"/>
              <w:jc w:val="left"/>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1" w:right="0"/>
              <w:jc w:val="left"/>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3"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刘开同</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个人原因</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赵学荣</w:t>
            </w:r>
          </w:p>
        </w:tc>
      </w:tr>
    </w:tbl>
    <w:p>
      <w:pPr>
        <w:spacing w:line="240" w:lineRule="auto" w:before="2"/>
        <w:rPr>
          <w:rFonts w:ascii="宋体" w:hAnsi="宋体" w:cs="宋体" w:eastAsia="宋体" w:hint="default"/>
          <w:b/>
          <w:bCs/>
          <w:sz w:val="13"/>
          <w:szCs w:val="13"/>
        </w:rPr>
      </w:pPr>
    </w:p>
    <w:p>
      <w:pPr>
        <w:spacing w:line="398" w:lineRule="auto" w:before="13"/>
        <w:ind w:left="154" w:right="0" w:firstLine="562"/>
        <w:jc w:val="left"/>
        <w:rPr>
          <w:rFonts w:ascii="宋体" w:hAnsi="宋体" w:cs="宋体" w:eastAsia="宋体" w:hint="default"/>
          <w:sz w:val="28"/>
          <w:szCs w:val="28"/>
        </w:rPr>
      </w:pPr>
      <w:r>
        <w:rPr>
          <w:rFonts w:ascii="宋体" w:hAnsi="宋体" w:cs="宋体" w:eastAsia="宋体" w:hint="default"/>
          <w:b/>
          <w:bCs/>
          <w:spacing w:val="-2"/>
          <w:w w:val="95"/>
          <w:sz w:val="28"/>
          <w:szCs w:val="28"/>
        </w:rPr>
        <w:t>公司存在的风险因素主要有市场竞争风险、行业技术风险、人力资源风险、</w:t>
      </w:r>
      <w:r>
        <w:rPr>
          <w:rFonts w:ascii="宋体" w:hAnsi="宋体" w:cs="宋体" w:eastAsia="宋体" w:hint="default"/>
          <w:b/>
          <w:bCs/>
          <w:w w:val="99"/>
          <w:sz w:val="28"/>
          <w:szCs w:val="28"/>
        </w:rPr>
        <w:t> </w:t>
      </w:r>
      <w:r>
        <w:rPr>
          <w:rFonts w:ascii="宋体" w:hAnsi="宋体" w:cs="宋体" w:eastAsia="宋体" w:hint="default"/>
          <w:b/>
          <w:bCs/>
          <w:sz w:val="28"/>
          <w:szCs w:val="28"/>
        </w:rPr>
        <w:t>政策风险等，有关主要风险因素及公司应对措施已在本报告第四节</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经营情况讨</w:t>
      </w:r>
      <w:r>
        <w:rPr>
          <w:rFonts w:ascii="宋体" w:hAnsi="宋体" w:cs="宋体" w:eastAsia="宋体" w:hint="default"/>
          <w:b/>
          <w:bCs/>
          <w:spacing w:val="1"/>
          <w:w w:val="99"/>
          <w:sz w:val="28"/>
          <w:szCs w:val="28"/>
        </w:rPr>
        <w:t> </w:t>
      </w:r>
      <w:r>
        <w:rPr>
          <w:rFonts w:ascii="宋体" w:hAnsi="宋体" w:cs="宋体" w:eastAsia="宋体" w:hint="default"/>
          <w:b/>
          <w:bCs/>
          <w:sz w:val="28"/>
          <w:szCs w:val="28"/>
        </w:rPr>
        <w:t>论与分析</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中</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公司面临的风险和应对措施</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详细阐述。</w:t>
      </w:r>
      <w:r>
        <w:rPr>
          <w:rFonts w:ascii="宋体" w:hAnsi="宋体" w:cs="宋体" w:eastAsia="宋体" w:hint="default"/>
          <w:sz w:val="28"/>
          <w:szCs w:val="28"/>
        </w:rPr>
      </w:r>
    </w:p>
    <w:p>
      <w:pPr>
        <w:spacing w:before="130"/>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 </w:t>
      </w:r>
      <w:r>
        <w:rPr>
          <w:rFonts w:ascii="Times New Roman" w:hAnsi="Times New Roman" w:cs="Times New Roman" w:eastAsia="Times New Roman" w:hint="default"/>
          <w:b/>
          <w:bCs/>
          <w:sz w:val="28"/>
          <w:szCs w:val="28"/>
        </w:rPr>
        <w:t>337576686</w:t>
      </w:r>
      <w:r>
        <w:rPr>
          <w:rFonts w:ascii="Times New Roman" w:hAnsi="Times New Roman" w:cs="Times New Roman" w:eastAsia="Times New Roman" w:hint="default"/>
          <w:b/>
          <w:bCs/>
          <w:spacing w:val="-9"/>
          <w:sz w:val="28"/>
          <w:szCs w:val="28"/>
        </w:rPr>
        <w:t> </w:t>
      </w:r>
      <w:r>
        <w:rPr>
          <w:rFonts w:ascii="宋体" w:hAnsi="宋体" w:cs="宋体" w:eastAsia="宋体" w:hint="default"/>
          <w:b/>
          <w:bCs/>
          <w:sz w:val="28"/>
          <w:szCs w:val="28"/>
        </w:rPr>
        <w:t>为基数，向</w:t>
      </w:r>
      <w:r>
        <w:rPr>
          <w:rFonts w:ascii="宋体" w:hAnsi="宋体" w:cs="宋体" w:eastAsia="宋体" w:hint="default"/>
          <w:sz w:val="28"/>
          <w:szCs w:val="28"/>
        </w:rPr>
      </w:r>
    </w:p>
    <w:p>
      <w:pPr>
        <w:spacing w:line="386" w:lineRule="auto" w:before="236"/>
        <w:ind w:left="154" w:right="0" w:firstLine="0"/>
        <w:jc w:val="left"/>
        <w:rPr>
          <w:rFonts w:ascii="宋体" w:hAnsi="宋体" w:cs="宋体" w:eastAsia="宋体" w:hint="default"/>
          <w:sz w:val="28"/>
          <w:szCs w:val="28"/>
        </w:rPr>
      </w:pPr>
      <w:r>
        <w:rPr>
          <w:rFonts w:ascii="宋体" w:hAnsi="宋体" w:cs="宋体" w:eastAsia="宋体" w:hint="default"/>
          <w:b/>
          <w:bCs/>
          <w:w w:val="99"/>
          <w:sz w:val="28"/>
          <w:szCs w:val="28"/>
        </w:rPr>
        <w:t>全体股东每</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4"/>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0.05</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23"/>
          <w:w w:val="99"/>
          <w:sz w:val="28"/>
          <w:szCs w:val="28"/>
        </w:rPr>
        <w:t>元（含税），送红股</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4"/>
          <w:w w:val="99"/>
          <w:sz w:val="28"/>
          <w:szCs w:val="28"/>
        </w:rPr>
        <w:t> </w:t>
      </w:r>
      <w:r>
        <w:rPr>
          <w:rFonts w:ascii="宋体" w:hAnsi="宋体" w:cs="宋体" w:eastAsia="宋体" w:hint="default"/>
          <w:b/>
          <w:bCs/>
          <w:spacing w:val="-21"/>
          <w:w w:val="99"/>
          <w:sz w:val="28"/>
          <w:szCs w:val="28"/>
        </w:rPr>
        <w:t>股（含税），不以公积</w:t>
      </w:r>
      <w:r>
        <w:rPr>
          <w:rFonts w:ascii="宋体" w:hAnsi="宋体" w:cs="宋体" w:eastAsia="宋体" w:hint="default"/>
          <w:b/>
          <w:bCs/>
          <w:w w:val="99"/>
          <w:sz w:val="28"/>
          <w:szCs w:val="28"/>
        </w:rPr>
        <w:t> </w:t>
      </w:r>
      <w:r>
        <w:rPr>
          <w:rFonts w:ascii="宋体" w:hAnsi="宋体" w:cs="宋体" w:eastAsia="宋体" w:hint="default"/>
          <w:b/>
          <w:bCs/>
          <w:sz w:val="28"/>
          <w:szCs w:val="28"/>
        </w:rPr>
        <w:t>金转增股本。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424" w:right="340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9"/>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9"/>
              </w:rPr>
              <w:t> </w:t>
            </w:r>
            <w:r>
              <w:rPr/>
              <w:t>公司业务概要</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经营情况讨论与分析</w:t>
            </w:r>
            <w:r>
              <w:rPr>
                <w:rFonts w:ascii="Times New Roman" w:hAnsi="Times New Roman" w:cs="Times New Roman" w:eastAsia="Times New Roman" w:hint="default"/>
              </w:rPr>
              <w:tab/>
              <w:t>31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公司债券相关情况</w:t>
            </w:r>
            <w:r>
              <w:rPr>
                <w:rFonts w:ascii="Times New Roman" w:hAnsi="Times New Roman" w:cs="Times New Roman" w:eastAsia="Times New Roman" w:hint="default"/>
              </w:rPr>
              <w:tab/>
              <w:t>72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rPr>
              <w:tab/>
              <w:t>178</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2424" w:right="340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right="10"/>
              <w:jc w:val="center"/>
              <w:rPr>
                <w:rFonts w:ascii="宋体" w:hAnsi="宋体" w:cs="宋体" w:eastAsia="宋体" w:hint="default"/>
                <w:sz w:val="20"/>
                <w:szCs w:val="20"/>
              </w:rPr>
            </w:pPr>
            <w:r>
              <w:rPr>
                <w:rFonts w:ascii="宋体" w:hAnsi="宋体" w:cs="宋体" w:eastAsia="宋体" w:hint="default"/>
                <w:sz w:val="20"/>
                <w:szCs w:val="20"/>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10" w:right="0"/>
              <w:jc w:val="center"/>
              <w:rPr>
                <w:rFonts w:ascii="宋体" w:hAnsi="宋体" w:cs="宋体" w:eastAsia="宋体" w:hint="default"/>
                <w:sz w:val="20"/>
                <w:szCs w:val="20"/>
              </w:rPr>
            </w:pPr>
            <w:r>
              <w:rPr>
                <w:rFonts w:ascii="宋体" w:hAnsi="宋体" w:cs="宋体" w:eastAsia="宋体" w:hint="default"/>
                <w:sz w:val="20"/>
                <w:szCs w:val="20"/>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中科金财、公司、母公司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北京中科金财科技股份有限公司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天津中科、滨河创新</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285" w:lineRule="auto" w:before="35"/>
              <w:ind w:left="27" w:right="21"/>
              <w:jc w:val="left"/>
              <w:rPr>
                <w:rFonts w:ascii="宋体" w:hAnsi="宋体" w:cs="宋体" w:eastAsia="宋体" w:hint="default"/>
                <w:sz w:val="20"/>
                <w:szCs w:val="20"/>
              </w:rPr>
            </w:pPr>
            <w:r>
              <w:rPr>
                <w:rFonts w:ascii="宋体" w:hAnsi="宋体" w:cs="宋体" w:eastAsia="宋体" w:hint="default"/>
                <w:spacing w:val="-2"/>
                <w:sz w:val="20"/>
                <w:szCs w:val="20"/>
              </w:rPr>
              <w:t>天津中科金财科技有限公司（原名称为天津滨河创新科技有限</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z w:val="20"/>
                <w:szCs w:val="20"/>
              </w:rPr>
              <w:t>公司，已于 </w:t>
            </w:r>
            <w:r>
              <w:rPr>
                <w:rFonts w:ascii="Times New Roman" w:hAnsi="Times New Roman" w:cs="Times New Roman" w:eastAsia="Times New Roman" w:hint="default"/>
                <w:sz w:val="20"/>
                <w:szCs w:val="20"/>
              </w:rPr>
              <w:t>2018  </w:t>
            </w:r>
            <w:r>
              <w:rPr>
                <w:rFonts w:ascii="宋体" w:hAnsi="宋体" w:cs="宋体" w:eastAsia="宋体" w:hint="default"/>
                <w:sz w:val="20"/>
                <w:szCs w:val="20"/>
              </w:rPr>
              <w:t>年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45"/>
                <w:sz w:val="20"/>
                <w:szCs w:val="20"/>
              </w:rPr>
              <w:t> </w:t>
            </w:r>
            <w:r>
              <w:rPr>
                <w:rFonts w:ascii="宋体" w:hAnsi="宋体" w:cs="宋体" w:eastAsia="宋体" w:hint="default"/>
                <w:sz w:val="20"/>
                <w:szCs w:val="20"/>
              </w:rPr>
              <w:t>月变更为现名称）</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中科商务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北京中科金财电子商务有限公司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中金财富</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深圳中金财富互联网金融服务有限公司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华缔资管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华缔资产管理（北京）有限公司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大金所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大连金融资产交易所有限公司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安粮期货</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安粮期货股份有限公司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立信、会计师事务所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立信会计师事务所（特殊普通合伙）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《北京中科金财科技股份有限公司章程》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《股票上市规则》</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《深圳证券交易所股票上市规则》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《规范运作指引》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《深圳证券交易所中小企业板上市公司规范运作指引》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本报告</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北京中科金财科技股份有限公司</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年年度报告</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报告期、本报告期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公司指定信息披露媒体</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285" w:lineRule="auto" w:before="35"/>
              <w:ind w:left="27" w:right="22"/>
              <w:jc w:val="left"/>
              <w:rPr>
                <w:rFonts w:ascii="宋体" w:hAnsi="宋体" w:cs="宋体" w:eastAsia="宋体" w:hint="default"/>
                <w:sz w:val="20"/>
                <w:szCs w:val="20"/>
              </w:rPr>
            </w:pPr>
            <w:r>
              <w:rPr>
                <w:rFonts w:ascii="宋体" w:hAnsi="宋体" w:cs="宋体" w:eastAsia="宋体" w:hint="default"/>
                <w:spacing w:val="-22"/>
                <w:w w:val="100"/>
                <w:sz w:val="20"/>
                <w:szCs w:val="20"/>
              </w:rPr>
              <w:t>《中国证券报》、《证券时报》、《证券日报》、《上海证券报》和</w:t>
            </w:r>
            <w:r>
              <w:rPr>
                <w:rFonts w:ascii="宋体" w:hAnsi="宋体" w:cs="宋体" w:eastAsia="宋体" w:hint="default"/>
                <w:spacing w:val="-96"/>
                <w:w w:val="100"/>
                <w:sz w:val="20"/>
                <w:szCs w:val="20"/>
              </w:rPr>
              <w:t> </w:t>
            </w:r>
            <w:r>
              <w:rPr>
                <w:rFonts w:ascii="宋体" w:hAnsi="宋体" w:cs="宋体" w:eastAsia="宋体" w:hint="default"/>
                <w:spacing w:val="-96"/>
                <w:w w:val="100"/>
                <w:sz w:val="20"/>
                <w:szCs w:val="20"/>
              </w:rPr>
            </w:r>
            <w:r>
              <w:rPr>
                <w:rFonts w:ascii="宋体" w:hAnsi="宋体" w:cs="宋体" w:eastAsia="宋体" w:hint="default"/>
                <w:sz w:val="20"/>
                <w:szCs w:val="20"/>
              </w:rPr>
              <w:t>巨潮资讯网</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w w:val="100"/>
                <w:sz w:val="20"/>
                <w:szCs w:val="20"/>
              </w:rPr>
              <w:t>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人民币元</w:t>
            </w:r>
          </w:p>
        </w:tc>
      </w:tr>
    </w:tbl>
    <w:p>
      <w:pPr>
        <w:spacing w:after="0" w:line="240" w:lineRule="auto"/>
        <w:jc w:val="left"/>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72.779968pt;width:361.5pt;height:19.6pt;mso-position-horizontal-relative:page;mso-position-vertical-relative:page;z-index:-1040128"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_TOC_250010"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9"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中科金财</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002657</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北京中科金财科技股份有限公司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中科金财</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pacing w:val="-5"/>
                <w:sz w:val="18"/>
              </w:rPr>
              <w:t>SINODATA </w:t>
            </w:r>
            <w:r>
              <w:rPr>
                <w:rFonts w:ascii="Times New Roman"/>
                <w:sz w:val="18"/>
              </w:rPr>
              <w:t>CO., </w:t>
            </w:r>
            <w:r>
              <w:rPr>
                <w:rFonts w:ascii="Times New Roman"/>
                <w:spacing w:val="-5"/>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pacing w:val="-5"/>
                <w:sz w:val="18"/>
              </w:rPr>
              <w:t>SINODATA</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朱烨东</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北京市海淀区学院路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号唯实大厦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100191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北京市海淀区学院路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号唯实大厦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100191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www.sinodata.net.cn</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zkjc@sinodata.net.cn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赵剑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李燕</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北京市海淀区学院路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号唯实大厦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北京市海淀区学院路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号唯实大厦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层</w:t>
            </w: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010-62309608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010-62309608</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010-62309595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010-62309595</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zkjc@sinodata.net.cn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zkjc@sinodata.net.cn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91110000757740123M</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t>公司聘请的会计师事务所</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张金华、郭晓清</w:t>
            </w:r>
          </w:p>
        </w:tc>
      </w:tr>
    </w:tbl>
    <w:p>
      <w:pPr>
        <w:pStyle w:val="BodyText"/>
        <w:spacing w:line="240" w:lineRule="auto" w:before="35"/>
        <w:ind w:right="0"/>
        <w:jc w:val="left"/>
      </w:pPr>
      <w:r>
        <w:rPr/>
        <w:t>公司聘请的报告期内履行持续督导职责的保荐机构</w:t>
      </w:r>
    </w:p>
    <w:p>
      <w:pPr>
        <w:pStyle w:val="BodyText"/>
        <w:spacing w:line="304" w:lineRule="auto" w:before="91"/>
        <w:ind w:right="49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100"/>
        </w:rPr>
        <w:t> </w:t>
      </w:r>
      <w:r>
        <w:rPr>
          <w:spacing w:val="-1"/>
        </w:rPr>
        <w:t>公司聘请的报告期内履行持续督导职责的财务顾问</w:t>
      </w:r>
    </w:p>
    <w:p>
      <w:pPr>
        <w:pStyle w:val="BodyText"/>
        <w:spacing w:line="240" w:lineRule="auto" w:before="3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不适用</w:t>
      </w:r>
    </w:p>
    <w:p>
      <w:pPr>
        <w:spacing w:line="240" w:lineRule="auto" w:before="2"/>
        <w:rPr>
          <w:rFonts w:ascii="宋体" w:hAnsi="宋体" w:cs="宋体" w:eastAsia="宋体" w:hint="default"/>
          <w:sz w:val="23"/>
          <w:szCs w:val="23"/>
        </w:rPr>
      </w:pPr>
    </w:p>
    <w:p>
      <w:pPr>
        <w:pStyle w:val="Heading2"/>
        <w:spacing w:line="240" w:lineRule="auto"/>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6"/>
        <w:rPr>
          <w:rFonts w:ascii="宋体" w:hAnsi="宋体" w:cs="宋体" w:eastAsia="宋体" w:hint="default"/>
          <w:b/>
          <w:bCs/>
          <w:sz w:val="25"/>
          <w:szCs w:val="25"/>
        </w:rPr>
      </w:pPr>
    </w:p>
    <w:p>
      <w:pPr>
        <w:pStyle w:val="BodyText"/>
        <w:spacing w:line="240" w:lineRule="auto"/>
        <w:ind w:right="0"/>
        <w:jc w:val="left"/>
      </w:pPr>
      <w:r>
        <w:rPr/>
        <w:t>公司是否需追溯调整或重述以前年度会计数据</w:t>
      </w:r>
    </w:p>
    <w:p>
      <w:pPr>
        <w:pStyle w:val="BodyText"/>
        <w:spacing w:line="240" w:lineRule="auto" w:before="9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p>
    <w:p>
      <w:pPr>
        <w:spacing w:line="240" w:lineRule="auto" w:before="1"/>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1,485,625,293.81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1,226,017,671.63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21.17%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1,380,123,898.84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8,209,514.73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-236,661,197.94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103.47%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177,933,924.25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-48,467,282.96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-298,834,351.89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83.78%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149,410,887.39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-28,251,608.70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108,428,190.60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-126.06%</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267,550,282.51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102.86%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102.86%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9.28%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3,809,522,710.57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4,549,570,657.17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-16.27%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3,654,390,937.79</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2,525,742,415.22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2,517,531,571.37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2,770,957,996.90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5"/>
        <w:rPr>
          <w:rFonts w:ascii="宋体" w:hAnsi="宋体" w:cs="宋体" w:eastAsia="宋体" w:hint="default"/>
          <w:b/>
          <w:bCs/>
          <w:sz w:val="25"/>
          <w:szCs w:val="25"/>
        </w:rPr>
      </w:pPr>
    </w:p>
    <w:p>
      <w:pPr>
        <w:pStyle w:val="BodyText"/>
        <w:spacing w:line="304"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100"/>
        </w:rPr>
        <w:t> </w:t>
      </w:r>
      <w:r>
        <w:rPr>
          <w:spacing w:val="-1"/>
        </w:rPr>
        <w:t>公司报告期不存在按照国际会计准则与按照中国会计准则披露的财务报告中净利润和净资产差异情况。</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6"/>
        <w:rPr>
          <w:rFonts w:ascii="宋体" w:hAnsi="宋体" w:cs="宋体" w:eastAsia="宋体" w:hint="default"/>
          <w:b/>
          <w:bCs/>
          <w:sz w:val="25"/>
          <w:szCs w:val="25"/>
        </w:rPr>
      </w:pPr>
    </w:p>
    <w:p>
      <w:pPr>
        <w:pStyle w:val="BodyText"/>
        <w:spacing w:line="304"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100"/>
        </w:rPr>
        <w:t> </w:t>
      </w:r>
      <w:r>
        <w:rPr>
          <w:spacing w:val="-1"/>
        </w:rPr>
        <w:t>公司报告期不存在按照境外会计准则与按照中国会计准则披露的财务报告中净利润和净资产差异情况。</w:t>
      </w:r>
    </w:p>
    <w:p>
      <w:pPr>
        <w:spacing w:line="240" w:lineRule="auto" w:before="1"/>
        <w:rPr>
          <w:rFonts w:ascii="宋体" w:hAnsi="宋体" w:cs="宋体" w:eastAsia="宋体" w:hint="default"/>
          <w:sz w:val="20"/>
          <w:szCs w:val="20"/>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225,669,963.34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386,118,495.55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211,240,261.06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662,596,573.86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29,490,648.44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38,000,622.81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69,525.23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-59,351,281.75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1,206,990.66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36,008,362.78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-18,940,057.98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-66,742,578.42</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-300,202,646.37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-12,844,128.16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-18,916,206.41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303,711,372.24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5"/>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7" w:footer="979" w:top="1060" w:bottom="1160" w:left="980" w:right="0"/>
        </w:sectPr>
      </w:pPr>
    </w:p>
    <w:p>
      <w:pPr>
        <w:pStyle w:val="BodyText"/>
        <w:spacing w:line="240" w:lineRule="auto" w:before="38"/>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686" w:space="7234"/>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-1,071,335.81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736,933.19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-27,020,846.04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11,386,453.73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9,054,871.43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14,202,040.61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2,250,179.50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28,147,433.01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299"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62,502,477.08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62,332,059.40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20,128,382.80</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36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-7,057,177.98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235,371.42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-1,851,651.48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8,652,854.29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10,560,284.32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5,030,189.47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430,765.04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1,875,976.67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52,132.57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56,676,797.69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62,173,153.95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28,523,036.86</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265"/>
        <w:gridCol w:w="2126"/>
        <w:gridCol w:w="5178"/>
      </w:tblGrid>
      <w:tr>
        <w:trPr>
          <w:trHeight w:val="402"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7"/>
              <w:jc w:val="right"/>
              <w:rPr>
                <w:rFonts w:ascii="宋体" w:hAnsi="宋体" w:cs="宋体" w:eastAsia="宋体" w:hint="default"/>
                <w:sz w:val="18"/>
                <w:szCs w:val="18"/>
              </w:rPr>
            </w:pPr>
            <w:r>
              <w:rPr>
                <w:rFonts w:ascii="宋体" w:hAnsi="宋体" w:cs="宋体" w:eastAsia="宋体" w:hint="default"/>
                <w:sz w:val="18"/>
                <w:szCs w:val="18"/>
              </w:rPr>
              <w:t>项目</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7"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70"/>
              <w:jc w:val="right"/>
              <w:rPr>
                <w:rFonts w:ascii="宋体" w:hAnsi="宋体" w:cs="宋体" w:eastAsia="宋体" w:hint="default"/>
                <w:sz w:val="18"/>
                <w:szCs w:val="18"/>
              </w:rPr>
            </w:pPr>
            <w:r>
              <w:rPr>
                <w:rFonts w:ascii="宋体" w:hAnsi="宋体" w:cs="宋体" w:eastAsia="宋体" w:hint="default"/>
                <w:sz w:val="18"/>
                <w:szCs w:val="18"/>
              </w:rPr>
              <w:t>软件增值税退税</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48" w:right="0"/>
              <w:jc w:val="left"/>
              <w:rPr>
                <w:rFonts w:ascii="Times New Roman" w:hAnsi="Times New Roman" w:cs="Times New Roman" w:eastAsia="Times New Roman" w:hint="default"/>
                <w:sz w:val="18"/>
                <w:szCs w:val="18"/>
              </w:rPr>
            </w:pPr>
            <w:r>
              <w:rPr>
                <w:rFonts w:ascii="Times New Roman"/>
                <w:sz w:val="18"/>
              </w:rPr>
              <w:t>2,959,500.56</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2"/>
              <w:jc w:val="left"/>
              <w:rPr>
                <w:rFonts w:ascii="宋体" w:hAnsi="宋体" w:cs="宋体" w:eastAsia="宋体" w:hint="default"/>
                <w:sz w:val="18"/>
                <w:szCs w:val="18"/>
              </w:rPr>
            </w:pPr>
            <w:r>
              <w:rPr>
                <w:rFonts w:ascii="宋体" w:hAnsi="宋体" w:cs="宋体" w:eastAsia="宋体" w:hint="default"/>
                <w:sz w:val="18"/>
                <w:szCs w:val="18"/>
              </w:rPr>
              <w:t>该项政府补助系与公司正常经营业务密切相关，符合国家政策规 定、按照一定标准定额和定量持续享受的政府补助。</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_TOC_250009" w:id="16"/>
      <w:bookmarkStart w:name="第三节 公司业务概要" w:id="17"/>
      <w:r>
        <w:rPr>
          <w:b w:val="0"/>
          <w:bCs w:val="0"/>
        </w:rPr>
      </w:r>
      <w:r>
        <w:rPr/>
        <w:t>第三节</w:t>
      </w:r>
      <w:r>
        <w:rPr>
          <w:spacing w:val="-7"/>
        </w:rPr>
        <w:t> </w:t>
      </w:r>
      <w:r>
        <w:rPr/>
        <w:t>公司业务概要</w:t>
      </w:r>
      <w:bookmarkEnd w:id="16"/>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3"/>
        <w:rPr>
          <w:rFonts w:ascii="宋体" w:hAnsi="宋体" w:cs="宋体" w:eastAsia="宋体" w:hint="default"/>
          <w:b/>
          <w:bCs/>
          <w:sz w:val="31"/>
          <w:szCs w:val="31"/>
        </w:rPr>
      </w:pPr>
    </w:p>
    <w:p>
      <w:pPr>
        <w:pStyle w:val="BodyText"/>
        <w:spacing w:line="429" w:lineRule="auto"/>
        <w:ind w:right="7209"/>
        <w:jc w:val="left"/>
      </w:pPr>
      <w:r>
        <w:rPr>
          <w:spacing w:val="-1"/>
        </w:rPr>
        <w:t>公司是否需要遵守特殊行业的披露要求</w:t>
      </w:r>
      <w:r>
        <w:rPr>
          <w:spacing w:val="-87"/>
        </w:rPr>
        <w:t> </w:t>
      </w:r>
      <w:r>
        <w:rPr>
          <w:spacing w:val="-87"/>
        </w:rPr>
      </w:r>
      <w:r>
        <w:rPr/>
        <w:t>是</w:t>
      </w:r>
    </w:p>
    <w:p>
      <w:pPr>
        <w:pStyle w:val="BodyText"/>
        <w:spacing w:line="240" w:lineRule="auto" w:before="48"/>
        <w:ind w:right="0"/>
        <w:jc w:val="left"/>
      </w:pPr>
      <w:r>
        <w:rPr/>
        <w:t>软件与信息技术服务业</w:t>
      </w:r>
    </w:p>
    <w:p>
      <w:pPr>
        <w:spacing w:line="240" w:lineRule="auto" w:before="10"/>
        <w:rPr>
          <w:rFonts w:ascii="宋体" w:hAnsi="宋体" w:cs="宋体" w:eastAsia="宋体" w:hint="default"/>
          <w:sz w:val="15"/>
          <w:szCs w:val="15"/>
        </w:rPr>
      </w:pPr>
    </w:p>
    <w:p>
      <w:pPr>
        <w:pStyle w:val="BodyText"/>
        <w:spacing w:line="405" w:lineRule="auto"/>
        <w:ind w:right="1128"/>
        <w:jc w:val="left"/>
      </w:pPr>
      <w:r>
        <w:rPr>
          <w:spacing w:val="-3"/>
        </w:rPr>
        <w:t>公司需遵守《深圳证券交易所行业信息披露指引第</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号</w:t>
      </w:r>
      <w:r>
        <w:rPr>
          <w:rFonts w:ascii="Times New Roman" w:hAnsi="Times New Roman" w:cs="Times New Roman" w:eastAsia="Times New Roman" w:hint="default"/>
        </w:rPr>
        <w:t>——</w:t>
      </w:r>
      <w:r>
        <w:rPr/>
        <w:t>上市公司从事软件与信息技术服务业务》的披露要</w:t>
      </w:r>
      <w:r>
        <w:rPr>
          <w:w w:val="100"/>
        </w:rPr>
        <w:t> </w:t>
      </w:r>
      <w:r>
        <w:rPr/>
        <w:t>求</w:t>
      </w:r>
    </w:p>
    <w:p>
      <w:pPr>
        <w:pStyle w:val="BodyText"/>
        <w:spacing w:line="410" w:lineRule="auto" w:before="68"/>
        <w:ind w:right="1030" w:firstLine="399"/>
        <w:jc w:val="left"/>
      </w:pPr>
      <w:r>
        <w:rPr>
          <w:rFonts w:ascii="Times New Roman" w:hAnsi="Times New Roman" w:cs="Times New Roman" w:eastAsia="Times New Roman" w:hint="default"/>
          <w:spacing w:val="-2"/>
        </w:rPr>
        <w:t>2018</w:t>
      </w:r>
      <w:r>
        <w:rPr>
          <w:spacing w:val="-2"/>
        </w:rPr>
        <w:t>年，公司继续坚持以金融科技整体解决方案和数据中心综合服务为基础，深入推进人工智能、大数据、</w:t>
      </w:r>
      <w:r>
        <w:rPr>
          <w:w w:val="100"/>
        </w:rPr>
        <w:t> </w:t>
      </w:r>
      <w:r>
        <w:rPr/>
        <w:t>云服务、区块链等科技创新业务，并对公司的发展战略进行研讨、升级，进一步打造价值共享的产业互联网科</w:t>
      </w:r>
      <w:r>
        <w:rPr>
          <w:w w:val="100"/>
        </w:rPr>
        <w:t> </w:t>
      </w:r>
      <w:r>
        <w:rPr>
          <w:spacing w:val="-1"/>
        </w:rPr>
        <w:t>技赋能平台，引导产业客户实现从</w:t>
      </w:r>
      <w:r>
        <w:rPr>
          <w:rFonts w:ascii="Times New Roman" w:hAnsi="Times New Roman" w:cs="Times New Roman" w:eastAsia="Times New Roman" w:hint="default"/>
          <w:spacing w:val="-1"/>
        </w:rPr>
        <w:t>IT</w:t>
      </w:r>
      <w:r>
        <w:rPr>
          <w:spacing w:val="-1"/>
        </w:rPr>
        <w:t>到</w:t>
      </w:r>
      <w:r>
        <w:rPr>
          <w:rFonts w:ascii="Times New Roman" w:hAnsi="Times New Roman" w:cs="Times New Roman" w:eastAsia="Times New Roman" w:hint="default"/>
          <w:spacing w:val="-1"/>
        </w:rPr>
        <w:t>DT</w:t>
      </w:r>
      <w:r>
        <w:rPr>
          <w:spacing w:val="-1"/>
        </w:rPr>
        <w:t>到</w:t>
      </w:r>
      <w:r>
        <w:rPr>
          <w:rFonts w:ascii="Times New Roman" w:hAnsi="Times New Roman" w:cs="Times New Roman" w:eastAsia="Times New Roman" w:hint="default"/>
          <w:spacing w:val="-1"/>
        </w:rPr>
        <w:t>AT</w:t>
      </w:r>
      <w:r>
        <w:rPr>
          <w:spacing w:val="-1"/>
        </w:rPr>
        <w:t>的技术升级。报告期内，公司实现营业收入</w:t>
      </w:r>
      <w:r>
        <w:rPr>
          <w:rFonts w:ascii="Times New Roman" w:hAnsi="Times New Roman" w:cs="Times New Roman" w:eastAsia="Times New Roman" w:hint="default"/>
          <w:spacing w:val="-1"/>
        </w:rPr>
        <w:t>1,485,625,293.81</w:t>
      </w:r>
      <w:r>
        <w:rPr>
          <w:spacing w:val="-1"/>
        </w:rPr>
        <w:t>元，</w:t>
      </w:r>
      <w:r>
        <w:rPr>
          <w:spacing w:val="-51"/>
        </w:rPr>
        <w:t> </w:t>
      </w:r>
      <w:r>
        <w:rPr/>
        <w:t>较上年同期增长</w:t>
      </w:r>
      <w:r>
        <w:rPr>
          <w:rFonts w:ascii="Times New Roman" w:hAnsi="Times New Roman" w:cs="Times New Roman" w:eastAsia="Times New Roman" w:hint="default"/>
        </w:rPr>
        <w:t>21.17%</w:t>
      </w:r>
      <w:r>
        <w:rPr/>
        <w:t>；受商誉减值影响，实现归属于上市公司股东的净利润</w:t>
      </w:r>
      <w:r>
        <w:rPr>
          <w:rFonts w:ascii="Times New Roman" w:hAnsi="Times New Roman" w:cs="Times New Roman" w:eastAsia="Times New Roman" w:hint="default"/>
        </w:rPr>
        <w:t>8,209,514.73</w:t>
      </w:r>
      <w:r>
        <w:rPr/>
        <w:t>元，较上年同期增长</w:t>
      </w:r>
      <w:r>
        <w:rPr>
          <w:w w:val="100"/>
        </w:rPr>
        <w:t> </w:t>
      </w:r>
      <w:r>
        <w:rPr>
          <w:rFonts w:ascii="Times New Roman" w:hAnsi="Times New Roman" w:cs="Times New Roman" w:eastAsia="Times New Roman" w:hint="default"/>
        </w:rPr>
        <w:t>103.47%</w:t>
      </w:r>
      <w:r>
        <w:rPr/>
        <w:t>。</w:t>
      </w:r>
    </w:p>
    <w:p>
      <w:pPr>
        <w:pStyle w:val="BodyText"/>
        <w:spacing w:line="420" w:lineRule="auto" w:before="34"/>
        <w:ind w:right="1030" w:firstLine="399"/>
        <w:jc w:val="left"/>
      </w:pPr>
      <w:r>
        <w:rPr/>
        <w:t>公司主要为中小银行等金融机构提供金融科技综合服务，以及为政府与公共事业、企业等领域客户提供数</w:t>
      </w:r>
      <w:r>
        <w:rPr>
          <w:w w:val="100"/>
        </w:rPr>
        <w:t> </w:t>
      </w:r>
      <w:r>
        <w:rPr/>
        <w:t>据中心综合服务。国家战略层面高度重视发展软件和信息技术服务业。软件和信息技术服务业步入加速创新、</w:t>
      </w:r>
      <w:r>
        <w:rPr>
          <w:w w:val="100"/>
        </w:rPr>
        <w:t> </w:t>
      </w:r>
      <w:r>
        <w:rPr/>
        <w:t>快速迭代、群体突破的爆发期，加快向网络化、平台化、服务化、智能化、生态化演进。云计算、大数据、移</w:t>
      </w:r>
      <w:r>
        <w:rPr>
          <w:w w:val="100"/>
        </w:rPr>
        <w:t> </w:t>
      </w:r>
      <w:r>
        <w:rPr/>
        <w:t>动互联网、物联网等快速发展和融合创新，先进计算、高端存储、人工智能、虚拟现实、神经科学等新技术加</w:t>
      </w:r>
      <w:r>
        <w:rPr>
          <w:w w:val="100"/>
        </w:rPr>
        <w:t> </w:t>
      </w:r>
      <w:r>
        <w:rPr/>
        <w:t>速突破和应用，进一步重塑软件的技术架构、计算模式、开发模式、产品形态和商业模式，新技术、新产品、</w:t>
      </w:r>
      <w:r>
        <w:rPr>
          <w:w w:val="100"/>
        </w:rPr>
        <w:t> </w:t>
      </w:r>
      <w:r>
        <w:rPr/>
        <w:t>新模式、新业态日益成熟，加速步入质变期。同时，世界产业格局正在发生深刻变化，围绕技术路线主导权、</w:t>
      </w:r>
      <w:r>
        <w:rPr>
          <w:w w:val="100"/>
        </w:rPr>
        <w:t> </w:t>
      </w:r>
      <w:r>
        <w:rPr/>
        <w:t>价值链分工、产业生态的竞争日益激烈，建设强大的软件和信息技术服务业，是我国构建全球竞争新优势、抢</w:t>
      </w:r>
      <w:r>
        <w:rPr>
          <w:w w:val="100"/>
        </w:rPr>
        <w:t> </w:t>
      </w:r>
      <w:r>
        <w:rPr>
          <w:spacing w:val="-5"/>
        </w:rPr>
        <w:t>占新工业革命制高点的必然选择。根据工信部于</w:t>
      </w:r>
      <w:r>
        <w:rPr>
          <w:rFonts w:ascii="Times New Roman" w:hAnsi="Times New Roman" w:cs="Times New Roman" w:eastAsia="Times New Roman" w:hint="default"/>
          <w:spacing w:val="-5"/>
        </w:rPr>
        <w:t>2016</w:t>
      </w:r>
      <w:r>
        <w:rPr>
          <w:spacing w:val="-5"/>
        </w:rPr>
        <w:t>年</w:t>
      </w:r>
      <w:r>
        <w:rPr>
          <w:rFonts w:ascii="Times New Roman" w:hAnsi="Times New Roman" w:cs="Times New Roman" w:eastAsia="Times New Roman" w:hint="default"/>
          <w:spacing w:val="-5"/>
        </w:rPr>
        <w:t>12</w:t>
      </w:r>
      <w:r>
        <w:rPr>
          <w:spacing w:val="-5"/>
        </w:rPr>
        <w:t>月发布的《软件和信息技术服务业发展规划（</w:t>
      </w:r>
      <w:r>
        <w:rPr>
          <w:rFonts w:ascii="Times New Roman" w:hAnsi="Times New Roman" w:cs="Times New Roman" w:eastAsia="Times New Roman" w:hint="default"/>
          <w:spacing w:val="-5"/>
        </w:rPr>
        <w:t>2016-2020</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t>年）》，到</w:t>
      </w:r>
      <w:r>
        <w:rPr>
          <w:rFonts w:ascii="Times New Roman" w:hAnsi="Times New Roman" w:cs="Times New Roman" w:eastAsia="Times New Roman" w:hint="default"/>
        </w:rPr>
        <w:t>2020</w:t>
      </w:r>
      <w:r>
        <w:rPr/>
        <w:t>年，软件和信息技术服务业务收入突破</w:t>
      </w:r>
      <w:r>
        <w:rPr>
          <w:rFonts w:ascii="Times New Roman" w:hAnsi="Times New Roman" w:cs="Times New Roman" w:eastAsia="Times New Roman" w:hint="default"/>
        </w:rPr>
        <w:t>8</w:t>
      </w:r>
      <w:r>
        <w:rPr/>
        <w:t>万亿元，年均增长</w:t>
      </w:r>
      <w:r>
        <w:rPr>
          <w:rFonts w:ascii="Times New Roman" w:hAnsi="Times New Roman" w:cs="Times New Roman" w:eastAsia="Times New Roman" w:hint="default"/>
        </w:rPr>
        <w:t>13%</w:t>
      </w:r>
      <w:r>
        <w:rPr/>
        <w:t>以上。</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月，工信部和发</w:t>
      </w:r>
      <w:r>
        <w:rPr>
          <w:w w:val="100"/>
        </w:rPr>
        <w:t> </w:t>
      </w:r>
      <w:r>
        <w:rPr>
          <w:spacing w:val="-1"/>
        </w:rPr>
        <w:t>改委发布《扩大和升级信息消费三年行动计划（</w:t>
      </w:r>
      <w:r>
        <w:rPr>
          <w:rFonts w:ascii="Times New Roman" w:hAnsi="Times New Roman" w:cs="Times New Roman" w:eastAsia="Times New Roman" w:hint="default"/>
          <w:spacing w:val="-1"/>
        </w:rPr>
        <w:t>2018-2020</w:t>
      </w:r>
      <w:r>
        <w:rPr>
          <w:spacing w:val="-1"/>
        </w:rPr>
        <w:t>年）》，要求到</w:t>
      </w:r>
      <w:r>
        <w:rPr>
          <w:rFonts w:ascii="Times New Roman" w:hAnsi="Times New Roman" w:cs="Times New Roman" w:eastAsia="Times New Roman" w:hint="default"/>
          <w:spacing w:val="-1"/>
        </w:rPr>
        <w:t>2020</w:t>
      </w:r>
      <w:r>
        <w:rPr>
          <w:spacing w:val="-1"/>
        </w:rPr>
        <w:t>年，信息消费规模达到</w:t>
      </w:r>
      <w:r>
        <w:rPr>
          <w:rFonts w:ascii="Times New Roman" w:hAnsi="Times New Roman" w:cs="Times New Roman" w:eastAsia="Times New Roman" w:hint="default"/>
          <w:spacing w:val="-1"/>
        </w:rPr>
        <w:t>6</w:t>
      </w:r>
      <w:r>
        <w:rPr>
          <w:spacing w:val="-1"/>
        </w:rPr>
        <w:t>万亿元，</w:t>
      </w:r>
      <w:r>
        <w:rPr>
          <w:spacing w:val="-82"/>
        </w:rPr>
        <w:t> </w:t>
      </w:r>
      <w:r>
        <w:rPr>
          <w:spacing w:val="-82"/>
        </w:rPr>
      </w:r>
      <w:r>
        <w:rPr/>
        <w:t>年均增长</w:t>
      </w:r>
      <w:r>
        <w:rPr>
          <w:rFonts w:ascii="Times New Roman" w:hAnsi="Times New Roman" w:cs="Times New Roman" w:eastAsia="Times New Roman" w:hint="default"/>
        </w:rPr>
        <w:t>11%</w:t>
      </w:r>
      <w:r>
        <w:rPr/>
        <w:t>以上。根据工信部《</w:t>
      </w:r>
      <w:r>
        <w:rPr>
          <w:rFonts w:ascii="Times New Roman" w:hAnsi="Times New Roman" w:cs="Times New Roman" w:eastAsia="Times New Roman" w:hint="default"/>
        </w:rPr>
        <w:t>2018</w:t>
      </w:r>
      <w:r>
        <w:rPr/>
        <w:t>年软件和信息技术服务业统计公报》，</w:t>
      </w:r>
      <w:r>
        <w:rPr>
          <w:rFonts w:ascii="Times New Roman" w:hAnsi="Times New Roman" w:cs="Times New Roman" w:eastAsia="Times New Roman" w:hint="default"/>
        </w:rPr>
        <w:t>2018</w:t>
      </w:r>
      <w:r>
        <w:rPr/>
        <w:t>年，全国软件和信息技术服</w:t>
      </w:r>
      <w:r>
        <w:rPr>
          <w:w w:val="100"/>
        </w:rPr>
        <w:t> </w:t>
      </w:r>
      <w:r>
        <w:rPr/>
        <w:t>务业累计完成软件业务收入</w:t>
      </w:r>
      <w:r>
        <w:rPr>
          <w:rFonts w:ascii="Times New Roman" w:hAnsi="Times New Roman" w:cs="Times New Roman" w:eastAsia="Times New Roman" w:hint="default"/>
        </w:rPr>
        <w:t>63,061</w:t>
      </w:r>
      <w:r>
        <w:rPr/>
        <w:t>亿元，同比增长</w:t>
      </w:r>
      <w:r>
        <w:rPr>
          <w:rFonts w:ascii="Times New Roman" w:hAnsi="Times New Roman" w:cs="Times New Roman" w:eastAsia="Times New Roman" w:hint="default"/>
        </w:rPr>
        <w:t>14.2%</w:t>
      </w:r>
      <w:r>
        <w:rPr/>
        <w:t>。</w:t>
      </w:r>
    </w:p>
    <w:p>
      <w:pPr>
        <w:pStyle w:val="BodyText"/>
        <w:spacing w:line="429" w:lineRule="auto" w:before="25"/>
        <w:ind w:right="1131" w:firstLine="399"/>
        <w:jc w:val="both"/>
      </w:pPr>
      <w:r>
        <w:rPr/>
        <w:t>金融行业是我国信息化程度最高的行业之一，信息技术系统已成为我国金融业的重要基础设施。以银行业</w:t>
      </w:r>
      <w:r>
        <w:rPr>
          <w:w w:val="100"/>
        </w:rPr>
        <w:t> </w:t>
      </w:r>
      <w:r>
        <w:rPr/>
        <w:t>为代表，随着银行业务和信息技术的不断融合，银行业信息技术系统已从服务支持的角色转变为银行发展创新</w:t>
      </w:r>
      <w:r>
        <w:rPr>
          <w:w w:val="100"/>
        </w:rPr>
        <w:t> </w:t>
      </w:r>
      <w:r>
        <w:rPr>
          <w:spacing w:val="-2"/>
        </w:rPr>
        <w:t>的重要手段。</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月，央行印发了《中国金融业信息技术</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发展规划》，确立了金融信息基础设施达</w:t>
      </w:r>
    </w:p>
    <w:p>
      <w:pPr>
        <w:spacing w:after="0" w:line="429"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22" w:lineRule="auto"/>
        <w:ind w:right="1168"/>
        <w:jc w:val="both"/>
      </w:pPr>
      <w:r>
        <w:rPr>
          <w:spacing w:val="-1"/>
        </w:rPr>
        <w:t>到国际领先水平、信息技术持续驱动金融创新等发展目标，提出要加强金融科技和监管科技研究与应用，推进</w:t>
      </w:r>
      <w:r>
        <w:rPr>
          <w:spacing w:val="-63"/>
        </w:rPr>
        <w:t> </w:t>
      </w:r>
      <w:r>
        <w:rPr>
          <w:spacing w:val="-63"/>
        </w:rPr>
      </w:r>
      <w:r>
        <w:rPr>
          <w:spacing w:val="-1"/>
        </w:rPr>
        <w:t>系统架构、云计算、大数据、区块链、人工智能等新技术应用研究，规范与普及互联网金融相关技术应用。在</w:t>
      </w:r>
      <w:r>
        <w:rPr>
          <w:spacing w:val="-63"/>
        </w:rPr>
        <w:t> </w:t>
      </w:r>
      <w:r>
        <w:rPr>
          <w:spacing w:val="-63"/>
        </w:rPr>
      </w:r>
      <w:r>
        <w:rPr>
          <w:spacing w:val="-1"/>
        </w:rPr>
        <w:t>此背景下，银行及金融行业的信息化投资需求持续不断增长，根据艾瑞咨询的数据，</w:t>
      </w:r>
      <w:r>
        <w:rPr>
          <w:rFonts w:ascii="Times New Roman" w:hAnsi="Times New Roman" w:cs="Times New Roman" w:eastAsia="Times New Roman" w:hint="default"/>
          <w:spacing w:val="-1"/>
        </w:rPr>
        <w:t>2017</w:t>
      </w:r>
      <w:r>
        <w:rPr>
          <w:spacing w:val="-1"/>
        </w:rPr>
        <w:t>年我国金融科技营收</w:t>
      </w:r>
      <w:r>
        <w:rPr>
          <w:spacing w:val="-60"/>
        </w:rPr>
        <w:t> </w:t>
      </w:r>
      <w:r>
        <w:rPr>
          <w:spacing w:val="-60"/>
        </w:rPr>
      </w:r>
      <w:r>
        <w:rPr/>
        <w:t>总规模达到</w:t>
      </w:r>
      <w:r>
        <w:rPr>
          <w:rFonts w:ascii="Times New Roman" w:hAnsi="Times New Roman" w:cs="Times New Roman" w:eastAsia="Times New Roman" w:hint="default"/>
        </w:rPr>
        <w:t>6541.4</w:t>
      </w:r>
      <w:r>
        <w:rPr/>
        <w:t>亿元，同比增速</w:t>
      </w:r>
      <w:r>
        <w:rPr>
          <w:rFonts w:ascii="Times New Roman" w:hAnsi="Times New Roman" w:cs="Times New Roman" w:eastAsia="Times New Roman" w:hint="default"/>
        </w:rPr>
        <w:t>55.2%</w:t>
      </w:r>
      <w:r>
        <w:rPr/>
        <w:t>，预计</w:t>
      </w:r>
      <w:r>
        <w:rPr>
          <w:rFonts w:ascii="Times New Roman" w:hAnsi="Times New Roman" w:cs="Times New Roman" w:eastAsia="Times New Roman" w:hint="default"/>
        </w:rPr>
        <w:t>2017-2020</w:t>
      </w:r>
      <w:r>
        <w:rPr/>
        <w:t>年营收规模年复合增长率达</w:t>
      </w:r>
      <w:r>
        <w:rPr>
          <w:rFonts w:ascii="Times New Roman" w:hAnsi="Times New Roman" w:cs="Times New Roman" w:eastAsia="Times New Roman" w:hint="default"/>
        </w:rPr>
        <w:t>44.4%</w:t>
      </w:r>
      <w:r>
        <w:rPr/>
        <w:t>。</w:t>
      </w:r>
    </w:p>
    <w:p>
      <w:pPr>
        <w:pStyle w:val="BodyText"/>
        <w:spacing w:line="429" w:lineRule="auto" w:before="23"/>
        <w:ind w:right="0" w:firstLine="399"/>
        <w:jc w:val="left"/>
      </w:pPr>
      <w:r>
        <w:rPr/>
        <w:t>对于银行尤其是中小银行而言，发展金融科技综合服务业务是大势所趋。近年来，由于利率市场化导致的</w:t>
      </w:r>
      <w:r>
        <w:rPr>
          <w:w w:val="100"/>
        </w:rPr>
        <w:t> </w:t>
      </w:r>
      <w:r>
        <w:rPr/>
        <w:t>息差收窄、存款保险制度放开、民营银行牌照放开以及互联网金融等因素的冲击，中小银行逐步开始重视有效</w:t>
      </w:r>
      <w:r>
        <w:rPr>
          <w:w w:val="100"/>
        </w:rPr>
        <w:t> </w:t>
      </w:r>
      <w:r>
        <w:rPr/>
        <w:t>降低运营成本、控制风险、提高经营效益，打造轻型银行、直销银行和开放银行，着力拓展不倚重资产规模的</w:t>
      </w:r>
      <w:r>
        <w:rPr>
          <w:w w:val="100"/>
        </w:rPr>
        <w:t> </w:t>
      </w:r>
      <w:r>
        <w:rPr>
          <w:spacing w:val="-2"/>
        </w:rPr>
        <w:t>中间业务、零售业务作为利润增长的主要途径。事实证明，受限于人才、资金、资产等资源的缺乏，风险控制、</w:t>
      </w:r>
      <w:r>
        <w:rPr>
          <w:spacing w:val="-77"/>
        </w:rPr>
        <w:t> </w:t>
      </w:r>
      <w:r>
        <w:rPr>
          <w:spacing w:val="-77"/>
        </w:rPr>
      </w:r>
      <w:r>
        <w:rPr/>
        <w:t>产品设计等能力的不足，以及财务、激励等机制的制约，中小银行在独立发展金融科技相关创新业态的过程中</w:t>
      </w:r>
      <w:r>
        <w:rPr>
          <w:w w:val="100"/>
        </w:rPr>
        <w:t> </w:t>
      </w:r>
      <w:r>
        <w:rPr/>
        <w:t>困难重重，鲜有成功案例。独立发展道路受阻，使得与专业的第三方科技服务机构合作成为中小银行互联网转</w:t>
      </w:r>
      <w:r>
        <w:rPr>
          <w:w w:val="100"/>
        </w:rPr>
        <w:t> </w:t>
      </w:r>
      <w:r>
        <w:rPr/>
        <w:t>型的最佳方式之一。在金融体制改革持续深化，互联网金融行业监管继续加强的背景下，类金融机构发展将面</w:t>
      </w:r>
      <w:r>
        <w:rPr>
          <w:w w:val="100"/>
        </w:rPr>
        <w:t> </w:t>
      </w:r>
      <w:r>
        <w:rPr/>
        <w:t>临阻碍，持牌金融机构迎来发展良好机遇，发展金融科技综合服务业务是大势所趋。</w:t>
      </w:r>
    </w:p>
    <w:p>
      <w:pPr>
        <w:pStyle w:val="BodyText"/>
        <w:spacing w:line="424" w:lineRule="auto" w:before="48"/>
        <w:ind w:right="1156" w:firstLine="399"/>
        <w:jc w:val="both"/>
      </w:pPr>
      <w:r>
        <w:rPr>
          <w:spacing w:val="-1"/>
        </w:rPr>
        <w:t>政府和企业信息化投资需求保持持续增长。政府行业是国内信息化应用较为成熟的领域之一，近年来，在</w:t>
      </w:r>
      <w:r>
        <w:rPr>
          <w:w w:val="100"/>
        </w:rPr>
        <w:t> </w:t>
      </w:r>
      <w:r>
        <w:rPr>
          <w:spacing w:val="-1"/>
        </w:rPr>
        <w:t>国家大力加强智慧城市建设、鼓励利用信息化手段提升政务管理和政务服务水平的背景下，政府信息化市场保</w:t>
      </w:r>
      <w:r>
        <w:rPr>
          <w:spacing w:val="-63"/>
        </w:rPr>
        <w:t> </w:t>
      </w:r>
      <w:r>
        <w:rPr>
          <w:spacing w:val="-63"/>
        </w:rPr>
      </w:r>
      <w:r>
        <w:rPr>
          <w:spacing w:val="-1"/>
        </w:rPr>
        <w:t>持较快增长态势。企业信息化是推动国民经济增长、提升社会生产效率的强大动力，在企业转型升级、劳动力</w:t>
      </w:r>
      <w:r>
        <w:rPr>
          <w:spacing w:val="-63"/>
        </w:rPr>
        <w:t> </w:t>
      </w:r>
      <w:r>
        <w:rPr>
          <w:spacing w:val="-63"/>
        </w:rPr>
      </w:r>
      <w:r>
        <w:rPr>
          <w:spacing w:val="-1"/>
        </w:rPr>
        <w:t>成本上升的背景下，越来越多企业意识到智能化、信息化与自身业务融合的重要性，从而催生出企业持续的信</w:t>
      </w:r>
      <w:r>
        <w:rPr>
          <w:spacing w:val="-63"/>
        </w:rPr>
        <w:t> </w:t>
      </w:r>
      <w:r>
        <w:rPr>
          <w:spacing w:val="-63"/>
        </w:rPr>
      </w:r>
      <w:r>
        <w:rPr/>
        <w:t>息化建设需求；当前，互联网行业机会正在从</w:t>
      </w:r>
      <w:r>
        <w:rPr>
          <w:rFonts w:ascii="Times New Roman" w:hAnsi="Times New Roman" w:cs="Times New Roman" w:eastAsia="Times New Roman" w:hint="default"/>
        </w:rPr>
        <w:t>To C</w:t>
      </w:r>
      <w:r>
        <w:rPr/>
        <w:t>转向</w:t>
      </w:r>
      <w:r>
        <w:rPr>
          <w:rFonts w:ascii="Times New Roman" w:hAnsi="Times New Roman" w:cs="Times New Roman" w:eastAsia="Times New Roman" w:hint="default"/>
        </w:rPr>
        <w:t>To</w:t>
      </w:r>
      <w:r>
        <w:rPr>
          <w:rFonts w:ascii="Times New Roman" w:hAnsi="Times New Roman" w:cs="Times New Roman" w:eastAsia="Times New Roman" w:hint="default"/>
          <w:spacing w:val="-11"/>
        </w:rPr>
        <w:t> </w:t>
      </w:r>
      <w:r>
        <w:rPr>
          <w:rFonts w:ascii="Times New Roman" w:hAnsi="Times New Roman" w:cs="Times New Roman" w:eastAsia="Times New Roman" w:hint="default"/>
        </w:rPr>
        <w:t>B</w:t>
      </w:r>
      <w:r>
        <w:rPr/>
        <w:t>的产业互联网，也为企业级服务提供了巨大的市场</w:t>
      </w:r>
      <w:r>
        <w:rPr>
          <w:w w:val="100"/>
        </w:rPr>
        <w:t> </w:t>
      </w:r>
      <w:r>
        <w:rPr/>
        <w:t>空间。</w:t>
      </w:r>
    </w:p>
    <w:p>
      <w:pPr>
        <w:spacing w:line="240" w:lineRule="auto" w:before="8"/>
        <w:rPr>
          <w:rFonts w:ascii="宋体" w:hAnsi="宋体" w:cs="宋体" w:eastAsia="宋体" w:hint="default"/>
          <w:sz w:val="18"/>
          <w:szCs w:val="18"/>
        </w:rPr>
      </w:pPr>
    </w:p>
    <w:p>
      <w:pPr>
        <w:pStyle w:val="Heading2"/>
        <w:spacing w:line="240" w:lineRule="auto"/>
        <w:ind w:right="0"/>
        <w:jc w:val="both"/>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29"/>
        <w:gridCol w:w="6529"/>
      </w:tblGrid>
      <w:tr>
        <w:trPr>
          <w:trHeight w:val="186" w:hRule="exact"/>
        </w:trPr>
        <w:tc>
          <w:tcPr>
            <w:tcW w:w="302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股权资产本期未发生重大变化。</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主要系期初固定资产本期正常计提折旧所致。</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主要系期初无形资产本期正常计提摊销所致。</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在建工程本期未发生重大变化。</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5"/>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三、核心竞争力分析" w:id="22"/>
      <w:bookmarkEnd w:id="22"/>
      <w:r>
        <w:rPr>
          <w:b w:val="0"/>
          <w:bCs w:val="0"/>
        </w:rPr>
      </w:r>
      <w:r>
        <w:rPr/>
        <w:t>三、核心竞争力分析</w:t>
      </w:r>
      <w:r>
        <w:rPr>
          <w:b w:val="0"/>
          <w:bCs w:val="0"/>
        </w:rPr>
      </w:r>
    </w:p>
    <w:p>
      <w:pPr>
        <w:spacing w:line="240" w:lineRule="auto" w:before="4"/>
        <w:rPr>
          <w:rFonts w:ascii="宋体" w:hAnsi="宋体" w:cs="宋体" w:eastAsia="宋体" w:hint="default"/>
          <w:b/>
          <w:bCs/>
          <w:sz w:val="31"/>
          <w:szCs w:val="31"/>
        </w:rPr>
      </w:pPr>
    </w:p>
    <w:p>
      <w:pPr>
        <w:pStyle w:val="BodyText"/>
        <w:spacing w:line="429" w:lineRule="auto"/>
        <w:ind w:right="7209"/>
        <w:jc w:val="left"/>
      </w:pPr>
      <w:r>
        <w:rPr>
          <w:spacing w:val="-1"/>
        </w:rPr>
        <w:t>公司是否需要遵守特殊行业的披露要求</w:t>
      </w:r>
      <w:r>
        <w:rPr>
          <w:spacing w:val="-87"/>
        </w:rPr>
        <w:t> </w:t>
      </w:r>
      <w:r>
        <w:rPr>
          <w:spacing w:val="-87"/>
        </w:rPr>
      </w:r>
      <w:r>
        <w:rPr/>
        <w:t>是</w:t>
      </w:r>
    </w:p>
    <w:p>
      <w:pPr>
        <w:pStyle w:val="BodyText"/>
        <w:spacing w:line="240" w:lineRule="auto" w:before="48"/>
        <w:ind w:right="0"/>
        <w:jc w:val="both"/>
      </w:pPr>
      <w:r>
        <w:rPr/>
        <w:t>软件与信息技术服务业</w:t>
      </w:r>
    </w:p>
    <w:p>
      <w:pPr>
        <w:spacing w:line="240" w:lineRule="auto" w:before="10"/>
        <w:rPr>
          <w:rFonts w:ascii="宋体" w:hAnsi="宋体" w:cs="宋体" w:eastAsia="宋体" w:hint="default"/>
          <w:sz w:val="15"/>
          <w:szCs w:val="15"/>
        </w:rPr>
      </w:pPr>
    </w:p>
    <w:p>
      <w:pPr>
        <w:pStyle w:val="BodyText"/>
        <w:spacing w:line="405" w:lineRule="auto"/>
        <w:ind w:left="553" w:right="0"/>
        <w:jc w:val="left"/>
      </w:pPr>
      <w:r>
        <w:rPr>
          <w:rFonts w:ascii="Times New Roman" w:hAnsi="Times New Roman" w:cs="Times New Roman" w:eastAsia="Times New Roman" w:hint="default"/>
        </w:rPr>
        <w:t>1.</w:t>
      </w:r>
      <w:r>
        <w:rPr/>
        <w:t>坚定的发展战略和健康的品牌形象</w:t>
      </w:r>
      <w:r>
        <w:rPr>
          <w:w w:val="100"/>
        </w:rPr>
        <w:t> </w:t>
      </w:r>
      <w:r>
        <w:rPr>
          <w:spacing w:val="-1"/>
        </w:rPr>
        <w:t>公司坚持实施以金融科技综合服务为核心的发展战略，深入推进相关业务落地，得到政府部门、资本市场</w:t>
      </w:r>
    </w:p>
    <w:p>
      <w:pPr>
        <w:pStyle w:val="BodyText"/>
        <w:spacing w:line="429" w:lineRule="auto" w:before="68"/>
        <w:ind w:right="1168"/>
        <w:jc w:val="both"/>
      </w:pPr>
      <w:r>
        <w:rPr>
          <w:spacing w:val="-1"/>
        </w:rPr>
        <w:t>与社会各界的广泛认可。公司是北京区块链技术应用协会会长单位、中国互联网金融协会首批理事单位。公司</w:t>
      </w:r>
      <w:r>
        <w:rPr>
          <w:spacing w:val="-63"/>
        </w:rPr>
        <w:t> </w:t>
      </w:r>
      <w:r>
        <w:rPr>
          <w:spacing w:val="-63"/>
        </w:rPr>
      </w:r>
      <w:r>
        <w:rPr>
          <w:spacing w:val="-1"/>
        </w:rPr>
        <w:t>与中国人民银行金融研究所等单位合作撰写的《中国金融科技发展报告》《中国资产证券化发展报告》《中国</w:t>
      </w:r>
      <w:r>
        <w:rPr>
          <w:spacing w:val="-63"/>
        </w:rPr>
        <w:t> </w:t>
      </w:r>
      <w:r>
        <w:rPr>
          <w:spacing w:val="-63"/>
        </w:rPr>
      </w:r>
      <w:r>
        <w:rPr>
          <w:spacing w:val="-1"/>
        </w:rPr>
        <w:t>区块链发展报告》系列报告，均由公司董事长朱烨东博士担任执行主编，获得了诸多业内专家的一致认可及行</w:t>
      </w:r>
      <w:r>
        <w:rPr>
          <w:spacing w:val="-63"/>
        </w:rPr>
        <w:t> </w:t>
      </w:r>
      <w:r>
        <w:rPr>
          <w:spacing w:val="-63"/>
        </w:rPr>
      </w:r>
      <w:r>
        <w:rPr>
          <w:spacing w:val="-1"/>
        </w:rPr>
        <w:t>业用户的高度重视，三个系列报告均被中国社科院推选参评年度优秀报告。此外，近年来公司实行的多层级合</w:t>
      </w:r>
      <w:r>
        <w:rPr>
          <w:spacing w:val="-63"/>
        </w:rPr>
        <w:t> </w:t>
      </w:r>
      <w:r>
        <w:rPr>
          <w:spacing w:val="-63"/>
        </w:rPr>
      </w:r>
      <w:r>
        <w:rPr>
          <w:spacing w:val="-1"/>
        </w:rPr>
        <w:t>伙人经营责任制在行业内的影响力不断提升，吸引诸多知名企业到公司参观学习，进一步提升了公司的良好企</w:t>
      </w:r>
      <w:r>
        <w:rPr>
          <w:spacing w:val="-63"/>
        </w:rPr>
        <w:t> </w:t>
      </w:r>
      <w:r>
        <w:rPr>
          <w:spacing w:val="-63"/>
        </w:rPr>
      </w:r>
      <w:r>
        <w:rPr/>
        <w:t>业形象，形成了公司新的核心竞争力。</w:t>
      </w:r>
    </w:p>
    <w:p>
      <w:pPr>
        <w:pStyle w:val="BodyText"/>
        <w:spacing w:line="429" w:lineRule="auto" w:before="48"/>
        <w:ind w:left="553" w:right="0"/>
        <w:jc w:val="left"/>
      </w:pPr>
      <w:r>
        <w:rPr>
          <w:rFonts w:ascii="宋体" w:hAnsi="宋体" w:cs="宋体" w:eastAsia="宋体" w:hint="default"/>
        </w:rPr>
        <w:t>2.</w:t>
      </w:r>
      <w:r>
        <w:rPr/>
        <w:t>前瞻性及完备的金融科技服务能力</w:t>
      </w:r>
      <w:r>
        <w:rPr>
          <w:w w:val="100"/>
        </w:rPr>
        <w:t> </w:t>
      </w:r>
      <w:r>
        <w:rPr>
          <w:spacing w:val="-1"/>
        </w:rPr>
        <w:t>公司长期以来为人民银行、银保监会、证监会、银行间交易商协会、支付清算协会以及华夏银行、上海银</w:t>
      </w:r>
    </w:p>
    <w:p>
      <w:pPr>
        <w:pStyle w:val="BodyText"/>
        <w:spacing w:line="429" w:lineRule="auto" w:before="48"/>
        <w:ind w:right="1168"/>
        <w:jc w:val="both"/>
      </w:pPr>
      <w:r>
        <w:rPr>
          <w:spacing w:val="-1"/>
        </w:rPr>
        <w:t>行、邮储银行、光大银行、银联等上百家银行及金融机构客户提供金融科技综合服务，基于对金融行业尤其是</w:t>
      </w:r>
      <w:r>
        <w:rPr>
          <w:spacing w:val="-63"/>
        </w:rPr>
        <w:t> </w:t>
      </w:r>
      <w:r>
        <w:rPr>
          <w:spacing w:val="-63"/>
        </w:rPr>
      </w:r>
      <w:r>
        <w:rPr>
          <w:spacing w:val="-1"/>
        </w:rPr>
        <w:t>银行行业的深刻理解，公司能够敏锐地洞察传统金融行业的需求，前瞻性地规划发展布局，抢占市场先机，在</w:t>
      </w:r>
      <w:r>
        <w:rPr>
          <w:spacing w:val="-63"/>
        </w:rPr>
        <w:t> </w:t>
      </w:r>
      <w:r>
        <w:rPr>
          <w:spacing w:val="-63"/>
        </w:rPr>
      </w:r>
      <w:r>
        <w:rPr>
          <w:spacing w:val="-1"/>
        </w:rPr>
        <w:t>智能银行、开放银行等领域持续保持领先优势，并深入推进人工智能、大数据、云服务、区块链等科技创新业</w:t>
      </w:r>
      <w:r>
        <w:rPr>
          <w:spacing w:val="-63"/>
        </w:rPr>
        <w:t> </w:t>
      </w:r>
      <w:r>
        <w:rPr>
          <w:spacing w:val="-63"/>
        </w:rPr>
      </w:r>
      <w:r>
        <w:rPr>
          <w:spacing w:val="-1"/>
        </w:rPr>
        <w:t>务，基本具备金融科技全业务链的服务能力。公司还与清华大学五道口金融学院、南开大学金融学院开展战略</w:t>
      </w:r>
      <w:r>
        <w:rPr>
          <w:spacing w:val="-63"/>
        </w:rPr>
        <w:t> </w:t>
      </w:r>
      <w:r>
        <w:rPr>
          <w:spacing w:val="-63"/>
        </w:rPr>
      </w:r>
      <w:r>
        <w:rPr>
          <w:spacing w:val="-1"/>
        </w:rPr>
        <w:t>合作，形成了金融机构尤其是银行转型的整套“产学研用”研发培训体系。以客户为中心的经营理念，以及实</w:t>
      </w:r>
      <w:r>
        <w:rPr>
          <w:spacing w:val="-63"/>
        </w:rPr>
        <w:t> </w:t>
      </w:r>
      <w:r>
        <w:rPr>
          <w:spacing w:val="-63"/>
        </w:rPr>
      </w:r>
      <w:r>
        <w:rPr>
          <w:spacing w:val="-1"/>
        </w:rPr>
        <w:t>力雄厚的学术支持，使公司的经营者能够深刻的理解银行及金融机构在转型过程中的需求，是目前国内为银行</w:t>
      </w:r>
      <w:r>
        <w:rPr>
          <w:spacing w:val="-63"/>
        </w:rPr>
        <w:t> </w:t>
      </w:r>
      <w:r>
        <w:rPr>
          <w:spacing w:val="-63"/>
        </w:rPr>
      </w:r>
      <w:r>
        <w:rPr/>
        <w:t>及金融机构提供转型服务能力最全面的公司之一。</w:t>
      </w:r>
    </w:p>
    <w:p>
      <w:pPr>
        <w:pStyle w:val="BodyText"/>
        <w:spacing w:line="429" w:lineRule="auto" w:before="48"/>
        <w:ind w:left="553" w:right="0"/>
        <w:jc w:val="left"/>
      </w:pPr>
      <w:r>
        <w:rPr>
          <w:rFonts w:ascii="宋体" w:hAnsi="宋体" w:cs="宋体" w:eastAsia="宋体" w:hint="default"/>
        </w:rPr>
        <w:t>3.</w:t>
      </w:r>
      <w:r>
        <w:rPr/>
        <w:t>专业的技术实力</w:t>
      </w:r>
      <w:r>
        <w:rPr>
          <w:w w:val="100"/>
        </w:rPr>
        <w:t> </w:t>
      </w:r>
      <w:r>
        <w:rPr>
          <w:spacing w:val="-1"/>
        </w:rPr>
        <w:t>公司具备国家规划布局内重点软件企业、国家火炬计划重点高新技术企业、国家高新技术企业、北京市火</w:t>
      </w:r>
    </w:p>
    <w:p>
      <w:pPr>
        <w:pStyle w:val="BodyText"/>
        <w:spacing w:line="429" w:lineRule="auto" w:before="48"/>
        <w:ind w:right="1130"/>
        <w:jc w:val="both"/>
      </w:pPr>
      <w:r>
        <w:rPr/>
        <w:t>炬计划企业、北京市经信委“四个一批”工程企业、中关村“十百千工程”企业等系列资质。公司是</w:t>
      </w:r>
      <w:r>
        <w:rPr>
          <w:rFonts w:ascii="宋体" w:hAnsi="宋体" w:cs="宋体" w:eastAsia="宋体" w:hint="default"/>
        </w:rPr>
        <w:t>ITSS</w:t>
      </w:r>
      <w:r>
        <w:rPr/>
        <w:t>分会</w:t>
      </w:r>
      <w:r>
        <w:rPr>
          <w:w w:val="100"/>
        </w:rPr>
        <w:t> </w:t>
      </w:r>
      <w:r>
        <w:rPr/>
        <w:t>副会长单位、中国信息协会常务理事单位和信息技术服务专业委员会副会长单位。公司还通过了</w:t>
      </w:r>
      <w:r>
        <w:rPr>
          <w:rFonts w:ascii="宋体" w:hAnsi="宋体" w:cs="宋体" w:eastAsia="宋体" w:hint="default"/>
        </w:rPr>
        <w:t>ISO20000</w:t>
      </w:r>
      <w:r>
        <w:rPr/>
        <w:t>服务</w:t>
      </w:r>
      <w:r>
        <w:rPr>
          <w:w w:val="100"/>
        </w:rPr>
        <w:t> </w:t>
      </w:r>
      <w:r>
        <w:rPr>
          <w:spacing w:val="-2"/>
        </w:rPr>
        <w:t>管理体系认证、</w:t>
      </w:r>
      <w:r>
        <w:rPr>
          <w:rFonts w:ascii="宋体" w:hAnsi="宋体" w:cs="宋体" w:eastAsia="宋体" w:hint="default"/>
          <w:spacing w:val="-2"/>
        </w:rPr>
        <w:t>ISO27001</w:t>
      </w:r>
      <w:r>
        <w:rPr>
          <w:spacing w:val="-2"/>
        </w:rPr>
        <w:t>信息安全管理体系认证、</w:t>
      </w:r>
      <w:r>
        <w:rPr>
          <w:rFonts w:ascii="宋体" w:hAnsi="宋体" w:cs="宋体" w:eastAsia="宋体" w:hint="default"/>
          <w:spacing w:val="-2"/>
        </w:rPr>
        <w:t>ISO9001</w:t>
      </w:r>
      <w:r>
        <w:rPr>
          <w:spacing w:val="-2"/>
        </w:rPr>
        <w:t>质量管理体系认证、</w:t>
      </w:r>
      <w:r>
        <w:rPr>
          <w:rFonts w:ascii="宋体" w:hAnsi="宋体" w:cs="宋体" w:eastAsia="宋体" w:hint="default"/>
          <w:spacing w:val="-2"/>
        </w:rPr>
        <w:t>ISO14001</w:t>
      </w:r>
      <w:r>
        <w:rPr>
          <w:spacing w:val="-2"/>
        </w:rPr>
        <w:t>环境管理体系认证、软</w:t>
      </w:r>
      <w:r>
        <w:rPr>
          <w:spacing w:val="-55"/>
        </w:rPr>
        <w:t> </w:t>
      </w:r>
      <w:r>
        <w:rPr>
          <w:spacing w:val="-55"/>
        </w:rPr>
      </w:r>
      <w:r>
        <w:rPr/>
        <w:t>件能力成熟度模型</w:t>
      </w:r>
      <w:r>
        <w:rPr>
          <w:rFonts w:ascii="宋体" w:hAnsi="宋体" w:cs="宋体" w:eastAsia="宋体" w:hint="default"/>
        </w:rPr>
        <w:t>CMMI</w:t>
      </w:r>
      <w:r>
        <w:rPr/>
        <w:t>三级认证，获得了计算机信息系统集成及服务一级资质、</w:t>
      </w:r>
      <w:r>
        <w:rPr>
          <w:rFonts w:ascii="宋体" w:hAnsi="宋体" w:cs="宋体" w:eastAsia="宋体" w:hint="default"/>
        </w:rPr>
        <w:t>ITSS</w:t>
      </w:r>
      <w:r>
        <w:rPr/>
        <w:t>信息技术服务运行维护能</w:t>
      </w:r>
      <w:r>
        <w:rPr>
          <w:w w:val="100"/>
        </w:rPr>
        <w:t> </w:t>
      </w:r>
      <w:r>
        <w:rPr/>
        <w:t>力成熟度一级证书、安防工程企业一级资质等系列行业核心资质，被认定为“北京市企业技术中心”及“北京</w:t>
      </w:r>
      <w:r>
        <w:rPr>
          <w:w w:val="100"/>
        </w:rPr>
        <w:t> </w:t>
      </w:r>
      <w:r>
        <w:rPr/>
        <w:t>工程实验室”。公司软件服务业资质完整性目前居中国软件行业前列。截至本报告期末，公司拥有专利</w:t>
      </w:r>
      <w:r>
        <w:rPr>
          <w:rFonts w:ascii="宋体" w:hAnsi="宋体" w:cs="宋体" w:eastAsia="宋体" w:hint="default"/>
        </w:rPr>
        <w:t>61</w:t>
      </w:r>
      <w:r>
        <w:rPr/>
        <w:t>项，</w:t>
      </w:r>
    </w:p>
    <w:p>
      <w:pPr>
        <w:spacing w:after="0" w:line="429"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29" w:lineRule="auto"/>
        <w:ind w:left="553" w:right="4938" w:hanging="400"/>
        <w:jc w:val="left"/>
      </w:pPr>
      <w:r>
        <w:rPr/>
        <w:t>软件著作权证书</w:t>
      </w:r>
      <w:r>
        <w:rPr>
          <w:rFonts w:ascii="宋体" w:hAnsi="宋体" w:cs="宋体" w:eastAsia="宋体" w:hint="default"/>
        </w:rPr>
        <w:t>197</w:t>
      </w:r>
      <w:r>
        <w:rPr/>
        <w:t>项。</w:t>
      </w:r>
      <w:r>
        <w:rPr>
          <w:w w:val="100"/>
        </w:rPr>
        <w:t> </w:t>
      </w:r>
      <w:r>
        <w:rPr>
          <w:rFonts w:ascii="宋体" w:hAnsi="宋体" w:cs="宋体" w:eastAsia="宋体" w:hint="default"/>
          <w:spacing w:val="-1"/>
        </w:rPr>
        <w:t>4.</w:t>
      </w:r>
      <w:r>
        <w:rPr>
          <w:spacing w:val="-1"/>
        </w:rPr>
        <w:t>开放的经营理念和卓越的经营人才吸引和培养能力</w:t>
      </w:r>
    </w:p>
    <w:p>
      <w:pPr>
        <w:pStyle w:val="BodyText"/>
        <w:spacing w:line="429" w:lineRule="auto" w:before="48"/>
        <w:ind w:right="0" w:firstLine="399"/>
        <w:jc w:val="left"/>
      </w:pPr>
      <w:r>
        <w:rPr>
          <w:spacing w:val="-2"/>
        </w:rPr>
        <w:t>经过多年摸索，在公司建立并推行了“中科金财多层级合伙人经营责任制”，将公司划分为独立经营单元，</w:t>
      </w:r>
      <w:r>
        <w:rPr>
          <w:w w:val="100"/>
        </w:rPr>
        <w:t> </w:t>
      </w:r>
      <w:r>
        <w:rPr/>
        <w:t>通过建立与市场直接联系的独立核算制进行运营，调动员工参与经营管理，从而实现全员参与的经营模式。中</w:t>
      </w:r>
      <w:r>
        <w:rPr>
          <w:w w:val="100"/>
        </w:rPr>
        <w:t> </w:t>
      </w:r>
      <w:r>
        <w:rPr/>
        <w:t>科金财多层级合伙人经营责任制注重发现及培养经营人才，强调以客户为中心、全局观及组织协同性，打破了</w:t>
      </w:r>
      <w:r>
        <w:rPr>
          <w:w w:val="100"/>
        </w:rPr>
        <w:t> </w:t>
      </w:r>
      <w:r>
        <w:rPr/>
        <w:t>传统企业部门间的隔阂，有效调动员工参与经营管理的自主性和积极性，极大提升了员工的经营热情及主人翁</w:t>
      </w:r>
      <w:r>
        <w:rPr>
          <w:w w:val="100"/>
        </w:rPr>
        <w:t> </w:t>
      </w:r>
      <w:r>
        <w:rPr/>
        <w:t>意识。在实际经营过程中各经营单元体现出极强的经营智慧与合作意识，大大降低了沟通成本、交易成本、营</w:t>
      </w:r>
      <w:r>
        <w:rPr>
          <w:w w:val="100"/>
        </w:rPr>
        <w:t> </w:t>
      </w:r>
      <w:r>
        <w:rPr/>
        <w:t>销成本及运营成本，操作风险大幅降低，劳动生产率大幅提高，同时吸引了大量的各领域精英加盟中科金财。</w:t>
      </w:r>
      <w:r>
        <w:rPr>
          <w:w w:val="100"/>
        </w:rPr>
        <w:t> </w:t>
      </w:r>
      <w:r>
        <w:rPr/>
        <w:t>开放且共享的经营理念，以及经营人才的吸引、发掘、培养能力已经成为公司重要的核心竞争力之一。</w:t>
      </w:r>
    </w:p>
    <w:p>
      <w:pPr>
        <w:pStyle w:val="BodyText"/>
        <w:spacing w:line="429" w:lineRule="auto" w:before="48"/>
        <w:ind w:left="553" w:right="0"/>
        <w:jc w:val="left"/>
      </w:pPr>
      <w:r>
        <w:rPr>
          <w:rFonts w:ascii="宋体" w:hAnsi="宋体" w:cs="宋体" w:eastAsia="宋体" w:hint="default"/>
        </w:rPr>
        <w:t>5.</w:t>
      </w:r>
      <w:r>
        <w:rPr/>
        <w:t>价值共享的产业互联网科技赋能能力</w:t>
      </w:r>
      <w:r>
        <w:rPr>
          <w:w w:val="100"/>
        </w:rPr>
        <w:t> </w:t>
      </w:r>
      <w:r>
        <w:rPr>
          <w:spacing w:val="-1"/>
        </w:rPr>
        <w:t>公司依托长年扎根金融、政府与公共事业、企业</w:t>
      </w:r>
      <w:r>
        <w:rPr>
          <w:rFonts w:ascii="宋体" w:hAnsi="宋体" w:cs="宋体" w:eastAsia="宋体" w:hint="default"/>
          <w:spacing w:val="-1"/>
        </w:rPr>
        <w:t>IT</w:t>
      </w:r>
      <w:r>
        <w:rPr>
          <w:spacing w:val="-1"/>
        </w:rPr>
        <w:t>领域所积累的丰富专业经验和优质客户资源，立足于产</w:t>
      </w:r>
    </w:p>
    <w:p>
      <w:pPr>
        <w:pStyle w:val="BodyText"/>
        <w:spacing w:line="429" w:lineRule="auto" w:before="48"/>
        <w:ind w:right="1168"/>
        <w:jc w:val="both"/>
      </w:pPr>
      <w:r>
        <w:rPr>
          <w:spacing w:val="-1"/>
        </w:rPr>
        <w:t>业链上中小企业的需求，能够为产业链上下游的优秀行业销售合作伙伴、产品与解决方案合作伙伴提供科技赋</w:t>
      </w:r>
      <w:r>
        <w:rPr>
          <w:spacing w:val="-63"/>
        </w:rPr>
        <w:t> </w:t>
      </w:r>
      <w:r>
        <w:rPr>
          <w:spacing w:val="-63"/>
        </w:rPr>
      </w:r>
      <w:r>
        <w:rPr>
          <w:spacing w:val="-1"/>
        </w:rPr>
        <w:t>能、经营赋能、管理赋能、商业模式赋能、资本赋能等整套赋能服务体系，以提升合作伙伴竞争力，促进合作</w:t>
      </w:r>
      <w:r>
        <w:rPr>
          <w:spacing w:val="-62"/>
        </w:rPr>
        <w:t> </w:t>
      </w:r>
      <w:r>
        <w:rPr>
          <w:spacing w:val="-62"/>
        </w:rPr>
      </w:r>
      <w:r>
        <w:rPr/>
        <w:t>伙伴实现业绩增长。</w:t>
      </w:r>
    </w:p>
    <w:p>
      <w:pPr>
        <w:spacing w:after="0" w:line="429"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0"/>
        <w:jc w:val="left"/>
        <w:rPr>
          <w:b w:val="0"/>
          <w:bCs w:val="0"/>
        </w:rPr>
      </w:pPr>
      <w:bookmarkStart w:name="_TOC_250008" w:id="23"/>
      <w:bookmarkStart w:name="第四节 经营情况讨论与分析" w:id="24"/>
      <w:r>
        <w:rPr>
          <w:b w:val="0"/>
          <w:bCs w:val="0"/>
        </w:rPr>
      </w:r>
      <w:r>
        <w:rPr/>
        <w:t>第四节</w:t>
      </w:r>
      <w:r>
        <w:rPr>
          <w:spacing w:val="-10"/>
        </w:rPr>
        <w:t> </w:t>
      </w:r>
      <w:r>
        <w:rPr/>
        <w:t>经营情况讨论与分析</w:t>
      </w:r>
      <w:bookmarkEnd w:id="2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5"/>
      <w:bookmarkEnd w:id="25"/>
      <w:r>
        <w:rPr>
          <w:b w:val="0"/>
          <w:bCs w:val="0"/>
        </w:rPr>
      </w:r>
      <w:r>
        <w:rPr/>
        <w:t>一、概述</w:t>
      </w:r>
      <w:r>
        <w:rPr>
          <w:b w:val="0"/>
          <w:bCs w:val="0"/>
        </w:rPr>
      </w:r>
    </w:p>
    <w:p>
      <w:pPr>
        <w:spacing w:line="240" w:lineRule="auto" w:before="4"/>
        <w:rPr>
          <w:rFonts w:ascii="宋体" w:hAnsi="宋体" w:cs="宋体" w:eastAsia="宋体" w:hint="default"/>
          <w:b/>
          <w:bCs/>
          <w:sz w:val="31"/>
          <w:szCs w:val="31"/>
        </w:rPr>
      </w:pPr>
    </w:p>
    <w:p>
      <w:pPr>
        <w:pStyle w:val="BodyText"/>
        <w:spacing w:line="429" w:lineRule="auto"/>
        <w:ind w:right="1030" w:firstLine="399"/>
        <w:jc w:val="left"/>
      </w:pPr>
      <w:r>
        <w:rPr>
          <w:rFonts w:ascii="宋体" w:hAnsi="宋体" w:cs="宋体" w:eastAsia="宋体" w:hint="default"/>
          <w:spacing w:val="-2"/>
        </w:rPr>
        <w:t>2018</w:t>
      </w:r>
      <w:r>
        <w:rPr>
          <w:spacing w:val="-2"/>
        </w:rPr>
        <w:t>年，公司继续坚持以金融科技整体解决方案和数据中心综合服务为基础，深入推进人工智能、大数据、</w:t>
      </w:r>
      <w:r>
        <w:rPr>
          <w:w w:val="100"/>
        </w:rPr>
        <w:t> </w:t>
      </w:r>
      <w:r>
        <w:rPr/>
        <w:t>云服务、区块链等科技创新业务，并对公司的发展战略进行研讨、升级，进一步打造价值共享的产业互联网科</w:t>
      </w:r>
      <w:r>
        <w:rPr>
          <w:w w:val="100"/>
        </w:rPr>
        <w:t> </w:t>
      </w:r>
      <w:r>
        <w:rPr>
          <w:spacing w:val="-2"/>
        </w:rPr>
        <w:t>技赋能平台，引导产业客户实现从</w:t>
      </w:r>
      <w:r>
        <w:rPr>
          <w:rFonts w:ascii="宋体" w:hAnsi="宋体" w:cs="宋体" w:eastAsia="宋体" w:hint="default"/>
          <w:spacing w:val="-2"/>
        </w:rPr>
        <w:t>IT</w:t>
      </w:r>
      <w:r>
        <w:rPr>
          <w:spacing w:val="-2"/>
        </w:rPr>
        <w:t>到</w:t>
      </w:r>
      <w:r>
        <w:rPr>
          <w:rFonts w:ascii="宋体" w:hAnsi="宋体" w:cs="宋体" w:eastAsia="宋体" w:hint="default"/>
          <w:spacing w:val="-2"/>
        </w:rPr>
        <w:t>DT</w:t>
      </w:r>
      <w:r>
        <w:rPr>
          <w:spacing w:val="-2"/>
        </w:rPr>
        <w:t>到</w:t>
      </w:r>
      <w:r>
        <w:rPr>
          <w:rFonts w:ascii="宋体" w:hAnsi="宋体" w:cs="宋体" w:eastAsia="宋体" w:hint="default"/>
          <w:spacing w:val="-2"/>
        </w:rPr>
        <w:t>AT</w:t>
      </w:r>
      <w:r>
        <w:rPr>
          <w:spacing w:val="-2"/>
        </w:rPr>
        <w:t>的技术升级。报告期内，公司实现营业收入</w:t>
      </w:r>
      <w:r>
        <w:rPr>
          <w:rFonts w:ascii="宋体" w:hAnsi="宋体" w:cs="宋体" w:eastAsia="宋体" w:hint="default"/>
          <w:spacing w:val="-2"/>
        </w:rPr>
        <w:t>1,485,625,293.81</w:t>
      </w:r>
      <w:r>
        <w:rPr>
          <w:spacing w:val="-2"/>
        </w:rPr>
        <w:t>元，</w:t>
      </w:r>
      <w:r>
        <w:rPr>
          <w:spacing w:val="-58"/>
        </w:rPr>
        <w:t> </w:t>
      </w:r>
      <w:r>
        <w:rPr/>
        <w:t>较上年同期增长</w:t>
      </w:r>
      <w:r>
        <w:rPr>
          <w:rFonts w:ascii="宋体" w:hAnsi="宋体" w:cs="宋体" w:eastAsia="宋体" w:hint="default"/>
        </w:rPr>
        <w:t>21.17%</w:t>
      </w:r>
      <w:r>
        <w:rPr/>
        <w:t>；受商誉减值影响，实现归属于上市公司股东的净利润</w:t>
      </w:r>
      <w:r>
        <w:rPr>
          <w:rFonts w:ascii="宋体" w:hAnsi="宋体" w:cs="宋体" w:eastAsia="宋体" w:hint="default"/>
        </w:rPr>
        <w:t>8,209,514.73</w:t>
      </w:r>
      <w:r>
        <w:rPr/>
        <w:t>元，较上年同期增</w:t>
      </w:r>
      <w:r>
        <w:rPr>
          <w:w w:val="100"/>
        </w:rPr>
        <w:t> </w:t>
      </w:r>
      <w:r>
        <w:rPr/>
        <w:t>长</w:t>
      </w:r>
      <w:r>
        <w:rPr>
          <w:rFonts w:ascii="宋体" w:hAnsi="宋体" w:cs="宋体" w:eastAsia="宋体" w:hint="default"/>
        </w:rPr>
        <w:t>103.47%</w:t>
      </w:r>
      <w:r>
        <w:rPr/>
        <w:t>。</w:t>
      </w:r>
    </w:p>
    <w:p>
      <w:pPr>
        <w:pStyle w:val="BodyText"/>
        <w:spacing w:line="429" w:lineRule="auto" w:before="48"/>
        <w:ind w:left="553" w:right="0"/>
        <w:jc w:val="left"/>
      </w:pPr>
      <w:r>
        <w:rPr>
          <w:spacing w:val="-1"/>
        </w:rPr>
        <w:t>报告期内，公司继续在金融科技领域深化转型，稳扎稳打，主要开展了以下工作：</w:t>
      </w:r>
      <w:r>
        <w:rPr>
          <w:spacing w:val="-72"/>
        </w:rPr>
        <w:t> </w:t>
      </w:r>
      <w:r>
        <w:rPr>
          <w:spacing w:val="-72"/>
        </w:rPr>
      </w:r>
      <w:r>
        <w:rPr>
          <w:rFonts w:ascii="宋体" w:hAnsi="宋体" w:cs="宋体" w:eastAsia="宋体" w:hint="default"/>
        </w:rPr>
        <w:t>1.</w:t>
      </w:r>
      <w:r>
        <w:rPr/>
        <w:t>技术创新取得突出进展，推出数据实时处理产品</w:t>
      </w:r>
    </w:p>
    <w:p>
      <w:pPr>
        <w:pStyle w:val="BodyText"/>
        <w:spacing w:line="429" w:lineRule="auto" w:before="48"/>
        <w:ind w:right="1168" w:firstLine="399"/>
        <w:jc w:val="both"/>
      </w:pPr>
      <w:r>
        <w:rPr>
          <w:rFonts w:ascii="宋体" w:hAnsi="宋体" w:cs="宋体" w:eastAsia="宋体" w:hint="default"/>
          <w:spacing w:val="-1"/>
        </w:rPr>
        <w:t>2018</w:t>
      </w:r>
      <w:r>
        <w:rPr>
          <w:spacing w:val="-1"/>
        </w:rPr>
        <w:t>年，公司在技术创新上取得突出进展，推出了数据实时处理产品。数据实时处理产品运用图像和数据</w:t>
      </w:r>
      <w:r>
        <w:rPr>
          <w:w w:val="100"/>
        </w:rPr>
        <w:t> </w:t>
      </w:r>
      <w:r>
        <w:rPr>
          <w:spacing w:val="-1"/>
        </w:rPr>
        <w:t>处理的相关技术，可以出色完成大量重复性、定义清晰、有固定逻辑的工作，可应用在商业银行对公开户、企</w:t>
      </w:r>
      <w:r>
        <w:rPr>
          <w:spacing w:val="-63"/>
        </w:rPr>
        <w:t> </w:t>
      </w:r>
      <w:r>
        <w:rPr>
          <w:spacing w:val="-63"/>
        </w:rPr>
      </w:r>
      <w:r>
        <w:rPr/>
        <w:t>业账户年检、银企对账、票据查重验真等多个领域。</w:t>
      </w:r>
    </w:p>
    <w:p>
      <w:pPr>
        <w:pStyle w:val="BodyText"/>
        <w:spacing w:line="240" w:lineRule="auto" w:before="48"/>
        <w:ind w:left="553" w:right="0"/>
        <w:jc w:val="left"/>
      </w:pPr>
      <w:r>
        <w:rPr>
          <w:rFonts w:ascii="宋体" w:hAnsi="宋体" w:cs="宋体" w:eastAsia="宋体" w:hint="default"/>
        </w:rPr>
        <w:t>2.</w:t>
      </w:r>
      <w:r>
        <w:rPr/>
        <w:t>服务创新进一步落地，推出智能客服解决方案</w:t>
      </w:r>
    </w:p>
    <w:p>
      <w:pPr>
        <w:spacing w:line="240" w:lineRule="auto" w:before="10"/>
        <w:rPr>
          <w:rFonts w:ascii="宋体" w:hAnsi="宋体" w:cs="宋体" w:eastAsia="宋体" w:hint="default"/>
          <w:sz w:val="15"/>
          <w:szCs w:val="15"/>
        </w:rPr>
      </w:pPr>
    </w:p>
    <w:p>
      <w:pPr>
        <w:pStyle w:val="BodyText"/>
        <w:spacing w:line="429" w:lineRule="auto"/>
        <w:ind w:right="1131" w:firstLine="399"/>
        <w:jc w:val="both"/>
      </w:pPr>
      <w:r>
        <w:rPr>
          <w:rFonts w:ascii="宋体" w:hAnsi="宋体" w:cs="宋体" w:eastAsia="宋体" w:hint="default"/>
          <w:spacing w:val="-2"/>
        </w:rPr>
        <w:t>2018</w:t>
      </w:r>
      <w:r>
        <w:rPr>
          <w:spacing w:val="-2"/>
        </w:rPr>
        <w:t>年，公司服务创新进一步落地，推出了智能客服解决方案。智能客服解决方案专注于全渠道交互、</w:t>
      </w:r>
      <w:r>
        <w:rPr>
          <w:rFonts w:ascii="宋体" w:hAnsi="宋体" w:cs="宋体" w:eastAsia="宋体" w:hint="default"/>
          <w:spacing w:val="-2"/>
        </w:rPr>
        <w:t>MOT</w:t>
      </w:r>
      <w:r>
        <w:rPr>
          <w:rFonts w:ascii="宋体" w:hAnsi="宋体" w:cs="宋体" w:eastAsia="宋体" w:hint="default"/>
          <w:w w:val="100"/>
        </w:rPr>
        <w:t> </w:t>
      </w:r>
      <w:r>
        <w:rPr/>
        <w:t>主动服务、精准营销，可以帮助客户降低人工客服人力成本，提升服务和营销效率，帮助金融企业构建“大智</w:t>
      </w:r>
      <w:r>
        <w:rPr>
          <w:w w:val="100"/>
        </w:rPr>
        <w:t> </w:t>
      </w:r>
      <w:r>
        <w:rPr/>
        <w:t>能</w:t>
      </w:r>
      <w:r>
        <w:rPr>
          <w:rFonts w:ascii="宋体" w:hAnsi="宋体" w:cs="宋体" w:eastAsia="宋体" w:hint="default"/>
        </w:rPr>
        <w:t>+</w:t>
      </w:r>
      <w:r>
        <w:rPr/>
        <w:t>小人工”的新金融客户经营体系。</w:t>
      </w:r>
    </w:p>
    <w:p>
      <w:pPr>
        <w:pStyle w:val="BodyText"/>
        <w:spacing w:line="240" w:lineRule="auto" w:before="48"/>
        <w:ind w:left="553" w:right="0"/>
        <w:jc w:val="left"/>
      </w:pPr>
      <w:r>
        <w:rPr>
          <w:rFonts w:ascii="宋体" w:hAnsi="宋体" w:cs="宋体" w:eastAsia="宋体" w:hint="default"/>
        </w:rPr>
        <w:t>3.</w:t>
      </w:r>
      <w:r>
        <w:rPr/>
        <w:t>稳步推进中小银行金融科技转型服务</w:t>
      </w:r>
    </w:p>
    <w:p>
      <w:pPr>
        <w:spacing w:line="240" w:lineRule="auto" w:before="10"/>
        <w:rPr>
          <w:rFonts w:ascii="宋体" w:hAnsi="宋体" w:cs="宋体" w:eastAsia="宋体" w:hint="default"/>
          <w:sz w:val="15"/>
          <w:szCs w:val="15"/>
        </w:rPr>
      </w:pPr>
    </w:p>
    <w:p>
      <w:pPr>
        <w:pStyle w:val="BodyText"/>
        <w:spacing w:line="429" w:lineRule="auto"/>
        <w:ind w:right="0" w:firstLine="399"/>
        <w:jc w:val="left"/>
      </w:pPr>
      <w:r>
        <w:rPr>
          <w:rFonts w:ascii="宋体" w:hAnsi="宋体" w:cs="宋体" w:eastAsia="宋体" w:hint="default"/>
          <w:spacing w:val="-1"/>
        </w:rPr>
        <w:t>2018</w:t>
      </w:r>
      <w:r>
        <w:rPr>
          <w:spacing w:val="-1"/>
        </w:rPr>
        <w:t>年，公司继续致力于帮助国内众多中小银行转型，提供开放银行整体解决方案、共享直销银行平台建</w:t>
      </w:r>
      <w:r>
        <w:rPr>
          <w:w w:val="100"/>
        </w:rPr>
        <w:t> </w:t>
      </w:r>
      <w:r>
        <w:rPr/>
        <w:t>设、</w:t>
      </w:r>
      <w:r>
        <w:rPr>
          <w:rFonts w:ascii="宋体" w:hAnsi="宋体" w:cs="宋体" w:eastAsia="宋体" w:hint="default"/>
        </w:rPr>
        <w:t>IT</w:t>
      </w:r>
      <w:r>
        <w:rPr/>
        <w:t>支持等金融科技综合服务，公司已基本具备金融科技全业务链的服务能力。</w:t>
      </w:r>
    </w:p>
    <w:p>
      <w:pPr>
        <w:pStyle w:val="BodyText"/>
        <w:spacing w:line="240" w:lineRule="auto" w:before="48"/>
        <w:ind w:left="553" w:right="0"/>
        <w:jc w:val="left"/>
      </w:pPr>
      <w:r>
        <w:rPr>
          <w:rFonts w:ascii="宋体" w:hAnsi="宋体" w:cs="宋体" w:eastAsia="宋体" w:hint="default"/>
        </w:rPr>
        <w:t>4.</w:t>
      </w:r>
      <w:r>
        <w:rPr/>
        <w:t>党建工作取得突破性进展</w:t>
      </w:r>
    </w:p>
    <w:p>
      <w:pPr>
        <w:spacing w:line="240" w:lineRule="auto" w:before="10"/>
        <w:rPr>
          <w:rFonts w:ascii="宋体" w:hAnsi="宋体" w:cs="宋体" w:eastAsia="宋体" w:hint="default"/>
          <w:sz w:val="15"/>
          <w:szCs w:val="15"/>
        </w:rPr>
      </w:pPr>
    </w:p>
    <w:p>
      <w:pPr>
        <w:pStyle w:val="BodyText"/>
        <w:spacing w:line="429" w:lineRule="auto"/>
        <w:ind w:right="0" w:firstLine="399"/>
        <w:jc w:val="left"/>
      </w:pPr>
      <w:r>
        <w:rPr>
          <w:rFonts w:ascii="宋体" w:hAnsi="宋体" w:cs="宋体" w:eastAsia="宋体" w:hint="default"/>
          <w:spacing w:val="-2"/>
        </w:rPr>
        <w:t>2018</w:t>
      </w:r>
      <w:r>
        <w:rPr>
          <w:spacing w:val="-2"/>
        </w:rPr>
        <w:t>年，公司积极响应党的十九大对支部组织建设的最新要求，建立了党支部并积极开展了多项主题活动，</w:t>
      </w:r>
      <w:r>
        <w:rPr>
          <w:w w:val="100"/>
        </w:rPr>
        <w:t> </w:t>
      </w:r>
      <w:r>
        <w:rPr/>
        <w:t>为公司的企业文化注入了新活力，发挥党员的先锋模范作用，进一步加强了管理人员领导能力建设，提升了员</w:t>
      </w:r>
      <w:r>
        <w:rPr>
          <w:w w:val="100"/>
        </w:rPr>
        <w:t> </w:t>
      </w:r>
      <w:r>
        <w:rPr/>
        <w:t>工的凝聚力和公司竞争力，推进党建工作和企业经营深度融合。</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5"/>
        <w:rPr>
          <w:rFonts w:ascii="宋体" w:hAnsi="宋体" w:cs="宋体" w:eastAsia="宋体" w:hint="default"/>
          <w:b/>
          <w:bCs/>
          <w:sz w:val="25"/>
          <w:szCs w:val="25"/>
        </w:rPr>
      </w:pPr>
    </w:p>
    <w:p>
      <w:pPr>
        <w:pStyle w:val="BodyText"/>
        <w:spacing w:line="240" w:lineRule="auto"/>
        <w:ind w:right="0"/>
        <w:jc w:val="left"/>
      </w:pPr>
      <w:r>
        <w:rPr/>
        <w:t>参见“经营情况讨论与分析”中的“一、概述”相关内容。</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1,485,625,293.81</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1,226,017,671.63</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21.17%</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554,636,946.13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37.33%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439,271,413.84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35.83%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26.26%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政府与公共事业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337,203,802.25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22.70%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296,489,184.82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24.18%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13.73%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593,784,545.43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39.97%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490,257,072.97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39.99%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21.12%</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金融科技综合服务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569,178,709.88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38.31%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502,684,561.08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41.00%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13.23%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数据中心综合服务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912,167,936.21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61.40%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711,751,562.99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58.06%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28.16%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4,278,647.72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11,581,547.56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0.94%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-63.06%</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1,137,249,441.22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76.55%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929,671,451.75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75.83%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22.33%</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348,375,852.59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23.45%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296,346,219.88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24.17%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17.56%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上市公司从软件与信息技术服务业务》的披露要求</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96"/>
        <w:gridCol w:w="1019"/>
        <w:gridCol w:w="1010"/>
        <w:gridCol w:w="1011"/>
        <w:gridCol w:w="1012"/>
        <w:gridCol w:w="1003"/>
        <w:gridCol w:w="1005"/>
        <w:gridCol w:w="1002"/>
        <w:gridCol w:w="1002"/>
      </w:tblGrid>
      <w:tr>
        <w:trPr>
          <w:trHeight w:val="206" w:hRule="exact"/>
        </w:trPr>
        <w:tc>
          <w:tcPr>
            <w:tcW w:w="1496" w:type="dxa"/>
            <w:tcBorders>
              <w:top w:val="single" w:sz="4" w:space="0" w:color="000000"/>
              <w:left w:val="single" w:sz="4" w:space="0" w:color="000000"/>
              <w:bottom w:val="nil" w:sz="6" w:space="0" w:color="auto"/>
              <w:right w:val="single" w:sz="4" w:space="0" w:color="000000"/>
            </w:tcBorders>
            <w:shd w:val="clear" w:color="auto" w:fill="D2D2D2"/>
          </w:tcPr>
          <w:p>
            <w:pPr/>
          </w:p>
        </w:tc>
        <w:tc>
          <w:tcPr>
            <w:tcW w:w="405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401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191" w:hRule="exact"/>
        </w:trPr>
        <w:tc>
          <w:tcPr>
            <w:tcW w:w="1496" w:type="dxa"/>
            <w:vMerge w:val="restart"/>
            <w:tcBorders>
              <w:top w:val="nil" w:sz="6" w:space="0" w:color="auto"/>
              <w:left w:val="single" w:sz="4" w:space="0" w:color="000000"/>
              <w:right w:val="single" w:sz="4" w:space="0" w:color="000000"/>
            </w:tcBorders>
            <w:shd w:val="clear" w:color="auto" w:fill="D2D2D2"/>
          </w:tcPr>
          <w:p>
            <w:pPr/>
          </w:p>
        </w:tc>
        <w:tc>
          <w:tcPr>
            <w:tcW w:w="4052" w:type="dxa"/>
            <w:gridSpan w:val="4"/>
            <w:vMerge/>
            <w:tcBorders>
              <w:left w:val="single" w:sz="4" w:space="0" w:color="000000"/>
              <w:bottom w:val="single" w:sz="4" w:space="0" w:color="000000"/>
              <w:right w:val="single" w:sz="4" w:space="0" w:color="000000"/>
            </w:tcBorders>
            <w:shd w:val="clear" w:color="auto" w:fill="D2D2D2"/>
          </w:tcPr>
          <w:p>
            <w:pPr/>
          </w:p>
        </w:tc>
        <w:tc>
          <w:tcPr>
            <w:tcW w:w="4012" w:type="dxa"/>
            <w:gridSpan w:val="4"/>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496" w:type="dxa"/>
            <w:vMerge/>
            <w:tcBorders>
              <w:left w:val="single" w:sz="4" w:space="0" w:color="000000"/>
              <w:bottom w:val="nil" w:sz="6" w:space="0" w:color="auto"/>
              <w:right w:val="single" w:sz="4" w:space="0" w:color="000000"/>
            </w:tcBorders>
            <w:shd w:val="clear" w:color="auto" w:fill="D2D2D2"/>
          </w:tcPr>
          <w:p>
            <w:pPr/>
          </w:p>
        </w:tc>
        <w:tc>
          <w:tcPr>
            <w:tcW w:w="10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0"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0"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7"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6" w:hRule="exact"/>
        </w:trPr>
        <w:tc>
          <w:tcPr>
            <w:tcW w:w="14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9" w:type="dxa"/>
            <w:vMerge/>
            <w:tcBorders>
              <w:left w:val="single" w:sz="4" w:space="0" w:color="000000"/>
              <w:bottom w:val="single" w:sz="4" w:space="0" w:color="000000"/>
              <w:right w:val="single" w:sz="4" w:space="0" w:color="000000"/>
            </w:tcBorders>
            <w:shd w:val="clear" w:color="auto" w:fill="D2D2D2"/>
          </w:tcPr>
          <w:p>
            <w:pPr/>
          </w:p>
        </w:tc>
        <w:tc>
          <w:tcPr>
            <w:tcW w:w="1010"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12"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005"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19"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225,669,963.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34</w:t>
            </w:r>
          </w:p>
        </w:tc>
        <w:tc>
          <w:tcPr>
            <w:tcW w:w="101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386,118,495.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55</w:t>
            </w:r>
          </w:p>
        </w:tc>
        <w:tc>
          <w:tcPr>
            <w:tcW w:w="1011"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211,240,261.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06</w:t>
            </w:r>
          </w:p>
        </w:tc>
        <w:tc>
          <w:tcPr>
            <w:tcW w:w="101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662,596,573.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86</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210,855,918.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w:t>
            </w:r>
          </w:p>
        </w:tc>
        <w:tc>
          <w:tcPr>
            <w:tcW w:w="100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340,397,373.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61</w:t>
            </w:r>
          </w:p>
        </w:tc>
        <w:tc>
          <w:tcPr>
            <w:tcW w:w="100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183,173,083.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17</w:t>
            </w:r>
          </w:p>
        </w:tc>
        <w:tc>
          <w:tcPr>
            <w:tcW w:w="100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491,591,296.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03</w:t>
            </w:r>
          </w:p>
        </w:tc>
      </w:tr>
      <w:tr>
        <w:trPr>
          <w:trHeight w:val="392" w:hRule="exact"/>
        </w:trPr>
        <w:tc>
          <w:tcPr>
            <w:tcW w:w="14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19" w:type="dxa"/>
            <w:vMerge/>
            <w:tcBorders>
              <w:left w:val="single" w:sz="9" w:space="0" w:color="D2D2D2"/>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12"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1002" w:type="dxa"/>
            <w:vMerge/>
            <w:tcBorders>
              <w:left w:val="single" w:sz="4" w:space="0" w:color="000000"/>
              <w:right w:val="single" w:sz="4" w:space="0" w:color="000000"/>
            </w:tcBorders>
          </w:tcPr>
          <w:p>
            <w:pPr/>
          </w:p>
        </w:tc>
        <w:tc>
          <w:tcPr>
            <w:tcW w:w="1002" w:type="dxa"/>
            <w:vMerge/>
            <w:tcBorders>
              <w:left w:val="single" w:sz="4" w:space="0" w:color="000000"/>
              <w:right w:val="single" w:sz="4" w:space="0" w:color="000000"/>
            </w:tcBorders>
          </w:tcPr>
          <w:p>
            <w:pPr/>
          </w:p>
        </w:tc>
      </w:tr>
      <w:tr>
        <w:trPr>
          <w:trHeight w:val="161" w:hRule="exact"/>
        </w:trPr>
        <w:tc>
          <w:tcPr>
            <w:tcW w:w="14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9" w:type="dxa"/>
            <w:vMerge/>
            <w:tcBorders>
              <w:left w:val="single" w:sz="9" w:space="0" w:color="D2D2D2"/>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2"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1005" w:type="dxa"/>
            <w:vMerge/>
            <w:tcBorders>
              <w:left w:val="single" w:sz="4" w:space="0" w:color="000000"/>
              <w:bottom w:val="single" w:sz="4" w:space="0" w:color="000000"/>
              <w:right w:val="single" w:sz="4" w:space="0" w:color="000000"/>
            </w:tcBorders>
          </w:tcPr>
          <w:p>
            <w:pPr/>
          </w:p>
        </w:tc>
        <w:tc>
          <w:tcPr>
            <w:tcW w:w="1002" w:type="dxa"/>
            <w:vMerge/>
            <w:tcBorders>
              <w:left w:val="single" w:sz="4" w:space="0" w:color="000000"/>
              <w:bottom w:val="single" w:sz="4" w:space="0" w:color="000000"/>
              <w:right w:val="single" w:sz="4" w:space="0" w:color="000000"/>
            </w:tcBorders>
          </w:tcPr>
          <w:p>
            <w:pPr/>
          </w:p>
        </w:tc>
        <w:tc>
          <w:tcPr>
            <w:tcW w:w="1002" w:type="dxa"/>
            <w:vMerge/>
            <w:tcBorders>
              <w:left w:val="single" w:sz="4" w:space="0" w:color="000000"/>
              <w:bottom w:val="single" w:sz="4" w:space="0" w:color="000000"/>
              <w:right w:val="single" w:sz="4" w:space="0" w:color="000000"/>
            </w:tcBorders>
          </w:tcPr>
          <w:p>
            <w:pPr/>
          </w:p>
        </w:tc>
      </w:tr>
      <w:tr>
        <w:trPr>
          <w:trHeight w:val="714"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2"/>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29,490,648.4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38,000,622.8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8" w:right="0"/>
              <w:jc w:val="left"/>
              <w:rPr>
                <w:rFonts w:ascii="Times New Roman" w:hAnsi="Times New Roman" w:cs="Times New Roman" w:eastAsia="Times New Roman" w:hint="default"/>
                <w:sz w:val="18"/>
                <w:szCs w:val="18"/>
              </w:rPr>
            </w:pPr>
            <w:r>
              <w:rPr>
                <w:rFonts w:ascii="Times New Roman"/>
                <w:sz w:val="18"/>
              </w:rPr>
              <w:t>69,525.23</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-59,351,281.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34,774,164.8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57,941,184.1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29,118,931.1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-358,495,47</w:t>
            </w:r>
          </w:p>
          <w:p>
            <w:pPr>
              <w:pStyle w:val="TableParagraph"/>
              <w:spacing w:line="240" w:lineRule="auto" w:before="105"/>
              <w:ind w:left="653" w:right="0"/>
              <w:jc w:val="left"/>
              <w:rPr>
                <w:rFonts w:ascii="Times New Roman" w:hAnsi="Times New Roman" w:cs="Times New Roman" w:eastAsia="Times New Roman" w:hint="default"/>
                <w:sz w:val="18"/>
                <w:szCs w:val="18"/>
              </w:rPr>
            </w:pPr>
            <w:r>
              <w:rPr>
                <w:rFonts w:ascii="Times New Roman"/>
                <w:sz w:val="18"/>
              </w:rPr>
              <w:t>8.08</w:t>
            </w:r>
          </w:p>
        </w:tc>
      </w:tr>
    </w:tbl>
    <w:p>
      <w:pPr>
        <w:pStyle w:val="BodyText"/>
        <w:spacing w:line="429" w:lineRule="auto" w:before="72"/>
        <w:ind w:left="553" w:right="0" w:hanging="400"/>
        <w:jc w:val="left"/>
      </w:pPr>
      <w:r>
        <w:rPr/>
        <w:t>说明经营季节性（或周期性）发生的原因及波动风险</w:t>
      </w:r>
      <w:r>
        <w:rPr>
          <w:w w:val="100"/>
        </w:rPr>
        <w:t> </w:t>
      </w:r>
      <w:r>
        <w:rPr>
          <w:spacing w:val="-1"/>
        </w:rPr>
        <w:t>公司主营业务经营具有一定的季节性特征。公司的金融科技综合服务和数据中心综合服务业务主要面向金</w:t>
      </w:r>
    </w:p>
    <w:p>
      <w:pPr>
        <w:pStyle w:val="BodyText"/>
        <w:spacing w:line="429" w:lineRule="auto" w:before="48"/>
        <w:ind w:right="1168"/>
        <w:jc w:val="both"/>
      </w:pPr>
      <w:r>
        <w:rPr>
          <w:spacing w:val="-1"/>
        </w:rPr>
        <w:t>融机构、政府与公共事业和企业客户，该类客户大多执行预算决算体制，其预算、立项、招标、采购和实施都</w:t>
      </w:r>
      <w:r>
        <w:rPr>
          <w:spacing w:val="-63"/>
        </w:rPr>
        <w:t> </w:t>
      </w:r>
      <w:r>
        <w:rPr>
          <w:spacing w:val="-63"/>
        </w:rPr>
      </w:r>
      <w:r>
        <w:rPr>
          <w:spacing w:val="-1"/>
        </w:rPr>
        <w:t>有明显的季节性特征，尤其是第四季度业务收入高于前三季度。总体上看，公司经营具有一定的季节性特征，</w:t>
      </w:r>
      <w:r>
        <w:rPr>
          <w:spacing w:val="-63"/>
        </w:rPr>
        <w:t> </w:t>
      </w:r>
      <w:r>
        <w:rPr>
          <w:spacing w:val="-63"/>
        </w:rPr>
      </w:r>
      <w:r>
        <w:rPr/>
        <w:t>主营业务收入第四季度相对集中，全年收入分布不均衡，可能存在业绩季节性波动的风险。</w:t>
      </w:r>
    </w:p>
    <w:p>
      <w:pPr>
        <w:spacing w:line="240" w:lineRule="auto" w:before="1"/>
        <w:rPr>
          <w:rFonts w:ascii="宋体" w:hAnsi="宋体" w:cs="宋体" w:eastAsia="宋体" w:hint="default"/>
          <w:sz w:val="20"/>
          <w:szCs w:val="20"/>
        </w:rPr>
      </w:pPr>
    </w:p>
    <w:p>
      <w:pPr>
        <w:pStyle w:val="Heading3"/>
        <w:spacing w:line="240" w:lineRule="auto"/>
        <w:ind w:right="0"/>
        <w:jc w:val="both"/>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5"/>
        <w:rPr>
          <w:rFonts w:ascii="宋体" w:hAnsi="宋体" w:cs="宋体" w:eastAsia="宋体" w:hint="default"/>
          <w:b/>
          <w:bCs/>
          <w:sz w:val="25"/>
          <w:szCs w:val="25"/>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after="0" w:line="240" w:lineRule="auto"/>
        <w:jc w:val="both"/>
        <w:sectPr>
          <w:pgSz w:w="11910" w:h="16840"/>
          <w:pgMar w:header="747" w:footer="979" w:top="1060" w:bottom="1160" w:left="980" w:right="0"/>
        </w:sectPr>
      </w:pPr>
    </w:p>
    <w:p>
      <w:pPr>
        <w:spacing w:line="240" w:lineRule="auto" w:before="3"/>
        <w:rPr>
          <w:rFonts w:ascii="宋体" w:hAnsi="宋体" w:cs="宋体" w:eastAsia="宋体" w:hint="default"/>
          <w:sz w:val="25"/>
          <w:szCs w:val="25"/>
        </w:rPr>
      </w:pPr>
    </w:p>
    <w:p>
      <w:pPr>
        <w:pStyle w:val="BodyText"/>
        <w:spacing w:line="321" w:lineRule="auto" w:before="38"/>
        <w:ind w:right="7209"/>
        <w:jc w:val="left"/>
      </w:pPr>
      <w:r>
        <w:rPr>
          <w:spacing w:val="-1"/>
        </w:rPr>
        <w:t>公司是否需要遵守特殊行业的披露要求</w:t>
      </w:r>
      <w:r>
        <w:rPr>
          <w:spacing w:val="-87"/>
        </w:rPr>
        <w:t> </w:t>
      </w:r>
      <w:r>
        <w:rPr>
          <w:spacing w:val="-87"/>
        </w:rPr>
      </w:r>
      <w:r>
        <w:rPr/>
        <w:t>是</w:t>
      </w:r>
    </w:p>
    <w:p>
      <w:pPr>
        <w:pStyle w:val="BodyText"/>
        <w:spacing w:line="240" w:lineRule="auto" w:before="23"/>
        <w:ind w:right="0"/>
        <w:jc w:val="left"/>
      </w:pPr>
      <w:r>
        <w:rPr/>
        <w:t>软件与信息技术服务业</w:t>
      </w:r>
    </w:p>
    <w:p>
      <w:pPr>
        <w:pStyle w:val="BodyText"/>
        <w:spacing w:line="271" w:lineRule="auto" w:before="88"/>
        <w:ind w:right="1127"/>
        <w:jc w:val="left"/>
      </w:pPr>
      <w:r>
        <w:rPr>
          <w:spacing w:val="-3"/>
        </w:rPr>
        <w:t>公司需遵守《深圳证券交易所行业信息披露指引第</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号</w:t>
      </w:r>
      <w:r>
        <w:rPr>
          <w:rFonts w:ascii="Times New Roman" w:hAnsi="Times New Roman" w:cs="Times New Roman" w:eastAsia="Times New Roman" w:hint="default"/>
        </w:rPr>
        <w:t>——</w:t>
      </w:r>
      <w:r>
        <w:rPr/>
        <w:t>上市公司从事软件与信息技术服务业务》的披露要</w:t>
      </w:r>
      <w:r>
        <w:rPr>
          <w:w w:val="100"/>
        </w:rPr>
        <w:t> </w:t>
      </w:r>
      <w:r>
        <w:rPr/>
        <w:t>求</w:t>
      </w:r>
    </w:p>
    <w:p>
      <w:pPr>
        <w:spacing w:before="8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554,636,946.13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422,268,477.42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46.11%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政府与公共事业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337,203,802.25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279,992,592.98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593,784,545.43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491,443,930.19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42.79%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-12.56%</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金融科技综合服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569,178,709.88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433,822,913.59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37.60%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-13.50%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数据中心综合服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912,167,936.21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755,982,396.63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38.34%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-6.10%</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1,137,249,441.22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918,191,986.51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38.62%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348,375,852.59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275,513,014.08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30.93%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6"/>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p>
    <w:p>
      <w:pPr>
        <w:spacing w:line="240" w:lineRule="auto" w:before="11"/>
        <w:rPr>
          <w:rFonts w:ascii="宋体" w:hAnsi="宋体" w:cs="宋体" w:eastAsia="宋体" w:hint="default"/>
          <w:sz w:val="24"/>
          <w:szCs w:val="24"/>
        </w:rPr>
      </w:pPr>
    </w:p>
    <w:p>
      <w:pPr>
        <w:pStyle w:val="Heading3"/>
        <w:spacing w:line="240" w:lineRule="auto"/>
        <w:ind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6"/>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不适用</w:t>
      </w:r>
    </w:p>
    <w:p>
      <w:pPr>
        <w:spacing w:line="240" w:lineRule="auto" w:before="11"/>
        <w:rPr>
          <w:rFonts w:ascii="宋体" w:hAnsi="宋体" w:cs="宋体" w:eastAsia="宋体" w:hint="default"/>
          <w:sz w:val="24"/>
          <w:szCs w:val="24"/>
        </w:rPr>
      </w:pPr>
    </w:p>
    <w:p>
      <w:pPr>
        <w:pStyle w:val="Heading3"/>
        <w:spacing w:line="240" w:lineRule="auto"/>
        <w:ind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5"/>
        <w:rPr>
          <w:rFonts w:ascii="宋体" w:hAnsi="宋体" w:cs="宋体" w:eastAsia="宋体" w:hint="default"/>
          <w:b/>
          <w:bCs/>
          <w:sz w:val="25"/>
          <w:szCs w:val="25"/>
        </w:rPr>
      </w:pPr>
    </w:p>
    <w:p>
      <w:pPr>
        <w:pStyle w:val="BodyText"/>
        <w:spacing w:line="271" w:lineRule="auto"/>
        <w:ind w:right="1127"/>
        <w:jc w:val="left"/>
      </w:pPr>
      <w:r>
        <w:rPr>
          <w:spacing w:val="-3"/>
        </w:rPr>
        <w:t>公司需遵守《深圳证券交易所行业信息披露指引第</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号</w:t>
      </w:r>
      <w:r>
        <w:rPr>
          <w:rFonts w:ascii="Times New Roman" w:hAnsi="Times New Roman" w:cs="Times New Roman" w:eastAsia="Times New Roman" w:hint="default"/>
        </w:rPr>
        <w:t>——</w:t>
      </w:r>
      <w:r>
        <w:rPr/>
        <w:t>上市公司从事软件与信息技术服务业务》的披露要</w:t>
      </w:r>
      <w:r>
        <w:rPr>
          <w:w w:val="100"/>
        </w:rPr>
        <w:t> </w:t>
      </w:r>
      <w:r>
        <w:rPr/>
        <w:t>求</w:t>
      </w:r>
    </w:p>
    <w:p>
      <w:pPr>
        <w:pStyle w:val="BodyText"/>
        <w:spacing w:line="240" w:lineRule="auto" w:before="64"/>
        <w:ind w:right="0"/>
        <w:jc w:val="left"/>
      </w:pPr>
      <w:r>
        <w:rPr/>
        <w:t>主营业务成本构成</w:t>
      </w:r>
    </w:p>
    <w:p>
      <w:pPr>
        <w:spacing w:before="10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商品及服务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1,193,705,000.59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8" w:right="0"/>
              <w:jc w:val="lef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872,785,100.34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7" w:right="0"/>
              <w:jc w:val="left"/>
              <w:rPr>
                <w:rFonts w:ascii="Times New Roman" w:hAnsi="Times New Roman" w:cs="Times New Roman" w:eastAsia="Times New Roman" w:hint="default"/>
                <w:sz w:val="18"/>
                <w:szCs w:val="18"/>
              </w:rPr>
            </w:pPr>
            <w:r>
              <w:rPr>
                <w:rFonts w:ascii="Times New Roman"/>
                <w:sz w:val="18"/>
              </w:rPr>
              <w:t>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36.77%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35"/>
        <w:ind w:right="-13"/>
        <w:jc w:val="left"/>
      </w:pPr>
      <w:r>
        <w:rPr>
          <w:spacing w:val="-1"/>
        </w:rPr>
        <w:t>行业和产品分类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555" w:space="7365"/>
            <w:col w:w="201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商品及服务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422,268,477.42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289,004,573.56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33.11%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46.11%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政府与公共事业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商品及服务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279,992,592.98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239,608,700.97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16.85%</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商品及服务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491,443,930.19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344,171,825.81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42.79%</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金融科技综合服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商品及服务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433,822,913.59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315,282,102.76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37.60%</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数据中心综合服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商品及服务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755,982,396.63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546,469,536.03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38.34%</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商品及服务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3,899,690.37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11,033,461.55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-64.66%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pStyle w:val="BodyText"/>
        <w:spacing w:line="405" w:lineRule="auto" w:before="113"/>
        <w:ind w:right="0" w:firstLine="399"/>
        <w:jc w:val="left"/>
      </w:pPr>
      <w:r>
        <w:rPr>
          <w:spacing w:val="-2"/>
        </w:rPr>
        <w:t>本年与上年比较减少合并单位</w:t>
      </w:r>
      <w:r>
        <w:rPr>
          <w:rFonts w:ascii="Times New Roman" w:hAnsi="Times New Roman" w:cs="Times New Roman" w:eastAsia="Times New Roman" w:hint="default"/>
          <w:spacing w:val="-2"/>
        </w:rPr>
        <w:t>2</w:t>
      </w:r>
      <w:r>
        <w:rPr>
          <w:spacing w:val="-2"/>
        </w:rPr>
        <w:t>家，报告期内注销了北京中科金财互联网服务有限公司、天津滨河创新电子</w:t>
      </w:r>
      <w:r>
        <w:rPr>
          <w:w w:val="100"/>
        </w:rPr>
        <w:t> </w:t>
      </w:r>
      <w:r>
        <w:rPr/>
        <w:t>科技有限公司。</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5"/>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不适用</w:t>
      </w:r>
    </w:p>
    <w:p>
      <w:pPr>
        <w:spacing w:line="240" w:lineRule="auto" w:before="11"/>
        <w:rPr>
          <w:rFonts w:ascii="宋体" w:hAnsi="宋体" w:cs="宋体" w:eastAsia="宋体" w:hint="default"/>
          <w:sz w:val="24"/>
          <w:szCs w:val="24"/>
        </w:rPr>
      </w:pPr>
    </w:p>
    <w:p>
      <w:pPr>
        <w:pStyle w:val="Heading3"/>
        <w:spacing w:line="240" w:lineRule="auto"/>
        <w:ind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6"/>
        <w:rPr>
          <w:rFonts w:ascii="宋体" w:hAnsi="宋体" w:cs="宋体" w:eastAsia="宋体" w:hint="default"/>
          <w:b/>
          <w:bCs/>
          <w:sz w:val="25"/>
          <w:szCs w:val="25"/>
        </w:rPr>
      </w:pPr>
    </w:p>
    <w:p>
      <w:pPr>
        <w:pStyle w:val="BodyText"/>
        <w:spacing w:line="240" w:lineRule="auto"/>
        <w:ind w:right="0"/>
        <w:jc w:val="left"/>
      </w:pPr>
      <w:r>
        <w:rPr/>
        <w:t>公司主要销售客户情况</w:t>
      </w:r>
    </w:p>
    <w:p>
      <w:pPr>
        <w:spacing w:line="240" w:lineRule="auto" w:before="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392,686,947.95</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26.42%</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35"/>
        <w:ind w:right="0"/>
        <w:jc w:val="left"/>
      </w:pPr>
      <w:r>
        <w:rPr/>
        <w:t>公司前</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63" w:right="0"/>
              <w:jc w:val="left"/>
              <w:rPr>
                <w:rFonts w:ascii="Times New Roman" w:hAnsi="Times New Roman" w:cs="Times New Roman" w:eastAsia="Times New Roman" w:hint="default"/>
                <w:sz w:val="18"/>
                <w:szCs w:val="18"/>
              </w:rPr>
            </w:pPr>
            <w:r>
              <w:rPr>
                <w:rFonts w:ascii="Times New Roman"/>
                <w:sz w:val="18"/>
              </w:rPr>
              <w:t>137,459,720.03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38"/>
              <w:jc w:val="righ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116,092,443.93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38"/>
              <w:jc w:val="righ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50,914,027.33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38"/>
              <w:jc w:val="righ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49,541,707.52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38"/>
              <w:jc w:val="righ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38,679,049.14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6"/>
              <w:jc w:val="righ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392,686,947.95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26.42%</w:t>
            </w:r>
          </w:p>
        </w:tc>
      </w:tr>
    </w:tbl>
    <w:p>
      <w:pPr>
        <w:pStyle w:val="BodyText"/>
        <w:spacing w:line="240" w:lineRule="auto" w:before="72"/>
        <w:ind w:right="0"/>
        <w:jc w:val="left"/>
      </w:pPr>
      <w:r>
        <w:rPr/>
        <w:t>主要客户其他情况说明</w:t>
      </w:r>
    </w:p>
    <w:p>
      <w:pPr>
        <w:spacing w:line="240" w:lineRule="auto" w:before="10"/>
        <w:rPr>
          <w:rFonts w:ascii="宋体" w:hAnsi="宋体" w:cs="宋体" w:eastAsia="宋体" w:hint="default"/>
          <w:sz w:val="15"/>
          <w:szCs w:val="15"/>
        </w:rPr>
      </w:pPr>
    </w:p>
    <w:p>
      <w:pPr>
        <w:pStyle w:val="BodyText"/>
        <w:spacing w:line="374" w:lineRule="auto"/>
        <w:ind w:right="89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100"/>
        </w:rPr>
        <w:t> </w:t>
      </w:r>
      <w:r>
        <w:rPr/>
        <w:t>公司主要供应商情况</w:t>
      </w: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456,186,131.18</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z w:val="18"/>
              </w:rPr>
              <w:t>37.18%</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35"/>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18"/>
        <w:ind w:right="0"/>
        <w:jc w:val="left"/>
      </w:pPr>
      <w:r>
        <w:rPr/>
        <w:t>公司前</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240,529,417.53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68,993,482.60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63,219,468.70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42,423,788.83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41,019,973.52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456,186,131.18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37.18%</w:t>
            </w:r>
          </w:p>
        </w:tc>
      </w:tr>
    </w:tbl>
    <w:p>
      <w:pPr>
        <w:pStyle w:val="BodyText"/>
        <w:spacing w:line="240" w:lineRule="auto" w:before="35"/>
        <w:ind w:right="0"/>
        <w:jc w:val="left"/>
      </w:pPr>
      <w:r>
        <w:rPr/>
        <w:t>主要供应商其他情况说明</w:t>
      </w:r>
    </w:p>
    <w:p>
      <w:pPr>
        <w:pStyle w:val="BodyText"/>
        <w:spacing w:line="240" w:lineRule="auto" w:before="9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不适用</w:t>
      </w:r>
    </w:p>
    <w:p>
      <w:pPr>
        <w:spacing w:line="240" w:lineRule="auto" w:before="11"/>
        <w:rPr>
          <w:rFonts w:ascii="宋体" w:hAnsi="宋体" w:cs="宋体" w:eastAsia="宋体" w:hint="default"/>
          <w:sz w:val="24"/>
          <w:szCs w:val="24"/>
        </w:rPr>
      </w:pPr>
    </w:p>
    <w:p>
      <w:pPr>
        <w:pStyle w:val="Heading3"/>
        <w:spacing w:line="240" w:lineRule="auto"/>
        <w:ind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58,133,543.71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0" w:right="0"/>
              <w:jc w:val="left"/>
              <w:rPr>
                <w:rFonts w:ascii="Times New Roman" w:hAnsi="Times New Roman" w:cs="Times New Roman" w:eastAsia="Times New Roman" w:hint="default"/>
                <w:sz w:val="18"/>
                <w:szCs w:val="18"/>
              </w:rPr>
            </w:pPr>
            <w:r>
              <w:rPr>
                <w:rFonts w:ascii="Times New Roman"/>
                <w:sz w:val="18"/>
              </w:rPr>
              <w:t>45,035,159.71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29.08%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107,574,984.61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6" w:right="0"/>
              <w:jc w:val="left"/>
              <w:rPr>
                <w:rFonts w:ascii="Times New Roman" w:hAnsi="Times New Roman" w:cs="Times New Roman" w:eastAsia="Times New Roman" w:hint="default"/>
                <w:sz w:val="18"/>
                <w:szCs w:val="18"/>
              </w:rPr>
            </w:pPr>
            <w:r>
              <w:rPr>
                <w:rFonts w:ascii="Times New Roman"/>
                <w:sz w:val="18"/>
              </w:rPr>
              <w:t>114,019,938.42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162"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25,150,338.72</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6" w:right="0"/>
              <w:jc w:val="left"/>
              <w:rPr>
                <w:rFonts w:ascii="Times New Roman" w:hAnsi="Times New Roman" w:cs="Times New Roman" w:eastAsia="Times New Roman" w:hint="default"/>
                <w:sz w:val="18"/>
                <w:szCs w:val="18"/>
              </w:rPr>
            </w:pPr>
            <w:r>
              <w:rPr>
                <w:rFonts w:ascii="Times New Roman"/>
                <w:sz w:val="18"/>
              </w:rPr>
              <w:t>10,499,115.45</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83" w:right="0"/>
              <w:jc w:val="left"/>
              <w:rPr>
                <w:rFonts w:ascii="Times New Roman" w:hAnsi="Times New Roman" w:cs="Times New Roman" w:eastAsia="Times New Roman" w:hint="default"/>
                <w:sz w:val="18"/>
                <w:szCs w:val="18"/>
              </w:rPr>
            </w:pPr>
            <w:r>
              <w:rPr>
                <w:rFonts w:ascii="Times New Roman"/>
                <w:sz w:val="18"/>
              </w:rPr>
              <w:t>139.55%</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2"/>
                <w:sz w:val="18"/>
                <w:szCs w:val="18"/>
              </w:rPr>
              <w:t>主要系本期利息支出增加、利息收入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减少所致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137,805,965.53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6" w:right="0"/>
              <w:jc w:val="left"/>
              <w:rPr>
                <w:rFonts w:ascii="Times New Roman" w:hAnsi="Times New Roman" w:cs="Times New Roman" w:eastAsia="Times New Roman" w:hint="default"/>
                <w:sz w:val="18"/>
                <w:szCs w:val="18"/>
              </w:rPr>
            </w:pPr>
            <w:r>
              <w:rPr>
                <w:rFonts w:ascii="Times New Roman"/>
                <w:sz w:val="18"/>
              </w:rPr>
              <w:t>121,734,113.84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13.20%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5"/>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29" w:lineRule="auto"/>
        <w:ind w:right="1130" w:firstLine="399"/>
        <w:jc w:val="both"/>
      </w:pPr>
      <w:r>
        <w:rPr/>
        <w:t>报告期内，公司继续保持较高的研发投入，紧密围绕金融科技综合服务和数据中心综合服务的发展战略，</w:t>
      </w:r>
      <w:r>
        <w:rPr>
          <w:w w:val="100"/>
        </w:rPr>
        <w:t> </w:t>
      </w:r>
      <w:r>
        <w:rPr>
          <w:spacing w:val="-2"/>
        </w:rPr>
        <w:t>开展了多个产品及应用系统的自主研发，研发投入总金额合计</w:t>
      </w:r>
      <w:r>
        <w:rPr>
          <w:rFonts w:ascii="宋体" w:hAnsi="宋体" w:cs="宋体" w:eastAsia="宋体" w:hint="default"/>
          <w:spacing w:val="-2"/>
        </w:rPr>
        <w:t>167,238,299.40</w:t>
      </w:r>
      <w:r>
        <w:rPr>
          <w:spacing w:val="-2"/>
        </w:rPr>
        <w:t>元，较上年增长</w:t>
      </w:r>
      <w:r>
        <w:rPr>
          <w:rFonts w:ascii="宋体" w:hAnsi="宋体" w:cs="宋体" w:eastAsia="宋体" w:hint="default"/>
          <w:spacing w:val="-2"/>
        </w:rPr>
        <w:t>9.40%</w:t>
      </w:r>
      <w:r>
        <w:rPr>
          <w:spacing w:val="-2"/>
        </w:rPr>
        <w:t>，研发投入</w:t>
      </w:r>
      <w:r>
        <w:rPr>
          <w:spacing w:val="-58"/>
        </w:rPr>
        <w:t> </w:t>
      </w:r>
      <w:r>
        <w:rPr>
          <w:spacing w:val="-58"/>
        </w:rPr>
      </w:r>
      <w:r>
        <w:rPr/>
        <w:t>占营业收入的比例达到</w:t>
      </w:r>
      <w:r>
        <w:rPr>
          <w:rFonts w:ascii="宋体" w:hAnsi="宋体" w:cs="宋体" w:eastAsia="宋体" w:hint="default"/>
        </w:rPr>
        <w:t>11.26%</w:t>
      </w:r>
      <w:r>
        <w:rPr/>
        <w:t>，其中资本化部分金额为</w:t>
      </w:r>
      <w:r>
        <w:rPr>
          <w:rFonts w:ascii="宋体" w:hAnsi="宋体" w:cs="宋体" w:eastAsia="宋体" w:hint="default"/>
        </w:rPr>
        <w:t>29,432,333.87</w:t>
      </w:r>
      <w:r>
        <w:rPr/>
        <w:t>元。</w:t>
      </w:r>
    </w:p>
    <w:p>
      <w:pPr>
        <w:pStyle w:val="BodyText"/>
        <w:spacing w:line="240" w:lineRule="auto" w:before="48"/>
        <w:ind w:right="0"/>
        <w:jc w:val="left"/>
      </w:pPr>
      <w:r>
        <w:rPr/>
        <w:t>公司研发投入情况</w:t>
      </w:r>
    </w:p>
    <w:p>
      <w:pPr>
        <w:spacing w:line="240" w:lineRule="auto" w:before="3"/>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167,238,299.40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152,864,797.27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29,432,333.87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31,130,683.43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19"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38" w:lineRule="auto" w:before="117"/>
        <w:ind w:left="154" w:right="49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研发投入资本化率大幅变动的原因及其合理性说明</w:t>
      </w:r>
    </w:p>
    <w:p>
      <w:pPr>
        <w:spacing w:before="43"/>
        <w:ind w:left="154"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19"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9065" w:space="40"/>
            <w:col w:w="1825"/>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互联网金融云中心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67,203,242.86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第三次迭代研发测试阶段</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96.67%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数据营销平台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3,928,644.18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已结项</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数据实时处理云平台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895,045.74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启动阶段</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14.99%</w:t>
            </w:r>
          </w:p>
        </w:tc>
      </w:tr>
    </w:tbl>
    <w:p>
      <w:pPr>
        <w:pStyle w:val="BodyText"/>
        <w:spacing w:line="240" w:lineRule="auto" w:before="72"/>
        <w:ind w:right="0"/>
        <w:jc w:val="left"/>
      </w:pPr>
      <w:r>
        <w:rPr/>
        <w:t>资本化的依据为第十一节</w:t>
      </w:r>
      <w:r>
        <w:rPr>
          <w:spacing w:val="-9"/>
        </w:rPr>
        <w:t> </w:t>
      </w:r>
      <w:r>
        <w:rPr/>
        <w:t>第五点、重要会计政策及会计估计</w:t>
      </w:r>
      <w:r>
        <w:rPr>
          <w:rFonts w:ascii="Times New Roman" w:hAnsi="Times New Roman" w:cs="Times New Roman" w:eastAsia="Times New Roman" w:hint="default"/>
        </w:rPr>
        <w:t>18</w:t>
      </w:r>
      <w:r>
        <w:rPr/>
        <w:t>（</w:t>
      </w:r>
      <w:r>
        <w:rPr>
          <w:rFonts w:ascii="Times New Roman" w:hAnsi="Times New Roman" w:cs="Times New Roman" w:eastAsia="Times New Roman" w:hint="default"/>
        </w:rPr>
        <w:t>2</w:t>
      </w:r>
      <w:r>
        <w:rPr/>
        <w:t>）</w:t>
      </w:r>
      <w:r>
        <w:rPr>
          <w:rFonts w:ascii="宋体" w:hAnsi="宋体" w:cs="宋体" w:eastAsia="宋体" w:hint="default"/>
        </w:rPr>
        <w:t>,</w:t>
      </w:r>
      <w:r>
        <w:rPr/>
        <w:t>公司严格按照上述相关政策执行。</w:t>
      </w:r>
    </w:p>
    <w:p>
      <w:pPr>
        <w:spacing w:line="240" w:lineRule="auto" w:before="0"/>
        <w:rPr>
          <w:rFonts w:ascii="宋体" w:hAnsi="宋体" w:cs="宋体" w:eastAsia="宋体" w:hint="default"/>
          <w:sz w:val="20"/>
          <w:szCs w:val="20"/>
        </w:rPr>
      </w:pPr>
    </w:p>
    <w:p>
      <w:pPr>
        <w:pStyle w:val="Heading3"/>
        <w:spacing w:line="240" w:lineRule="auto" w:before="143"/>
        <w:ind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2,010,161,526.84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1,677,426,711.53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19.84%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2,038,413,135.54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1,568,998,520.93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29.92%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-28,251,608.70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108,428,190.60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-126.06%</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5,963,254,022.27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5,846,781,245.47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5,485,713,313.47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6,512,917,400.03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-15.77%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477,540,708.80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-666,136,154.56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171.69%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390,036,839.13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755,096,409.75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-48.35%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1,057,352,328.14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373,687,688.56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182.95%</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-667,315,489.01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381,408,721.19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-274.96%</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-218,025,205.03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-176,297,896.41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-23.67%</w:t>
            </w:r>
          </w:p>
        </w:tc>
      </w:tr>
    </w:tbl>
    <w:p>
      <w:pPr>
        <w:pStyle w:val="BodyText"/>
        <w:spacing w:line="240" w:lineRule="auto" w:before="72"/>
        <w:ind w:right="0"/>
        <w:jc w:val="left"/>
      </w:pPr>
      <w:r>
        <w:rPr/>
        <w:t>相关数据同比发生重大变动的主要影响因素说明</w:t>
      </w:r>
    </w:p>
    <w:p>
      <w:pPr>
        <w:spacing w:line="240" w:lineRule="auto" w:before="10"/>
        <w:rPr>
          <w:rFonts w:ascii="宋体" w:hAnsi="宋体" w:cs="宋体" w:eastAsia="宋体" w:hint="default"/>
          <w:sz w:val="15"/>
          <w:szCs w:val="15"/>
        </w:rPr>
      </w:pPr>
    </w:p>
    <w:p>
      <w:pPr>
        <w:pStyle w:val="BodyText"/>
        <w:spacing w:line="405" w:lineRule="auto"/>
        <w:ind w:left="553" w:right="1030" w:hanging="4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100"/>
        </w:rPr>
        <w:t> </w:t>
      </w:r>
      <w:r>
        <w:rPr>
          <w:spacing w:val="-1"/>
        </w:rPr>
        <w:t>经营活动产生的现金流量净额较去年同期减少</w:t>
      </w:r>
      <w:r>
        <w:rPr>
          <w:rFonts w:ascii="Times New Roman" w:hAnsi="Times New Roman" w:cs="Times New Roman" w:eastAsia="Times New Roman" w:hint="default"/>
          <w:spacing w:val="-1"/>
        </w:rPr>
        <w:t>126.06%</w:t>
      </w:r>
      <w:r>
        <w:rPr>
          <w:spacing w:val="-1"/>
        </w:rPr>
        <w:t>，主要系本期业务增长引起的成本及存货增加所致。</w:t>
      </w:r>
      <w:r>
        <w:rPr>
          <w:w w:val="100"/>
        </w:rPr>
        <w:t> </w:t>
      </w:r>
      <w:r>
        <w:rPr/>
        <w:t>投资活动产生的现金流量净额较去年同期增加</w:t>
      </w:r>
      <w:r>
        <w:rPr>
          <w:rFonts w:ascii="Times New Roman" w:hAnsi="Times New Roman" w:cs="Times New Roman" w:eastAsia="Times New Roman" w:hint="default"/>
        </w:rPr>
        <w:t>171.69%</w:t>
      </w:r>
      <w:r>
        <w:rPr/>
        <w:t>，主要系本期投资支付的现金减少所致。</w:t>
      </w:r>
      <w:r>
        <w:rPr>
          <w:w w:val="100"/>
        </w:rPr>
        <w:t> </w:t>
      </w:r>
      <w:r>
        <w:rPr/>
        <w:t>筹资活动现金流入小计较去年同期减少</w:t>
      </w:r>
      <w:r>
        <w:rPr>
          <w:rFonts w:ascii="Times New Roman" w:hAnsi="Times New Roman" w:cs="Times New Roman" w:eastAsia="Times New Roman" w:hint="default"/>
        </w:rPr>
        <w:t>48.35%</w:t>
      </w:r>
      <w:r>
        <w:rPr/>
        <w:t>，主要系本期信托收益权融资减少所致。</w:t>
      </w:r>
      <w:r>
        <w:rPr>
          <w:w w:val="100"/>
        </w:rPr>
        <w:t> </w:t>
      </w:r>
      <w:r>
        <w:rPr/>
        <w:t>筹资活动现金流出较去年同期增加</w:t>
      </w:r>
      <w:r>
        <w:rPr>
          <w:rFonts w:ascii="Times New Roman" w:hAnsi="Times New Roman" w:cs="Times New Roman" w:eastAsia="Times New Roman" w:hint="default"/>
        </w:rPr>
        <w:t>182.95%</w:t>
      </w:r>
      <w:r>
        <w:rPr/>
        <w:t>，主要系本期偿还公司债及信托收益权融资款所致。</w:t>
      </w:r>
      <w:r>
        <w:rPr>
          <w:w w:val="100"/>
        </w:rPr>
        <w:t> </w:t>
      </w:r>
      <w:r>
        <w:rPr>
          <w:spacing w:val="-1"/>
        </w:rPr>
        <w:t>筹资活动产生的现金流量净额较去年同期减少</w:t>
      </w:r>
      <w:r>
        <w:rPr>
          <w:rFonts w:ascii="Times New Roman" w:hAnsi="Times New Roman" w:cs="Times New Roman" w:eastAsia="Times New Roman" w:hint="default"/>
          <w:spacing w:val="-1"/>
        </w:rPr>
        <w:t>274.96%</w:t>
      </w:r>
      <w:r>
        <w:rPr>
          <w:spacing w:val="-1"/>
        </w:rPr>
        <w:t>，主要系本期偿还公司债及信托收益权融资款所致。</w:t>
      </w:r>
    </w:p>
    <w:p>
      <w:pPr>
        <w:pStyle w:val="BodyText"/>
        <w:spacing w:line="240" w:lineRule="auto" w:before="38"/>
        <w:ind w:right="0"/>
        <w:jc w:val="left"/>
      </w:pPr>
      <w:r>
        <w:rPr/>
        <w:t>报告期内公司经营活动产生的现金净流量与本年度净利润存在重大差异的原因说明</w:t>
      </w:r>
    </w:p>
    <w:p>
      <w:pPr>
        <w:spacing w:line="240" w:lineRule="auto" w:before="10"/>
        <w:rPr>
          <w:rFonts w:ascii="宋体" w:hAnsi="宋体" w:cs="宋体" w:eastAsia="宋体" w:hint="default"/>
          <w:sz w:val="15"/>
          <w:szCs w:val="1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不适用</w:t>
      </w:r>
    </w:p>
    <w:p>
      <w:pPr>
        <w:spacing w:line="240" w:lineRule="auto" w:before="3"/>
        <w:rPr>
          <w:rFonts w:ascii="宋体" w:hAnsi="宋体" w:cs="宋体" w:eastAsia="宋体" w:hint="default"/>
          <w:sz w:val="29"/>
          <w:szCs w:val="29"/>
        </w:rPr>
      </w:pPr>
    </w:p>
    <w:p>
      <w:pPr>
        <w:pStyle w:val="Heading2"/>
        <w:spacing w:line="240" w:lineRule="auto"/>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2"/>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254"/>
        <w:gridCol w:w="2254"/>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73"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109,670,963.17</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50" w:right="0"/>
              <w:jc w:val="left"/>
              <w:rPr>
                <w:rFonts w:ascii="Times New Roman" w:hAnsi="Times New Roman" w:cs="Times New Roman" w:eastAsia="Times New Roman" w:hint="default"/>
                <w:sz w:val="18"/>
                <w:szCs w:val="18"/>
              </w:rPr>
            </w:pPr>
            <w:r>
              <w:rPr>
                <w:rFonts w:ascii="Times New Roman"/>
                <w:sz w:val="18"/>
              </w:rPr>
              <w:t>-1,102.52%</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59"/>
              <w:jc w:val="both"/>
              <w:rPr>
                <w:rFonts w:ascii="宋体" w:hAnsi="宋体" w:cs="宋体" w:eastAsia="宋体" w:hint="default"/>
                <w:sz w:val="18"/>
                <w:szCs w:val="18"/>
              </w:rPr>
            </w:pPr>
            <w:r>
              <w:rPr>
                <w:rFonts w:ascii="宋体" w:hAnsi="宋体" w:cs="宋体" w:eastAsia="宋体" w:hint="default"/>
                <w:sz w:val="18"/>
                <w:szCs w:val="18"/>
              </w:rPr>
              <w:t>理财产品及信托产品收益、 权益法核算的长期股权投资 收益</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理财产品及信托产品收益不 具有可持续性、权益法核算 的长期股权投资收益具有可 持续性</w:t>
            </w:r>
          </w:p>
        </w:tc>
      </w:tr>
      <w:tr>
        <w:trPr>
          <w:trHeight w:val="392"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473"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78,514,253.49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-789.30%</w:t>
            </w:r>
            <w:r>
              <w:rPr>
                <w:rFonts w:ascii="Times New Roman"/>
                <w:sz w:val="18"/>
              </w:rPr>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商誉减值、坏账准备</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10,725,936.93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-107.83%</w:t>
            </w:r>
            <w:r>
              <w:rPr>
                <w:rFonts w:ascii="Times New Roman"/>
                <w:sz w:val="18"/>
              </w:rPr>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处置积压存货</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389,651,012.2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677,014,224.38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108,821,967.4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91,638,649.96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490,477,654.5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458,110,365.52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316,368,248.3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308,678,354.19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19,093,358.06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28,697,969.27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76,282.04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317,875,718.8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270,960,365.89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5"/>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不适用</w:t>
      </w:r>
    </w:p>
    <w:p>
      <w:pPr>
        <w:spacing w:line="240" w:lineRule="auto" w:before="12"/>
        <w:rPr>
          <w:rFonts w:ascii="宋体" w:hAnsi="宋体" w:cs="宋体" w:eastAsia="宋体" w:hint="default"/>
          <w:sz w:val="24"/>
          <w:szCs w:val="24"/>
        </w:rPr>
      </w:pPr>
    </w:p>
    <w:p>
      <w:pPr>
        <w:pStyle w:val="Heading3"/>
        <w:spacing w:line="240" w:lineRule="auto"/>
        <w:ind w:right="0"/>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5"/>
          <w:szCs w:val="25"/>
        </w:rPr>
      </w:pPr>
    </w:p>
    <w:tbl>
      <w:tblPr>
        <w:tblW w:w="0" w:type="auto"/>
        <w:jc w:val="left"/>
        <w:tblInd w:w="1776" w:type="dxa"/>
        <w:tblLayout w:type="fixed"/>
        <w:tblCellMar>
          <w:top w:w="0" w:type="dxa"/>
          <w:left w:w="0" w:type="dxa"/>
          <w:bottom w:w="0" w:type="dxa"/>
          <w:right w:w="0" w:type="dxa"/>
        </w:tblCellMar>
        <w:tblLook w:val="01E0"/>
      </w:tblPr>
      <w:tblGrid>
        <w:gridCol w:w="2133"/>
        <w:gridCol w:w="2268"/>
        <w:gridCol w:w="1984"/>
      </w:tblGrid>
      <w:tr>
        <w:trPr>
          <w:trHeight w:val="34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期末账面价值（元）</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受限原因</w:t>
            </w:r>
          </w:p>
        </w:tc>
      </w:tr>
      <w:tr>
        <w:trPr>
          <w:trHeight w:val="344"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货币资金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61,016,583.62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保证金、代管资金</w:t>
            </w:r>
          </w:p>
        </w:tc>
      </w:tr>
    </w:tbl>
    <w:p>
      <w:pPr>
        <w:pStyle w:val="BodyText"/>
        <w:spacing w:line="429" w:lineRule="auto" w:before="72"/>
        <w:ind w:right="0" w:firstLine="399"/>
        <w:jc w:val="left"/>
      </w:pPr>
      <w:r>
        <w:rPr>
          <w:spacing w:val="-1"/>
        </w:rPr>
        <w:t>报告期末受限资金主要系向银行申请开具无条件不可撤销的担保函所存入的保证金存款、大金所因提供相</w:t>
      </w:r>
      <w:r>
        <w:rPr>
          <w:w w:val="100"/>
        </w:rPr>
        <w:t> </w:t>
      </w:r>
      <w:r>
        <w:rPr/>
        <w:t>关产品的发行交易服务形成的代管资金以及纳入合并范围的信托计划而存放于信托公司的资金账户余额。</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五、投资状况分析" w:id="45"/>
      <w:bookmarkEnd w:id="45"/>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5"/>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1"/>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4,582,650.00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9" w:right="0"/>
              <w:jc w:val="left"/>
              <w:rPr>
                <w:rFonts w:ascii="Times New Roman" w:hAnsi="Times New Roman" w:cs="Times New Roman" w:eastAsia="Times New Roman" w:hint="default"/>
                <w:sz w:val="18"/>
                <w:szCs w:val="18"/>
              </w:rPr>
            </w:pPr>
            <w:r>
              <w:rPr>
                <w:rFonts w:ascii="Times New Roman"/>
                <w:sz w:val="18"/>
              </w:rPr>
              <w:t>560,453,011.82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-99.18%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5"/>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不适用</w:t>
      </w:r>
    </w:p>
    <w:p>
      <w:pPr>
        <w:spacing w:line="240" w:lineRule="auto" w:before="11"/>
        <w:rPr>
          <w:rFonts w:ascii="宋体" w:hAnsi="宋体" w:cs="宋体" w:eastAsia="宋体" w:hint="default"/>
          <w:sz w:val="24"/>
          <w:szCs w:val="24"/>
        </w:rPr>
      </w:pPr>
    </w:p>
    <w:p>
      <w:pPr>
        <w:pStyle w:val="Heading3"/>
        <w:spacing w:line="240" w:lineRule="auto"/>
        <w:ind w:right="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6"/>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6"/>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不适用</w:t>
      </w:r>
    </w:p>
    <w:p>
      <w:pPr>
        <w:spacing w:line="240" w:lineRule="auto" w:before="11"/>
        <w:rPr>
          <w:rFonts w:ascii="宋体" w:hAnsi="宋体" w:cs="宋体" w:eastAsia="宋体" w:hint="default"/>
          <w:sz w:val="24"/>
          <w:szCs w:val="24"/>
        </w:rPr>
      </w:pPr>
    </w:p>
    <w:p>
      <w:pPr>
        <w:pStyle w:val="Heading3"/>
        <w:spacing w:line="240" w:lineRule="auto"/>
        <w:ind w:right="0"/>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6"/>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11"/>
        <w:rPr>
          <w:rFonts w:ascii="宋体" w:hAnsi="宋体" w:cs="宋体" w:eastAsia="宋体" w:hint="default"/>
          <w:sz w:val="24"/>
          <w:szCs w:val="24"/>
        </w:rPr>
      </w:pPr>
    </w:p>
    <w:p>
      <w:pPr>
        <w:pStyle w:val="Heading3"/>
        <w:spacing w:line="240" w:lineRule="auto"/>
        <w:ind w:right="0"/>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6"/>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7" w:footer="979" w:top="1060" w:bottom="1160" w:left="980" w:right="0"/>
        </w:sectPr>
      </w:pPr>
    </w:p>
    <w:p>
      <w:pPr>
        <w:pStyle w:val="BodyText"/>
        <w:spacing w:line="240" w:lineRule="auto" w:before="38"/>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686" w:space="7054"/>
            <w:col w:w="219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0"/>
          <w:szCs w:val="10"/>
        </w:rPr>
      </w:pPr>
    </w:p>
    <w:p>
      <w:pPr>
        <w:spacing w:line="780" w:lineRule="exact"/>
        <w:ind w:left="8855"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3pt;height:39pt;mso-position-horizontal-relative:char;mso-position-vertical-relative:line" coordorigin="0,0" coordsize="860,780">
            <v:group style="position:absolute;left:0;top:0;width:860;height:780" coordorigin="0,0" coordsize="860,780">
              <v:shape style="position:absolute;left:0;top:0;width:860;height:780" coordorigin="0,0" coordsize="860,780" path="m0,780l859,780,859,0,0,0,0,780xe" filled="true" fillcolor="#ffffff" stroked="false">
                <v:path arrowok="t"/>
                <v:fill type="solid"/>
              </v:shape>
            </v:group>
          </v:group>
        </w:pict>
      </w:r>
      <w:r>
        <w:rPr>
          <w:rFonts w:ascii="宋体" w:hAnsi="宋体" w:cs="宋体" w:eastAsia="宋体" w:hint="default"/>
          <w:position w:val="-1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before="0"/>
        <w:ind w:left="0" w:right="1157" w:firstLine="0"/>
        <w:jc w:val="right"/>
        <w:rPr>
          <w:rFonts w:ascii="宋体" w:hAnsi="宋体" w:cs="宋体" w:eastAsia="宋体" w:hint="default"/>
          <w:sz w:val="18"/>
          <w:szCs w:val="18"/>
        </w:rPr>
      </w:pPr>
      <w:r>
        <w:rPr/>
        <w:pict>
          <v:shape style="position:absolute;margin-left:56.459999pt;margin-top:-208.268295pt;width:479pt;height:319.4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962"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85"/>
                          <w:jc w:val="center"/>
                          <w:rPr>
                            <w:rFonts w:ascii="宋体" w:hAnsi="宋体" w:cs="宋体" w:eastAsia="宋体" w:hint="default"/>
                            <w:sz w:val="18"/>
                            <w:szCs w:val="18"/>
                          </w:rPr>
                        </w:pPr>
                        <w:r>
                          <w:rPr>
                            <w:rFonts w:ascii="宋体" w:hAnsi="宋体" w:cs="宋体" w:eastAsia="宋体" w:hint="default"/>
                            <w:sz w:val="18"/>
                            <w:szCs w:val="18"/>
                          </w:rPr>
                          <w:t>定向增发</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95,723.64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2,482.1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55,575.3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31,919.51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33.35%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45,375.43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购买保本 理财产品 以活期存 款方式存 放于监管 银行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95,723.64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2,482.1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55,575.3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31,919.51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33.35%</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45,375.43</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274"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3136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号《关于核准北京中科金财科技股份有限公司非公开发行股票的批复 核准，公司非公开发行不超过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25,673,534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股新股。实际非公开发行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20,597,584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股，每股发行价格为人民币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元，募集</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资金总额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971,999,988.96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元，扣除承销费等发行费用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14,763,606.15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元，实际募集资金净额为人民币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957,236,382.81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2"/>
                            <w:sz w:val="18"/>
                            <w:szCs w:val="18"/>
                          </w:rPr>
                          <w:t>述募集资金实收情况已经立信会计师事务所（特殊普通合伙）验证，并出具信会师报字</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第</w:t>
                        </w:r>
                        <w:r>
                          <w:rPr>
                            <w:rFonts w:ascii="宋体" w:hAnsi="宋体" w:cs="宋体" w:eastAsia="宋体" w:hint="default"/>
                            <w:sz w:val="18"/>
                            <w:szCs w:val="18"/>
                          </w:rPr>
                          <w:t> </w:t>
                        </w:r>
                        <w:r>
                          <w:rPr>
                            <w:rFonts w:ascii="Times New Roman" w:hAnsi="Times New Roman" w:cs="Times New Roman" w:eastAsia="Times New Roman" w:hint="default"/>
                            <w:sz w:val="18"/>
                            <w:szCs w:val="18"/>
                          </w:rPr>
                          <w:t>210037</w:t>
                        </w:r>
                        <w:r>
                          <w:rPr>
                            <w:rFonts w:ascii="Times New Roman" w:hAnsi="Times New Roman" w:cs="Times New Roman" w:eastAsia="Times New Roman" w:hint="default"/>
                            <w:spacing w:val="-5"/>
                            <w:sz w:val="18"/>
                            <w:szCs w:val="18"/>
                          </w:rPr>
                          <w:t> </w:t>
                        </w:r>
                        <w:r>
                          <w:rPr>
                            <w:rFonts w:ascii="宋体" w:hAnsi="宋体" w:cs="宋体" w:eastAsia="宋体" w:hint="default"/>
                            <w:spacing w:val="-2"/>
                            <w:sz w:val="18"/>
                            <w:szCs w:val="18"/>
                          </w:rPr>
                          <w:t>号验资报告。截至</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日，公司累计使用募集资金人民币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555,753,043.54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元，募集资金理财收益、利息收入扣减手续费净额</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52,271,008.46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元。期末募集资金余额为人民币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453,754,347.73</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元，其中，购买保本型理财产品余额为人民币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453,000,000.00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元，募集资金余额为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754,347.73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9"/>
        <w:ind w:right="0"/>
        <w:jc w:val="left"/>
        <w:rPr>
          <w:b w:val="0"/>
          <w:bCs w:val="0"/>
        </w:rPr>
      </w:pP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5"/>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0"/>
        </w:sectPr>
      </w:pPr>
    </w:p>
    <w:p>
      <w:pPr>
        <w:pStyle w:val="BodyText"/>
        <w:spacing w:line="240" w:lineRule="auto" w:before="38"/>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686" w:space="7054"/>
            <w:col w:w="219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互联网金融云中心</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2" w:right="0"/>
              <w:jc w:val="left"/>
              <w:rPr>
                <w:rFonts w:ascii="Times New Roman" w:hAnsi="Times New Roman" w:cs="Times New Roman" w:eastAsia="Times New Roman" w:hint="default"/>
                <w:sz w:val="18"/>
                <w:szCs w:val="18"/>
              </w:rPr>
            </w:pPr>
            <w:r>
              <w:rPr>
                <w:rFonts w:ascii="Times New Roman"/>
                <w:sz w:val="18"/>
              </w:rPr>
              <w:t>38,800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6,880.49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 w:right="0"/>
              <w:jc w:val="left"/>
              <w:rPr>
                <w:rFonts w:ascii="Times New Roman" w:hAnsi="Times New Roman" w:cs="Times New Roman" w:eastAsia="Times New Roman" w:hint="default"/>
                <w:sz w:val="18"/>
                <w:szCs w:val="18"/>
              </w:rPr>
            </w:pPr>
            <w:r>
              <w:rPr>
                <w:rFonts w:ascii="Times New Roman"/>
                <w:sz w:val="18"/>
              </w:rPr>
              <w:t>2,482.1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6,651.66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 w:right="0"/>
              <w:jc w:val="left"/>
              <w:rPr>
                <w:rFonts w:ascii="Times New Roman" w:hAnsi="Times New Roman" w:cs="Times New Roman" w:eastAsia="Times New Roman" w:hint="default"/>
                <w:sz w:val="18"/>
                <w:szCs w:val="18"/>
              </w:rPr>
            </w:pPr>
            <w:r>
              <w:rPr>
                <w:rFonts w:ascii="Times New Roman"/>
                <w:sz w:val="18"/>
              </w:rPr>
              <w:t>96.67%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93.55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674" w:hRule="exact"/>
                    </w:trPr>
                    <w:tc>
                      <w:tcPr>
                        <w:tcW w:w="177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智能银行研发中心</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增资安粮期货</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25,400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25,400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25,400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1,422.17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23,523.64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23,523.64</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23,523.64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待落实募集资金项目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31,919.51</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95,723.64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95,723.64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2,482.1</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55,575.3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1,422.17</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无超募资金</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95,723.64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95,723.64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2,482.1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55,575.3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1,422.17</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206"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28" w:lineRule="auto" w:before="51"/>
                          <w:ind w:left="16"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、互联网金融云中心项目 原募集资金投资项目互联网金融云中心项目的地址位于天津，公司计划利用位于天津滨海高新技术 产业开发区的自有土地用作场地建设。项目建设期限为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年，主要包括项目土建、项目硬件建设、</w:t>
                        </w:r>
                      </w:p>
                      <w:p>
                        <w:pPr>
                          <w:pStyle w:val="TableParagraph"/>
                          <w:spacing w:line="314" w:lineRule="auto"/>
                          <w:ind w:left="16" w:right="23"/>
                          <w:jc w:val="left"/>
                          <w:rPr>
                            <w:rFonts w:ascii="宋体" w:hAnsi="宋体" w:cs="宋体" w:eastAsia="宋体" w:hint="default"/>
                            <w:sz w:val="18"/>
                            <w:szCs w:val="18"/>
                          </w:rPr>
                        </w:pPr>
                        <w:r>
                          <w:rPr>
                            <w:rFonts w:ascii="宋体" w:hAnsi="宋体" w:cs="宋体" w:eastAsia="宋体" w:hint="default"/>
                            <w:sz w:val="18"/>
                            <w:szCs w:val="18"/>
                          </w:rPr>
                          <w:t>项目软件开发三大部分内容。该项目原计划投资</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38,890.86</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万元，其中拟使用募集资金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38,800.00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 元。随着金融科技、智能银行业态的快速发展，以及受行业政策走向的影响，行业内高端人才越来 </w:t>
                        </w:r>
                        <w:r>
                          <w:rPr>
                            <w:rFonts w:ascii="宋体" w:hAnsi="宋体" w:cs="宋体" w:eastAsia="宋体" w:hint="default"/>
                            <w:spacing w:val="-3"/>
                            <w:sz w:val="18"/>
                            <w:szCs w:val="18"/>
                          </w:rPr>
                          <w:t>越多地聚集在北京等一线城市，而公司上述募投项目实施地点位于天津，考虑到公司总部位于北京</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且已经在北京吸引储备了部分人才，继续在天津实施该等募投项目不利于公司保持较强的高端人才 吸引和储备能力，不利于公司充分利用现有的人才、技术等资源，提升资源的优化配置，从而达到 经济效益最大化的效果。基于上述考虑，公司在原互联网金融云中心项目的基础上对其实施地点及 部分建设内容进行调整，变更后的项目实施地点位于北京，利用公司总部的现有办公地点实施，预 计投资总额变更为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6,880.49 </w:t>
                        </w:r>
                        <w:r>
                          <w:rPr>
                            <w:rFonts w:ascii="宋体" w:hAnsi="宋体" w:cs="宋体" w:eastAsia="宋体" w:hint="default"/>
                            <w:sz w:val="18"/>
                            <w:szCs w:val="18"/>
                          </w:rPr>
                          <w:t>万元，全部使用募集资金投入，剩余募集资金将继续存放于募集资金专 户，由保荐机构和银行共同监管，在募集资金投资项目落实前暂不使用。</w:t>
                        </w:r>
                      </w:p>
                      <w:p>
                        <w:pPr>
                          <w:pStyle w:val="TableParagraph"/>
                          <w:spacing w:line="328" w:lineRule="auto" w:before="60"/>
                          <w:ind w:left="16"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、智能银行研发中心项目 原募集资金投资项目智能银行研发中心项目的建设地址位于天津，公司计划利用位于天津滨海高新 技术产业开发区的自有土地用作研发场地建设。项目规划建筑面积 </w:t>
                        </w:r>
                        <w:r>
                          <w:rPr>
                            <w:rFonts w:ascii="Times New Roman" w:hAnsi="Times New Roman" w:cs="Times New Roman" w:eastAsia="Times New Roman" w:hint="default"/>
                            <w:sz w:val="18"/>
                            <w:szCs w:val="18"/>
                          </w:rPr>
                          <w:t>6000  </w:t>
                        </w:r>
                        <w:r>
                          <w:rPr>
                            <w:rFonts w:ascii="宋体" w:hAnsi="宋体" w:cs="宋体" w:eastAsia="宋体" w:hint="default"/>
                            <w:sz w:val="18"/>
                            <w:szCs w:val="18"/>
                          </w:rPr>
                          <w:t>平方米，主要由体验中心</w:t>
                        </w:r>
                      </w:p>
                      <w:p>
                        <w:pPr>
                          <w:pStyle w:val="TableParagraph"/>
                          <w:spacing w:line="312" w:lineRule="auto"/>
                          <w:ind w:left="16" w:right="23"/>
                          <w:jc w:val="both"/>
                          <w:rPr>
                            <w:rFonts w:ascii="宋体" w:hAnsi="宋体" w:cs="宋体" w:eastAsia="宋体" w:hint="default"/>
                            <w:sz w:val="18"/>
                            <w:szCs w:val="18"/>
                          </w:rPr>
                        </w:pPr>
                        <w:r>
                          <w:rPr>
                            <w:rFonts w:ascii="宋体" w:hAnsi="宋体" w:cs="宋体" w:eastAsia="宋体" w:hint="default"/>
                            <w:sz w:val="18"/>
                            <w:szCs w:val="18"/>
                          </w:rPr>
                          <w:t>与开发中心两部分组成。该项目原计划投资</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8,080.05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万元，其中使用募集资金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8,000.00</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万元。考虑</w:t>
                        </w:r>
                        <w:r>
                          <w:rPr>
                            <w:rFonts w:ascii="宋体" w:hAnsi="宋体" w:cs="宋体" w:eastAsia="宋体" w:hint="default"/>
                            <w:sz w:val="18"/>
                            <w:szCs w:val="18"/>
                          </w:rPr>
                          <w:t> 到原智能银行研发中心项目对场地建设环境等条件要求较高，暂不适宜在北京总部立即开展建设， 故暂停该项目的实施，未来在场地条件允许时将使用自有资金实施，或在履行必要的决策程序后使 用募集资金实施。</w:t>
                        </w:r>
                      </w:p>
                      <w:p>
                        <w:pPr>
                          <w:pStyle w:val="TableParagraph"/>
                          <w:spacing w:line="307" w:lineRule="auto" w:before="62"/>
                          <w:ind w:left="16"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日，第四届董事会第七次会议审议通过了《关于变更募集资金投资项目的议案》，会</w:t>
                        </w:r>
                        <w:r>
                          <w:rPr>
                            <w:rFonts w:ascii="宋体" w:hAnsi="宋体" w:cs="宋体" w:eastAsia="宋体" w:hint="default"/>
                            <w:sz w:val="18"/>
                            <w:szCs w:val="18"/>
                          </w:rPr>
                          <w:t> 议同意对原募集资金投资项目的建设地点进行变更，并根据建设地点变更相应地对项目建设内容进 行部分调整。监事会、独立董事及保荐机构均出具了同意的意见。</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 东大会审议并通过了该议案，公司已进行了公告披露。</w:t>
                        </w:r>
                      </w:p>
                    </w:tc>
                  </w:tr>
                  <w:tr>
                    <w:trPr>
                      <w:trHeight w:val="1015"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vMerge/>
                        <w:tcBorders>
                          <w:left w:val="single" w:sz="9" w:space="0" w:color="D2D2D2"/>
                          <w:right w:val="single" w:sz="4" w:space="0" w:color="000000"/>
                        </w:tcBorders>
                      </w:tcPr>
                      <w:p>
                        <w:pPr/>
                      </w:p>
                    </w:tc>
                  </w:tr>
                  <w:tr>
                    <w:trPr>
                      <w:trHeight w:val="3205"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公司不存在项目可行性发生重大变化的情况。</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募集资金投资项目实</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spacing w:before="44"/>
        <w:ind w:left="0" w:right="1141"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90.25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7426"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1"/>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、互联网金融云中心项目 原募集资金投资项目互联网金融云中心项目的地址位于天津，公司计划利用位于天津滨海高新技术 产业开发区的自有土地用作场地建设。项目建设期限为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年，主要包括项目土建、项目硬件建设、</w:t>
                        </w:r>
                      </w:p>
                      <w:p>
                        <w:pPr>
                          <w:pStyle w:val="TableParagraph"/>
                          <w:spacing w:line="314" w:lineRule="auto"/>
                          <w:ind w:left="22" w:right="23"/>
                          <w:jc w:val="left"/>
                          <w:rPr>
                            <w:rFonts w:ascii="宋体" w:hAnsi="宋体" w:cs="宋体" w:eastAsia="宋体" w:hint="default"/>
                            <w:sz w:val="18"/>
                            <w:szCs w:val="18"/>
                          </w:rPr>
                        </w:pPr>
                        <w:r>
                          <w:rPr>
                            <w:rFonts w:ascii="宋体" w:hAnsi="宋体" w:cs="宋体" w:eastAsia="宋体" w:hint="default"/>
                            <w:sz w:val="18"/>
                            <w:szCs w:val="18"/>
                          </w:rPr>
                          <w:t>项目软件开发三大部分内容。该项目原计划投资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38,890.86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万元，其中拟使用募集资金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38,800.00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元。随着金融科技、智能银行业态的快速发展，以及受行业政策走向的影响，行业内高端人才越来 </w:t>
                        </w:r>
                        <w:r>
                          <w:rPr>
                            <w:rFonts w:ascii="宋体" w:hAnsi="宋体" w:cs="宋体" w:eastAsia="宋体" w:hint="default"/>
                            <w:spacing w:val="-3"/>
                            <w:sz w:val="18"/>
                            <w:szCs w:val="18"/>
                          </w:rPr>
                          <w:t>越多地聚集在北京等一线城市，而公司上述募投项目实施地点位于天津，考虑到公司总部位于北京</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且已经在北京吸引储备了部分人才，继续在天津实施该等募投项目不利于公司保持较强的高端人才 吸引和储备能力，不利于公司充分利用现有的人才、技术等资源，提升资源的优化配置，从而达到 经济效益最大化的效果。基于上述考虑，公司在原互联网金融云中心项目的基础上对其实施地点及 部分建设内容进行调整，变更后的项目实施地点位于北京，利用公司总部的现有办公地点实施，预 计投资总额变更为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6,880.49 </w:t>
                        </w:r>
                        <w:r>
                          <w:rPr>
                            <w:rFonts w:ascii="宋体" w:hAnsi="宋体" w:cs="宋体" w:eastAsia="宋体" w:hint="default"/>
                            <w:sz w:val="18"/>
                            <w:szCs w:val="18"/>
                          </w:rPr>
                          <w:t>万元，全部使用募集资金投入，剩余募集资金将继续存放于募集资金专 户，由保荐机构和银行共同监管，在募集资金投资项目落实前暂不使用。</w:t>
                        </w:r>
                      </w:p>
                      <w:p>
                        <w:pPr>
                          <w:pStyle w:val="TableParagraph"/>
                          <w:spacing w:line="328" w:lineRule="auto" w:before="60"/>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、智能银行研发中心项目 原募集资金投资项目智能银行研发中心项目的建设地址位于天津，公司计划利用位于天津滨海高新 技术产业开发区的自有土地用作研发场地建设。项目规划建筑面积</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21"/>
                            <w:sz w:val="18"/>
                            <w:szCs w:val="18"/>
                          </w:rPr>
                          <w:t> </w:t>
                        </w:r>
                        <w:r>
                          <w:rPr>
                            <w:rFonts w:ascii="宋体" w:hAnsi="宋体" w:cs="宋体" w:eastAsia="宋体" w:hint="default"/>
                            <w:spacing w:val="-4"/>
                            <w:sz w:val="18"/>
                            <w:szCs w:val="18"/>
                          </w:rPr>
                          <w:t>平方米，主要由体验中心与</w:t>
                        </w:r>
                      </w:p>
                      <w:p>
                        <w:pPr>
                          <w:pStyle w:val="TableParagraph"/>
                          <w:spacing w:line="312" w:lineRule="auto"/>
                          <w:ind w:left="22" w:right="25"/>
                          <w:jc w:val="both"/>
                          <w:rPr>
                            <w:rFonts w:ascii="宋体" w:hAnsi="宋体" w:cs="宋体" w:eastAsia="宋体" w:hint="default"/>
                            <w:sz w:val="18"/>
                            <w:szCs w:val="18"/>
                          </w:rPr>
                        </w:pPr>
                        <w:r>
                          <w:rPr>
                            <w:rFonts w:ascii="宋体" w:hAnsi="宋体" w:cs="宋体" w:eastAsia="宋体" w:hint="default"/>
                            <w:sz w:val="18"/>
                            <w:szCs w:val="18"/>
                          </w:rPr>
                          <w:t>开发中心两部分组成。该项目原计划投资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8,080.05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万元。考虑到 原智能银行研发中心项目对场地建设环境等条件要求较高，暂不适宜在北京总部立即开展建设，故 暂停该项目的实施，未来在场地条件允许时将使用自有资金实施，或在履行必要的决策程序后使用 募集资金实施。</w:t>
                        </w:r>
                      </w:p>
                      <w:p>
                        <w:pPr>
                          <w:pStyle w:val="TableParagraph"/>
                          <w:spacing w:line="307" w:lineRule="auto" w:before="6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日，第四届董事会第七次会议审议通过了《关于变更募集资金投资项目的议案》，会</w:t>
                        </w:r>
                        <w:r>
                          <w:rPr>
                            <w:rFonts w:ascii="宋体" w:hAnsi="宋体" w:cs="宋体" w:eastAsia="宋体" w:hint="default"/>
                            <w:sz w:val="18"/>
                            <w:szCs w:val="18"/>
                          </w:rPr>
                          <w:t> 议同意对原募集资金投资项目的建设地点进行变更，并根据建设地点变更相应地对项目建设内容进 行部分调整。监事会、独立董事及保荐机构均出具了同意的意见。</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年度股 东大会审议并通过了该议案，公司已进行了公告披露。</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516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2"/>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、互联网金融云中心项目 原募集资金投资项目互联网金融云中心项目的地址位于天津，公司计划利用位于天津滨海高新技术 产业开发区的自有土地用作场地建设。项目建设期限为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年，主要包括项目土建、项目硬件建设、</w:t>
                        </w:r>
                      </w:p>
                      <w:p>
                        <w:pPr>
                          <w:pStyle w:val="TableParagraph"/>
                          <w:spacing w:line="314" w:lineRule="auto"/>
                          <w:ind w:left="22" w:right="23"/>
                          <w:jc w:val="left"/>
                          <w:rPr>
                            <w:rFonts w:ascii="宋体" w:hAnsi="宋体" w:cs="宋体" w:eastAsia="宋体" w:hint="default"/>
                            <w:sz w:val="18"/>
                            <w:szCs w:val="18"/>
                          </w:rPr>
                        </w:pPr>
                        <w:r>
                          <w:rPr>
                            <w:rFonts w:ascii="宋体" w:hAnsi="宋体" w:cs="宋体" w:eastAsia="宋体" w:hint="default"/>
                            <w:sz w:val="18"/>
                            <w:szCs w:val="18"/>
                          </w:rPr>
                          <w:t>项目软件开发三大部分内容。该项目原计划投资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38,890.86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万元，其中拟使用募集资金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38,800.00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元。随着金融科技、智能银行业态的快速发展，以及受行业政策走向的影响，行业内高端人才越来 </w:t>
                        </w:r>
                        <w:r>
                          <w:rPr>
                            <w:rFonts w:ascii="宋体" w:hAnsi="宋体" w:cs="宋体" w:eastAsia="宋体" w:hint="default"/>
                            <w:spacing w:val="-3"/>
                            <w:sz w:val="18"/>
                            <w:szCs w:val="18"/>
                          </w:rPr>
                          <w:t>越多地聚集在北京等一线城市，而公司上述募投项目实施地点位于天津，考虑到公司总部位于北京</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且已经在北京吸引储备了部分人才，继续在天津实施该等募投项目不利于公司保持较强的高端人才 吸引和储备能力，不利于公司充分利用现有的人才、技术等资源，提升资源的优化配置，从而达到 经济效益最大化的效果。基于上述考虑，公司在原互联网金融云中心项目的基础上对其实施地点及 部分建设内容进行调整，变更后的项目实施地点位于北京，利用公司总部的现有办公地点实施，预 计投资总额变更为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6,880.49 </w:t>
                        </w:r>
                        <w:r>
                          <w:rPr>
                            <w:rFonts w:ascii="宋体" w:hAnsi="宋体" w:cs="宋体" w:eastAsia="宋体" w:hint="default"/>
                            <w:sz w:val="18"/>
                            <w:szCs w:val="18"/>
                          </w:rPr>
                          <w:t>万元，全部使用募集资金投入，剩余募集资金将继续存放于募集资金专 户，由保荐机构和银行共同监管，在募集资金投资项目落实前暂不使用。</w:t>
                        </w:r>
                      </w:p>
                      <w:p>
                        <w:pPr>
                          <w:pStyle w:val="TableParagraph"/>
                          <w:spacing w:line="328" w:lineRule="auto" w:before="62"/>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、智能银行研发中心项目 原募集资金投资项目智能银行研发中心项目的建设地址位于天津，公司计划利用位于天津滨海高新 技术产业开发区的自有土地用作研发场地建设。项目规划建筑面积</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21"/>
                            <w:sz w:val="18"/>
                            <w:szCs w:val="18"/>
                          </w:rPr>
                          <w:t> </w:t>
                        </w:r>
                        <w:r>
                          <w:rPr>
                            <w:rFonts w:ascii="宋体" w:hAnsi="宋体" w:cs="宋体" w:eastAsia="宋体" w:hint="default"/>
                            <w:spacing w:val="-4"/>
                            <w:sz w:val="18"/>
                            <w:szCs w:val="18"/>
                          </w:rPr>
                          <w:t>平方米，主要由体验中心与</w:t>
                        </w:r>
                      </w:p>
                      <w:p>
                        <w:pPr>
                          <w:pStyle w:val="TableParagraph"/>
                          <w:spacing w:line="238" w:lineRule="exact"/>
                          <w:ind w:left="22" w:right="0"/>
                          <w:jc w:val="left"/>
                          <w:rPr>
                            <w:rFonts w:ascii="宋体" w:hAnsi="宋体" w:cs="宋体" w:eastAsia="宋体" w:hint="default"/>
                            <w:sz w:val="18"/>
                            <w:szCs w:val="18"/>
                          </w:rPr>
                        </w:pPr>
                        <w:r>
                          <w:rPr>
                            <w:rFonts w:ascii="宋体" w:hAnsi="宋体" w:cs="宋体" w:eastAsia="宋体" w:hint="default"/>
                            <w:sz w:val="18"/>
                            <w:szCs w:val="18"/>
                          </w:rPr>
                          <w:t>开发中心两部分组成。该项目原计划投资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8,080.05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万元。考虑到</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spacing w:before="44"/>
        <w:ind w:left="0" w:right="114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spacing w:before="44"/>
        <w:ind w:left="0" w:right="1141"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before="0"/>
        <w:ind w:left="0" w:right="1143" w:firstLine="0"/>
        <w:jc w:val="right"/>
        <w:rPr>
          <w:rFonts w:ascii="宋体" w:hAnsi="宋体" w:cs="宋体" w:eastAsia="宋体" w:hint="default"/>
          <w:sz w:val="18"/>
          <w:szCs w:val="18"/>
        </w:rPr>
      </w:pPr>
      <w:r>
        <w:rPr/>
        <w:pict>
          <v:shape style="position:absolute;margin-left:56.459999pt;margin-top:-214.868301pt;width:479.2pt;height:415.4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227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5"/>
                          <w:jc w:val="both"/>
                          <w:rPr>
                            <w:rFonts w:ascii="宋体" w:hAnsi="宋体" w:cs="宋体" w:eastAsia="宋体" w:hint="default"/>
                            <w:sz w:val="18"/>
                            <w:szCs w:val="18"/>
                          </w:rPr>
                        </w:pPr>
                        <w:r>
                          <w:rPr>
                            <w:rFonts w:ascii="宋体" w:hAnsi="宋体" w:cs="宋体" w:eastAsia="宋体" w:hint="default"/>
                            <w:sz w:val="18"/>
                            <w:szCs w:val="18"/>
                          </w:rPr>
                          <w:t>原智能银行研发中心项目对场地建设环境等条件要求较高，暂不适宜在北京总部立即开展建设，故 暂停该项目的实施，未来在场地条件允许时将使用自有资金实施，或在履行必要的决策程序后使用 募集资金实施。</w:t>
                        </w:r>
                      </w:p>
                      <w:p>
                        <w:pPr>
                          <w:pStyle w:val="TableParagraph"/>
                          <w:spacing w:line="307" w:lineRule="auto" w:before="56"/>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日，第四届董事会第七次会议审议通过了《关于变更募集资金投资项目的议案》，会</w:t>
                        </w:r>
                        <w:r>
                          <w:rPr>
                            <w:rFonts w:ascii="宋体" w:hAnsi="宋体" w:cs="宋体" w:eastAsia="宋体" w:hint="default"/>
                            <w:sz w:val="18"/>
                            <w:szCs w:val="18"/>
                          </w:rPr>
                          <w:t> 议同意对原募集资金投资项目的建设地点进行变更，并根据建设地点变更相应地对项目建设内容进 行部分调整。监事会、独立董事及保荐机构均出具了同意的意见。</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年度股 东大会审议并通过了该议案，公司已进行了公告披露。</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274"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年定向增发募集资金到位前，公司利用自筹资金对募集资金项目累计投入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254,000,000.00 </w:t>
                        </w:r>
                        <w:r>
                          <w:rPr>
                            <w:rFonts w:ascii="宋体" w:hAnsi="宋体" w:cs="宋体" w:eastAsia="宋体" w:hint="default"/>
                            <w:sz w:val="18"/>
                            <w:szCs w:val="18"/>
                          </w:rPr>
                          <w:t>元。立信会计师事务所（特殊普通合伙）对公司以自筹资金先期投入募集资金项目进行了审核，并 出具了《关于北京中科金财科技股份有限公司以募集资金置换预先已投入募集资金项目的自筹资金 </w:t>
                        </w:r>
                        <w:r>
                          <w:rPr>
                            <w:rFonts w:ascii="宋体" w:hAnsi="宋体" w:cs="宋体" w:eastAsia="宋体" w:hint="default"/>
                            <w:spacing w:val="-6"/>
                            <w:sz w:val="18"/>
                            <w:szCs w:val="18"/>
                          </w:rPr>
                          <w:t>的专项审核报告》（信会师报字</w:t>
                        </w:r>
                        <w:r>
                          <w:rPr>
                            <w:rFonts w:ascii="Times New Roman" w:hAnsi="Times New Roman" w:cs="Times New Roman" w:eastAsia="Times New Roman" w:hint="default"/>
                            <w:spacing w:val="-6"/>
                            <w:sz w:val="18"/>
                            <w:szCs w:val="18"/>
                          </w:rPr>
                          <w:t>[2016]</w:t>
                        </w:r>
                        <w:r>
                          <w:rPr>
                            <w:rFonts w:ascii="宋体" w:hAnsi="宋体" w:cs="宋体" w:eastAsia="宋体" w:hint="default"/>
                            <w:spacing w:val="-6"/>
                            <w:sz w:val="18"/>
                            <w:szCs w:val="18"/>
                          </w:rPr>
                          <w:t>第</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210058</w:t>
                        </w:r>
                        <w:r>
                          <w:rPr>
                            <w:rFonts w:ascii="Times New Roman" w:hAnsi="Times New Roman" w:cs="Times New Roman" w:eastAsia="Times New Roman" w:hint="default"/>
                            <w:spacing w:val="4"/>
                            <w:sz w:val="18"/>
                            <w:szCs w:val="18"/>
                          </w:rPr>
                          <w:t> </w:t>
                        </w:r>
                        <w:r>
                          <w:rPr>
                            <w:rFonts w:ascii="宋体" w:hAnsi="宋体" w:cs="宋体" w:eastAsia="宋体" w:hint="default"/>
                            <w:spacing w:val="-17"/>
                            <w:sz w:val="18"/>
                            <w:szCs w:val="18"/>
                          </w:rPr>
                          <w:t>号）；</w:t>
                        </w:r>
                        <w:r>
                          <w:rPr>
                            <w:rFonts w:ascii="Times New Roman" w:hAnsi="Times New Roman" w:cs="Times New Roman" w:eastAsia="Times New Roman" w:hint="default"/>
                            <w:spacing w:val="-17"/>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日，公司第三届董事会第二十</w:t>
                        </w:r>
                        <w:r>
                          <w:rPr>
                            <w:rFonts w:ascii="宋体" w:hAnsi="宋体" w:cs="宋体" w:eastAsia="宋体" w:hint="default"/>
                            <w:sz w:val="18"/>
                            <w:szCs w:val="18"/>
                          </w:rPr>
                          <w:t> </w:t>
                        </w:r>
                        <w:r>
                          <w:rPr>
                            <w:rFonts w:ascii="宋体" w:hAnsi="宋体" w:cs="宋体" w:eastAsia="宋体" w:hint="default"/>
                            <w:spacing w:val="-5"/>
                            <w:sz w:val="18"/>
                            <w:szCs w:val="18"/>
                          </w:rPr>
                          <w:t>次会议及公司第三届监事会第十五次会议审议通过了《关于使用募集资金置换先期投入的议案》，同</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意以募集资金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25,400.00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万元置换已投入募集资金投资项目的自筹资金，独立董事发表了同意意见 保荐机构发表了同意实施的核查意见，公司已进行了公告披露。</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日，募集资金余额为人民币</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453,754,347.73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元，其中，购买保本型理财产品余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453,000,000.00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元，募集资金以活期存款方式存放于监管银行余额为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754,347.73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5"/>
                          <w:jc w:val="left"/>
                          <w:rPr>
                            <w:rFonts w:ascii="宋体" w:hAnsi="宋体" w:cs="宋体" w:eastAsia="宋体" w:hint="default"/>
                            <w:sz w:val="18"/>
                            <w:szCs w:val="18"/>
                          </w:rPr>
                        </w:pPr>
                        <w:r>
                          <w:rPr>
                            <w:rFonts w:ascii="宋体" w:hAnsi="宋体" w:cs="宋体" w:eastAsia="宋体" w:hint="default"/>
                            <w:sz w:val="18"/>
                            <w:szCs w:val="18"/>
                          </w:rPr>
                          <w:t>公司按照相关法律、法规、规范性文件的规定和要求使用募集资金，并对募集资金使用情况及时地 进行了披露，不存在募集资金使用及管理的违规情形。</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3"/>
        <w:spacing w:line="240" w:lineRule="auto" w:before="35"/>
        <w:ind w:right="0"/>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5"/>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7" w:footer="979" w:top="1060" w:bottom="1160" w:left="980" w:right="0"/>
        </w:sectPr>
      </w:pPr>
    </w:p>
    <w:p>
      <w:pPr>
        <w:pStyle w:val="BodyText"/>
        <w:spacing w:line="240" w:lineRule="auto" w:before="38"/>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686" w:space="7054"/>
            <w:col w:w="219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3" w:right="20"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互联网金融 云中心</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互联网金融 云中心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6,880.49</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2,482.1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6,651.67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96.67%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83"/>
              <w:jc w:val="right"/>
              <w:rPr>
                <w:rFonts w:ascii="宋体" w:hAnsi="宋体" w:cs="宋体" w:eastAsia="宋体" w:hint="default"/>
                <w:sz w:val="18"/>
                <w:szCs w:val="18"/>
              </w:rPr>
            </w:pPr>
            <w:r>
              <w:rPr>
                <w:rFonts w:ascii="宋体" w:hAnsi="宋体" w:cs="宋体" w:eastAsia="宋体" w:hint="default"/>
                <w:sz w:val="18"/>
                <w:szCs w:val="18"/>
              </w:rPr>
              <w:t>不适用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6,880.49</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2,482.1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6,651.67</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12" w:right="0"/>
              <w:jc w:val="left"/>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13"/>
              <w:jc w:val="right"/>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317" w:hRule="exact"/>
        </w:trPr>
        <w:tc>
          <w:tcPr>
            <w:tcW w:w="2872"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6699" w:type="dxa"/>
            <w:gridSpan w:val="7"/>
            <w:vMerge w:val="restart"/>
            <w:tcBorders>
              <w:top w:val="single" w:sz="4" w:space="0" w:color="000000"/>
              <w:left w:val="single" w:sz="9" w:space="0" w:color="D2D2D2"/>
              <w:right w:val="single" w:sz="4" w:space="0" w:color="000000"/>
            </w:tcBorders>
          </w:tcPr>
          <w:p>
            <w:pPr>
              <w:pStyle w:val="TableParagraph"/>
              <w:spacing w:line="328" w:lineRule="auto" w:before="51"/>
              <w:ind w:left="17"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、互联网金融云中心项目 </w:t>
            </w:r>
            <w:r>
              <w:rPr>
                <w:rFonts w:ascii="宋体" w:hAnsi="宋体" w:cs="宋体" w:eastAsia="宋体" w:hint="default"/>
                <w:spacing w:val="-1"/>
                <w:sz w:val="18"/>
                <w:szCs w:val="18"/>
              </w:rPr>
              <w:t>原募集资金投资项目互联网金融云中心项目的地址位于天津，公司计划利用位于天津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滨海高新技术产业开发区的自有土地用作场地建设。项目建设期限为</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年，主要包括</w:t>
            </w:r>
          </w:p>
          <w:p>
            <w:pPr>
              <w:pStyle w:val="TableParagraph"/>
              <w:spacing w:line="238" w:lineRule="exact"/>
              <w:ind w:left="17"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项目土建、项目硬件建设、项目软件开发三大部分内容。该项目原计划投资</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38,890.86</w:t>
            </w:r>
          </w:p>
        </w:tc>
      </w:tr>
      <w:tr>
        <w:trPr>
          <w:trHeight w:val="704"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vMerge/>
            <w:tcBorders>
              <w:left w:val="single" w:sz="9" w:space="0" w:color="D2D2D2"/>
              <w:right w:val="single" w:sz="4" w:space="0" w:color="000000"/>
            </w:tcBorders>
          </w:tcPr>
          <w:p>
            <w:pPr/>
          </w:p>
        </w:tc>
      </w:tr>
      <w:tr>
        <w:trPr>
          <w:trHeight w:val="317" w:hRule="exact"/>
        </w:trPr>
        <w:tc>
          <w:tcPr>
            <w:tcW w:w="2872"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6699" w:type="dxa"/>
            <w:gridSpan w:val="7"/>
            <w:vMerge/>
            <w:tcBorders>
              <w:left w:val="single" w:sz="9" w:space="0" w:color="D2D2D2"/>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before="0"/>
        <w:ind w:left="0" w:right="1137" w:firstLine="0"/>
        <w:jc w:val="right"/>
        <w:rPr>
          <w:rFonts w:ascii="宋体" w:hAnsi="宋体" w:cs="宋体" w:eastAsia="宋体" w:hint="default"/>
          <w:sz w:val="18"/>
          <w:szCs w:val="18"/>
        </w:rPr>
      </w:pPr>
      <w:r>
        <w:rPr/>
        <w:pict>
          <v:shape style="position:absolute;margin-left:56.459999pt;margin-top:-16.608294pt;width:479.3pt;height:423.6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72"/>
                    <w:gridCol w:w="6699"/>
                  </w:tblGrid>
                  <w:tr>
                    <w:trPr>
                      <w:trHeight w:val="7035"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3"/>
                          <w:jc w:val="left"/>
                          <w:rPr>
                            <w:rFonts w:ascii="宋体" w:hAnsi="宋体" w:cs="宋体" w:eastAsia="宋体" w:hint="default"/>
                            <w:sz w:val="18"/>
                            <w:szCs w:val="18"/>
                          </w:rPr>
                        </w:pPr>
                        <w:r>
                          <w:rPr>
                            <w:rFonts w:ascii="宋体" w:hAnsi="宋体" w:cs="宋体" w:eastAsia="宋体" w:hint="default"/>
                            <w:sz w:val="18"/>
                            <w:szCs w:val="18"/>
                          </w:rPr>
                          <w:t>万元，其中拟使用募集资金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38,800.00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万元。随着金融科技、智能银行业态的快速发 </w:t>
                        </w:r>
                        <w:r>
                          <w:rPr>
                            <w:rFonts w:ascii="宋体" w:hAnsi="宋体" w:cs="宋体" w:eastAsia="宋体" w:hint="default"/>
                            <w:spacing w:val="-3"/>
                            <w:sz w:val="18"/>
                            <w:szCs w:val="18"/>
                          </w:rPr>
                          <w:t>展，以及受行业政策走向的影响，行业内高端人才越来越多地聚集在北京等一线城市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而公司上述募投项目实施地点位于天津，考虑到公司总部位于北京，且已经在北京吸</w:t>
                        </w:r>
                        <w:r>
                          <w:rPr>
                            <w:rFonts w:ascii="宋体" w:hAnsi="宋体" w:cs="宋体" w:eastAsia="宋体" w:hint="default"/>
                            <w:sz w:val="18"/>
                            <w:szCs w:val="18"/>
                          </w:rPr>
                          <w:t> 引储备了部分人才，继续在天津实施该等募投项目不利于公司保持较强的高端人才吸 </w:t>
                        </w:r>
                        <w:r>
                          <w:rPr>
                            <w:rFonts w:ascii="宋体" w:hAnsi="宋体" w:cs="宋体" w:eastAsia="宋体" w:hint="default"/>
                            <w:spacing w:val="-3"/>
                            <w:sz w:val="18"/>
                            <w:szCs w:val="18"/>
                          </w:rPr>
                          <w:t>引和储备能力，不利于公司充分利用现有的人才、技术等资源，提升资源的优化配置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从而达到经济效益最大化的效果。基于上述考虑，公司在原互联网金融云中心项目的</w:t>
                        </w:r>
                        <w:r>
                          <w:rPr>
                            <w:rFonts w:ascii="宋体" w:hAnsi="宋体" w:cs="宋体" w:eastAsia="宋体" w:hint="default"/>
                            <w:sz w:val="18"/>
                            <w:szCs w:val="18"/>
                          </w:rPr>
                          <w:t> 基础上对其实施地点及部分建设内容进行调整，变更后的项目实施地点位于北京，利 用公司总部的现有办公地点实施，预计投资总额变更为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6,880.49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万元，全部使用募集 资金投入，剩余募集资金将继续存放于募集资金专户，由保荐机构和银行共同监管， 在募集资金投资项目落实前暂不使用。</w:t>
                        </w:r>
                      </w:p>
                      <w:p>
                        <w:pPr>
                          <w:pStyle w:val="TableParagraph"/>
                          <w:spacing w:line="328" w:lineRule="auto" w:before="61"/>
                          <w:ind w:left="23" w:right="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、智能银行研发中心项目 </w:t>
                        </w:r>
                        <w:r>
                          <w:rPr>
                            <w:rFonts w:ascii="宋体" w:hAnsi="宋体" w:cs="宋体" w:eastAsia="宋体" w:hint="default"/>
                            <w:spacing w:val="-1"/>
                            <w:sz w:val="18"/>
                            <w:szCs w:val="18"/>
                          </w:rPr>
                          <w:t>原募集资金投资项目智能银行研发中心项目的建设地址位于天津，公司计划利用位于</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天津滨海高新技术产业开发区的自有土地用作研发场地建设。项目规划建筑面积</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6000</w:t>
                        </w:r>
                      </w:p>
                      <w:p>
                        <w:pPr>
                          <w:pStyle w:val="TableParagraph"/>
                          <w:spacing w:line="238" w:lineRule="exact"/>
                          <w:ind w:left="23" w:right="0"/>
                          <w:jc w:val="left"/>
                          <w:rPr>
                            <w:rFonts w:ascii="宋体" w:hAnsi="宋体" w:cs="宋体" w:eastAsia="宋体" w:hint="default"/>
                            <w:sz w:val="18"/>
                            <w:szCs w:val="18"/>
                          </w:rPr>
                        </w:pPr>
                        <w:r>
                          <w:rPr>
                            <w:rFonts w:ascii="宋体" w:hAnsi="宋体" w:cs="宋体" w:eastAsia="宋体" w:hint="default"/>
                            <w:sz w:val="18"/>
                            <w:szCs w:val="18"/>
                          </w:rPr>
                          <w:t>平方米，主要由体验中心与开发中心两部分组成。该项目原计划投资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8,080.05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9" w:lineRule="auto" w:before="63"/>
                          <w:ind w:left="23" w:right="3"/>
                          <w:jc w:val="both"/>
                          <w:rPr>
                            <w:rFonts w:ascii="宋体" w:hAnsi="宋体" w:cs="宋体" w:eastAsia="宋体" w:hint="default"/>
                            <w:sz w:val="18"/>
                            <w:szCs w:val="18"/>
                          </w:rPr>
                        </w:pPr>
                        <w:r>
                          <w:rPr>
                            <w:rFonts w:ascii="宋体" w:hAnsi="宋体" w:cs="宋体" w:eastAsia="宋体" w:hint="default"/>
                            <w:sz w:val="18"/>
                            <w:szCs w:val="18"/>
                          </w:rPr>
                          <w:t>其中使用募集资金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8,000.00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万元。考虑到原智能银行研发中心项目对场地建设环境等 条件要求较高，暂不适宜在北京总部立即开展建设，故暂停该项目的实施，未来在场 地条件允许时将使用自有资金实施，或在履行必要的决策程序后使用募集资金实施。</w:t>
                        </w:r>
                      </w:p>
                      <w:p>
                        <w:pPr>
                          <w:pStyle w:val="TableParagraph"/>
                          <w:spacing w:line="309" w:lineRule="auto" w:before="62"/>
                          <w:ind w:left="23"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日，第四届董事会第七次会议审议通过了《关于变更募集资金投资项 </w:t>
                        </w:r>
                        <w:r>
                          <w:rPr>
                            <w:rFonts w:ascii="宋体" w:hAnsi="宋体" w:cs="宋体" w:eastAsia="宋体" w:hint="default"/>
                            <w:spacing w:val="-3"/>
                            <w:sz w:val="18"/>
                            <w:szCs w:val="18"/>
                          </w:rPr>
                          <w:t>目的议案》，会议同意对原募集资金投资项目的建设地点进行变更，并根据建设地点</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
                            <w:sz w:val="18"/>
                            <w:szCs w:val="18"/>
                          </w:rPr>
                          <w:t>变更相应地对项目建设内容进行部分调整。监事会、独立董事及保荐机构均出具了同</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意的意见。</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年度股东大会审议并通过了该议案，公司已进行 了公告披露。</w:t>
                        </w: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公司不存在未达到计划进度或预期收益的情况。</w:t>
                        </w: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公司不存在项目可行性发生重大变化的情况。</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spacing w:before="0"/>
        <w:ind w:left="0" w:right="113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5"/>
        <w:ind w:right="0"/>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5"/>
        <w:rPr>
          <w:rFonts w:ascii="宋体" w:hAnsi="宋体" w:cs="宋体" w:eastAsia="宋体" w:hint="default"/>
          <w:b/>
          <w:bCs/>
          <w:sz w:val="25"/>
          <w:szCs w:val="25"/>
        </w:rPr>
      </w:pPr>
    </w:p>
    <w:p>
      <w:pPr>
        <w:pStyle w:val="BodyText"/>
        <w:spacing w:line="304" w:lineRule="auto"/>
        <w:ind w:right="816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100"/>
        </w:rPr>
        <w:t> </w:t>
      </w:r>
      <w:r>
        <w:rPr>
          <w:spacing w:val="-1"/>
        </w:rPr>
        <w:t>公司报告期未出售重大资产。</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6"/>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不适用</w:t>
      </w:r>
    </w:p>
    <w:p>
      <w:pPr>
        <w:spacing w:line="240" w:lineRule="auto" w:before="1"/>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7"/>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7" w:footer="979" w:top="1060" w:bottom="1160" w:left="980" w:right="0"/>
        </w:sectPr>
      </w:pPr>
    </w:p>
    <w:p>
      <w:pPr>
        <w:pStyle w:val="BodyText"/>
        <w:spacing w:line="240" w:lineRule="auto" w:before="38"/>
        <w:ind w:right="-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pStyle w:val="BodyText"/>
        <w:spacing w:line="240" w:lineRule="auto" w:before="74"/>
        <w:ind w:right="-13"/>
        <w:jc w:val="left"/>
      </w:pPr>
      <w:r>
        <w:rPr/>
        <w:t>主要子公司及对公司净利润影响达</w:t>
      </w:r>
      <w:r>
        <w:rPr>
          <w:spacing w:val="-5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5372" w:space="3547"/>
            <w:col w:w="2011"/>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天津中科金 财科技有限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技术开发服 务、电子产 品销售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50,083,700.0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368,663,714.</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353,594,180.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50,037,829.7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34,713,361.8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31,242,992.2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北京中科金 财电子商务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移动支付、 移动电子商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135,493,365.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133,910,776.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11,976,249.3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7,955,829.82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7,531,054.16</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深圳前海中 科金财金控 投资有限公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投资兴办实 业、企业收 购兼并策划 咨询等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861,100,729.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295,751,904.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11,177,076.1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-20,858,556.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-20,627,626.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93</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大连金融资 产交易所有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各类金融资 产交易及相 关服务等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63,506,489.4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28,795,939.5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403,314.02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-42,440,757.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-42,383,784.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65</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安粮期货股 份有限公司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0"/>
              <w:jc w:val="left"/>
              <w:rPr>
                <w:rFonts w:ascii="宋体" w:hAnsi="宋体" w:cs="宋体" w:eastAsia="宋体" w:hint="default"/>
                <w:sz w:val="18"/>
                <w:szCs w:val="18"/>
              </w:rPr>
            </w:pPr>
            <w:r>
              <w:rPr>
                <w:rFonts w:ascii="宋体" w:hAnsi="宋体" w:cs="宋体" w:eastAsia="宋体" w:hint="default"/>
                <w:sz w:val="18"/>
                <w:szCs w:val="18"/>
              </w:rPr>
              <w:t>商品、金融 期货经纪</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1,810,696,34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0.31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652,199,922.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816,503,920.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46,687,785.1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35,794,997.5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35"/>
        <w:ind w:right="0"/>
        <w:jc w:val="left"/>
      </w:pPr>
      <w:r>
        <w:rPr/>
        <w:t>报告期内取得和处置子公司的情况</w:t>
      </w:r>
    </w:p>
    <w:p>
      <w:pPr>
        <w:pStyle w:val="BodyText"/>
        <w:spacing w:line="240" w:lineRule="auto" w:before="9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1"/>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9"/>
              <w:jc w:val="righ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北京中科金财互联网服务有限公司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6"/>
              <w:jc w:val="right"/>
              <w:rPr>
                <w:rFonts w:ascii="宋体" w:hAnsi="宋体" w:cs="宋体" w:eastAsia="宋体" w:hint="default"/>
                <w:sz w:val="18"/>
                <w:szCs w:val="18"/>
              </w:rPr>
            </w:pPr>
            <w:r>
              <w:rPr>
                <w:rFonts w:ascii="宋体" w:hAnsi="宋体" w:cs="宋体" w:eastAsia="宋体" w:hint="default"/>
                <w:sz w:val="18"/>
                <w:szCs w:val="18"/>
              </w:rPr>
              <w:t>对公司整体生产经营和业绩无影响</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天津滨河创新电子科技有限公司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6"/>
              <w:jc w:val="right"/>
              <w:rPr>
                <w:rFonts w:ascii="宋体" w:hAnsi="宋体" w:cs="宋体" w:eastAsia="宋体" w:hint="default"/>
                <w:sz w:val="18"/>
                <w:szCs w:val="18"/>
              </w:rPr>
            </w:pPr>
            <w:r>
              <w:rPr>
                <w:rFonts w:ascii="宋体" w:hAnsi="宋体" w:cs="宋体" w:eastAsia="宋体" w:hint="default"/>
                <w:sz w:val="18"/>
                <w:szCs w:val="18"/>
              </w:rPr>
              <w:t>对公司整体生产经营和业绩无影响</w:t>
            </w:r>
          </w:p>
        </w:tc>
      </w:tr>
    </w:tbl>
    <w:p>
      <w:pPr>
        <w:pStyle w:val="BodyText"/>
        <w:spacing w:line="429" w:lineRule="auto" w:before="72"/>
        <w:ind w:left="553" w:right="0" w:hanging="400"/>
        <w:jc w:val="left"/>
      </w:pPr>
      <w:r>
        <w:rPr/>
        <w:t>主要控股参股公司情况说明</w:t>
      </w:r>
      <w:r>
        <w:rPr>
          <w:w w:val="100"/>
        </w:rPr>
        <w:t> </w:t>
      </w:r>
      <w:r>
        <w:rPr>
          <w:spacing w:val="-1"/>
        </w:rPr>
        <w:t>天津中科</w:t>
      </w:r>
      <w:r>
        <w:rPr>
          <w:rFonts w:ascii="Times New Roman" w:hAnsi="Times New Roman" w:cs="Times New Roman" w:eastAsia="Times New Roman" w:hint="default"/>
          <w:spacing w:val="-1"/>
        </w:rPr>
        <w:t>2018</w:t>
      </w:r>
      <w:r>
        <w:rPr>
          <w:spacing w:val="-1"/>
        </w:rPr>
        <w:t>年度实现净利润为</w:t>
      </w:r>
      <w:r>
        <w:rPr>
          <w:rFonts w:ascii="Times New Roman" w:hAnsi="Times New Roman" w:cs="Times New Roman" w:eastAsia="Times New Roman" w:hint="default"/>
          <w:spacing w:val="-1"/>
        </w:rPr>
        <w:t>31,242,992.29</w:t>
      </w:r>
      <w:r>
        <w:rPr>
          <w:spacing w:val="-1"/>
        </w:rPr>
        <w:t>元。根据《企业会计准则》和公司的会计政策，公司需要在</w:t>
      </w:r>
    </w:p>
    <w:p>
      <w:pPr>
        <w:pStyle w:val="BodyText"/>
        <w:spacing w:line="405" w:lineRule="auto" w:before="16"/>
        <w:ind w:right="1168"/>
        <w:jc w:val="both"/>
      </w:pPr>
      <w:r>
        <w:rPr>
          <w:spacing w:val="-1"/>
        </w:rPr>
        <w:t>报告期末对商誉进行减值测试，中联资产评估集团有限公司对截至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日合并天津中科所形成的商誉</w:t>
      </w:r>
      <w:r>
        <w:rPr>
          <w:spacing w:val="-60"/>
        </w:rPr>
        <w:t> </w:t>
      </w:r>
      <w:r>
        <w:rPr>
          <w:spacing w:val="-60"/>
        </w:rPr>
      </w:r>
      <w:r>
        <w:rPr>
          <w:spacing w:val="-1"/>
        </w:rPr>
        <w:t>及相关资产组进行了专项评估，在评估基准日</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日的预计未来现金流量现值为</w:t>
      </w:r>
      <w:r>
        <w:rPr>
          <w:rFonts w:ascii="Times New Roman" w:hAnsi="Times New Roman" w:cs="Times New Roman" w:eastAsia="Times New Roman" w:hint="default"/>
          <w:spacing w:val="-1"/>
        </w:rPr>
        <w:t>28,484.00</w:t>
      </w:r>
      <w:r>
        <w:rPr>
          <w:spacing w:val="-1"/>
        </w:rPr>
        <w:t>万元。通过</w:t>
      </w:r>
      <w:r>
        <w:rPr>
          <w:spacing w:val="-54"/>
        </w:rPr>
        <w:t> </w:t>
      </w:r>
      <w:r>
        <w:rPr>
          <w:spacing w:val="-54"/>
        </w:rPr>
      </w:r>
      <w:r>
        <w:rPr/>
        <w:t>商誉减值测试，公司对天津中科资产组商誉计提减值准备</w:t>
      </w:r>
      <w:r>
        <w:rPr>
          <w:rFonts w:ascii="Times New Roman" w:hAnsi="Times New Roman" w:cs="Times New Roman" w:eastAsia="Times New Roman" w:hint="default"/>
        </w:rPr>
        <w:t>43,593,234.04</w:t>
      </w:r>
      <w:r>
        <w:rPr/>
        <w:t>元。</w:t>
      </w:r>
    </w:p>
    <w:p>
      <w:pPr>
        <w:pStyle w:val="BodyText"/>
        <w:spacing w:line="429" w:lineRule="auto" w:before="38"/>
        <w:ind w:right="0" w:firstLine="399"/>
        <w:jc w:val="left"/>
      </w:pPr>
      <w:r>
        <w:rPr>
          <w:spacing w:val="-2"/>
        </w:rPr>
        <w:t>安粮期货是经中国证监会批准设立的专业期货公司，是中国期货业协会首批团体会员，是上海期货交易所、</w:t>
      </w:r>
      <w:r>
        <w:rPr>
          <w:w w:val="100"/>
        </w:rPr>
        <w:t> </w:t>
      </w:r>
      <w:r>
        <w:rPr/>
        <w:t>大连商品交易所、郑州商品交易所的会员，是中国金融期货交易所的交易结算会员，是上海国际能源交易中心</w:t>
      </w:r>
      <w:r>
        <w:rPr>
          <w:w w:val="100"/>
        </w:rPr>
        <w:t> </w:t>
      </w:r>
      <w:r>
        <w:rPr>
          <w:spacing w:val="-2"/>
        </w:rPr>
        <w:t>的会员。目前安粮期货主要从事国内商品期货经纪、金融期货经纪、基金销售、资产管理、期货投资咨询业务。</w:t>
      </w:r>
    </w:p>
    <w:p>
      <w:pPr>
        <w:spacing w:line="240" w:lineRule="auto" w:before="4"/>
        <w:rPr>
          <w:rFonts w:ascii="宋体" w:hAnsi="宋体" w:cs="宋体" w:eastAsia="宋体" w:hint="default"/>
          <w:sz w:val="18"/>
          <w:szCs w:val="18"/>
        </w:rPr>
      </w:pPr>
    </w:p>
    <w:p>
      <w:pPr>
        <w:pStyle w:val="Heading2"/>
        <w:spacing w:line="240" w:lineRule="auto"/>
        <w:ind w:right="0"/>
        <w:jc w:val="both"/>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5"/>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7" w:footer="979" w:top="1060" w:bottom="1160" w:left="980" w:right="0"/>
        </w:sectPr>
      </w:pPr>
    </w:p>
    <w:p>
      <w:pPr>
        <w:pStyle w:val="BodyText"/>
        <w:spacing w:line="240" w:lineRule="auto" w:before="3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pStyle w:val="BodyText"/>
        <w:spacing w:line="240" w:lineRule="auto" w:before="73"/>
        <w:ind w:right="0"/>
        <w:jc w:val="left"/>
      </w:pPr>
      <w:r>
        <w:rPr>
          <w:rFonts w:ascii="Times New Roman" w:hAnsi="Times New Roman" w:cs="Times New Roman" w:eastAsia="Times New Roman" w:hint="default"/>
          <w:spacing w:val="-1"/>
        </w:rPr>
        <w:t>2018</w:t>
      </w:r>
      <w:r>
        <w:rPr>
          <w:spacing w:val="-1"/>
        </w:rPr>
        <w:t>年纳入合并范围的结构化主体明细如下：</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8"/>
          <w:szCs w:val="18"/>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155" w:space="4764"/>
            <w:col w:w="2011"/>
          </w:cols>
        </w:sectPr>
      </w:pP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553"/>
        <w:gridCol w:w="1984"/>
        <w:gridCol w:w="1702"/>
        <w:gridCol w:w="851"/>
        <w:gridCol w:w="1417"/>
        <w:gridCol w:w="1134"/>
      </w:tblGrid>
      <w:tr>
        <w:trPr>
          <w:trHeight w:val="348" w:hRule="exact"/>
        </w:trPr>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持有信托产品子公司名称</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44" w:right="0"/>
              <w:jc w:val="left"/>
              <w:rPr>
                <w:rFonts w:ascii="宋体" w:hAnsi="宋体" w:cs="宋体" w:eastAsia="宋体" w:hint="default"/>
                <w:sz w:val="18"/>
                <w:szCs w:val="18"/>
              </w:rPr>
            </w:pPr>
            <w:r>
              <w:rPr>
                <w:rFonts w:ascii="宋体" w:hAnsi="宋体" w:cs="宋体" w:eastAsia="宋体" w:hint="default"/>
                <w:sz w:val="18"/>
                <w:szCs w:val="18"/>
              </w:rPr>
              <w:t>信托产品名称</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82" w:right="0"/>
              <w:jc w:val="left"/>
              <w:rPr>
                <w:rFonts w:ascii="宋体" w:hAnsi="宋体" w:cs="宋体" w:eastAsia="宋体" w:hint="default"/>
                <w:sz w:val="18"/>
                <w:szCs w:val="18"/>
              </w:rPr>
            </w:pPr>
            <w:r>
              <w:rPr>
                <w:rFonts w:ascii="宋体" w:hAnsi="宋体" w:cs="宋体" w:eastAsia="宋体" w:hint="default"/>
                <w:sz w:val="18"/>
                <w:szCs w:val="18"/>
              </w:rPr>
              <w:t>信托公司</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7" w:right="0"/>
              <w:jc w:val="left"/>
              <w:rPr>
                <w:rFonts w:ascii="宋体" w:hAnsi="宋体" w:cs="宋体" w:eastAsia="宋体" w:hint="default"/>
                <w:sz w:val="18"/>
                <w:szCs w:val="18"/>
              </w:rPr>
            </w:pPr>
            <w:r>
              <w:rPr>
                <w:rFonts w:ascii="宋体" w:hAnsi="宋体" w:cs="宋体" w:eastAsia="宋体" w:hint="default"/>
                <w:sz w:val="18"/>
                <w:szCs w:val="18"/>
              </w:rPr>
              <w:t>信托产品</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5"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Times New Roman" w:hAnsi="Times New Roman" w:cs="Times New Roman" w:eastAsia="Times New Roman" w:hint="default"/>
                <w:sz w:val="18"/>
                <w:szCs w:val="18"/>
              </w:rPr>
              <w:t>2018.12.31</w:t>
            </w:r>
            <w:r>
              <w:rPr>
                <w:rFonts w:ascii="宋体" w:hAnsi="宋体" w:cs="宋体" w:eastAsia="宋体" w:hint="default"/>
                <w:sz w:val="18"/>
                <w:szCs w:val="18"/>
              </w:rPr>
              <w:t>信</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预期收益率</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553"/>
        <w:gridCol w:w="1984"/>
        <w:gridCol w:w="1702"/>
        <w:gridCol w:w="851"/>
        <w:gridCol w:w="1417"/>
        <w:gridCol w:w="1134"/>
      </w:tblGrid>
      <w:tr>
        <w:trPr>
          <w:trHeight w:val="347" w:hRule="exact"/>
        </w:trPr>
        <w:tc>
          <w:tcPr>
            <w:tcW w:w="2553"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存续期</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托产品余额</w:t>
            </w:r>
          </w:p>
        </w:tc>
        <w:tc>
          <w:tcPr>
            <w:tcW w:w="1134"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华缔资产管理（北京）有限公司</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西藏信托</w:t>
            </w:r>
            <w:r>
              <w:rPr>
                <w:rFonts w:ascii="Times New Roman" w:hAnsi="Times New Roman" w:cs="Times New Roman" w:eastAsia="Times New Roman" w:hint="default"/>
                <w:sz w:val="18"/>
                <w:szCs w:val="18"/>
              </w:rPr>
              <w:t>-</w:t>
            </w:r>
            <w:r>
              <w:rPr>
                <w:rFonts w:ascii="宋体" w:hAnsi="宋体" w:cs="宋体" w:eastAsia="宋体" w:hint="default"/>
                <w:sz w:val="18"/>
                <w:szCs w:val="18"/>
              </w:rPr>
              <w:t>乐家</w:t>
            </w:r>
            <w:r>
              <w:rPr>
                <w:rFonts w:ascii="Times New Roman" w:hAnsi="Times New Roman" w:cs="Times New Roman" w:eastAsia="Times New Roman" w:hint="default"/>
                <w:sz w:val="18"/>
                <w:szCs w:val="18"/>
              </w:rPr>
              <w:t>1</w:t>
            </w:r>
            <w:r>
              <w:rPr>
                <w:rFonts w:ascii="宋体" w:hAnsi="宋体" w:cs="宋体" w:eastAsia="宋体" w:hint="default"/>
                <w:sz w:val="18"/>
                <w:szCs w:val="18"/>
              </w:rPr>
              <w:t>号单一资</w:t>
            </w:r>
            <w:r>
              <w:rPr>
                <w:rFonts w:ascii="宋体" w:hAnsi="宋体" w:cs="宋体" w:eastAsia="宋体" w:hint="default"/>
                <w:spacing w:val="-79"/>
                <w:sz w:val="18"/>
                <w:szCs w:val="18"/>
              </w:rPr>
              <w:t> </w:t>
            </w:r>
            <w:r>
              <w:rPr>
                <w:rFonts w:ascii="宋体" w:hAnsi="宋体" w:cs="宋体" w:eastAsia="宋体" w:hint="default"/>
                <w:sz w:val="18"/>
                <w:szCs w:val="18"/>
              </w:rPr>
              <w:t>金信托</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22"/>
              <w:jc w:val="right"/>
              <w:rPr>
                <w:rFonts w:ascii="宋体" w:hAnsi="宋体" w:cs="宋体" w:eastAsia="宋体" w:hint="default"/>
                <w:sz w:val="18"/>
                <w:szCs w:val="18"/>
              </w:rPr>
            </w:pPr>
            <w:r>
              <w:rPr>
                <w:rFonts w:ascii="宋体" w:hAnsi="宋体" w:cs="宋体" w:eastAsia="宋体" w:hint="default"/>
                <w:sz w:val="18"/>
                <w:szCs w:val="18"/>
              </w:rPr>
              <w:t>西藏信托有限公司</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84,398,750.00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8.40%-9.60%</w:t>
            </w:r>
          </w:p>
        </w:tc>
      </w:tr>
      <w:tr>
        <w:trPr>
          <w:trHeight w:val="659" w:hRule="exact"/>
        </w:trPr>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华缔资产管理（北京）有限公司</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西藏信托</w:t>
            </w:r>
            <w:r>
              <w:rPr>
                <w:rFonts w:ascii="Times New Roman" w:hAnsi="Times New Roman" w:cs="Times New Roman" w:eastAsia="Times New Roman" w:hint="default"/>
                <w:sz w:val="18"/>
                <w:szCs w:val="18"/>
              </w:rPr>
              <w:t>-</w:t>
            </w:r>
            <w:r>
              <w:rPr>
                <w:rFonts w:ascii="宋体" w:hAnsi="宋体" w:cs="宋体" w:eastAsia="宋体" w:hint="default"/>
                <w:sz w:val="18"/>
                <w:szCs w:val="18"/>
              </w:rPr>
              <w:t>乐家</w:t>
            </w:r>
            <w:r>
              <w:rPr>
                <w:rFonts w:ascii="Times New Roman" w:hAnsi="Times New Roman" w:cs="Times New Roman" w:eastAsia="Times New Roman" w:hint="default"/>
                <w:sz w:val="18"/>
                <w:szCs w:val="18"/>
              </w:rPr>
              <w:t>2</w:t>
            </w:r>
            <w:r>
              <w:rPr>
                <w:rFonts w:ascii="宋体" w:hAnsi="宋体" w:cs="宋体" w:eastAsia="宋体" w:hint="default"/>
                <w:sz w:val="18"/>
                <w:szCs w:val="18"/>
              </w:rPr>
              <w:t>号单一资</w:t>
            </w:r>
            <w:r>
              <w:rPr>
                <w:rFonts w:ascii="宋体" w:hAnsi="宋体" w:cs="宋体" w:eastAsia="宋体" w:hint="default"/>
                <w:spacing w:val="-79"/>
                <w:sz w:val="18"/>
                <w:szCs w:val="18"/>
              </w:rPr>
              <w:t> </w:t>
            </w:r>
            <w:r>
              <w:rPr>
                <w:rFonts w:ascii="宋体" w:hAnsi="宋体" w:cs="宋体" w:eastAsia="宋体" w:hint="default"/>
                <w:sz w:val="18"/>
                <w:szCs w:val="18"/>
              </w:rPr>
              <w:t>金信托</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22"/>
              <w:jc w:val="right"/>
              <w:rPr>
                <w:rFonts w:ascii="宋体" w:hAnsi="宋体" w:cs="宋体" w:eastAsia="宋体" w:hint="default"/>
                <w:sz w:val="18"/>
                <w:szCs w:val="18"/>
              </w:rPr>
            </w:pPr>
            <w:r>
              <w:rPr>
                <w:rFonts w:ascii="宋体" w:hAnsi="宋体" w:cs="宋体" w:eastAsia="宋体" w:hint="default"/>
                <w:sz w:val="18"/>
                <w:szCs w:val="18"/>
              </w:rPr>
              <w:t>西藏信托有限公司</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45,360,000.00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8.40%-9.60%</w:t>
            </w:r>
          </w:p>
        </w:tc>
      </w:tr>
      <w:tr>
        <w:trPr>
          <w:trHeight w:val="660" w:hRule="exact"/>
        </w:trPr>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华缔资产管理（北京）有限公司</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西藏信托</w:t>
            </w:r>
            <w:r>
              <w:rPr>
                <w:rFonts w:ascii="Times New Roman" w:hAnsi="Times New Roman" w:cs="Times New Roman" w:eastAsia="Times New Roman" w:hint="default"/>
                <w:sz w:val="18"/>
                <w:szCs w:val="18"/>
              </w:rPr>
              <w:t>-</w:t>
            </w:r>
            <w:r>
              <w:rPr>
                <w:rFonts w:ascii="宋体" w:hAnsi="宋体" w:cs="宋体" w:eastAsia="宋体" w:hint="default"/>
                <w:sz w:val="18"/>
                <w:szCs w:val="18"/>
              </w:rPr>
              <w:t>宜家</w:t>
            </w:r>
            <w:r>
              <w:rPr>
                <w:rFonts w:ascii="Times New Roman" w:hAnsi="Times New Roman" w:cs="Times New Roman" w:eastAsia="Times New Roman" w:hint="default"/>
                <w:sz w:val="18"/>
                <w:szCs w:val="18"/>
              </w:rPr>
              <w:t>1</w:t>
            </w:r>
            <w:r>
              <w:rPr>
                <w:rFonts w:ascii="宋体" w:hAnsi="宋体" w:cs="宋体" w:eastAsia="宋体" w:hint="default"/>
                <w:sz w:val="18"/>
                <w:szCs w:val="18"/>
              </w:rPr>
              <w:t>号集合资</w:t>
            </w:r>
            <w:r>
              <w:rPr>
                <w:rFonts w:ascii="宋体" w:hAnsi="宋体" w:cs="宋体" w:eastAsia="宋体" w:hint="default"/>
                <w:spacing w:val="-79"/>
                <w:sz w:val="18"/>
                <w:szCs w:val="18"/>
              </w:rPr>
              <w:t> </w:t>
            </w:r>
            <w:r>
              <w:rPr>
                <w:rFonts w:ascii="宋体" w:hAnsi="宋体" w:cs="宋体" w:eastAsia="宋体" w:hint="default"/>
                <w:sz w:val="18"/>
                <w:szCs w:val="18"/>
              </w:rPr>
              <w:t>金信托计划</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22"/>
              <w:jc w:val="right"/>
              <w:rPr>
                <w:rFonts w:ascii="宋体" w:hAnsi="宋体" w:cs="宋体" w:eastAsia="宋体" w:hint="default"/>
                <w:sz w:val="18"/>
                <w:szCs w:val="18"/>
              </w:rPr>
            </w:pPr>
            <w:r>
              <w:rPr>
                <w:rFonts w:ascii="宋体" w:hAnsi="宋体" w:cs="宋体" w:eastAsia="宋体" w:hint="default"/>
                <w:sz w:val="18"/>
                <w:szCs w:val="18"/>
              </w:rPr>
              <w:t>西藏信托有限公司</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11,800,000.00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8.40%</w:t>
            </w:r>
          </w:p>
        </w:tc>
      </w:tr>
      <w:tr>
        <w:trPr>
          <w:trHeight w:val="659" w:hRule="exact"/>
        </w:trPr>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华缔资产管理（北京）有限公司</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0"/>
              <w:jc w:val="left"/>
              <w:rPr>
                <w:rFonts w:ascii="宋体" w:hAnsi="宋体" w:cs="宋体" w:eastAsia="宋体" w:hint="default"/>
                <w:sz w:val="18"/>
                <w:szCs w:val="18"/>
              </w:rPr>
            </w:pPr>
            <w:r>
              <w:rPr>
                <w:rFonts w:ascii="宋体" w:hAnsi="宋体" w:cs="宋体" w:eastAsia="宋体" w:hint="default"/>
                <w:spacing w:val="8"/>
                <w:sz w:val="18"/>
                <w:szCs w:val="18"/>
              </w:rPr>
              <w:t>四川信托</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融科伟业单一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信托</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22"/>
              <w:jc w:val="right"/>
              <w:rPr>
                <w:rFonts w:ascii="宋体" w:hAnsi="宋体" w:cs="宋体" w:eastAsia="宋体" w:hint="default"/>
                <w:sz w:val="18"/>
                <w:szCs w:val="18"/>
              </w:rPr>
            </w:pPr>
            <w:r>
              <w:rPr>
                <w:rFonts w:ascii="宋体" w:hAnsi="宋体" w:cs="宋体" w:eastAsia="宋体" w:hint="default"/>
                <w:sz w:val="18"/>
                <w:szCs w:val="18"/>
              </w:rPr>
              <w:t>四川信托有限公司</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200,000,000.00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6.65%</w:t>
            </w:r>
          </w:p>
        </w:tc>
      </w:tr>
      <w:tr>
        <w:trPr>
          <w:trHeight w:val="659" w:hRule="exact"/>
        </w:trPr>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z w:val="18"/>
                <w:szCs w:val="18"/>
              </w:rPr>
              <w:t>深圳中金财富互联网金融服务有</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限公司</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0"/>
              <w:jc w:val="left"/>
              <w:rPr>
                <w:rFonts w:ascii="宋体" w:hAnsi="宋体" w:cs="宋体" w:eastAsia="宋体" w:hint="default"/>
                <w:sz w:val="18"/>
                <w:szCs w:val="18"/>
              </w:rPr>
            </w:pPr>
            <w:r>
              <w:rPr>
                <w:rFonts w:ascii="宋体" w:hAnsi="宋体" w:cs="宋体" w:eastAsia="宋体" w:hint="default"/>
                <w:spacing w:val="8"/>
                <w:sz w:val="18"/>
                <w:szCs w:val="18"/>
              </w:rPr>
              <w:t>渤海信托</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房产抵押贷款</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项目单一资金信托</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
              <w:jc w:val="left"/>
              <w:rPr>
                <w:rFonts w:ascii="宋体" w:hAnsi="宋体" w:cs="宋体" w:eastAsia="宋体" w:hint="default"/>
                <w:sz w:val="18"/>
                <w:szCs w:val="18"/>
              </w:rPr>
            </w:pPr>
            <w:r>
              <w:rPr>
                <w:rFonts w:ascii="宋体" w:hAnsi="宋体" w:cs="宋体" w:eastAsia="宋体" w:hint="default"/>
                <w:spacing w:val="6"/>
                <w:sz w:val="18"/>
                <w:szCs w:val="18"/>
              </w:rPr>
              <w:t>渤海国际信托股份有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1,800,000.00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9.00%</w:t>
            </w:r>
          </w:p>
        </w:tc>
      </w:tr>
      <w:tr>
        <w:trPr>
          <w:trHeight w:val="659" w:hRule="exact"/>
        </w:trPr>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z w:val="18"/>
                <w:szCs w:val="18"/>
              </w:rPr>
              <w:t>深圳中金财富互联网金融服务有</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限公司</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0"/>
              <w:jc w:val="left"/>
              <w:rPr>
                <w:rFonts w:ascii="宋体" w:hAnsi="宋体" w:cs="宋体" w:eastAsia="宋体" w:hint="default"/>
                <w:sz w:val="18"/>
                <w:szCs w:val="18"/>
              </w:rPr>
            </w:pPr>
            <w:r>
              <w:rPr>
                <w:rFonts w:ascii="宋体" w:hAnsi="宋体" w:cs="宋体" w:eastAsia="宋体" w:hint="default"/>
                <w:spacing w:val="8"/>
                <w:sz w:val="18"/>
                <w:szCs w:val="18"/>
              </w:rPr>
              <w:t>西藏信托</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开放式单一资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金信托计划</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西藏信托有限公司</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7,724,000.00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8.40%</w:t>
            </w:r>
          </w:p>
        </w:tc>
      </w:tr>
      <w:tr>
        <w:trPr>
          <w:trHeight w:val="659" w:hRule="exact"/>
        </w:trPr>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华缔资产管理（北京）有限公司</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0"/>
              <w:jc w:val="left"/>
              <w:rPr>
                <w:rFonts w:ascii="宋体" w:hAnsi="宋体" w:cs="宋体" w:eastAsia="宋体" w:hint="default"/>
                <w:sz w:val="18"/>
                <w:szCs w:val="18"/>
              </w:rPr>
            </w:pPr>
            <w:r>
              <w:rPr>
                <w:rFonts w:ascii="宋体" w:hAnsi="宋体" w:cs="宋体" w:eastAsia="宋体" w:hint="default"/>
                <w:spacing w:val="9"/>
                <w:sz w:val="18"/>
                <w:szCs w:val="18"/>
              </w:rPr>
              <w:t>华鑫信托</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睿科</w:t>
            </w:r>
            <w:r>
              <w:rPr>
                <w:rFonts w:ascii="Times New Roman" w:hAnsi="Times New Roman" w:cs="Times New Roman" w:eastAsia="Times New Roman" w:hint="default"/>
                <w:spacing w:val="9"/>
                <w:sz w:val="18"/>
                <w:szCs w:val="18"/>
              </w:rPr>
              <w:t>42</w:t>
            </w:r>
            <w:r>
              <w:rPr>
                <w:rFonts w:ascii="宋体" w:hAnsi="宋体" w:cs="宋体" w:eastAsia="宋体" w:hint="default"/>
                <w:spacing w:val="9"/>
                <w:sz w:val="18"/>
                <w:szCs w:val="18"/>
              </w:rPr>
              <w:t>号单一</w:t>
            </w:r>
            <w:r>
              <w:rPr>
                <w:rFonts w:ascii="宋体" w:hAnsi="宋体" w:cs="宋体" w:eastAsia="宋体" w:hint="default"/>
                <w:spacing w:val="10"/>
                <w:sz w:val="18"/>
                <w:szCs w:val="18"/>
              </w:rPr>
              <w:t> </w:t>
            </w:r>
            <w:r>
              <w:rPr>
                <w:rFonts w:ascii="宋体" w:hAnsi="宋体" w:cs="宋体" w:eastAsia="宋体" w:hint="default"/>
                <w:sz w:val="18"/>
                <w:szCs w:val="18"/>
              </w:rPr>
              <w:t>资金信托</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
              <w:jc w:val="left"/>
              <w:rPr>
                <w:rFonts w:ascii="宋体" w:hAnsi="宋体" w:cs="宋体" w:eastAsia="宋体" w:hint="default"/>
                <w:sz w:val="18"/>
                <w:szCs w:val="18"/>
              </w:rPr>
            </w:pPr>
            <w:r>
              <w:rPr>
                <w:rFonts w:ascii="宋体" w:hAnsi="宋体" w:cs="宋体" w:eastAsia="宋体" w:hint="default"/>
                <w:spacing w:val="6"/>
                <w:sz w:val="18"/>
                <w:szCs w:val="18"/>
              </w:rPr>
              <w:t>华鑫国际信托有限公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200,000,000.00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5.59%</w:t>
            </w:r>
          </w:p>
        </w:tc>
      </w:tr>
      <w:tr>
        <w:trPr>
          <w:trHeight w:val="659" w:hRule="exact"/>
        </w:trPr>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华缔资产管理（北京）有限公司</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0"/>
              <w:jc w:val="left"/>
              <w:rPr>
                <w:rFonts w:ascii="宋体" w:hAnsi="宋体" w:cs="宋体" w:eastAsia="宋体" w:hint="default"/>
                <w:sz w:val="18"/>
                <w:szCs w:val="18"/>
              </w:rPr>
            </w:pPr>
            <w:r>
              <w:rPr>
                <w:rFonts w:ascii="宋体" w:hAnsi="宋体" w:cs="宋体" w:eastAsia="宋体" w:hint="default"/>
                <w:spacing w:val="9"/>
                <w:sz w:val="18"/>
                <w:szCs w:val="18"/>
              </w:rPr>
              <w:t>华鑫信托</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睿科</w:t>
            </w:r>
            <w:r>
              <w:rPr>
                <w:rFonts w:ascii="Times New Roman" w:hAnsi="Times New Roman" w:cs="Times New Roman" w:eastAsia="Times New Roman" w:hint="default"/>
                <w:spacing w:val="9"/>
                <w:sz w:val="18"/>
                <w:szCs w:val="18"/>
              </w:rPr>
              <w:t>46</w:t>
            </w:r>
            <w:r>
              <w:rPr>
                <w:rFonts w:ascii="宋体" w:hAnsi="宋体" w:cs="宋体" w:eastAsia="宋体" w:hint="default"/>
                <w:spacing w:val="9"/>
                <w:sz w:val="18"/>
                <w:szCs w:val="18"/>
              </w:rPr>
              <w:t>号单一</w:t>
            </w:r>
            <w:r>
              <w:rPr>
                <w:rFonts w:ascii="宋体" w:hAnsi="宋体" w:cs="宋体" w:eastAsia="宋体" w:hint="default"/>
                <w:spacing w:val="10"/>
                <w:sz w:val="18"/>
                <w:szCs w:val="18"/>
              </w:rPr>
              <w:t> </w:t>
            </w:r>
            <w:r>
              <w:rPr>
                <w:rFonts w:ascii="宋体" w:hAnsi="宋体" w:cs="宋体" w:eastAsia="宋体" w:hint="default"/>
                <w:sz w:val="18"/>
                <w:szCs w:val="18"/>
              </w:rPr>
              <w:t>资金信托</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6"/>
                <w:sz w:val="18"/>
                <w:szCs w:val="18"/>
              </w:rPr>
              <w:t>华鑫国际信托有限公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200,000,000.00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5.59%</w:t>
            </w:r>
          </w:p>
        </w:tc>
      </w:tr>
      <w:tr>
        <w:trPr>
          <w:trHeight w:val="436" w:hRule="exact"/>
        </w:trPr>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751,082,750.00</w:t>
            </w:r>
          </w:p>
        </w:tc>
        <w:tc>
          <w:tcPr>
            <w:tcW w:w="113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429" w:lineRule="auto" w:before="72"/>
        <w:ind w:right="1169" w:firstLine="399"/>
        <w:jc w:val="both"/>
      </w:pPr>
      <w:r>
        <w:rPr>
          <w:spacing w:val="-1"/>
        </w:rPr>
        <w:t>对于纳入合并范围的重要的结构化主体，控制的依据：拥有对被投资方的权利，通过参与被投资方的相关</w:t>
      </w:r>
      <w:r>
        <w:rPr>
          <w:w w:val="100"/>
        </w:rPr>
        <w:t> </w:t>
      </w:r>
      <w:r>
        <w:rPr>
          <w:spacing w:val="-1"/>
        </w:rPr>
        <w:t>活动而享有可变回报，并且有能力运用对被投资方的权利影响其回报金额。本公司未向纳入合并范围的结构化</w:t>
      </w:r>
      <w:r>
        <w:rPr>
          <w:spacing w:val="-63"/>
        </w:rPr>
        <w:t> </w:t>
      </w:r>
      <w:r>
        <w:rPr>
          <w:spacing w:val="-63"/>
        </w:rPr>
      </w:r>
      <w:r>
        <w:rPr/>
        <w:t>主体提供财务或其他支持。</w:t>
      </w:r>
    </w:p>
    <w:p>
      <w:pPr>
        <w:spacing w:line="240" w:lineRule="auto" w:before="4"/>
        <w:rPr>
          <w:rFonts w:ascii="宋体" w:hAnsi="宋体" w:cs="宋体" w:eastAsia="宋体" w:hint="default"/>
          <w:sz w:val="18"/>
          <w:szCs w:val="18"/>
        </w:rPr>
      </w:pPr>
    </w:p>
    <w:p>
      <w:pPr>
        <w:pStyle w:val="Heading2"/>
        <w:spacing w:line="240" w:lineRule="auto"/>
        <w:ind w:right="0"/>
        <w:jc w:val="both"/>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4"/>
        <w:rPr>
          <w:rFonts w:ascii="宋体" w:hAnsi="宋体" w:cs="宋体" w:eastAsia="宋体" w:hint="default"/>
          <w:b/>
          <w:bCs/>
          <w:sz w:val="31"/>
          <w:szCs w:val="31"/>
        </w:rPr>
      </w:pPr>
    </w:p>
    <w:p>
      <w:pPr>
        <w:pStyle w:val="BodyText"/>
        <w:spacing w:line="429" w:lineRule="auto"/>
        <w:ind w:left="553" w:right="0"/>
        <w:jc w:val="left"/>
      </w:pPr>
      <w:r>
        <w:rPr/>
        <w:t>（一）行业格局和趋势</w:t>
      </w:r>
      <w:r>
        <w:rPr>
          <w:w w:val="100"/>
        </w:rPr>
        <w:t> </w:t>
      </w:r>
      <w:r>
        <w:rPr>
          <w:spacing w:val="-2"/>
        </w:rPr>
        <w:t>科技成为推动金融科技行业发展的重要动力，行业进入良性发展轨道。金融科技</w:t>
      </w:r>
      <w:r>
        <w:rPr>
          <w:rFonts w:ascii="宋体" w:hAnsi="宋体" w:cs="宋体" w:eastAsia="宋体" w:hint="default"/>
          <w:spacing w:val="-2"/>
        </w:rPr>
        <w:t>(FinTech)</w:t>
      </w:r>
      <w:r>
        <w:rPr>
          <w:spacing w:val="-2"/>
        </w:rPr>
        <w:t>不仅注重以技术</w:t>
      </w:r>
    </w:p>
    <w:p>
      <w:pPr>
        <w:pStyle w:val="BodyText"/>
        <w:spacing w:line="429" w:lineRule="auto" w:before="48"/>
        <w:ind w:right="1129"/>
        <w:jc w:val="both"/>
      </w:pPr>
      <w:r>
        <w:rPr/>
        <w:t>手段为金融行业提供服务，帮助金融行业提升效率，还强调技术对传统金融进行风险定价、风险管理、客户精</w:t>
      </w:r>
      <w:r>
        <w:rPr>
          <w:w w:val="100"/>
        </w:rPr>
        <w:t> </w:t>
      </w:r>
      <w:r>
        <w:rPr/>
        <w:t>准定位、采用场景金融理论以客户为中心进行产品设计，即通过这种方式极大地触达到用户，通过科技的方式</w:t>
      </w:r>
      <w:r>
        <w:rPr>
          <w:w w:val="100"/>
        </w:rPr>
        <w:t> </w:t>
      </w:r>
      <w:r>
        <w:rPr/>
        <w:t>管理风险，改善现有的金融生态。</w:t>
      </w:r>
      <w:r>
        <w:rPr>
          <w:rFonts w:ascii="宋体" w:hAnsi="宋体" w:cs="宋体" w:eastAsia="宋体" w:hint="default"/>
        </w:rPr>
        <w:t>2017</w:t>
      </w:r>
      <w:r>
        <w:rPr/>
        <w:t>年</w:t>
      </w:r>
      <w:r>
        <w:rPr>
          <w:rFonts w:ascii="宋体" w:hAnsi="宋体" w:cs="宋体" w:eastAsia="宋体" w:hint="default"/>
        </w:rPr>
        <w:t>5</w:t>
      </w:r>
      <w:r>
        <w:rPr/>
        <w:t>月，央行成立金融科技（</w:t>
      </w:r>
      <w:r>
        <w:rPr>
          <w:rFonts w:ascii="宋体" w:hAnsi="宋体" w:cs="宋体" w:eastAsia="宋体" w:hint="default"/>
        </w:rPr>
        <w:t>FinTech</w:t>
      </w:r>
      <w:r>
        <w:rPr/>
        <w:t>）委员会，旨在加强金融科技工作</w:t>
      </w:r>
      <w:r>
        <w:rPr>
          <w:w w:val="100"/>
        </w:rPr>
        <w:t> </w:t>
      </w:r>
      <w:r>
        <w:rPr>
          <w:spacing w:val="-2"/>
        </w:rPr>
        <w:t>的研究规划和统筹协调。</w:t>
      </w:r>
      <w:r>
        <w:rPr>
          <w:rFonts w:ascii="宋体" w:hAnsi="宋体" w:cs="宋体" w:eastAsia="宋体" w:hint="default"/>
          <w:spacing w:val="-2"/>
        </w:rPr>
        <w:t>2017</w:t>
      </w:r>
      <w:r>
        <w:rPr>
          <w:spacing w:val="-2"/>
        </w:rPr>
        <w:t>年</w:t>
      </w:r>
      <w:r>
        <w:rPr>
          <w:rFonts w:ascii="宋体" w:hAnsi="宋体" w:cs="宋体" w:eastAsia="宋体" w:hint="default"/>
          <w:spacing w:val="-2"/>
        </w:rPr>
        <w:t>6</w:t>
      </w:r>
      <w:r>
        <w:rPr>
          <w:spacing w:val="-2"/>
        </w:rPr>
        <w:t>月，央行印发了《中国金融业信息技术“十三五”发展规划》，确立了金融信</w:t>
      </w:r>
      <w:r>
        <w:rPr>
          <w:spacing w:val="-71"/>
        </w:rPr>
        <w:t> </w:t>
      </w:r>
      <w:r>
        <w:rPr>
          <w:spacing w:val="-71"/>
        </w:rPr>
      </w:r>
      <w:r>
        <w:rPr/>
        <w:t>息基础设施达到国际领先水平、信息技术持续驱动金融创新等发展目标，提出要加强金融科技和监管科技研究</w:t>
      </w:r>
      <w:r>
        <w:rPr>
          <w:w w:val="100"/>
        </w:rPr>
        <w:t> </w:t>
      </w:r>
      <w:r>
        <w:rPr/>
        <w:t>与应用，推进系统架构、云计算、大数据、区块链、人工智能等新技术应用研究，规范与普及互联网金融相关</w:t>
      </w:r>
      <w:r>
        <w:rPr>
          <w:w w:val="100"/>
        </w:rPr>
        <w:t> </w:t>
      </w:r>
      <w:r>
        <w:rPr/>
        <w:t>技术应用。近年来，随着互联网金融行业步入规范化发展，科技成为推动金融科技发展的重要动力，行业进入</w:t>
      </w:r>
      <w:r>
        <w:rPr>
          <w:w w:val="100"/>
        </w:rPr>
        <w:t> </w:t>
      </w:r>
      <w:r>
        <w:rPr/>
        <w:t>良性发展轨道。</w:t>
      </w:r>
    </w:p>
    <w:p>
      <w:pPr>
        <w:pStyle w:val="BodyText"/>
        <w:spacing w:line="429" w:lineRule="auto" w:before="48"/>
        <w:ind w:right="1169" w:firstLine="399"/>
        <w:jc w:val="both"/>
      </w:pPr>
      <w:r>
        <w:rPr>
          <w:spacing w:val="-1"/>
        </w:rPr>
        <w:t>对于银行尤其是中小银行而言，发展金融科技综合服务业务是大势所趋。近年来，由于利率市场化导致的</w:t>
      </w:r>
      <w:r>
        <w:rPr>
          <w:w w:val="100"/>
        </w:rPr>
        <w:t> </w:t>
      </w:r>
      <w:r>
        <w:rPr>
          <w:spacing w:val="-1"/>
        </w:rPr>
        <w:t>息差收窄、存款保险制度放开、民营银行牌照放开以及互联网金融等因素的冲击，中小银行逐步开始重视有效</w:t>
      </w:r>
    </w:p>
    <w:p>
      <w:pPr>
        <w:spacing w:after="0" w:line="429"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29" w:lineRule="auto"/>
        <w:ind w:right="0"/>
        <w:jc w:val="left"/>
      </w:pPr>
      <w:r>
        <w:rPr/>
        <w:t>降低运营成本、控制风险、提高经营效益，打造轻型银行、直销银行和开放银行，着力拓展不倚重资产规模的</w:t>
      </w:r>
      <w:r>
        <w:rPr>
          <w:w w:val="100"/>
        </w:rPr>
        <w:t> </w:t>
      </w:r>
      <w:r>
        <w:rPr>
          <w:spacing w:val="-2"/>
        </w:rPr>
        <w:t>中间业务、零售业务作为利润增长的主要途径。事实证明，受限于人才、资金、资产等资源的缺乏，风险控制、</w:t>
      </w:r>
      <w:r>
        <w:rPr>
          <w:spacing w:val="-76"/>
        </w:rPr>
        <w:t> </w:t>
      </w:r>
      <w:r>
        <w:rPr>
          <w:spacing w:val="-76"/>
        </w:rPr>
      </w:r>
      <w:r>
        <w:rPr/>
        <w:t>产品设计等能力的不足，以及财务、激励等机制的制约，中小银行在独立发展金融科技相关创新业态的过程中</w:t>
      </w:r>
      <w:r>
        <w:rPr>
          <w:w w:val="100"/>
        </w:rPr>
        <w:t> </w:t>
      </w:r>
      <w:r>
        <w:rPr/>
        <w:t>困难重重，鲜有成功案例。独立发展道路受阻，使得与专业的第三方科技服务机构合作成为中小银行互联网转</w:t>
      </w:r>
      <w:r>
        <w:rPr>
          <w:w w:val="100"/>
        </w:rPr>
        <w:t> </w:t>
      </w:r>
      <w:r>
        <w:rPr/>
        <w:t>型的最佳方式之一。在金融体制改革持续深化，互联网金融行业监管继续加强的背景下，类金融机构发展将面</w:t>
      </w:r>
      <w:r>
        <w:rPr>
          <w:w w:val="100"/>
        </w:rPr>
        <w:t> </w:t>
      </w:r>
      <w:r>
        <w:rPr/>
        <w:t>临阻碍，持牌金融机构迎来发展良好机遇，发展金融科技综合服务业务是大势所趋。</w:t>
      </w:r>
    </w:p>
    <w:p>
      <w:pPr>
        <w:pStyle w:val="BodyText"/>
        <w:spacing w:line="429" w:lineRule="auto" w:before="48"/>
        <w:ind w:right="1130" w:firstLine="399"/>
        <w:jc w:val="both"/>
      </w:pPr>
      <w:r>
        <w:rPr/>
        <w:t>互联网行业机会正在从</w:t>
      </w:r>
      <w:r>
        <w:rPr>
          <w:rFonts w:ascii="宋体" w:hAnsi="宋体" w:cs="宋体" w:eastAsia="宋体" w:hint="default"/>
        </w:rPr>
        <w:t>To C</w:t>
      </w:r>
      <w:r>
        <w:rPr/>
        <w:t>转向</w:t>
      </w:r>
      <w:r>
        <w:rPr>
          <w:rFonts w:ascii="宋体" w:hAnsi="宋体" w:cs="宋体" w:eastAsia="宋体" w:hint="default"/>
        </w:rPr>
        <w:t>To</w:t>
      </w:r>
      <w:r>
        <w:rPr>
          <w:rFonts w:ascii="宋体" w:hAnsi="宋体" w:cs="宋体" w:eastAsia="宋体" w:hint="default"/>
          <w:spacing w:val="-7"/>
        </w:rPr>
        <w:t> </w:t>
      </w:r>
      <w:r>
        <w:rPr>
          <w:rFonts w:ascii="宋体" w:hAnsi="宋体" w:cs="宋体" w:eastAsia="宋体" w:hint="default"/>
        </w:rPr>
        <w:t>B</w:t>
      </w:r>
      <w:r>
        <w:rPr/>
        <w:t>，企业级服务市场迎来发展良机。根据中国互联网络信息中心发布的</w:t>
      </w:r>
      <w:r>
        <w:rPr>
          <w:w w:val="100"/>
        </w:rPr>
        <w:t> </w:t>
      </w:r>
      <w:r>
        <w:rPr/>
        <w:t>数据，我国网民规模增长率近几年一直维持在</w:t>
      </w:r>
      <w:r>
        <w:rPr>
          <w:rFonts w:ascii="宋体" w:hAnsi="宋体" w:cs="宋体" w:eastAsia="宋体" w:hint="default"/>
        </w:rPr>
        <w:t>3%</w:t>
      </w:r>
      <w:r>
        <w:rPr/>
        <w:t>左右，远低于</w:t>
      </w:r>
      <w:r>
        <w:rPr>
          <w:rFonts w:ascii="宋体" w:hAnsi="宋体" w:cs="宋体" w:eastAsia="宋体" w:hint="default"/>
        </w:rPr>
        <w:t>10</w:t>
      </w:r>
      <w:r>
        <w:rPr/>
        <w:t>年前</w:t>
      </w:r>
      <w:r>
        <w:rPr>
          <w:rFonts w:ascii="宋体" w:hAnsi="宋体" w:cs="宋体" w:eastAsia="宋体" w:hint="default"/>
        </w:rPr>
        <w:t>10%</w:t>
      </w:r>
      <w:r>
        <w:rPr/>
        <w:t>左右的网民增速；与此同时，</w:t>
      </w:r>
      <w:r>
        <w:rPr>
          <w:rFonts w:ascii="宋体" w:hAnsi="宋体" w:cs="宋体" w:eastAsia="宋体" w:hint="default"/>
        </w:rPr>
        <w:t>C</w:t>
      </w:r>
      <w:r>
        <w:rPr/>
        <w:t>端用户</w:t>
      </w:r>
      <w:r>
        <w:rPr>
          <w:w w:val="100"/>
        </w:rPr>
        <w:t> </w:t>
      </w:r>
      <w:r>
        <w:rPr>
          <w:spacing w:val="-2"/>
        </w:rPr>
        <w:t>的逐渐饱和也使得企业的获客成本提高，</w:t>
      </w:r>
      <w:r>
        <w:rPr>
          <w:rFonts w:ascii="宋体" w:hAnsi="宋体" w:cs="宋体" w:eastAsia="宋体" w:hint="default"/>
          <w:spacing w:val="-2"/>
        </w:rPr>
        <w:t>C</w:t>
      </w:r>
      <w:r>
        <w:rPr>
          <w:spacing w:val="-2"/>
        </w:rPr>
        <w:t>端人口红利正在走向尾声。根据国家市场监督管理总局的统计，截至</w:t>
      </w:r>
      <w:r>
        <w:rPr>
          <w:spacing w:val="-77"/>
        </w:rPr>
        <w:t> </w:t>
      </w:r>
      <w:r>
        <w:rPr>
          <w:spacing w:val="-77"/>
        </w:rPr>
      </w:r>
      <w:r>
        <w:rPr>
          <w:rFonts w:ascii="宋体" w:hAnsi="宋体" w:cs="宋体" w:eastAsia="宋体" w:hint="default"/>
        </w:rPr>
        <w:t>2017</w:t>
      </w:r>
      <w:r>
        <w:rPr/>
        <w:t>年</w:t>
      </w:r>
      <w:r>
        <w:rPr>
          <w:rFonts w:ascii="宋体" w:hAnsi="宋体" w:cs="宋体" w:eastAsia="宋体" w:hint="default"/>
        </w:rPr>
        <w:t>9</w:t>
      </w:r>
      <w:r>
        <w:rPr/>
        <w:t>月，全国实有企业总量</w:t>
      </w:r>
      <w:r>
        <w:rPr>
          <w:rFonts w:ascii="宋体" w:hAnsi="宋体" w:cs="宋体" w:eastAsia="宋体" w:hint="default"/>
        </w:rPr>
        <w:t>2907</w:t>
      </w:r>
      <w:r>
        <w:rPr/>
        <w:t>万户，相比</w:t>
      </w:r>
      <w:r>
        <w:rPr>
          <w:rFonts w:ascii="宋体" w:hAnsi="宋体" w:cs="宋体" w:eastAsia="宋体" w:hint="default"/>
        </w:rPr>
        <w:t>2012</w:t>
      </w:r>
      <w:r>
        <w:rPr/>
        <w:t>年</w:t>
      </w:r>
      <w:r>
        <w:rPr>
          <w:rFonts w:ascii="宋体" w:hAnsi="宋体" w:cs="宋体" w:eastAsia="宋体" w:hint="default"/>
        </w:rPr>
        <w:t>9</w:t>
      </w:r>
      <w:r>
        <w:rPr/>
        <w:t>月底的</w:t>
      </w:r>
      <w:r>
        <w:rPr>
          <w:rFonts w:ascii="宋体" w:hAnsi="宋体" w:cs="宋体" w:eastAsia="宋体" w:hint="default"/>
        </w:rPr>
        <w:t>1343</w:t>
      </w:r>
      <w:r>
        <w:rPr/>
        <w:t>万户增长</w:t>
      </w:r>
      <w:r>
        <w:rPr>
          <w:rFonts w:ascii="宋体" w:hAnsi="宋体" w:cs="宋体" w:eastAsia="宋体" w:hint="default"/>
        </w:rPr>
        <w:t>116.5%</w:t>
      </w:r>
      <w:r>
        <w:rPr/>
        <w:t>，且全部企业中信息化程度</w:t>
      </w:r>
      <w:r>
        <w:rPr>
          <w:w w:val="100"/>
        </w:rPr>
        <w:t> </w:t>
      </w:r>
      <w:r>
        <w:rPr/>
        <w:t>较低的中小企业又占据了绝大多数，中小企业的企业服务需求已成为企业服务市场不可忽视的重要组成部分，</w:t>
      </w:r>
      <w:r>
        <w:rPr>
          <w:w w:val="100"/>
        </w:rPr>
        <w:t> </w:t>
      </w:r>
      <w:r>
        <w:rPr/>
        <w:t>为企业级服务提供了巨大的市场空间。近年来，以</w:t>
      </w:r>
      <w:r>
        <w:rPr>
          <w:rFonts w:ascii="宋体" w:hAnsi="宋体" w:cs="宋体" w:eastAsia="宋体" w:hint="default"/>
        </w:rPr>
        <w:t>BATJ</w:t>
      </w:r>
      <w:r>
        <w:rPr/>
        <w:t>为代表的互联网巨头，也纷纷凭借其在互联网及移动互</w:t>
      </w:r>
      <w:r>
        <w:rPr>
          <w:w w:val="100"/>
        </w:rPr>
        <w:t> </w:t>
      </w:r>
      <w:r>
        <w:rPr/>
        <w:t>联网时代积累下来的优势，率先开始在</w:t>
      </w:r>
      <w:r>
        <w:rPr>
          <w:rFonts w:ascii="宋体" w:hAnsi="宋体" w:cs="宋体" w:eastAsia="宋体" w:hint="default"/>
        </w:rPr>
        <w:t>B</w:t>
      </w:r>
      <w:r>
        <w:rPr/>
        <w:t>端的布局。</w:t>
      </w:r>
    </w:p>
    <w:p>
      <w:pPr>
        <w:pStyle w:val="BodyText"/>
        <w:spacing w:line="429" w:lineRule="auto" w:before="48"/>
        <w:ind w:right="1161" w:firstLine="399"/>
        <w:jc w:val="left"/>
      </w:pPr>
      <w:r>
        <w:rPr/>
        <w:t>一系列迹象显示，科技赋能企业级市场正成为日益普遍的趋势，</w:t>
      </w:r>
      <w:r>
        <w:rPr>
          <w:rFonts w:ascii="宋体" w:hAnsi="宋体" w:cs="宋体" w:eastAsia="宋体" w:hint="default"/>
        </w:rPr>
        <w:t>To</w:t>
      </w:r>
      <w:r>
        <w:rPr>
          <w:rFonts w:ascii="宋体" w:hAnsi="宋体" w:cs="宋体" w:eastAsia="宋体" w:hint="default"/>
          <w:spacing w:val="-8"/>
        </w:rPr>
        <w:t> </w:t>
      </w:r>
      <w:r>
        <w:rPr>
          <w:rFonts w:ascii="宋体" w:hAnsi="宋体" w:cs="宋体" w:eastAsia="宋体" w:hint="default"/>
        </w:rPr>
        <w:t>B</w:t>
      </w:r>
      <w:r>
        <w:rPr/>
        <w:t>产业互联网时代已到来。产业互联网</w:t>
      </w:r>
      <w:r>
        <w:rPr>
          <w:w w:val="100"/>
        </w:rPr>
        <w:t> </w:t>
      </w:r>
      <w:r>
        <w:rPr>
          <w:spacing w:val="-1"/>
        </w:rPr>
        <w:t>将重构产业链，金融、政府、公共服务等行业正迎来变革，垂直行业信息化领军企业将获得长足的发展机遇。</w:t>
      </w:r>
    </w:p>
    <w:p>
      <w:pPr>
        <w:pStyle w:val="BodyText"/>
        <w:spacing w:line="429" w:lineRule="auto" w:before="48"/>
        <w:ind w:left="553" w:right="0"/>
        <w:jc w:val="left"/>
      </w:pPr>
      <w:r>
        <w:rPr/>
        <w:t>（二）公司发展战略</w:t>
      </w:r>
      <w:r>
        <w:rPr>
          <w:w w:val="100"/>
        </w:rPr>
        <w:t> </w:t>
      </w:r>
      <w:r>
        <w:rPr>
          <w:spacing w:val="-1"/>
        </w:rPr>
        <w:t>公司将继续坚持以金融科技整体解决方案和数据中心综合服务为基础，深入推进人工智能、大数据、云服</w:t>
      </w:r>
    </w:p>
    <w:p>
      <w:pPr>
        <w:pStyle w:val="BodyText"/>
        <w:spacing w:line="429" w:lineRule="auto" w:before="48"/>
        <w:ind w:right="1118"/>
        <w:jc w:val="left"/>
      </w:pPr>
      <w:r>
        <w:rPr>
          <w:spacing w:val="-1"/>
        </w:rPr>
        <w:t>务、区块链等科技创新业务，打造价值共享的产业互联网科技赋能平台，引导产业客户实现从</w:t>
      </w:r>
      <w:r>
        <w:rPr>
          <w:rFonts w:ascii="宋体" w:hAnsi="宋体" w:cs="宋体" w:eastAsia="宋体" w:hint="default"/>
          <w:spacing w:val="-1"/>
        </w:rPr>
        <w:t>IT</w:t>
      </w:r>
      <w:r>
        <w:rPr>
          <w:spacing w:val="-1"/>
        </w:rPr>
        <w:t>到</w:t>
      </w:r>
      <w:r>
        <w:rPr>
          <w:rFonts w:ascii="宋体" w:hAnsi="宋体" w:cs="宋体" w:eastAsia="宋体" w:hint="default"/>
          <w:spacing w:val="-1"/>
        </w:rPr>
        <w:t>DT</w:t>
      </w:r>
      <w:r>
        <w:rPr>
          <w:spacing w:val="-1"/>
        </w:rPr>
        <w:t>到</w:t>
      </w:r>
      <w:r>
        <w:rPr>
          <w:rFonts w:ascii="宋体" w:hAnsi="宋体" w:cs="宋体" w:eastAsia="宋体" w:hint="default"/>
          <w:spacing w:val="-1"/>
        </w:rPr>
        <w:t>AT</w:t>
      </w:r>
      <w:r>
        <w:rPr>
          <w:spacing w:val="-1"/>
        </w:rPr>
        <w:t>的技</w:t>
      </w:r>
      <w:r>
        <w:rPr>
          <w:spacing w:val="-61"/>
        </w:rPr>
        <w:t> </w:t>
      </w:r>
      <w:r>
        <w:rPr/>
        <w:t>术升级。</w:t>
      </w:r>
    </w:p>
    <w:p>
      <w:pPr>
        <w:pStyle w:val="BodyText"/>
        <w:spacing w:line="429" w:lineRule="auto" w:before="48"/>
        <w:ind w:left="553" w:right="3147"/>
        <w:jc w:val="left"/>
      </w:pPr>
      <w:r>
        <w:rPr/>
        <w:t>（三）经营计划</w:t>
      </w:r>
      <w:r>
        <w:rPr>
          <w:w w:val="100"/>
        </w:rPr>
        <w:t> </w:t>
      </w:r>
      <w:r>
        <w:rPr>
          <w:spacing w:val="-1"/>
        </w:rPr>
        <w:t>为确保实现公司发展战略目标，公司</w:t>
      </w:r>
      <w:r>
        <w:rPr>
          <w:rFonts w:ascii="宋体" w:hAnsi="宋体" w:cs="宋体" w:eastAsia="宋体" w:hint="default"/>
          <w:spacing w:val="-1"/>
        </w:rPr>
        <w:t>2019</w:t>
      </w:r>
      <w:r>
        <w:rPr>
          <w:spacing w:val="-1"/>
        </w:rPr>
        <w:t>年度经营计划主要包括以下内容：</w:t>
      </w:r>
      <w:r>
        <w:rPr>
          <w:spacing w:val="-70"/>
        </w:rPr>
        <w:t> </w:t>
      </w:r>
      <w:r>
        <w:rPr>
          <w:spacing w:val="-70"/>
        </w:rPr>
      </w:r>
      <w:r>
        <w:rPr>
          <w:rFonts w:ascii="宋体" w:hAnsi="宋体" w:cs="宋体" w:eastAsia="宋体" w:hint="default"/>
        </w:rPr>
        <w:t>1.</w:t>
      </w:r>
      <w:r>
        <w:rPr/>
        <w:t>进一步推进中小银行转型金融科技综合服务，赋能产业互联网升级</w:t>
      </w:r>
    </w:p>
    <w:p>
      <w:pPr>
        <w:pStyle w:val="BodyText"/>
        <w:spacing w:line="429" w:lineRule="auto" w:before="48"/>
        <w:ind w:right="0" w:firstLine="399"/>
        <w:jc w:val="left"/>
      </w:pPr>
      <w:r>
        <w:rPr>
          <w:rFonts w:ascii="宋体" w:hAnsi="宋体" w:cs="宋体" w:eastAsia="宋体" w:hint="default"/>
          <w:spacing w:val="-2"/>
        </w:rPr>
        <w:t>2019</w:t>
      </w:r>
      <w:r>
        <w:rPr>
          <w:spacing w:val="-2"/>
        </w:rPr>
        <w:t>年，公司将继续致力于帮助国内众多中小银行转型，提供开放银行整体解决方案等金融科技综合服务，</w:t>
      </w:r>
      <w:r>
        <w:rPr>
          <w:w w:val="100"/>
        </w:rPr>
        <w:t> </w:t>
      </w:r>
      <w:r>
        <w:rPr/>
        <w:t>并抓住产业互联网升级的良机，进一步打造价值共享的产业互联网科技赋能平台，将公司在客户资源、技术实</w:t>
      </w:r>
      <w:r>
        <w:rPr>
          <w:w w:val="100"/>
        </w:rPr>
        <w:t> </w:t>
      </w:r>
      <w:r>
        <w:rPr/>
        <w:t>力、经营管理等领域的能力向产业链上下游合作伙伴开放，推动公司、合伙人及合作伙伴业务增长。</w:t>
      </w:r>
    </w:p>
    <w:p>
      <w:pPr>
        <w:pStyle w:val="BodyText"/>
        <w:spacing w:line="429" w:lineRule="auto" w:before="48"/>
        <w:ind w:left="553" w:right="0"/>
        <w:jc w:val="left"/>
      </w:pPr>
      <w:r>
        <w:rPr>
          <w:rFonts w:ascii="宋体" w:hAnsi="宋体" w:cs="宋体" w:eastAsia="宋体" w:hint="default"/>
        </w:rPr>
        <w:t>2.</w:t>
      </w:r>
      <w:r>
        <w:rPr/>
        <w:t>进一步夯实智能银行综合解决方案、数据中心综合解决方案等传统优势业务</w:t>
      </w:r>
      <w:r>
        <w:rPr>
          <w:w w:val="100"/>
        </w:rPr>
        <w:t> </w:t>
      </w:r>
      <w:r>
        <w:rPr>
          <w:spacing w:val="-2"/>
        </w:rPr>
        <w:t>公司将积极研究和推进智能银行转型管理咨询服务、渠道整合、轻型网点、金融大数据分析、供应链融资、</w:t>
      </w:r>
    </w:p>
    <w:p>
      <w:pPr>
        <w:pStyle w:val="BodyText"/>
        <w:spacing w:line="429" w:lineRule="auto" w:before="48"/>
        <w:ind w:right="0"/>
        <w:jc w:val="left"/>
      </w:pPr>
      <w:r>
        <w:rPr>
          <w:spacing w:val="-1"/>
        </w:rPr>
        <w:t>产业链融资、移动支付和数据中心综合服务等一系列解决方案和服务，进一步夯实公司在智能银行领域和数据</w:t>
      </w:r>
      <w:r>
        <w:rPr>
          <w:spacing w:val="-63"/>
        </w:rPr>
        <w:t> </w:t>
      </w:r>
      <w:r>
        <w:rPr>
          <w:spacing w:val="-63"/>
        </w:rPr>
      </w:r>
      <w:r>
        <w:rPr/>
        <w:t>中心综合解决方案领域的优势业务。</w:t>
      </w:r>
    </w:p>
    <w:p>
      <w:pPr>
        <w:pStyle w:val="BodyText"/>
        <w:spacing w:line="240" w:lineRule="auto" w:before="48"/>
        <w:ind w:left="553" w:right="0"/>
        <w:jc w:val="left"/>
      </w:pPr>
      <w:r>
        <w:rPr>
          <w:rFonts w:ascii="宋体" w:hAnsi="宋体" w:cs="宋体" w:eastAsia="宋体" w:hint="default"/>
        </w:rPr>
        <w:t>3.</w:t>
      </w:r>
      <w:r>
        <w:rPr/>
        <w:t>进一步加大技术投入</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29" w:lineRule="auto"/>
        <w:ind w:right="1169" w:firstLine="399"/>
        <w:jc w:val="both"/>
      </w:pPr>
      <w:r>
        <w:rPr>
          <w:spacing w:val="-1"/>
        </w:rPr>
        <w:t>在技术创新方面，公司将继续加大在主营业务领域的核心产品和技术研发及产业化投入，不断增强人工智</w:t>
      </w:r>
      <w:r>
        <w:rPr>
          <w:w w:val="100"/>
        </w:rPr>
        <w:t> </w:t>
      </w:r>
      <w:r>
        <w:rPr>
          <w:spacing w:val="-1"/>
        </w:rPr>
        <w:t>能、云计算、大数据、区块链等领域的技术实力，保持行业技术领先水平，增强企业的核心竞争能力，为公司</w:t>
      </w:r>
      <w:r>
        <w:rPr>
          <w:spacing w:val="-63"/>
        </w:rPr>
        <w:t> </w:t>
      </w:r>
      <w:r>
        <w:rPr>
          <w:spacing w:val="-63"/>
        </w:rPr>
      </w:r>
      <w:r>
        <w:rPr/>
        <w:t>的成长提供产品和技术优势。</w:t>
      </w:r>
    </w:p>
    <w:p>
      <w:pPr>
        <w:pStyle w:val="BodyText"/>
        <w:spacing w:line="429" w:lineRule="auto" w:before="48"/>
        <w:ind w:left="553" w:right="0"/>
        <w:jc w:val="left"/>
      </w:pPr>
      <w:r>
        <w:rPr>
          <w:rFonts w:ascii="宋体" w:hAnsi="宋体" w:cs="宋体" w:eastAsia="宋体" w:hint="default"/>
        </w:rPr>
        <w:t>4.</w:t>
      </w:r>
      <w:r>
        <w:rPr/>
        <w:t>配合公司战略，积极利用收购兼并等手段进行资源整合</w:t>
      </w:r>
      <w:r>
        <w:rPr>
          <w:w w:val="100"/>
        </w:rPr>
        <w:t> </w:t>
      </w:r>
      <w:r>
        <w:rPr>
          <w:spacing w:val="-1"/>
        </w:rPr>
        <w:t>根据公司的经营发展战略，进一步分解投资并购战略，做到与公司整体战略配合，聚焦不脱节。建立健全</w:t>
      </w:r>
    </w:p>
    <w:p>
      <w:pPr>
        <w:pStyle w:val="BodyText"/>
        <w:spacing w:line="429" w:lineRule="auto" w:before="48"/>
        <w:ind w:left="553" w:right="0" w:hanging="400"/>
        <w:jc w:val="left"/>
      </w:pPr>
      <w:r>
        <w:rPr>
          <w:spacing w:val="-1"/>
        </w:rPr>
        <w:t>投后管理体系和流程，帮助上市公司实现协同发展，完善战略布局，提升综合竞争优势。</w:t>
      </w:r>
      <w:r>
        <w:rPr>
          <w:spacing w:val="-70"/>
        </w:rPr>
        <w:t> </w:t>
      </w:r>
      <w:r>
        <w:rPr>
          <w:spacing w:val="-70"/>
        </w:rPr>
      </w:r>
      <w:r>
        <w:rPr>
          <w:rFonts w:ascii="宋体" w:hAnsi="宋体" w:cs="宋体" w:eastAsia="宋体" w:hint="default"/>
        </w:rPr>
        <w:t>5.</w:t>
      </w:r>
      <w:r>
        <w:rPr/>
        <w:t>深入开展党建活动，提高员工的凝聚力和公司竞争力</w:t>
      </w:r>
    </w:p>
    <w:p>
      <w:pPr>
        <w:pStyle w:val="BodyText"/>
        <w:spacing w:line="429" w:lineRule="auto" w:before="48"/>
        <w:ind w:right="1168" w:firstLine="399"/>
        <w:jc w:val="both"/>
      </w:pPr>
      <w:r>
        <w:rPr>
          <w:rFonts w:ascii="宋体" w:hAnsi="宋体" w:cs="宋体" w:eastAsia="宋体" w:hint="default"/>
          <w:spacing w:val="-1"/>
        </w:rPr>
        <w:t>2019</w:t>
      </w:r>
      <w:r>
        <w:rPr>
          <w:spacing w:val="-1"/>
        </w:rPr>
        <w:t>年，公司将继续以基层党组织为依托，深入开展党建活动，为党组织的活动提供必要的条件，注重发</w:t>
      </w:r>
      <w:r>
        <w:rPr>
          <w:w w:val="100"/>
        </w:rPr>
        <w:t> </w:t>
      </w:r>
      <w:r>
        <w:rPr/>
        <w:t>挥党员的先锋模范作用，提高员工的凝聚力和公司竞争力。</w:t>
      </w:r>
    </w:p>
    <w:p>
      <w:pPr>
        <w:pStyle w:val="BodyText"/>
        <w:spacing w:line="429" w:lineRule="auto" w:before="48"/>
        <w:ind w:left="553" w:right="8353"/>
        <w:jc w:val="left"/>
      </w:pPr>
      <w:r>
        <w:rPr/>
        <w:t>（四）可能面对的风险</w:t>
      </w:r>
      <w:r>
        <w:rPr>
          <w:w w:val="100"/>
        </w:rPr>
        <w:t> </w:t>
      </w:r>
      <w:r>
        <w:rPr>
          <w:rFonts w:ascii="宋体" w:hAnsi="宋体" w:cs="宋体" w:eastAsia="宋体" w:hint="default"/>
        </w:rPr>
        <w:t>1.</w:t>
      </w:r>
      <w:r>
        <w:rPr/>
        <w:t>市场竞争风险</w:t>
      </w:r>
    </w:p>
    <w:p>
      <w:pPr>
        <w:pStyle w:val="BodyText"/>
        <w:spacing w:line="429" w:lineRule="auto" w:before="48"/>
        <w:ind w:right="1168" w:firstLine="399"/>
        <w:jc w:val="both"/>
      </w:pPr>
      <w:r>
        <w:rPr>
          <w:spacing w:val="-1"/>
        </w:rPr>
        <w:t>公司正在积极布局的行业具有广阔的市场空间，但同时也面临激烈的市场竞争。如果公司不能充分利用现</w:t>
      </w:r>
      <w:r>
        <w:rPr>
          <w:w w:val="100"/>
        </w:rPr>
        <w:t> </w:t>
      </w:r>
      <w:r>
        <w:rPr>
          <w:spacing w:val="-1"/>
        </w:rPr>
        <w:t>有优势和资源，持续升级产品和服务，快速扩大市场份额，可能导致公司未来持续高速发展存在一定的不确定</w:t>
      </w:r>
      <w:r>
        <w:rPr>
          <w:spacing w:val="-62"/>
        </w:rPr>
        <w:t> </w:t>
      </w:r>
      <w:r>
        <w:rPr>
          <w:spacing w:val="-62"/>
        </w:rPr>
      </w:r>
      <w:r>
        <w:rPr/>
        <w:t>因素。</w:t>
      </w:r>
    </w:p>
    <w:p>
      <w:pPr>
        <w:pStyle w:val="BodyText"/>
        <w:spacing w:line="429" w:lineRule="auto" w:before="48"/>
        <w:ind w:right="1169" w:firstLine="399"/>
        <w:jc w:val="both"/>
      </w:pPr>
      <w:r>
        <w:rPr>
          <w:spacing w:val="-1"/>
        </w:rPr>
        <w:t>针对上述风险，公司将积极顺应行业发展趋势，加快业务布局，快速推进各项业务；同时充分发挥公司的</w:t>
      </w:r>
      <w:r>
        <w:rPr>
          <w:w w:val="100"/>
        </w:rPr>
        <w:t> </w:t>
      </w:r>
      <w:r>
        <w:rPr/>
        <w:t>核心竞争优势，加大市场拓展力度，以规避市场竞争加剧对公司造成的风险。</w:t>
      </w:r>
    </w:p>
    <w:p>
      <w:pPr>
        <w:pStyle w:val="BodyText"/>
        <w:spacing w:line="429" w:lineRule="auto" w:before="48"/>
        <w:ind w:left="553" w:right="0"/>
        <w:jc w:val="left"/>
      </w:pPr>
      <w:r>
        <w:rPr>
          <w:rFonts w:ascii="宋体" w:hAnsi="宋体" w:cs="宋体" w:eastAsia="宋体" w:hint="default"/>
        </w:rPr>
        <w:t>2.</w:t>
      </w:r>
      <w:r>
        <w:rPr/>
        <w:t>行业技术风险</w:t>
      </w:r>
      <w:r>
        <w:rPr>
          <w:w w:val="100"/>
        </w:rPr>
        <w:t> </w:t>
      </w:r>
      <w:r>
        <w:rPr>
          <w:spacing w:val="-1"/>
        </w:rPr>
        <w:t>公司所处行业存在对产品的技术要求高，技术更新换代快，市场需求变化快的特点，如果不能及时准确地</w:t>
      </w:r>
    </w:p>
    <w:p>
      <w:pPr>
        <w:pStyle w:val="BodyText"/>
        <w:spacing w:line="429" w:lineRule="auto" w:before="48"/>
        <w:ind w:left="553" w:right="0" w:hanging="400"/>
        <w:jc w:val="left"/>
      </w:pPr>
      <w:r>
        <w:rPr/>
        <w:t>把握新技术及市场需求的发展和变化，将会影响公司的快速发展。</w:t>
      </w:r>
      <w:r>
        <w:rPr>
          <w:w w:val="100"/>
        </w:rPr>
        <w:t> </w:t>
      </w:r>
      <w:r>
        <w:rPr>
          <w:spacing w:val="-1"/>
        </w:rPr>
        <w:t>针对上述风险，公司将进一步加大技术研发投入，完善公司技术研发体系，加强研发技术人才的引进，并</w:t>
      </w:r>
    </w:p>
    <w:p>
      <w:pPr>
        <w:pStyle w:val="BodyText"/>
        <w:spacing w:line="429" w:lineRule="auto" w:before="48"/>
        <w:ind w:left="553" w:right="4938" w:hanging="400"/>
        <w:jc w:val="left"/>
      </w:pPr>
      <w:r>
        <w:rPr>
          <w:spacing w:val="-1"/>
        </w:rPr>
        <w:t>在公司内部形成良好的知识共享、传递机制，不断提升创新能力。</w:t>
      </w:r>
      <w:r>
        <w:rPr>
          <w:spacing w:val="-78"/>
        </w:rPr>
        <w:t> </w:t>
      </w:r>
      <w:r>
        <w:rPr>
          <w:spacing w:val="-78"/>
        </w:rPr>
      </w:r>
      <w:r>
        <w:rPr>
          <w:rFonts w:ascii="宋体" w:hAnsi="宋体" w:cs="宋体" w:eastAsia="宋体" w:hint="default"/>
        </w:rPr>
        <w:t>3.</w:t>
      </w:r>
      <w:r>
        <w:rPr/>
        <w:t>人力资源风险</w:t>
      </w:r>
    </w:p>
    <w:p>
      <w:pPr>
        <w:pStyle w:val="BodyText"/>
        <w:spacing w:line="429" w:lineRule="auto" w:before="48"/>
        <w:ind w:right="1169" w:firstLine="399"/>
        <w:jc w:val="both"/>
      </w:pPr>
      <w:r>
        <w:rPr>
          <w:spacing w:val="-1"/>
        </w:rPr>
        <w:t>人才资源是公司生存和发展的关键，随着公司业务发展，对经营人才、业务人才、技术人才、运营人才及</w:t>
      </w:r>
      <w:r>
        <w:rPr>
          <w:w w:val="100"/>
        </w:rPr>
        <w:t> </w:t>
      </w:r>
      <w:r>
        <w:rPr>
          <w:spacing w:val="-1"/>
        </w:rPr>
        <w:t>有丰富经验的产品研发、项目管理人才的需求日益增强，同时员工行为管理也更加复杂。公司人才队伍的数量</w:t>
      </w:r>
      <w:r>
        <w:rPr>
          <w:spacing w:val="-63"/>
        </w:rPr>
        <w:t> </w:t>
      </w:r>
      <w:r>
        <w:rPr>
          <w:spacing w:val="-63"/>
        </w:rPr>
      </w:r>
      <w:r>
        <w:rPr/>
        <w:t>及质量，是公司能否健康快速发展的重要保障因素。</w:t>
      </w:r>
    </w:p>
    <w:p>
      <w:pPr>
        <w:pStyle w:val="BodyText"/>
        <w:spacing w:line="429" w:lineRule="auto" w:before="48"/>
        <w:ind w:right="1169" w:firstLine="399"/>
        <w:jc w:val="both"/>
      </w:pPr>
      <w:r>
        <w:rPr>
          <w:spacing w:val="-1"/>
        </w:rPr>
        <w:t>针对上述风险，公司将进一步完善人才保障的常态化机制，通过建立多层级合伙人经营责任制等方式加大</w:t>
      </w:r>
      <w:r>
        <w:rPr>
          <w:w w:val="100"/>
        </w:rPr>
        <w:t> </w:t>
      </w:r>
      <w:r>
        <w:rPr>
          <w:spacing w:val="-1"/>
        </w:rPr>
        <w:t>人才培养和引进力度，提供畅通的晋升渠道、推行有效的绩效考核与激励机制等措施，来满足公司业务跨越式</w:t>
      </w:r>
      <w:r>
        <w:rPr>
          <w:spacing w:val="-63"/>
        </w:rPr>
        <w:t> </w:t>
      </w:r>
      <w:r>
        <w:rPr>
          <w:spacing w:val="-63"/>
        </w:rPr>
      </w:r>
      <w:r>
        <w:rPr/>
        <w:t>发展对人才的需求。</w:t>
      </w:r>
    </w:p>
    <w:p>
      <w:pPr>
        <w:pStyle w:val="BodyText"/>
        <w:spacing w:line="429" w:lineRule="auto" w:before="48"/>
        <w:ind w:left="553" w:right="1118"/>
        <w:jc w:val="left"/>
      </w:pPr>
      <w:r>
        <w:rPr>
          <w:rFonts w:ascii="宋体" w:hAnsi="宋体" w:cs="宋体" w:eastAsia="宋体" w:hint="default"/>
        </w:rPr>
        <w:t>4.</w:t>
      </w:r>
      <w:r>
        <w:rPr/>
        <w:t>政策风险</w:t>
      </w:r>
      <w:r>
        <w:rPr>
          <w:w w:val="100"/>
        </w:rPr>
        <w:t> </w:t>
      </w:r>
      <w:r>
        <w:rPr>
          <w:spacing w:val="-1"/>
        </w:rPr>
        <w:t>行业政策是影响公司及行业发展的重要因素。若未来国家对相关行业政策进行调整或完善，将对行业发展</w:t>
      </w:r>
    </w:p>
    <w:p>
      <w:pPr>
        <w:spacing w:after="0" w:line="429"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29" w:lineRule="auto"/>
        <w:ind w:left="553" w:right="0" w:hanging="400"/>
        <w:jc w:val="left"/>
      </w:pPr>
      <w:r>
        <w:rPr/>
        <w:t>方向和竞争格局产生深刻影响，从而可能对公司业务发展的方向和速度产生一定影响。</w:t>
      </w:r>
      <w:r>
        <w:rPr>
          <w:w w:val="100"/>
        </w:rPr>
        <w:t> </w:t>
      </w:r>
      <w:r>
        <w:rPr>
          <w:spacing w:val="-1"/>
        </w:rPr>
        <w:t>针对上述风险，公司在发展业务的过程中，将进一步严格按照可参考、可依据的相关法律法规及政策开展</w:t>
      </w:r>
    </w:p>
    <w:p>
      <w:pPr>
        <w:pStyle w:val="BodyText"/>
        <w:spacing w:line="240" w:lineRule="auto" w:before="48"/>
        <w:ind w:right="0"/>
        <w:jc w:val="left"/>
      </w:pPr>
      <w:r>
        <w:rPr/>
        <w:t>业务，持续跟踪和研究相关政策及变化，防范风险。</w:t>
      </w:r>
    </w:p>
    <w:p>
      <w:pPr>
        <w:spacing w:line="240" w:lineRule="auto" w:before="0"/>
        <w:rPr>
          <w:rFonts w:ascii="宋体" w:hAnsi="宋体" w:cs="宋体" w:eastAsia="宋体" w:hint="default"/>
          <w:sz w:val="20"/>
          <w:szCs w:val="20"/>
        </w:rPr>
      </w:pPr>
    </w:p>
    <w:p>
      <w:pPr>
        <w:pStyle w:val="Heading2"/>
        <w:spacing w:line="240" w:lineRule="auto" w:before="136"/>
        <w:ind w:right="0"/>
        <w:jc w:val="left"/>
        <w:rPr>
          <w:b w:val="0"/>
          <w:bCs w:val="0"/>
        </w:rPr>
      </w:pPr>
      <w:bookmarkStart w:name="十、接待调研、沟通、采访等活动" w:id="60"/>
      <w:bookmarkEnd w:id="60"/>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接待调研、沟通、采访等活动登记表" w:id="61"/>
      <w:bookmarkEnd w:id="6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5"/>
        <w:rPr>
          <w:rFonts w:ascii="宋体" w:hAnsi="宋体" w:cs="宋体" w:eastAsia="宋体" w:hint="default"/>
          <w:b/>
          <w:bCs/>
          <w:sz w:val="25"/>
          <w:szCs w:val="25"/>
        </w:rPr>
      </w:pPr>
    </w:p>
    <w:p>
      <w:pPr>
        <w:pStyle w:val="BodyText"/>
        <w:spacing w:line="304" w:lineRule="auto"/>
        <w:ind w:right="49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100"/>
        </w:rPr>
        <w:t> </w:t>
      </w:r>
      <w:r>
        <w:rPr>
          <w:spacing w:val="-1"/>
        </w:rPr>
        <w:t>公司报告期内未发生接待调研、沟通、采访等活动。</w:t>
      </w:r>
    </w:p>
    <w:p>
      <w:pPr>
        <w:spacing w:after="0" w:line="304"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1"/>
        <w:jc w:val="center"/>
        <w:rPr>
          <w:b w:val="0"/>
          <w:bCs w:val="0"/>
        </w:rPr>
      </w:pPr>
      <w:bookmarkStart w:name="_TOC_250007" w:id="62"/>
      <w:bookmarkStart w:name="第五节 重要事项" w:id="63"/>
      <w:r>
        <w:rPr>
          <w:b w:val="0"/>
          <w:bCs w:val="0"/>
        </w:rPr>
      </w:r>
      <w:r>
        <w:rPr/>
        <w:t>第五节</w:t>
      </w:r>
      <w:r>
        <w:rPr>
          <w:spacing w:val="-4"/>
        </w:rPr>
        <w:t> </w:t>
      </w:r>
      <w:r>
        <w:rPr/>
        <w:t>重要事项</w:t>
      </w:r>
      <w:bookmarkEnd w:id="62"/>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3"/>
        <w:rPr>
          <w:rFonts w:ascii="宋体" w:hAnsi="宋体" w:cs="宋体" w:eastAsia="宋体" w:hint="default"/>
          <w:b/>
          <w:bCs/>
          <w:sz w:val="31"/>
          <w:szCs w:val="31"/>
        </w:rPr>
      </w:pPr>
    </w:p>
    <w:p>
      <w:pPr>
        <w:pStyle w:val="BodyText"/>
        <w:spacing w:line="240" w:lineRule="auto"/>
        <w:ind w:right="0"/>
        <w:jc w:val="left"/>
      </w:pPr>
      <w:r>
        <w:rPr/>
        <w:t>报告期内普通股利润分配政策，特别是现金分红政策的制定、执行或调整情况</w:t>
      </w:r>
    </w:p>
    <w:p>
      <w:pPr>
        <w:spacing w:line="240" w:lineRule="auto" w:before="10"/>
        <w:rPr>
          <w:rFonts w:ascii="宋体" w:hAnsi="宋体" w:cs="宋体" w:eastAsia="宋体" w:hint="default"/>
          <w:sz w:val="15"/>
          <w:szCs w:val="1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不适用</w:t>
      </w:r>
    </w:p>
    <w:p>
      <w:pPr>
        <w:spacing w:line="240" w:lineRule="auto" w:before="8"/>
        <w:rPr>
          <w:rFonts w:ascii="宋体" w:hAnsi="宋体" w:cs="宋体" w:eastAsia="宋体" w:hint="default"/>
          <w:sz w:val="14"/>
          <w:szCs w:val="14"/>
        </w:rPr>
      </w:pPr>
    </w:p>
    <w:p>
      <w:pPr>
        <w:pStyle w:val="BodyText"/>
        <w:spacing w:line="405" w:lineRule="auto"/>
        <w:ind w:left="553" w:right="0" w:hanging="400"/>
        <w:jc w:val="left"/>
        <w:rPr>
          <w:rFonts w:ascii="Times New Roman" w:hAnsi="Times New Roman" w:cs="Times New Roman" w:eastAsia="Times New Roman" w:hint="default"/>
        </w:rPr>
      </w:pPr>
      <w:r>
        <w:rPr>
          <w:w w:val="100"/>
        </w:rPr>
        <w:t>公司近</w:t>
      </w:r>
      <w:r>
        <w:rPr>
          <w:spacing w:val="-49"/>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1"/>
          <w:w w:val="100"/>
        </w:rPr>
        <w:t> </w:t>
      </w:r>
      <w:r>
        <w:rPr>
          <w:spacing w:val="-4"/>
          <w:w w:val="100"/>
        </w:rPr>
        <w:t>年（包括本报告期）的普通股股利分配方案（预案）、资本公积金转增股本方案（预案）情况</w:t>
      </w:r>
      <w:r>
        <w:rPr>
          <w:spacing w:val="-66"/>
          <w:w w:val="100"/>
        </w:rPr>
        <w:t> </w:t>
      </w:r>
      <w:r>
        <w:rPr>
          <w:spacing w:val="-66"/>
          <w:w w:val="100"/>
        </w:rPr>
      </w:r>
      <w:r>
        <w:rPr>
          <w:spacing w:val="-3"/>
        </w:rPr>
        <w:t>公司</w:t>
      </w:r>
      <w:r>
        <w:rPr>
          <w:rFonts w:ascii="Times New Roman" w:hAnsi="Times New Roman" w:cs="Times New Roman" w:eastAsia="Times New Roman" w:hint="default"/>
          <w:spacing w:val="-3"/>
        </w:rPr>
        <w:t>2016</w:t>
      </w:r>
      <w:r>
        <w:rPr>
          <w:spacing w:val="-3"/>
        </w:rPr>
        <w:t>年年度利润分配方案：以公司总股本</w:t>
      </w:r>
      <w:r>
        <w:rPr>
          <w:rFonts w:ascii="Times New Roman" w:hAnsi="Times New Roman" w:cs="Times New Roman" w:eastAsia="Times New Roman" w:hint="default"/>
          <w:spacing w:val="-3"/>
        </w:rPr>
        <w:t>337,576,686</w:t>
      </w:r>
      <w:r>
        <w:rPr>
          <w:spacing w:val="-3"/>
        </w:rPr>
        <w:t>股为基数，向全体股东按每</w:t>
      </w:r>
      <w:r>
        <w:rPr>
          <w:rFonts w:ascii="Times New Roman" w:hAnsi="Times New Roman" w:cs="Times New Roman" w:eastAsia="Times New Roman" w:hint="default"/>
          <w:spacing w:val="-3"/>
        </w:rPr>
        <w:t>10</w:t>
      </w:r>
      <w:r>
        <w:rPr>
          <w:spacing w:val="-3"/>
        </w:rPr>
        <w:t>股派发现金红利</w:t>
      </w:r>
      <w:r>
        <w:rPr>
          <w:rFonts w:ascii="Times New Roman" w:hAnsi="Times New Roman" w:cs="Times New Roman" w:eastAsia="Times New Roman" w:hint="default"/>
          <w:spacing w:val="-3"/>
        </w:rPr>
        <w:t>0.50</w:t>
      </w:r>
    </w:p>
    <w:p>
      <w:pPr>
        <w:pStyle w:val="BodyText"/>
        <w:spacing w:line="405" w:lineRule="auto" w:before="38"/>
        <w:ind w:left="553" w:right="0" w:hanging="400"/>
        <w:jc w:val="left"/>
        <w:rPr>
          <w:rFonts w:ascii="Times New Roman" w:hAnsi="Times New Roman" w:cs="Times New Roman" w:eastAsia="Times New Roman" w:hint="default"/>
        </w:rPr>
      </w:pPr>
      <w:r>
        <w:rPr/>
        <w:t>元（含税），共计派发现金股利</w:t>
      </w:r>
      <w:r>
        <w:rPr>
          <w:rFonts w:ascii="Times New Roman" w:hAnsi="Times New Roman" w:cs="Times New Roman" w:eastAsia="Times New Roman" w:hint="default"/>
        </w:rPr>
        <w:t>16,878,834.30</w:t>
      </w:r>
      <w:r>
        <w:rPr/>
        <w:t>元。</w:t>
      </w:r>
      <w:r>
        <w:rPr>
          <w:w w:val="100"/>
        </w:rPr>
        <w:t> </w:t>
      </w:r>
      <w:r>
        <w:rPr/>
        <w:t>公司</w:t>
      </w:r>
      <w:r>
        <w:rPr>
          <w:rFonts w:ascii="Times New Roman" w:hAnsi="Times New Roman" w:cs="Times New Roman" w:eastAsia="Times New Roman" w:hint="default"/>
        </w:rPr>
        <w:t>2017</w:t>
      </w:r>
      <w:r>
        <w:rPr/>
        <w:t>年年度利润分配方案：</w:t>
      </w:r>
      <w:r>
        <w:rPr>
          <w:rFonts w:ascii="Times New Roman" w:hAnsi="Times New Roman" w:cs="Times New Roman" w:eastAsia="Times New Roman" w:hint="default"/>
        </w:rPr>
        <w:t>2017</w:t>
      </w:r>
      <w:r>
        <w:rPr/>
        <w:t>年度不派发现金红利，不送红股，不以资本公积转增股本。</w:t>
      </w:r>
      <w:r>
        <w:rPr>
          <w:w w:val="100"/>
        </w:rPr>
        <w:t> </w:t>
      </w:r>
      <w:r>
        <w:rPr>
          <w:spacing w:val="-3"/>
        </w:rPr>
        <w:t>公司</w:t>
      </w:r>
      <w:r>
        <w:rPr>
          <w:rFonts w:ascii="Times New Roman" w:hAnsi="Times New Roman" w:cs="Times New Roman" w:eastAsia="Times New Roman" w:hint="default"/>
          <w:spacing w:val="-3"/>
        </w:rPr>
        <w:t>2018</w:t>
      </w:r>
      <w:r>
        <w:rPr>
          <w:spacing w:val="-3"/>
        </w:rPr>
        <w:t>年年度利润分配方案：以公司总股本</w:t>
      </w:r>
      <w:r>
        <w:rPr>
          <w:rFonts w:ascii="Times New Roman" w:hAnsi="Times New Roman" w:cs="Times New Roman" w:eastAsia="Times New Roman" w:hint="default"/>
          <w:spacing w:val="-3"/>
        </w:rPr>
        <w:t>337,576,686</w:t>
      </w:r>
      <w:r>
        <w:rPr>
          <w:spacing w:val="-3"/>
        </w:rPr>
        <w:t>股为基数，向全体股东按每</w:t>
      </w:r>
      <w:r>
        <w:rPr>
          <w:rFonts w:ascii="Times New Roman" w:hAnsi="Times New Roman" w:cs="Times New Roman" w:eastAsia="Times New Roman" w:hint="default"/>
          <w:spacing w:val="-3"/>
        </w:rPr>
        <w:t>10</w:t>
      </w:r>
      <w:r>
        <w:rPr>
          <w:spacing w:val="-3"/>
        </w:rPr>
        <w:t>股派发现金红利</w:t>
      </w:r>
      <w:r>
        <w:rPr>
          <w:rFonts w:ascii="Times New Roman" w:hAnsi="Times New Roman" w:cs="Times New Roman" w:eastAsia="Times New Roman" w:hint="default"/>
          <w:spacing w:val="-3"/>
        </w:rPr>
        <w:t>0.05</w:t>
      </w:r>
    </w:p>
    <w:p>
      <w:pPr>
        <w:pStyle w:val="BodyText"/>
        <w:spacing w:line="405" w:lineRule="auto" w:before="38"/>
        <w:ind w:right="4938"/>
        <w:jc w:val="left"/>
      </w:pPr>
      <w:r>
        <w:rPr/>
        <w:t>元（含税），共计派发现金股利</w:t>
      </w:r>
      <w:r>
        <w:rPr>
          <w:rFonts w:ascii="Times New Roman" w:hAnsi="Times New Roman" w:cs="Times New Roman" w:eastAsia="Times New Roman" w:hint="default"/>
        </w:rPr>
        <w:t>1,687,883.43</w:t>
      </w:r>
      <w:r>
        <w:rPr/>
        <w:t>元。</w:t>
      </w:r>
      <w:r>
        <w:rPr>
          <w:w w:val="100"/>
        </w:rPr>
        <w:t> </w:t>
      </w:r>
      <w:r>
        <w:rPr>
          <w:spacing w:val="-1"/>
        </w:rPr>
        <w:t>公司近三年（包括本报告期）普通股现金分红情况表</w:t>
      </w:r>
    </w:p>
    <w:p>
      <w:pPr>
        <w:spacing w:before="4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7"/>
              <w:ind w:left="52" w:right="50"/>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2" w:right="52"/>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5"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6"/>
              <w:ind w:left="52" w:right="50"/>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412" w:right="143"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392"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1,687,883.43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8,209,514.73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1,687,883.43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20.56%</w:t>
            </w:r>
          </w:p>
        </w:tc>
      </w:tr>
      <w:tr>
        <w:trPr>
          <w:trHeight w:val="161" w:hRule="exact"/>
        </w:trPr>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-236,661,197.9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0.00%</w:t>
            </w:r>
          </w:p>
        </w:tc>
        <w:tc>
          <w:tcPr>
            <w:tcW w:w="1195" w:type="dxa"/>
            <w:vMerge w:val="restart"/>
            <w:tcBorders>
              <w:top w:val="single" w:sz="4" w:space="0" w:color="000000"/>
              <w:left w:val="single" w:sz="4" w:space="0" w:color="000000"/>
              <w:right w:val="single" w:sz="4" w:space="0" w:color="000000"/>
            </w:tcBorders>
          </w:tcPr>
          <w:p>
            <w:pPr/>
          </w:p>
        </w:tc>
        <w:tc>
          <w:tcPr>
            <w:tcW w:w="1197"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1" w:hRule="exact"/>
        </w:trPr>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4"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16,878,834.30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177,933,924.25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16,878,834.30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9.49%</w:t>
            </w:r>
          </w:p>
        </w:tc>
      </w:tr>
    </w:tbl>
    <w:p>
      <w:pPr>
        <w:pStyle w:val="BodyText"/>
        <w:spacing w:line="240" w:lineRule="auto" w:before="35"/>
        <w:ind w:right="0"/>
        <w:jc w:val="left"/>
      </w:pPr>
      <w:r>
        <w:rPr/>
        <w:t>公司报告期内盈利且母公司可供普通股股东分配利润为正但未提出普通股现金红利分配预案</w:t>
      </w:r>
    </w:p>
    <w:p>
      <w:pPr>
        <w:pStyle w:val="BodyText"/>
        <w:spacing w:line="240" w:lineRule="auto" w:before="9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不适用</w:t>
      </w:r>
    </w:p>
    <w:p>
      <w:pPr>
        <w:spacing w:line="240" w:lineRule="auto" w:before="1"/>
        <w:rPr>
          <w:rFonts w:ascii="宋体" w:hAnsi="宋体" w:cs="宋体" w:eastAsia="宋体" w:hint="default"/>
          <w:sz w:val="23"/>
          <w:szCs w:val="23"/>
        </w:rPr>
      </w:pPr>
    </w:p>
    <w:p>
      <w:pPr>
        <w:pStyle w:val="Heading2"/>
        <w:spacing w:line="240" w:lineRule="auto"/>
        <w:ind w:right="0"/>
        <w:jc w:val="left"/>
        <w:rPr>
          <w:b w:val="0"/>
          <w:bCs w:val="0"/>
        </w:rPr>
      </w:pPr>
      <w:bookmarkStart w:name="二、本报告期利润分配及资本公积金转增股本预案情况" w:id="65"/>
      <w:bookmarkEnd w:id="65"/>
      <w:r>
        <w:rPr>
          <w:b w:val="0"/>
          <w:bCs w:val="0"/>
        </w:rPr>
      </w:r>
      <w:r>
        <w:rPr/>
        <w:t>二、本报告期利润分配及资本公积金转增股本预案情况</w:t>
      </w:r>
      <w:r>
        <w:rPr>
          <w:b w:val="0"/>
          <w:bCs w:val="0"/>
        </w:rPr>
      </w:r>
    </w:p>
    <w:p>
      <w:pPr>
        <w:spacing w:line="240" w:lineRule="auto" w:before="6"/>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1"/>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784"/>
        <w:gridCol w:w="5784"/>
      </w:tblGrid>
      <w:tr>
        <w:trPr>
          <w:trHeight w:val="403"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r>
      <w:tr>
        <w:trPr>
          <w:trHeight w:val="403"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spacing w:before="0"/>
        <w:ind w:left="0" w:right="1139" w:firstLine="0"/>
        <w:jc w:val="right"/>
        <w:rPr>
          <w:rFonts w:ascii="宋体" w:hAnsi="宋体" w:cs="宋体" w:eastAsia="宋体" w:hint="default"/>
          <w:sz w:val="18"/>
          <w:szCs w:val="18"/>
        </w:rPr>
      </w:pPr>
      <w:r>
        <w:rPr/>
        <w:pict>
          <v:shape style="position:absolute;margin-left:57.029999pt;margin-top:-199.568253pt;width:478.6pt;height:232.7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73"/>
                    <w:gridCol w:w="5784"/>
                  </w:tblGrid>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337,576,686</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1,687,883.43</w:t>
                        </w:r>
                      </w:p>
                    </w:tc>
                  </w:tr>
                  <w:tr>
                    <w:trPr>
                      <w:trHeight w:val="402" w:hRule="exact"/>
                    </w:trPr>
                    <w:tc>
                      <w:tcPr>
                        <w:tcW w:w="37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78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1,687,883.43</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346,231,552.50</w:t>
                        </w:r>
                      </w:p>
                    </w:tc>
                  </w:tr>
                  <w:tr>
                    <w:trPr>
                      <w:trHeight w:val="714"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2"/>
                            <w:sz w:val="18"/>
                            <w:szCs w:val="18"/>
                          </w:rPr>
                          <w:t>现金分红总额（含其他方式）占利润分配总额的</w:t>
                        </w:r>
                        <w:r>
                          <w:rPr>
                            <w:rFonts w:ascii="宋体" w:hAnsi="宋体" w:cs="宋体" w:eastAsia="宋体" w:hint="default"/>
                            <w:sz w:val="18"/>
                            <w:szCs w:val="18"/>
                          </w:rPr>
                          <w:t> 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4"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年</w:t>
                        </w:r>
                        <w:r>
                          <w:rPr>
                            <w:rFonts w:ascii="宋体" w:hAnsi="宋体" w:cs="宋体" w:eastAsia="宋体" w:hint="default"/>
                            <w:sz w:val="18"/>
                            <w:szCs w:val="18"/>
                          </w:rPr>
                          <w:t>度利润分配方案</w:t>
                        </w:r>
                        <w:r>
                          <w:rPr>
                            <w:rFonts w:ascii="宋体" w:hAnsi="宋体" w:cs="宋体" w:eastAsia="宋体" w:hint="default"/>
                            <w:spacing w:val="-54"/>
                            <w:sz w:val="18"/>
                            <w:szCs w:val="18"/>
                          </w:rPr>
                          <w:t>：</w:t>
                        </w:r>
                        <w:r>
                          <w:rPr>
                            <w:rFonts w:ascii="宋体" w:hAnsi="宋体" w:cs="宋体" w:eastAsia="宋体" w:hint="default"/>
                            <w:sz w:val="18"/>
                            <w:szCs w:val="18"/>
                          </w:rPr>
                          <w:t>以公司总股本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337,576,686 </w:t>
                        </w:r>
                        <w:r>
                          <w:rPr>
                            <w:rFonts w:ascii="宋体" w:hAnsi="宋体" w:cs="宋体" w:eastAsia="宋体" w:hint="default"/>
                            <w:sz w:val="18"/>
                            <w:szCs w:val="18"/>
                          </w:rPr>
                          <w:t>股为基数</w:t>
                        </w:r>
                        <w:r>
                          <w:rPr>
                            <w:rFonts w:ascii="宋体" w:hAnsi="宋体" w:cs="宋体" w:eastAsia="宋体" w:hint="default"/>
                            <w:spacing w:val="-54"/>
                            <w:sz w:val="18"/>
                            <w:szCs w:val="18"/>
                          </w:rPr>
                          <w:t>，</w:t>
                        </w:r>
                        <w:r>
                          <w:rPr>
                            <w:rFonts w:ascii="宋体" w:hAnsi="宋体" w:cs="宋体" w:eastAsia="宋体" w:hint="default"/>
                            <w:sz w:val="18"/>
                            <w:szCs w:val="18"/>
                          </w:rPr>
                          <w:t>向全体股东按每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0.05</w:t>
                        </w:r>
                        <w:r>
                          <w:rPr>
                            <w:rFonts w:ascii="Times New Roman" w:hAnsi="Times New Roman" w:cs="Times New Roman" w:eastAsia="Times New Roman" w:hint="default"/>
                            <w:spacing w:val="-1"/>
                            <w:sz w:val="18"/>
                            <w:szCs w:val="18"/>
                          </w:rPr>
                          <w:t> </w:t>
                        </w:r>
                        <w:r>
                          <w:rPr>
                            <w:rFonts w:ascii="宋体" w:hAnsi="宋体" w:cs="宋体" w:eastAsia="宋体" w:hint="default"/>
                            <w:spacing w:val="-54"/>
                            <w:sz w:val="18"/>
                            <w:szCs w:val="18"/>
                          </w:rPr>
                          <w:t>元</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共计派发现金股利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1,687,883.43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7"/>
        <w:ind w:right="0"/>
        <w:jc w:val="left"/>
        <w:rPr>
          <w:b w:val="0"/>
          <w:bCs w:val="0"/>
        </w:rPr>
      </w:pPr>
      <w:bookmarkStart w:name="三、承诺事项履行情况" w:id="66"/>
      <w:bookmarkEnd w:id="66"/>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right="0"/>
        <w:jc w:val="left"/>
        <w:rPr>
          <w:b w:val="0"/>
          <w:bCs w:val="0"/>
        </w:rPr>
      </w:pPr>
      <w:bookmarkStart w:name="1、公司实际控制人、股东、关联方、收购人以及公司等承诺相关方在报告期内履行完毕及" w:id="67"/>
      <w:bookmarkEnd w:id="67"/>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pict>
          <v:shape style="position:absolute;margin-left:329.973999pt;margin-top:93.391708pt;width:109.3pt;height:116.05pt;mso-position-horizontal-relative:page;mso-position-vertical-relative:paragraph;z-index:-103993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保证中科金财、</w:t>
                  </w: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844"/>
        <w:gridCol w:w="1418"/>
        <w:gridCol w:w="1134"/>
        <w:gridCol w:w="2268"/>
        <w:gridCol w:w="992"/>
        <w:gridCol w:w="992"/>
        <w:gridCol w:w="920"/>
      </w:tblGrid>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4"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418"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1418"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2482" w:hRule="exact"/>
        </w:trPr>
        <w:tc>
          <w:tcPr>
            <w:tcW w:w="1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07" w:lineRule="auto"/>
              <w:ind w:left="15" w:right="24"/>
              <w:jc w:val="left"/>
              <w:rPr>
                <w:rFonts w:ascii="宋体" w:hAnsi="宋体" w:cs="宋体" w:eastAsia="宋体" w:hint="default"/>
                <w:sz w:val="18"/>
                <w:szCs w:val="18"/>
              </w:rPr>
            </w:pPr>
            <w:r>
              <w:rPr>
                <w:rFonts w:ascii="宋体" w:hAnsi="宋体" w:cs="宋体" w:eastAsia="宋体" w:hint="default"/>
                <w:sz w:val="18"/>
                <w:szCs w:val="18"/>
              </w:rPr>
              <w:t>刘开同</w:t>
            </w:r>
            <w:r>
              <w:rPr>
                <w:rFonts w:ascii="Times New Roman" w:hAnsi="Times New Roman" w:cs="Times New Roman" w:eastAsia="Times New Roman" w:hint="default"/>
                <w:sz w:val="18"/>
                <w:szCs w:val="18"/>
              </w:rPr>
              <w:t>;</w:t>
            </w:r>
            <w:r>
              <w:rPr>
                <w:rFonts w:ascii="宋体" w:hAnsi="宋体" w:cs="宋体" w:eastAsia="宋体" w:hint="default"/>
                <w:sz w:val="18"/>
                <w:szCs w:val="18"/>
              </w:rPr>
              <w:t>董书倩</w:t>
            </w:r>
            <w:r>
              <w:rPr>
                <w:rFonts w:ascii="Times New Roman" w:hAnsi="Times New Roman" w:cs="Times New Roman" w:eastAsia="Times New Roman" w:hint="default"/>
                <w:sz w:val="18"/>
                <w:szCs w:val="18"/>
              </w:rPr>
              <w:t>;</w:t>
            </w:r>
            <w:r>
              <w:rPr>
                <w:rFonts w:ascii="宋体" w:hAnsi="宋体" w:cs="宋体" w:eastAsia="宋体" w:hint="default"/>
                <w:sz w:val="18"/>
                <w:szCs w:val="18"/>
              </w:rPr>
              <w:t>刘 运龙</w:t>
            </w:r>
            <w:r>
              <w:rPr>
                <w:rFonts w:ascii="Times New Roman" w:hAnsi="Times New Roman" w:cs="Times New Roman" w:eastAsia="Times New Roman" w:hint="default"/>
                <w:sz w:val="18"/>
                <w:szCs w:val="18"/>
              </w:rPr>
              <w:t>;</w:t>
            </w:r>
            <w:r>
              <w:rPr>
                <w:rFonts w:ascii="宋体" w:hAnsi="宋体" w:cs="宋体" w:eastAsia="宋体" w:hint="default"/>
                <w:sz w:val="18"/>
                <w:szCs w:val="18"/>
              </w:rPr>
              <w:t>天津滨河数 据信息技术有限 公司</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22" w:right="201"/>
              <w:jc w:val="both"/>
              <w:rPr>
                <w:rFonts w:ascii="宋体" w:hAnsi="宋体" w:cs="宋体" w:eastAsia="宋体" w:hint="default"/>
                <w:sz w:val="18"/>
                <w:szCs w:val="18"/>
              </w:rPr>
            </w:pPr>
            <w:r>
              <w:rPr>
                <w:rFonts w:ascii="宋体" w:hAnsi="宋体" w:cs="宋体" w:eastAsia="宋体" w:hint="default"/>
                <w:sz w:val="18"/>
                <w:szCs w:val="18"/>
              </w:rPr>
              <w:t>关于保持上 市公司独立 性的承诺函</w:t>
            </w:r>
          </w:p>
        </w:tc>
        <w:tc>
          <w:tcPr>
            <w:tcW w:w="2268" w:type="dxa"/>
            <w:vMerge w:val="restart"/>
            <w:tcBorders>
              <w:top w:val="single" w:sz="4" w:space="0" w:color="000000"/>
              <w:left w:val="single" w:sz="4" w:space="0" w:color="000000"/>
              <w:right w:val="single" w:sz="4" w:space="0" w:color="000000"/>
            </w:tcBorders>
          </w:tcPr>
          <w:p>
            <w:pPr>
              <w:pStyle w:val="TableParagraph"/>
              <w:spacing w:line="31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交易对方关于保持中科金财 和滨河创新独立性，出具如 </w:t>
            </w:r>
            <w:r>
              <w:rPr>
                <w:rFonts w:ascii="宋体" w:hAnsi="宋体" w:cs="宋体" w:eastAsia="宋体" w:hint="default"/>
                <w:spacing w:val="-4"/>
                <w:sz w:val="18"/>
                <w:szCs w:val="18"/>
              </w:rPr>
              <w:t>下承诺：一、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滨河创新的人员独立：</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．保</w:t>
            </w:r>
            <w:r>
              <w:rPr>
                <w:rFonts w:ascii="宋体" w:hAnsi="宋体" w:cs="宋体" w:eastAsia="宋体" w:hint="default"/>
                <w:spacing w:val="-85"/>
                <w:sz w:val="18"/>
                <w:szCs w:val="18"/>
              </w:rPr>
              <w:t> </w:t>
            </w:r>
            <w:r>
              <w:rPr>
                <w:rFonts w:ascii="宋体" w:hAnsi="宋体" w:cs="宋体" w:eastAsia="宋体" w:hint="default"/>
                <w:sz w:val="18"/>
                <w:szCs w:val="18"/>
              </w:rPr>
              <w:t>证本次交易完成后中科金</w:t>
            </w:r>
            <w:r>
              <w:rPr>
                <w:rFonts w:ascii="宋体" w:hAnsi="宋体" w:cs="宋体" w:eastAsia="宋体" w:hint="default"/>
                <w:sz w:val="18"/>
                <w:szCs w:val="18"/>
              </w:rPr>
              <w:t> 财、滨河创新的劳动、人事 及薪酬管理与本人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 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本公司控制的其他公司 或者其他经济组织等关联方 </w:t>
            </w:r>
            <w:r>
              <w:rPr>
                <w:rFonts w:ascii="宋体" w:hAnsi="宋体" w:cs="宋体" w:eastAsia="宋体" w:hint="default"/>
                <w:spacing w:val="-4"/>
                <w:sz w:val="18"/>
                <w:szCs w:val="18"/>
              </w:rPr>
              <w:t>之间完全独立。</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．保证本次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交易完成后中科金财、滨河 创新的高级管理人员均专职 在中科金财、滨河创新任职 并领取薪酬，不在本人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 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本公司控制的其他 公司、企业或者其他经济组 织等关联方担任董事以外的</w:t>
            </w:r>
          </w:p>
        </w:tc>
        <w:tc>
          <w:tcPr>
            <w:tcW w:w="992" w:type="dxa"/>
            <w:vMerge w:val="restart"/>
            <w:tcBorders>
              <w:top w:val="single" w:sz="4" w:space="0" w:color="000000"/>
              <w:left w:val="single" w:sz="4" w:space="0" w:color="000000"/>
              <w:right w:val="single" w:sz="4" w:space="0" w:color="000000"/>
            </w:tcBorders>
          </w:tcPr>
          <w:p>
            <w:pPr>
              <w:pStyle w:val="TableParagraph"/>
              <w:spacing w:line="2320" w:lineRule="exact"/>
              <w:ind w:right="-50"/>
              <w:jc w:val="left"/>
              <w:rPr>
                <w:rFonts w:ascii="宋体" w:hAnsi="宋体" w:cs="宋体" w:eastAsia="宋体" w:hint="default"/>
                <w:sz w:val="20"/>
                <w:szCs w:val="20"/>
              </w:rPr>
            </w:pPr>
            <w:r>
              <w:rPr>
                <w:rFonts w:ascii="宋体" w:hAnsi="宋体" w:cs="宋体" w:eastAsia="宋体" w:hint="default"/>
                <w:position w:val="-45"/>
                <w:sz w:val="20"/>
                <w:szCs w:val="20"/>
              </w:rPr>
              <w:pict>
                <v:group style="width:49.1pt;height:116.05pt;mso-position-horizontal-relative:char;mso-position-vertical-relative:line" coordorigin="0,0" coordsize="982,2321">
                  <v:group style="position:absolute;left:0;top:0;width:982;height:2321" coordorigin="0,0" coordsize="982,2321">
                    <v:shape style="position:absolute;left:0;top:0;width:982;height:2321" coordorigin="0,0" coordsize="982,2321" path="m0,2321l982,2321,982,0,0,0,0,2321xe" filled="true" fillcolor="#ffffff" stroked="false">
                      <v:path arrowok="t"/>
                      <v:fill type="solid"/>
                    </v:shape>
                  </v:group>
                </v:group>
              </w:pict>
            </w:r>
            <w:r>
              <w:rPr>
                <w:rFonts w:ascii="宋体" w:hAnsi="宋体" w:cs="宋体" w:eastAsia="宋体" w:hint="default"/>
                <w:position w:val="-45"/>
                <w:sz w:val="20"/>
                <w:szCs w:val="20"/>
              </w:rPr>
            </w:r>
          </w:p>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91"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418" w:type="dxa"/>
            <w:vMerge/>
            <w:tcBorders>
              <w:left w:val="single" w:sz="10" w:space="0" w:color="D2D2D2"/>
              <w:right w:val="single" w:sz="4" w:space="0" w:color="000000"/>
            </w:tcBorders>
          </w:tcPr>
          <w:p>
            <w:pPr/>
          </w:p>
        </w:tc>
        <w:tc>
          <w:tcPr>
            <w:tcW w:w="1134" w:type="dxa"/>
            <w:vMerge/>
            <w:tcBorders>
              <w:left w:val="single" w:sz="4" w:space="0" w:color="000000"/>
              <w:right w:val="single" w:sz="4" w:space="0" w:color="000000"/>
            </w:tcBorders>
          </w:tcPr>
          <w:p>
            <w:pPr/>
          </w:p>
        </w:tc>
        <w:tc>
          <w:tcPr>
            <w:tcW w:w="226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2482" w:hRule="exact"/>
        </w:trPr>
        <w:tc>
          <w:tcPr>
            <w:tcW w:w="1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10" w:space="0" w:color="D2D2D2"/>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2268"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38.980011pt;margin-top:72.47998pt;width:100.3pt;height:686.5pt;mso-position-horizontal-relative:page;mso-position-vertical-relative:page;z-index:-10398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9"/>
                      <w:szCs w:val="19"/>
                    </w:rPr>
                  </w:pPr>
                </w:p>
                <w:p>
                  <w:pPr>
                    <w:spacing w:before="0"/>
                    <w:ind w:left="0" w:right="743" w:firstLine="0"/>
                    <w:jc w:val="center"/>
                    <w:rPr>
                      <w:rFonts w:ascii="宋体" w:hAnsi="宋体" w:cs="宋体" w:eastAsia="宋体" w:hint="default"/>
                      <w:sz w:val="18"/>
                      <w:szCs w:val="18"/>
                    </w:rPr>
                  </w:pPr>
                  <w:r>
                    <w:rPr>
                      <w:rFonts w:ascii="宋体" w:hAnsi="宋体" w:cs="宋体" w:eastAsia="宋体" w:hint="default"/>
                      <w:sz w:val="18"/>
                      <w:szCs w:val="18"/>
                    </w:rPr>
                    <w:t>拥有独立、</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6"/>
                      <w:szCs w:val="16"/>
                    </w:rPr>
                  </w:pPr>
                </w:p>
                <w:p>
                  <w:pPr>
                    <w:spacing w:before="0"/>
                    <w:ind w:left="0" w:right="0" w:firstLine="720"/>
                    <w:jc w:val="left"/>
                    <w:rPr>
                      <w:rFonts w:ascii="宋体" w:hAnsi="宋体" w:cs="宋体" w:eastAsia="宋体" w:hint="default"/>
                      <w:sz w:val="18"/>
                      <w:szCs w:val="18"/>
                    </w:rPr>
                  </w:pPr>
                  <w:r>
                    <w:rPr>
                      <w:rFonts w:ascii="宋体" w:hAnsi="宋体" w:cs="宋体" w:eastAsia="宋体" w:hint="default"/>
                      <w:sz w:val="18"/>
                      <w:szCs w:val="18"/>
                    </w:rPr>
                    <w:t>三、</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5"/>
                      <w:szCs w:val="25"/>
                    </w:rPr>
                  </w:pPr>
                </w:p>
                <w:p>
                  <w:pPr>
                    <w:spacing w:before="0"/>
                    <w:ind w:left="0" w:right="923" w:firstLine="0"/>
                    <w:jc w:val="center"/>
                    <w:rPr>
                      <w:rFonts w:ascii="宋体" w:hAnsi="宋体" w:cs="宋体" w:eastAsia="宋体" w:hint="default"/>
                      <w:sz w:val="18"/>
                      <w:szCs w:val="18"/>
                    </w:rPr>
                  </w:pPr>
                  <w:r>
                    <w:rPr>
                      <w:rFonts w:ascii="宋体" w:hAnsi="宋体" w:cs="宋体" w:eastAsia="宋体" w:hint="default"/>
                      <w:sz w:val="18"/>
                      <w:szCs w:val="18"/>
                    </w:rPr>
                    <w:t>营性往来外，</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4"/>
        <w:gridCol w:w="1418"/>
        <w:gridCol w:w="1134"/>
        <w:gridCol w:w="2268"/>
        <w:gridCol w:w="992"/>
        <w:gridCol w:w="992"/>
        <w:gridCol w:w="920"/>
      </w:tblGrid>
      <w:tr>
        <w:trPr>
          <w:trHeight w:val="317"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职务。二、保证中科金财、</w:t>
            </w:r>
          </w:p>
        </w:tc>
        <w:tc>
          <w:tcPr>
            <w:tcW w:w="992" w:type="dxa"/>
            <w:vMerge w:val="restart"/>
            <w:tcBorders>
              <w:top w:val="single" w:sz="4" w:space="0" w:color="000000"/>
              <w:left w:val="single" w:sz="4" w:space="0" w:color="000000"/>
              <w:right w:val="single" w:sz="4" w:space="0" w:color="000000"/>
            </w:tcBorders>
          </w:tcPr>
          <w:p>
            <w:pPr>
              <w:pStyle w:val="TableParagraph"/>
              <w:spacing w:line="13729"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49.1pt;height:686.5pt;mso-position-horizontal-relative:char;mso-position-vertical-relative:line" coordorigin="0,0" coordsize="982,13730">
                  <v:group style="position:absolute;left:0;top:0;width:982;height:13730" coordorigin="0,0" coordsize="982,13730">
                    <v:shape style="position:absolute;left:0;top:0;width:982;height:13730" coordorigin="0,0" coordsize="982,13730" path="m0,13729l982,13729,982,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992"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滨河创新的机构独立：</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．保</w:t>
            </w:r>
            <w:r>
              <w:rPr>
                <w:rFonts w:ascii="宋体" w:hAnsi="宋体" w:cs="宋体" w:eastAsia="宋体" w:hint="default"/>
                <w:sz w:val="18"/>
                <w:szCs w:val="18"/>
              </w:rPr>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证本次交易完成后中科金</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财、滨河创新构建健全的公</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司法人治理结构，</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完整的组织机构。</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．保证本</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次交易完成后中科金财、滨</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河创新的股东（大）会、董</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事会、监事会等依照法律、</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法规及中科金财、滨河创新</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公司章程独立行使职权。</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保证中科金财、滨河创新的</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资产独立、完整：</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．保证本</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次交易完成后中科金财、滨</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河创新拥有与生产经营有关</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的独立、完整的资产。</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．保</w:t>
            </w:r>
            <w:r>
              <w:rPr>
                <w:rFonts w:ascii="宋体" w:hAnsi="宋体" w:cs="宋体" w:eastAsia="宋体" w:hint="default"/>
                <w:sz w:val="18"/>
                <w:szCs w:val="18"/>
              </w:rPr>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证本次交易完成后中科金</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财、滨河创新的经营场所独</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公司控制的其他公司、企业</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或者其他经济组织等关联</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6"/>
                <w:sz w:val="18"/>
                <w:szCs w:val="18"/>
              </w:rPr>
              <w:t>方。</w:t>
            </w:r>
            <w:r>
              <w:rPr>
                <w:rFonts w:ascii="Times New Roman" w:hAnsi="Times New Roman" w:cs="Times New Roman" w:eastAsia="Times New Roman" w:hint="default"/>
                <w:spacing w:val="-16"/>
                <w:sz w:val="18"/>
                <w:szCs w:val="18"/>
              </w:rPr>
              <w:t>3</w:t>
            </w:r>
            <w:r>
              <w:rPr>
                <w:rFonts w:ascii="宋体" w:hAnsi="宋体" w:cs="宋体" w:eastAsia="宋体" w:hint="default"/>
                <w:spacing w:val="-16"/>
                <w:sz w:val="18"/>
                <w:szCs w:val="18"/>
              </w:rPr>
              <w:t>．除正常经</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保证本次交易完成后中科金</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财、滨河创新不存在资金、</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资产被本人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本公司控制的其他公司、企</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业或者其他经济组织等关联</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方占用的情形。四、保证中</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科金财、滨河创新的业务独</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立：</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．保证本次交易完成后</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中科金财、滨河创新拥有独</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立开展经营活动的相关资</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质，具有面向市场的独立、</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自主</w:t>
            </w:r>
            <w:r>
              <w:rPr>
                <w:rFonts w:ascii="宋体" w:hAnsi="宋体" w:cs="宋体" w:eastAsia="宋体" w:hint="default"/>
                <w:spacing w:val="-74"/>
                <w:sz w:val="18"/>
                <w:szCs w:val="18"/>
              </w:rPr>
              <w:t>、</w:t>
            </w:r>
            <w:r>
              <w:rPr>
                <w:rFonts w:ascii="宋体" w:hAnsi="宋体" w:cs="宋体" w:eastAsia="宋体" w:hint="default"/>
                <w:sz w:val="18"/>
                <w:szCs w:val="18"/>
              </w:rPr>
              <w:t>持续的经营能力</w:t>
            </w:r>
            <w:r>
              <w:rPr>
                <w:rFonts w:ascii="宋体" w:hAnsi="宋体" w:cs="宋体" w:eastAsia="宋体" w:hint="default"/>
                <w:spacing w:val="-74"/>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74"/>
                <w:sz w:val="18"/>
                <w:szCs w:val="18"/>
              </w:rPr>
              <w:t>．保</w:t>
            </w:r>
            <w:r>
              <w:rPr>
                <w:rFonts w:ascii="宋体" w:hAnsi="宋体" w:cs="宋体" w:eastAsia="宋体" w:hint="default"/>
                <w:sz w:val="18"/>
                <w:szCs w:val="18"/>
              </w:rPr>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证本次交易完成后本人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本公司控制的其他</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公司、企业或者其他经济组</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织等关联方避免从事与中科</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金财、滨河创新及其控制的</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其他公司、企业或者其他经</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济组织具有竞争关系的业</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务。</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．保证本次交易完成后</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3"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控制的其他公司、企业或者</w:t>
            </w:r>
          </w:p>
        </w:tc>
        <w:tc>
          <w:tcPr>
            <w:tcW w:w="99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02.983002pt;margin-top:72.47998pt;width:136.3pt;height:532.5pt;mso-position-horizontal-relative:page;mso-position-vertical-relative:page;z-index:-10398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31"/>
                    <w:ind w:left="0" w:right="0" w:firstLine="719"/>
                    <w:jc w:val="left"/>
                    <w:rPr>
                      <w:rFonts w:ascii="宋体" w:hAnsi="宋体" w:cs="宋体" w:eastAsia="宋体" w:hint="default"/>
                      <w:sz w:val="18"/>
                      <w:szCs w:val="18"/>
                    </w:rPr>
                  </w:pPr>
                  <w:r>
                    <w:rPr>
                      <w:rFonts w:ascii="宋体" w:hAnsi="宋体" w:cs="宋体" w:eastAsia="宋体" w:hint="default"/>
                      <w:sz w:val="18"/>
                      <w:szCs w:val="18"/>
                    </w:rPr>
                    <w:t>证中科金财、</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独立的财务会计制度。</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4"/>
        <w:gridCol w:w="1418"/>
        <w:gridCol w:w="1134"/>
        <w:gridCol w:w="2268"/>
        <w:gridCol w:w="992"/>
        <w:gridCol w:w="992"/>
        <w:gridCol w:w="920"/>
      </w:tblGrid>
      <w:tr>
        <w:trPr>
          <w:trHeight w:val="317"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其他经济组织等关联方减少</w:t>
            </w:r>
          </w:p>
        </w:tc>
        <w:tc>
          <w:tcPr>
            <w:tcW w:w="992" w:type="dxa"/>
            <w:vMerge w:val="restart"/>
            <w:tcBorders>
              <w:top w:val="single" w:sz="4" w:space="0" w:color="000000"/>
              <w:left w:val="single" w:sz="4" w:space="0" w:color="000000"/>
              <w:right w:val="single" w:sz="4" w:space="0" w:color="000000"/>
            </w:tcBorders>
          </w:tcPr>
          <w:p>
            <w:pPr>
              <w:pStyle w:val="TableParagraph"/>
              <w:spacing w:line="10649"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2"/>
                <w:sz w:val="20"/>
                <w:szCs w:val="20"/>
              </w:rPr>
              <w:pict>
                <v:group style="width:49.1pt;height:532.5pt;mso-position-horizontal-relative:char;mso-position-vertical-relative:line" coordorigin="0,0" coordsize="982,10650">
                  <v:group style="position:absolute;left:0;top:0;width:982;height:10650" coordorigin="0,0" coordsize="982,10650">
                    <v:shape style="position:absolute;left:0;top:0;width:982;height:10650" coordorigin="0,0" coordsize="982,10650" path="m0,10650l982,10650,982,0,0,0,0,10650xe" filled="true" fillcolor="#ffffff" stroked="false">
                      <v:path arrowok="t"/>
                      <v:fill type="solid"/>
                    </v:shape>
                  </v:group>
                </v:group>
              </w:pict>
            </w:r>
            <w:r>
              <w:rPr>
                <w:rFonts w:ascii="Times New Roman" w:hAnsi="Times New Roman" w:cs="Times New Roman" w:eastAsia="Times New Roman" w:hint="default"/>
                <w:position w:val="-212"/>
                <w:sz w:val="20"/>
                <w:szCs w:val="20"/>
              </w:rPr>
            </w:r>
          </w:p>
        </w:tc>
        <w:tc>
          <w:tcPr>
            <w:tcW w:w="992"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与中科金财、滨河创新及其</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控制的其他公司、企业或者</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其他经济组织的关联交易；</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对于确有必要且无法避免的</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关联交易，保证按市场原则</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和公允价格进行公平操作，</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并按相关法律、法规及规范</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性文件的规定履行相关审批</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程序及信息披露义务。五、</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保证中科金财、滨河创新的</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6"/>
                <w:sz w:val="18"/>
                <w:szCs w:val="18"/>
              </w:rPr>
              <w:t>财务独立：</w:t>
            </w:r>
            <w:r>
              <w:rPr>
                <w:rFonts w:ascii="Times New Roman" w:hAnsi="Times New Roman" w:cs="Times New Roman" w:eastAsia="Times New Roman" w:hint="default"/>
                <w:spacing w:val="-16"/>
                <w:sz w:val="18"/>
                <w:szCs w:val="18"/>
              </w:rPr>
              <w:t>1</w:t>
            </w:r>
            <w:r>
              <w:rPr>
                <w:rFonts w:ascii="宋体" w:hAnsi="宋体" w:cs="宋体" w:eastAsia="宋体" w:hint="default"/>
                <w:spacing w:val="-16"/>
                <w:sz w:val="18"/>
                <w:szCs w:val="18"/>
              </w:rPr>
              <w:t>．保</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滨河创新本次交易完成后分</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别具备独立的财务部门以及</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独立的财务核算体系，具有</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规范、</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．保证中科金财、滨河创新</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本次交易完成后独立在银行</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开户，不与本人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本公司控制的其他公司、</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企业或者其他经济组织等关</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联方共用银行账户。</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．保证</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本次交易完成后中科金财、</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滨河创新的财务人员不在本</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制的其他公司、企业或者其</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他经济组织等关联方兼职。</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．保证本次交易完成后中科</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金财、滨河创新能够独立做</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出财务决策，本人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本公司不</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干预中科金财、滨河创新的</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资金使用。</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．保证本次交易</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8"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完成后中科金财、滨河创新</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5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依法独立纳税。</w:t>
            </w:r>
          </w:p>
        </w:tc>
        <w:tc>
          <w:tcPr>
            <w:tcW w:w="99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r>
        <w:trPr>
          <w:trHeight w:val="362" w:hRule="exact"/>
        </w:trPr>
        <w:tc>
          <w:tcPr>
            <w:tcW w:w="1844" w:type="dxa"/>
            <w:vMerge/>
            <w:tcBorders>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一、关于同业竞争：</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．截至</w:t>
            </w:r>
          </w:p>
        </w:tc>
        <w:tc>
          <w:tcPr>
            <w:tcW w:w="992"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本承诺函签署日，本人／本</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公司及包括本人／本公司控</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刘开同</w:t>
            </w:r>
            <w:r>
              <w:rPr>
                <w:rFonts w:ascii="Times New Roman" w:hAnsi="Times New Roman" w:cs="Times New Roman" w:eastAsia="Times New Roman" w:hint="default"/>
                <w:sz w:val="18"/>
                <w:szCs w:val="18"/>
              </w:rPr>
              <w:t>;</w:t>
            </w:r>
            <w:r>
              <w:rPr>
                <w:rFonts w:ascii="宋体" w:hAnsi="宋体" w:cs="宋体" w:eastAsia="宋体" w:hint="default"/>
                <w:sz w:val="18"/>
                <w:szCs w:val="18"/>
              </w:rPr>
              <w:t>董书倩</w:t>
            </w:r>
            <w:r>
              <w:rPr>
                <w:rFonts w:ascii="Times New Roman" w:hAnsi="Times New Roman" w:cs="Times New Roman" w:eastAsia="Times New Roman" w:hint="default"/>
                <w:sz w:val="18"/>
                <w:szCs w:val="18"/>
              </w:rPr>
              <w:t>;</w:t>
            </w:r>
            <w:r>
              <w:rPr>
                <w:rFonts w:ascii="宋体" w:hAnsi="宋体" w:cs="宋体" w:eastAsia="宋体" w:hint="default"/>
                <w:sz w:val="18"/>
                <w:szCs w:val="18"/>
              </w:rPr>
              <w:t>刘</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关于同业竞</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制的其他公司、企业或者其</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625"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300" w:lineRule="auto" w:before="1"/>
              <w:ind w:left="22" w:right="73"/>
              <w:jc w:val="left"/>
              <w:rPr>
                <w:rFonts w:ascii="宋体" w:hAnsi="宋体" w:cs="宋体" w:eastAsia="宋体" w:hint="default"/>
                <w:sz w:val="18"/>
                <w:szCs w:val="18"/>
              </w:rPr>
            </w:pPr>
            <w:r>
              <w:rPr>
                <w:rFonts w:ascii="宋体" w:hAnsi="宋体" w:cs="宋体" w:eastAsia="宋体" w:hint="default"/>
                <w:sz w:val="18"/>
                <w:szCs w:val="18"/>
              </w:rPr>
              <w:t>运龙</w:t>
            </w:r>
            <w:r>
              <w:rPr>
                <w:rFonts w:ascii="Times New Roman" w:hAnsi="Times New Roman" w:cs="Times New Roman" w:eastAsia="Times New Roman" w:hint="default"/>
                <w:sz w:val="18"/>
                <w:szCs w:val="18"/>
              </w:rPr>
              <w:t>;</w:t>
            </w:r>
            <w:r>
              <w:rPr>
                <w:rFonts w:ascii="宋体" w:hAnsi="宋体" w:cs="宋体" w:eastAsia="宋体" w:hint="default"/>
                <w:sz w:val="18"/>
                <w:szCs w:val="18"/>
              </w:rPr>
              <w:t>天津滨河数 据信息技术有限</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201"/>
              <w:jc w:val="left"/>
              <w:rPr>
                <w:rFonts w:ascii="宋体" w:hAnsi="宋体" w:cs="宋体" w:eastAsia="宋体" w:hint="default"/>
                <w:sz w:val="18"/>
                <w:szCs w:val="18"/>
              </w:rPr>
            </w:pPr>
            <w:r>
              <w:rPr>
                <w:rFonts w:ascii="宋体" w:hAnsi="宋体" w:cs="宋体" w:eastAsia="宋体" w:hint="default"/>
                <w:sz w:val="18"/>
                <w:szCs w:val="18"/>
              </w:rPr>
              <w:t>争和规范减 少关联交易</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73"/>
              <w:jc w:val="left"/>
              <w:rPr>
                <w:rFonts w:ascii="宋体" w:hAnsi="宋体" w:cs="宋体" w:eastAsia="宋体" w:hint="default"/>
                <w:sz w:val="18"/>
                <w:szCs w:val="18"/>
              </w:rPr>
            </w:pPr>
            <w:r>
              <w:rPr>
                <w:rFonts w:ascii="宋体" w:hAnsi="宋体" w:cs="宋体" w:eastAsia="宋体" w:hint="default"/>
                <w:sz w:val="18"/>
                <w:szCs w:val="18"/>
              </w:rPr>
              <w:t>他经济组织等关联方未从事 与中科金财、滨河创新及其</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167"/>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21"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的承诺</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控制的其他公司、企业或者</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其他经济组织存在同业竞争</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关系的业务。</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．在作为中科</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金财的股东且持股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w:t>
            </w:r>
          </w:p>
        </w:tc>
        <w:tc>
          <w:tcPr>
            <w:tcW w:w="992"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4"/>
        <w:gridCol w:w="1418"/>
        <w:gridCol w:w="1134"/>
        <w:gridCol w:w="2268"/>
        <w:gridCol w:w="992"/>
        <w:gridCol w:w="992"/>
        <w:gridCol w:w="920"/>
      </w:tblGrid>
      <w:tr>
        <w:trPr>
          <w:trHeight w:val="322"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（含</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）期间，本人／本公</w:t>
            </w:r>
          </w:p>
        </w:tc>
        <w:tc>
          <w:tcPr>
            <w:tcW w:w="992"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司及包括本人／本公司控制</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的其他公司、企业或者其他</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经济组织等关联方将避免以</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任何形式从事任何与中科金</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财、滨河创新及其控制的其</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他公司、企业或者其他经济</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组织相同或相似且构成或可</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能构成竞争关系的业务，亦</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不从事任何可能损害中科金</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财、滨河创新及其控制的其</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他公司、企业或者其他经济</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组织利益的活动。如本人／</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本公司及其控制的其他公</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司、企业或者其他经济组织</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遇到中科金财、滨河创新及</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其控制的其他公司、企业或</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者其他经济组织主营业务范</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围内的业务机会，本人／本</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公司及其控制的其他公司、</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企业或者其他经济组织承诺</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将该等合作机会让予中科金</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财、滨河创新及其控制的其</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他公司、企业或者其他经济</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组织。本人／本公司若违反</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上述承诺，将承担因此而给</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中科金财、滨河创新及其控</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制的其他公司、企业或者其</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他经济组织造成的一切损</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失。二、关于规范及减少关</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联交易：本人／本公司在作</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为中科金财的股东期间，本</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人／本公司及所控制的其他</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公司、企业或者其他经济组</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织将尽量减少并规范与中科</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金财、滨河创新及其控制的</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其他公司、企业或者其他经</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济组织之间的关联交易。对</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于无法避免或有合理原因而</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发生的关联交易，本人／本</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公司及所控制的其他公司、</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企业或者其他经济组织将遵</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循市场原则以公允、合理的</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8"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市场价格进行，根据有关法</w:t>
            </w:r>
          </w:p>
        </w:tc>
        <w:tc>
          <w:tcPr>
            <w:tcW w:w="99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56.983002pt;margin-top:355.819977pt;width:82.3pt;height:186.2pt;mso-position-horizontal-relative:page;mso-position-vertical-relative:page;z-index:-10397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3"/>
                      <w:szCs w:val="23"/>
                    </w:rPr>
                  </w:pPr>
                </w:p>
                <w:p>
                  <w:pPr>
                    <w:spacing w:line="636" w:lineRule="auto" w:before="0"/>
                    <w:ind w:left="0" w:right="922" w:firstLine="541"/>
                    <w:jc w:val="left"/>
                    <w:rPr>
                      <w:rFonts w:ascii="宋体" w:hAnsi="宋体" w:cs="宋体" w:eastAsia="宋体" w:hint="default"/>
                      <w:sz w:val="18"/>
                      <w:szCs w:val="18"/>
                    </w:rPr>
                  </w:pPr>
                  <w:r>
                    <w:rPr>
                      <w:rFonts w:ascii="宋体" w:hAnsi="宋体" w:cs="宋体" w:eastAsia="宋体" w:hint="default"/>
                      <w:sz w:val="18"/>
                      <w:szCs w:val="18"/>
                    </w:rPr>
                    <w:t>、 蔡宝宇、</w:t>
                  </w:r>
                </w:p>
              </w:txbxContent>
            </v:textbox>
            <w10:wrap type="none"/>
          </v:shape>
        </w:pict>
      </w:r>
      <w:r>
        <w:rPr/>
        <w:pict>
          <v:group style="position:absolute;margin-left:390.160004pt;margin-top:355.819977pt;width:49.1pt;height:186.2pt;mso-position-horizontal-relative:page;mso-position-vertical-relative:page;z-index:-1039768" coordorigin="7803,7116" coordsize="982,3724">
            <v:shape style="position:absolute;left:7803;top:7116;width:982;height:3724" coordorigin="7803,7116" coordsize="982,3724" path="m7803,10840l8785,10840,8785,7116,7803,7116,7803,1084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4"/>
        <w:gridCol w:w="1418"/>
        <w:gridCol w:w="1134"/>
        <w:gridCol w:w="2268"/>
        <w:gridCol w:w="992"/>
        <w:gridCol w:w="992"/>
        <w:gridCol w:w="920"/>
      </w:tblGrid>
      <w:tr>
        <w:trPr>
          <w:trHeight w:val="317"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律、法规及规范性文件的规</w:t>
            </w:r>
          </w:p>
        </w:tc>
        <w:tc>
          <w:tcPr>
            <w:tcW w:w="992"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定履行关联交易决策程序，</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依法履行信息披露义务和办</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理有关报批程序，不利用股</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东优势地位损害中科金财及</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其他股东的合法权益。本人</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／本公司若违反上述承诺，</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将承担因此而给中科金财、</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滨河创新及其控制的其他公</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司、企业或者其他经济组织</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造成的一切损失。三、关于</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资金占用：除正常经营性往</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来外，保证本次交易完成后</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中科金财、滨河创新不存在</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资金、资产被本人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本公司控制的其他公</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8"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司、企业或者其他经济组织</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5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等关联方占用的情形。</w:t>
            </w:r>
          </w:p>
        </w:tc>
        <w:tc>
          <w:tcPr>
            <w:tcW w:w="99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r>
        <w:trPr>
          <w:trHeight w:val="362" w:hRule="exact"/>
        </w:trPr>
        <w:tc>
          <w:tcPr>
            <w:tcW w:w="1844" w:type="dxa"/>
            <w:vMerge/>
            <w:tcBorders>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、任职期限：刘开同及滨河</w:t>
            </w:r>
          </w:p>
        </w:tc>
        <w:tc>
          <w:tcPr>
            <w:tcW w:w="992"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创新核心人员胡卫彬、蔡宝</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宇、温长建、徐灵慧就任职</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期限达成协议如下：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乙方承</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诺自发行股份购买资产实施</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结束之日起其在滨河创新的</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服务期限不少于</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个月</w:t>
            </w:r>
            <w:r>
              <w:rPr>
                <w:rFonts w:ascii="宋体" w:hAnsi="宋体" w:cs="宋体" w:eastAsia="宋体" w:hint="default"/>
                <w:spacing w:val="-90"/>
                <w:sz w:val="18"/>
                <w:szCs w:val="18"/>
              </w:rPr>
              <w:t>。</w:t>
            </w:r>
            <w:r>
              <w:rPr>
                <w:rFonts w:ascii="Times New Roman" w:hAnsi="Times New Roman" w:cs="Times New Roman" w:eastAsia="Times New Roman" w:hint="default"/>
                <w:w w:val="100"/>
                <w:sz w:val="18"/>
                <w:szCs w:val="18"/>
              </w:rPr>
              <w:t>”2</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竞业限制：刘开同及滨河创</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新核心人员胡卫彬、</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pacing w:val="-8"/>
                <w:sz w:val="18"/>
                <w:szCs w:val="18"/>
              </w:rPr>
              <w:t>中。天津中</w:t>
            </w: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温长建、徐灵慧就竞业限制</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科原核心</w:t>
            </w: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pacing w:val="-3"/>
                <w:sz w:val="18"/>
                <w:szCs w:val="18"/>
              </w:rPr>
              <w:t>达成协议如下：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自本协议生</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人员徐灵</w:t>
            </w:r>
          </w:p>
        </w:tc>
      </w:tr>
      <w:tr>
        <w:trPr>
          <w:trHeight w:val="1243"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300" w:lineRule="auto" w:before="152"/>
              <w:ind w:left="22" w:right="24"/>
              <w:jc w:val="both"/>
              <w:rPr>
                <w:rFonts w:ascii="宋体" w:hAnsi="宋体" w:cs="宋体" w:eastAsia="宋体" w:hint="default"/>
                <w:sz w:val="18"/>
                <w:szCs w:val="18"/>
              </w:rPr>
            </w:pPr>
            <w:r>
              <w:rPr>
                <w:rFonts w:ascii="宋体" w:hAnsi="宋体" w:cs="宋体" w:eastAsia="宋体" w:hint="default"/>
                <w:sz w:val="18"/>
                <w:szCs w:val="18"/>
              </w:rPr>
              <w:t>刘开同</w:t>
            </w:r>
            <w:r>
              <w:rPr>
                <w:rFonts w:ascii="Times New Roman" w:hAnsi="Times New Roman" w:cs="Times New Roman" w:eastAsia="Times New Roman" w:hint="default"/>
                <w:sz w:val="18"/>
                <w:szCs w:val="18"/>
              </w:rPr>
              <w:t>;</w:t>
            </w:r>
            <w:r>
              <w:rPr>
                <w:rFonts w:ascii="宋体" w:hAnsi="宋体" w:cs="宋体" w:eastAsia="宋体" w:hint="default"/>
                <w:sz w:val="18"/>
                <w:szCs w:val="18"/>
              </w:rPr>
              <w:t>胡卫彬</w:t>
            </w:r>
            <w:r>
              <w:rPr>
                <w:rFonts w:ascii="Times New Roman" w:hAnsi="Times New Roman" w:cs="Times New Roman" w:eastAsia="Times New Roman" w:hint="default"/>
                <w:sz w:val="18"/>
                <w:szCs w:val="18"/>
              </w:rPr>
              <w:t>;</w:t>
            </w:r>
            <w:r>
              <w:rPr>
                <w:rFonts w:ascii="宋体" w:hAnsi="宋体" w:cs="宋体" w:eastAsia="宋体" w:hint="default"/>
                <w:sz w:val="18"/>
                <w:szCs w:val="18"/>
              </w:rPr>
              <w:t>蔡 宝宇</w:t>
            </w:r>
            <w:r>
              <w:rPr>
                <w:rFonts w:ascii="Times New Roman" w:hAnsi="Times New Roman" w:cs="Times New Roman" w:eastAsia="Times New Roman" w:hint="default"/>
                <w:sz w:val="18"/>
                <w:szCs w:val="18"/>
              </w:rPr>
              <w:t>;</w:t>
            </w:r>
            <w:r>
              <w:rPr>
                <w:rFonts w:ascii="宋体" w:hAnsi="宋体" w:cs="宋体" w:eastAsia="宋体" w:hint="default"/>
                <w:sz w:val="18"/>
                <w:szCs w:val="18"/>
              </w:rPr>
              <w:t>温长建</w:t>
            </w:r>
            <w:r>
              <w:rPr>
                <w:rFonts w:ascii="Times New Roman" w:hAnsi="Times New Roman" w:cs="Times New Roman" w:eastAsia="Times New Roman" w:hint="default"/>
                <w:sz w:val="18"/>
                <w:szCs w:val="18"/>
              </w:rPr>
              <w:t>;</w:t>
            </w:r>
            <w:r>
              <w:rPr>
                <w:rFonts w:ascii="宋体" w:hAnsi="宋体" w:cs="宋体" w:eastAsia="宋体" w:hint="default"/>
                <w:sz w:val="18"/>
                <w:szCs w:val="18"/>
              </w:rPr>
              <w:t>徐灵</w:t>
            </w:r>
            <w:r>
              <w:rPr>
                <w:rFonts w:ascii="宋体" w:hAnsi="宋体" w:cs="宋体" w:eastAsia="宋体" w:hint="default"/>
                <w:spacing w:val="-2"/>
                <w:sz w:val="18"/>
                <w:szCs w:val="18"/>
              </w:rPr>
              <w:t> </w:t>
            </w:r>
            <w:r>
              <w:rPr>
                <w:rFonts w:ascii="宋体" w:hAnsi="宋体" w:cs="宋体" w:eastAsia="宋体" w:hint="default"/>
                <w:sz w:val="18"/>
                <w:szCs w:val="18"/>
              </w:rPr>
              <w:t>慧</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319" w:lineRule="auto" w:before="152"/>
              <w:ind w:left="22" w:right="201"/>
              <w:jc w:val="both"/>
              <w:rPr>
                <w:rFonts w:ascii="宋体" w:hAnsi="宋体" w:cs="宋体" w:eastAsia="宋体" w:hint="default"/>
                <w:sz w:val="18"/>
                <w:szCs w:val="18"/>
              </w:rPr>
            </w:pPr>
            <w:r>
              <w:rPr>
                <w:rFonts w:ascii="宋体" w:hAnsi="宋体" w:cs="宋体" w:eastAsia="宋体" w:hint="default"/>
                <w:sz w:val="18"/>
                <w:szCs w:val="18"/>
              </w:rPr>
              <w:t>任职期限和 竞业禁止承 诺</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312" w:lineRule="auto" w:before="15"/>
              <w:ind w:left="22" w:right="22"/>
              <w:jc w:val="both"/>
              <w:rPr>
                <w:rFonts w:ascii="宋体" w:hAnsi="宋体" w:cs="宋体" w:eastAsia="宋体" w:hint="default"/>
                <w:sz w:val="18"/>
                <w:szCs w:val="18"/>
              </w:rPr>
            </w:pPr>
            <w:r>
              <w:rPr>
                <w:rFonts w:ascii="宋体" w:hAnsi="宋体" w:cs="宋体" w:eastAsia="宋体" w:hint="default"/>
                <w:sz w:val="18"/>
                <w:szCs w:val="18"/>
              </w:rPr>
              <w:t>效之日至其从滨河创新离职 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个月内，乙方不得从事</w:t>
            </w:r>
            <w:r>
              <w:rPr>
                <w:rFonts w:ascii="宋体" w:hAnsi="宋体" w:cs="宋体" w:eastAsia="宋体" w:hint="default"/>
                <w:sz w:val="18"/>
                <w:szCs w:val="18"/>
              </w:rPr>
              <w:t> 与甲方或滨河创新业务相同 或类似的投资或任职行为，</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13"/>
              <w:jc w:val="left"/>
              <w:rPr>
                <w:rFonts w:ascii="宋体" w:hAnsi="宋体" w:cs="宋体" w:eastAsia="宋体" w:hint="default"/>
                <w:sz w:val="18"/>
                <w:szCs w:val="18"/>
              </w:rPr>
            </w:pPr>
            <w:r>
              <w:rPr>
                <w:rFonts w:ascii="宋体" w:hAnsi="宋体" w:cs="宋体" w:eastAsia="宋体" w:hint="default"/>
                <w:sz w:val="18"/>
                <w:szCs w:val="18"/>
              </w:rPr>
              <w:t>慧等涉嫌 职务侵占， 损害天津 中科的利</w:t>
            </w: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即无论在何种情况下，不得</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pacing w:val="-8"/>
                <w:sz w:val="18"/>
                <w:szCs w:val="18"/>
              </w:rPr>
              <w:t>益，正在公</w:t>
            </w: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以任何方式受聘或经营于任</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安机关的</w:t>
            </w:r>
          </w:p>
        </w:tc>
      </w:tr>
      <w:tr>
        <w:trPr>
          <w:trHeight w:val="313"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何与甲方及其控股子公司、</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刑事侦查</w:t>
            </w:r>
          </w:p>
        </w:tc>
      </w:tr>
      <w:tr>
        <w:trPr>
          <w:trHeight w:val="321"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滨河创新及其下属公司业务</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过程中。</w:t>
            </w: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有直接或间接竞争或利益冲</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突之公司及业务，不能到生</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产、开发、经营与甲方及其</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控股子公司、滨河创新及其</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下属公司生产、开发、经营</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同类产品或经营同类业务或</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有竞争关系的其他用人单位</w:t>
            </w:r>
          </w:p>
        </w:tc>
        <w:tc>
          <w:tcPr>
            <w:tcW w:w="992"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4"/>
        <w:gridCol w:w="1418"/>
        <w:gridCol w:w="1134"/>
        <w:gridCol w:w="2268"/>
        <w:gridCol w:w="992"/>
        <w:gridCol w:w="992"/>
        <w:gridCol w:w="923"/>
      </w:tblGrid>
      <w:tr>
        <w:trPr>
          <w:trHeight w:val="13156"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兼职或全职；也不能自行或 以任何第三者的名义设立、 投资或控股与甲方及其控股 子公司、滨河创新及其下属 公司有任何竞争关系或利益 冲突的同类企业或经营单 位，或从事与滨河创新有竞 争关系的业务；如乙方或其 所控制的除滨河创新外的其 他企业从任何第三方获得的 商业机会与甲方、滨河创新 及其下属公司的业务有竞争 或可能存在竞争，则将该商 业机会让予甲方或其控股子 公司、滨河创新或其下属公 司；但滨河创新在乙方未违 反其劳动合同或者未完成工 作目标等义务的情况下辞退 乙方的除外。自本协议生效 之日至其从滨河创新离职后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个月内，乙方不得以任何 理由或方式（包括但不限于 劝喻、拉拢、雇用）导致滨 河创新其他经营管理人员离 开滨河创新。同时，乙方不 得以任何名义或形式与离开 滨河创新的经营管理人员合 作或投资与滨河创新有相同 或有竞争关系的业务，也不 得雇佣滨河创新经营管理人 </w:t>
            </w:r>
            <w:r>
              <w:rPr>
                <w:rFonts w:ascii="宋体" w:hAnsi="宋体" w:cs="宋体" w:eastAsia="宋体" w:hint="default"/>
                <w:spacing w:val="-10"/>
                <w:sz w:val="18"/>
                <w:szCs w:val="18"/>
              </w:rPr>
              <w:t>员（包括离职人员）。乙方承</w:t>
            </w:r>
            <w:r>
              <w:rPr>
                <w:rFonts w:ascii="宋体" w:hAnsi="宋体" w:cs="宋体" w:eastAsia="宋体" w:hint="default"/>
                <w:sz w:val="18"/>
                <w:szCs w:val="18"/>
              </w:rPr>
              <w:t> 诺严守甲方及其控股子公 司、滨河创新及其下属公司 秘密，不泄露其所知悉或掌 握的甲方及其控股子公司、 滨河创新及其下属公司的商 业秘密。乙方不得以任何方 式和手段（包括但不限于侵 占、受贿、舞弊、盗窃、挪 用等不当或不法手段和方 式）损害或侵害滨河创新利 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2" w:right="24"/>
              <w:jc w:val="left"/>
              <w:rPr>
                <w:rFonts w:ascii="宋体" w:hAnsi="宋体" w:cs="宋体" w:eastAsia="宋体" w:hint="default"/>
                <w:sz w:val="18"/>
                <w:szCs w:val="18"/>
              </w:rPr>
            </w:pPr>
            <w:r>
              <w:rPr>
                <w:rFonts w:ascii="宋体" w:hAnsi="宋体" w:cs="宋体" w:eastAsia="宋体" w:hint="default"/>
                <w:sz w:val="18"/>
                <w:szCs w:val="18"/>
              </w:rPr>
              <w:t>刘开同</w:t>
            </w:r>
            <w:r>
              <w:rPr>
                <w:rFonts w:ascii="Times New Roman" w:hAnsi="Times New Roman" w:cs="Times New Roman" w:eastAsia="Times New Roman" w:hint="default"/>
                <w:sz w:val="18"/>
                <w:szCs w:val="18"/>
              </w:rPr>
              <w:t>;</w:t>
            </w:r>
            <w:r>
              <w:rPr>
                <w:rFonts w:ascii="宋体" w:hAnsi="宋体" w:cs="宋体" w:eastAsia="宋体" w:hint="default"/>
                <w:sz w:val="18"/>
                <w:szCs w:val="18"/>
              </w:rPr>
              <w:t>董书倩</w:t>
            </w:r>
            <w:r>
              <w:rPr>
                <w:rFonts w:ascii="Times New Roman" w:hAnsi="Times New Roman" w:cs="Times New Roman" w:eastAsia="Times New Roman" w:hint="default"/>
                <w:sz w:val="18"/>
                <w:szCs w:val="18"/>
              </w:rPr>
              <w:t>;</w:t>
            </w:r>
            <w:r>
              <w:rPr>
                <w:rFonts w:ascii="宋体" w:hAnsi="宋体" w:cs="宋体" w:eastAsia="宋体" w:hint="default"/>
                <w:sz w:val="18"/>
                <w:szCs w:val="18"/>
              </w:rPr>
              <w:t>刘 运龙</w:t>
            </w:r>
            <w:r>
              <w:rPr>
                <w:rFonts w:ascii="Times New Roman" w:hAnsi="Times New Roman" w:cs="Times New Roman" w:eastAsia="Times New Roman" w:hint="default"/>
                <w:sz w:val="18"/>
                <w:szCs w:val="18"/>
              </w:rPr>
              <w:t>;</w:t>
            </w:r>
            <w:r>
              <w:rPr>
                <w:rFonts w:ascii="宋体" w:hAnsi="宋体" w:cs="宋体" w:eastAsia="宋体" w:hint="default"/>
                <w:sz w:val="18"/>
                <w:szCs w:val="18"/>
              </w:rPr>
              <w:t>天津滨河数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01"/>
              <w:jc w:val="left"/>
              <w:rPr>
                <w:rFonts w:ascii="宋体" w:hAnsi="宋体" w:cs="宋体" w:eastAsia="宋体" w:hint="default"/>
                <w:sz w:val="18"/>
                <w:szCs w:val="18"/>
              </w:rPr>
            </w:pPr>
            <w:r>
              <w:rPr>
                <w:rFonts w:ascii="宋体" w:hAnsi="宋体" w:cs="宋体" w:eastAsia="宋体" w:hint="default"/>
                <w:sz w:val="18"/>
                <w:szCs w:val="18"/>
              </w:rPr>
              <w:t>关于不谋求 公司实际控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2" w:right="23"/>
              <w:jc w:val="left"/>
              <w:rPr>
                <w:rFonts w:ascii="宋体" w:hAnsi="宋体" w:cs="宋体" w:eastAsia="宋体" w:hint="default"/>
                <w:sz w:val="18"/>
                <w:szCs w:val="18"/>
              </w:rPr>
            </w:pPr>
            <w:r>
              <w:rPr>
                <w:rFonts w:ascii="宋体" w:hAnsi="宋体" w:cs="宋体" w:eastAsia="宋体" w:hint="default"/>
                <w:sz w:val="18"/>
                <w:szCs w:val="18"/>
              </w:rPr>
              <w:t>本次交易完成后，本人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 司仍认可并尊重沈飒女士作</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8"/>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4"/>
        <w:gridCol w:w="1418"/>
        <w:gridCol w:w="1134"/>
        <w:gridCol w:w="2268"/>
        <w:gridCol w:w="992"/>
        <w:gridCol w:w="992"/>
        <w:gridCol w:w="920"/>
      </w:tblGrid>
      <w:tr>
        <w:trPr>
          <w:trHeight w:val="5979"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5"/>
              <w:jc w:val="left"/>
              <w:rPr>
                <w:rFonts w:ascii="宋体" w:hAnsi="宋体" w:cs="宋体" w:eastAsia="宋体" w:hint="default"/>
                <w:sz w:val="18"/>
                <w:szCs w:val="18"/>
              </w:rPr>
            </w:pPr>
            <w:r>
              <w:rPr>
                <w:rFonts w:ascii="宋体" w:hAnsi="宋体" w:cs="宋体" w:eastAsia="宋体" w:hint="default"/>
                <w:sz w:val="18"/>
                <w:szCs w:val="18"/>
              </w:rPr>
              <w:t>据信息技术有限 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制权的承诺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为控股股东，以及朱烨东先 生和沈飒女士的中科金财实 际控制人地位，不对朱烨东 先生和沈飒女士在中科金财 经营发展中的实际控制地位 提出任何形式的异议。本人</w:t>
            </w:r>
            <w:r>
              <w:rPr>
                <w:rFonts w:ascii="Times New Roman" w:hAnsi="Times New Roman" w:cs="Times New Roman" w:eastAsia="Times New Roman" w:hint="default"/>
                <w:sz w:val="18"/>
                <w:szCs w:val="18"/>
              </w:rPr>
              <w:t>/ </w:t>
            </w:r>
            <w:r>
              <w:rPr>
                <w:rFonts w:ascii="宋体" w:hAnsi="宋体" w:cs="宋体" w:eastAsia="宋体" w:hint="default"/>
                <w:sz w:val="18"/>
                <w:szCs w:val="18"/>
              </w:rPr>
              <w:t>本公司不会单方面的通过增 持股份等行为主动谋求中科 金财的控制权，不单独或与 任何其他方协作（包括但不 限于签署一致行动协议、实 际形成一致行动等）对沈飒 女士控股股东地位及朱烨东 先生和沈飒女士的实际控制 人地位进行任何形式的威 胁，如有必要，将采取一切 有利于维持中科金财实际控 制权稳定的行为对朱烨东先 生和沈飒女士提供支持。</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7" w:lineRule="auto"/>
              <w:ind w:left="22" w:right="24"/>
              <w:jc w:val="left"/>
              <w:rPr>
                <w:rFonts w:ascii="宋体" w:hAnsi="宋体" w:cs="宋体" w:eastAsia="宋体" w:hint="default"/>
                <w:sz w:val="18"/>
                <w:szCs w:val="18"/>
              </w:rPr>
            </w:pPr>
            <w:r>
              <w:rPr>
                <w:rFonts w:ascii="宋体" w:hAnsi="宋体" w:cs="宋体" w:eastAsia="宋体" w:hint="default"/>
                <w:sz w:val="18"/>
                <w:szCs w:val="18"/>
              </w:rPr>
              <w:t>刘开同</w:t>
            </w:r>
            <w:r>
              <w:rPr>
                <w:rFonts w:ascii="Times New Roman" w:hAnsi="Times New Roman" w:cs="Times New Roman" w:eastAsia="Times New Roman" w:hint="default"/>
                <w:sz w:val="18"/>
                <w:szCs w:val="18"/>
              </w:rPr>
              <w:t>;</w:t>
            </w:r>
            <w:r>
              <w:rPr>
                <w:rFonts w:ascii="宋体" w:hAnsi="宋体" w:cs="宋体" w:eastAsia="宋体" w:hint="default"/>
                <w:sz w:val="18"/>
                <w:szCs w:val="18"/>
              </w:rPr>
              <w:t>董书倩</w:t>
            </w:r>
            <w:r>
              <w:rPr>
                <w:rFonts w:ascii="Times New Roman" w:hAnsi="Times New Roman" w:cs="Times New Roman" w:eastAsia="Times New Roman" w:hint="default"/>
                <w:sz w:val="18"/>
                <w:szCs w:val="18"/>
              </w:rPr>
              <w:t>;</w:t>
            </w:r>
            <w:r>
              <w:rPr>
                <w:rFonts w:ascii="宋体" w:hAnsi="宋体" w:cs="宋体" w:eastAsia="宋体" w:hint="default"/>
                <w:sz w:val="18"/>
                <w:szCs w:val="18"/>
              </w:rPr>
              <w:t>刘 运龙</w:t>
            </w:r>
            <w:r>
              <w:rPr>
                <w:rFonts w:ascii="Times New Roman" w:hAnsi="Times New Roman" w:cs="Times New Roman" w:eastAsia="Times New Roman" w:hint="default"/>
                <w:sz w:val="18"/>
                <w:szCs w:val="18"/>
              </w:rPr>
              <w:t>;</w:t>
            </w:r>
            <w:r>
              <w:rPr>
                <w:rFonts w:ascii="宋体" w:hAnsi="宋体" w:cs="宋体" w:eastAsia="宋体" w:hint="default"/>
                <w:sz w:val="18"/>
                <w:szCs w:val="18"/>
              </w:rPr>
              <w:t>天津滨河数 据信息技术有限 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22"/>
              <w:jc w:val="left"/>
              <w:rPr>
                <w:rFonts w:ascii="宋体" w:hAnsi="宋体" w:cs="宋体" w:eastAsia="宋体" w:hint="default"/>
                <w:sz w:val="18"/>
                <w:szCs w:val="18"/>
              </w:rPr>
            </w:pPr>
            <w:r>
              <w:rPr>
                <w:rFonts w:ascii="宋体" w:hAnsi="宋体" w:cs="宋体" w:eastAsia="宋体" w:hint="default"/>
                <w:sz w:val="18"/>
                <w:szCs w:val="18"/>
              </w:rPr>
              <w:t>交易对手方 关于所提供 信息真实、准 确、完整的承 诺函</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3"/>
              <w:jc w:val="both"/>
              <w:rPr>
                <w:rFonts w:ascii="宋体" w:hAnsi="宋体" w:cs="宋体" w:eastAsia="宋体" w:hint="default"/>
                <w:sz w:val="18"/>
                <w:szCs w:val="18"/>
              </w:rPr>
            </w:pPr>
            <w:r>
              <w:rPr>
                <w:rFonts w:ascii="宋体" w:hAnsi="宋体" w:cs="宋体" w:eastAsia="宋体" w:hint="default"/>
                <w:sz w:val="18"/>
                <w:szCs w:val="18"/>
              </w:rPr>
              <w:t>本人／本公司为本次发行股 份及支付现金购买资产事宜 所提供的有关信息真实、准 确和完整，不存在任何虚假 记载、误导性陈述或者重大 遗漏，并对所提供信息的真 实性、准确性和完整性承担 法律责任。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167"/>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2274"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316" w:lineRule="auto"/>
              <w:ind w:left="22" w:right="189"/>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朱烨东、沈飒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201"/>
              <w:jc w:val="left"/>
              <w:rPr>
                <w:rFonts w:ascii="宋体" w:hAnsi="宋体" w:cs="宋体" w:eastAsia="宋体" w:hint="default"/>
                <w:sz w:val="18"/>
                <w:szCs w:val="18"/>
              </w:rPr>
            </w:pPr>
            <w:r>
              <w:rPr>
                <w:rFonts w:ascii="宋体" w:hAnsi="宋体" w:cs="宋体" w:eastAsia="宋体" w:hint="default"/>
                <w:sz w:val="18"/>
                <w:szCs w:val="18"/>
              </w:rPr>
              <w:t>关于关联交 易的承诺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3"/>
              <w:jc w:val="both"/>
              <w:rPr>
                <w:rFonts w:ascii="宋体" w:hAnsi="宋体" w:cs="宋体" w:eastAsia="宋体" w:hint="default"/>
                <w:sz w:val="18"/>
                <w:szCs w:val="18"/>
              </w:rPr>
            </w:pPr>
            <w:r>
              <w:rPr>
                <w:rFonts w:ascii="宋体" w:hAnsi="宋体" w:cs="宋体" w:eastAsia="宋体" w:hint="default"/>
                <w:sz w:val="18"/>
                <w:szCs w:val="18"/>
              </w:rPr>
              <w:t>尽量避免不必要的关联交易 发生，对持续经营所发生的 必要的关联交易，应以双方 协议规定的方式进行处理， 遵循市场化的定价原则，避 免损害广大中小股东权益的 情况发生。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2859"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02" w:lineRule="auto"/>
              <w:ind w:left="22" w:right="25"/>
              <w:jc w:val="left"/>
              <w:rPr>
                <w:rFonts w:ascii="宋体" w:hAnsi="宋体" w:cs="宋体" w:eastAsia="宋体" w:hint="default"/>
                <w:sz w:val="18"/>
                <w:szCs w:val="18"/>
              </w:rPr>
            </w:pPr>
            <w:r>
              <w:rPr>
                <w:rFonts w:ascii="宋体" w:hAnsi="宋体" w:cs="宋体" w:eastAsia="宋体" w:hint="default"/>
                <w:sz w:val="18"/>
                <w:szCs w:val="18"/>
              </w:rPr>
              <w:t>朱烨东</w:t>
            </w:r>
            <w:r>
              <w:rPr>
                <w:rFonts w:ascii="Times New Roman" w:hAnsi="Times New Roman" w:cs="Times New Roman" w:eastAsia="Times New Roman" w:hint="default"/>
                <w:sz w:val="18"/>
                <w:szCs w:val="18"/>
              </w:rPr>
              <w:t>;</w:t>
            </w:r>
            <w:r>
              <w:rPr>
                <w:rFonts w:ascii="宋体" w:hAnsi="宋体" w:cs="宋体" w:eastAsia="宋体" w:hint="default"/>
                <w:sz w:val="18"/>
                <w:szCs w:val="18"/>
              </w:rPr>
              <w:t>沈飒</w:t>
            </w:r>
            <w:r>
              <w:rPr>
                <w:rFonts w:ascii="Times New Roman" w:hAnsi="Times New Roman" w:cs="Times New Roman" w:eastAsia="Times New Roman" w:hint="default"/>
                <w:sz w:val="18"/>
                <w:szCs w:val="18"/>
              </w:rPr>
              <w:t>;</w:t>
            </w:r>
            <w:r>
              <w:rPr>
                <w:rFonts w:ascii="宋体" w:hAnsi="宋体" w:cs="宋体" w:eastAsia="宋体" w:hint="default"/>
                <w:sz w:val="18"/>
                <w:szCs w:val="18"/>
              </w:rPr>
              <w:t>陈绪</w:t>
            </w:r>
            <w:r>
              <w:rPr>
                <w:rFonts w:ascii="宋体" w:hAnsi="宋体" w:cs="宋体" w:eastAsia="宋体" w:hint="default"/>
                <w:spacing w:val="-2"/>
                <w:sz w:val="18"/>
                <w:szCs w:val="18"/>
              </w:rPr>
              <w:t> </w:t>
            </w:r>
            <w:r>
              <w:rPr>
                <w:rFonts w:ascii="宋体" w:hAnsi="宋体" w:cs="宋体" w:eastAsia="宋体" w:hint="default"/>
                <w:sz w:val="18"/>
                <w:szCs w:val="18"/>
              </w:rPr>
              <w:t>华</w:t>
            </w:r>
            <w:r>
              <w:rPr>
                <w:rFonts w:ascii="Times New Roman" w:hAnsi="Times New Roman" w:cs="Times New Roman" w:eastAsia="Times New Roman" w:hint="default"/>
                <w:sz w:val="18"/>
                <w:szCs w:val="18"/>
              </w:rPr>
              <w:t>;</w:t>
            </w:r>
            <w:r>
              <w:rPr>
                <w:rFonts w:ascii="宋体" w:hAnsi="宋体" w:cs="宋体" w:eastAsia="宋体" w:hint="default"/>
                <w:sz w:val="18"/>
                <w:szCs w:val="18"/>
              </w:rPr>
              <w:t>蔡迦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201"/>
              <w:jc w:val="left"/>
              <w:rPr>
                <w:rFonts w:ascii="宋体" w:hAnsi="宋体" w:cs="宋体" w:eastAsia="宋体" w:hint="default"/>
                <w:sz w:val="18"/>
                <w:szCs w:val="18"/>
              </w:rPr>
            </w:pPr>
            <w:r>
              <w:rPr>
                <w:rFonts w:ascii="宋体" w:hAnsi="宋体" w:cs="宋体" w:eastAsia="宋体" w:hint="default"/>
                <w:sz w:val="18"/>
                <w:szCs w:val="18"/>
              </w:rPr>
              <w:t>关于同业竞 争的承诺</w:t>
            </w:r>
          </w:p>
        </w:tc>
        <w:tc>
          <w:tcPr>
            <w:tcW w:w="2268"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68"/>
              <w:jc w:val="both"/>
              <w:rPr>
                <w:rFonts w:ascii="宋体" w:hAnsi="宋体" w:cs="宋体" w:eastAsia="宋体" w:hint="default"/>
                <w:sz w:val="18"/>
                <w:szCs w:val="18"/>
              </w:rPr>
            </w:pPr>
            <w:r>
              <w:rPr>
                <w:rFonts w:ascii="宋体" w:hAnsi="宋体" w:cs="宋体" w:eastAsia="宋体" w:hint="default"/>
                <w:sz w:val="18"/>
                <w:szCs w:val="18"/>
              </w:rPr>
              <w:t>不存在直接或间接地从事任 何与中科金财所从事的业务 构成同业竞争的任何业务活 动，今后的任何时间亦不会 直接或间接地以任何方式</w:t>
            </w:r>
          </w:p>
          <w:p>
            <w:pPr>
              <w:pStyle w:val="TableParagraph"/>
              <w:spacing w:line="316" w:lineRule="auto" w:before="19"/>
              <w:ind w:left="22" w:right="68"/>
              <w:jc w:val="both"/>
              <w:rPr>
                <w:rFonts w:ascii="宋体" w:hAnsi="宋体" w:cs="宋体" w:eastAsia="宋体" w:hint="default"/>
                <w:sz w:val="18"/>
                <w:szCs w:val="18"/>
              </w:rPr>
            </w:pPr>
            <w:r>
              <w:rPr>
                <w:rFonts w:ascii="宋体" w:hAnsi="宋体" w:cs="宋体" w:eastAsia="宋体" w:hint="default"/>
                <w:spacing w:val="-4"/>
                <w:sz w:val="18"/>
                <w:szCs w:val="18"/>
              </w:rPr>
              <w:t>（包括但不限于独资、合营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合作和联营）参与或进行任 何与中科金财所从事的业务 有实质性竞争或可能有实质</w:t>
            </w:r>
          </w:p>
        </w:tc>
        <w:tc>
          <w:tcPr>
            <w:tcW w:w="992"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12" w:lineRule="exact" w:before="64"/>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198"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1423" w:lineRule="exact"/>
              <w:ind w:left="-7"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
                <w:sz w:val="20"/>
                <w:szCs w:val="20"/>
              </w:rPr>
              <w:pict>
                <v:group style="width:49.1pt;height:71.2pt;mso-position-horizontal-relative:char;mso-position-vertical-relative:line" coordorigin="0,0" coordsize="982,1424">
                  <v:group style="position:absolute;left:0;top:352;width:982;height:1072" coordorigin="0,352" coordsize="982,1072">
                    <v:shape style="position:absolute;left:0;top:352;width:982;height:1072" coordorigin="0,352" coordsize="982,1072" path="m0,1424l982,1424,982,352,0,352,0,1424xe" filled="true" fillcolor="#ffffff" stroked="false">
                      <v:path arrowok="t"/>
                      <v:fill type="solid"/>
                    </v:shape>
                  </v:group>
                  <v:group style="position:absolute;left:23;top:0;width:937;height:352" coordorigin="23,0" coordsize="937,352">
                    <v:shape style="position:absolute;left:23;top:0;width:937;height:352" coordorigin="23,0" coordsize="937,352" path="m23,352l959,352,959,0,23,0,23,352xe" filled="true" fillcolor="#ffffff" stroked="false">
                      <v:path arrowok="t"/>
                      <v:fill type="solid"/>
                    </v:shape>
                  </v:group>
                </v:group>
              </w:pict>
            </w:r>
            <w:r>
              <w:rPr>
                <w:rFonts w:ascii="Times New Roman" w:hAnsi="Times New Roman" w:cs="Times New Roman" w:eastAsia="Times New Roman" w:hint="default"/>
                <w:position w:val="-27"/>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9.973999pt;margin-top:90.599983pt;width:109.3pt;height:318.8pt;mso-position-horizontal-relative:page;mso-position-vertical-relative:page;z-index:-10397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保证中科金财、</w:t>
                  </w:r>
                </w:p>
              </w:txbxContent>
            </v:textbox>
            <w10:wrap type="none"/>
          </v:shape>
        </w:pict>
      </w:r>
      <w:r>
        <w:rPr/>
        <w:pict>
          <v:shape style="position:absolute;margin-left:356.929016pt;margin-top:444.639984pt;width:82.35pt;height:318.8pt;mso-position-horizontal-relative:page;mso-position-vertical-relative:page;z-index:-10396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董事会、</w:t>
                  </w:r>
                </w:p>
              </w:txbxContent>
            </v:textbox>
            <w10:wrap type="none"/>
          </v:shape>
        </w:pict>
      </w:r>
      <w:r>
        <w:rPr/>
        <w:pict>
          <v:group style="position:absolute;margin-left:390.160004pt;margin-top:90.599983pt;width:49.1pt;height:318.8pt;mso-position-horizontal-relative:page;mso-position-vertical-relative:page;z-index:-1039672" coordorigin="7803,1812" coordsize="982,6376">
            <v:shape style="position:absolute;left:7803;top:1812;width:982;height:6376" coordorigin="7803,1812" coordsize="982,6376" path="m7803,8188l8785,8188,8785,1812,7803,1812,7803,8188xe" filled="true" fillcolor="#ffffff" stroked="false">
              <v:path arrowok="t"/>
              <v:fill type="solid"/>
            </v:shape>
            <w10:wrap type="none"/>
          </v:group>
        </w:pict>
      </w:r>
      <w:r>
        <w:rPr/>
        <w:pict>
          <v:group style="position:absolute;margin-left:390.160004pt;margin-top:444.639984pt;width:49.1pt;height:318.8pt;mso-position-horizontal-relative:page;mso-position-vertical-relative:page;z-index:-1039648" coordorigin="7803,8893" coordsize="982,6376">
            <v:shape style="position:absolute;left:7803;top:8893;width:982;height:6376" coordorigin="7803,8893" coordsize="982,6376" path="m7803,15269l8785,15269,8785,8893,7803,8893,7803,152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4"/>
        <w:gridCol w:w="1418"/>
        <w:gridCol w:w="1134"/>
        <w:gridCol w:w="2268"/>
        <w:gridCol w:w="992"/>
        <w:gridCol w:w="992"/>
        <w:gridCol w:w="920"/>
      </w:tblGrid>
      <w:tr>
        <w:trPr>
          <w:trHeight w:val="362"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性竞争的业务活动。</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844" w:type="dxa"/>
            <w:vMerge/>
            <w:tcBorders>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交易对方关于保持中科金财</w:t>
            </w:r>
          </w:p>
        </w:tc>
        <w:tc>
          <w:tcPr>
            <w:tcW w:w="992"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和滨河创新独立性，出具如</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下承诺：一、</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滨河创新的人员独立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pacing w:val="-83"/>
                <w:sz w:val="18"/>
                <w:szCs w:val="18"/>
              </w:rPr>
              <w:t>．</w:t>
            </w:r>
            <w:r>
              <w:rPr>
                <w:rFonts w:ascii="宋体" w:hAnsi="宋体" w:cs="宋体" w:eastAsia="宋体" w:hint="default"/>
                <w:sz w:val="18"/>
                <w:szCs w:val="18"/>
              </w:rPr>
              <w:t>保证</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本次交易完成后中科金财、</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滨河创新的劳动、人事及薪</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酬管理与本人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本公司控制的其他公司或者</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其他经济组织等关联方之间</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完全独立。</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．保证本次交易</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完成后中科金财、滨河创新</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的高级管理人员均专职在中</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科金财、滨河创新任职并领</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取薪酬，不在本人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本公司控制的其他公</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司、企业或者其他经济组织</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等关联方担任董事以外的职</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务。二、保证中科金财、滨</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河创新的机构独立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pacing w:val="-83"/>
                <w:sz w:val="18"/>
                <w:szCs w:val="18"/>
              </w:rPr>
              <w:t>．</w:t>
            </w:r>
            <w:r>
              <w:rPr>
                <w:rFonts w:ascii="宋体" w:hAnsi="宋体" w:cs="宋体" w:eastAsia="宋体" w:hint="default"/>
                <w:sz w:val="18"/>
                <w:szCs w:val="18"/>
              </w:rPr>
              <w:t>保证本</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297"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次交易完成后中科金财、滨</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951"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302" w:lineRule="auto" w:before="1"/>
              <w:ind w:left="22"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谢晓梅</w:t>
            </w:r>
            <w:r>
              <w:rPr>
                <w:rFonts w:ascii="Times New Roman" w:hAnsi="Times New Roman" w:cs="Times New Roman" w:eastAsia="Times New Roman" w:hint="default"/>
                <w:sz w:val="18"/>
                <w:szCs w:val="18"/>
              </w:rPr>
              <w:t>;</w:t>
            </w:r>
            <w:r>
              <w:rPr>
                <w:rFonts w:ascii="宋体" w:hAnsi="宋体" w:cs="宋体" w:eastAsia="宋体" w:hint="default"/>
                <w:sz w:val="18"/>
                <w:szCs w:val="18"/>
              </w:rPr>
              <w:t>周惠明</w:t>
            </w:r>
            <w:r>
              <w:rPr>
                <w:rFonts w:ascii="Times New Roman" w:hAnsi="Times New Roman" w:cs="Times New Roman" w:eastAsia="Times New Roman" w:hint="default"/>
                <w:sz w:val="18"/>
                <w:szCs w:val="18"/>
              </w:rPr>
              <w:t>;</w:t>
            </w:r>
            <w:r>
              <w:rPr>
                <w:rFonts w:ascii="宋体" w:hAnsi="宋体" w:cs="宋体" w:eastAsia="宋体" w:hint="default"/>
                <w:sz w:val="18"/>
                <w:szCs w:val="18"/>
              </w:rPr>
              <w:t>张 伟</w:t>
            </w:r>
            <w:r>
              <w:rPr>
                <w:rFonts w:ascii="Times New Roman" w:hAnsi="Times New Roman" w:cs="Times New Roman" w:eastAsia="Times New Roman" w:hint="default"/>
                <w:sz w:val="18"/>
                <w:szCs w:val="18"/>
              </w:rPr>
              <w:t>;</w:t>
            </w:r>
            <w:r>
              <w:rPr>
                <w:rFonts w:ascii="宋体" w:hAnsi="宋体" w:cs="宋体" w:eastAsia="宋体" w:hint="default"/>
                <w:sz w:val="18"/>
                <w:szCs w:val="18"/>
              </w:rPr>
              <w:t>吴红心</w:t>
            </w:r>
            <w:r>
              <w:rPr>
                <w:rFonts w:ascii="Times New Roman" w:hAnsi="Times New Roman" w:cs="Times New Roman" w:eastAsia="Times New Roman" w:hint="default"/>
                <w:sz w:val="18"/>
                <w:szCs w:val="18"/>
              </w:rPr>
              <w:t>;</w:t>
            </w:r>
            <w:r>
              <w:rPr>
                <w:rFonts w:ascii="宋体" w:hAnsi="宋体" w:cs="宋体" w:eastAsia="宋体" w:hint="default"/>
                <w:sz w:val="18"/>
                <w:szCs w:val="18"/>
              </w:rPr>
              <w:t>赫喆</w:t>
            </w:r>
            <w:r>
              <w:rPr>
                <w:rFonts w:ascii="Times New Roman" w:hAnsi="Times New Roman" w:cs="Times New Roman" w:eastAsia="Times New Roman" w:hint="default"/>
                <w:sz w:val="18"/>
                <w:szCs w:val="18"/>
              </w:rPr>
              <w:t>; </w:t>
            </w:r>
            <w:r>
              <w:rPr>
                <w:rFonts w:ascii="宋体" w:hAnsi="宋体" w:cs="宋体" w:eastAsia="宋体" w:hint="default"/>
                <w:sz w:val="18"/>
                <w:szCs w:val="18"/>
              </w:rPr>
              <w:t>杨承宏</w:t>
            </w:r>
            <w:r>
              <w:rPr>
                <w:rFonts w:ascii="Times New Roman" w:hAnsi="Times New Roman" w:cs="Times New Roman" w:eastAsia="Times New Roman" w:hint="default"/>
                <w:sz w:val="18"/>
                <w:szCs w:val="18"/>
              </w:rPr>
              <w:t>;</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201"/>
              <w:jc w:val="both"/>
              <w:rPr>
                <w:rFonts w:ascii="宋体" w:hAnsi="宋体" w:cs="宋体" w:eastAsia="宋体" w:hint="default"/>
                <w:sz w:val="18"/>
                <w:szCs w:val="18"/>
              </w:rPr>
            </w:pPr>
            <w:r>
              <w:rPr>
                <w:rFonts w:ascii="宋体" w:hAnsi="宋体" w:cs="宋体" w:eastAsia="宋体" w:hint="default"/>
                <w:sz w:val="18"/>
                <w:szCs w:val="18"/>
              </w:rPr>
              <w:t>关于保持上 市公司独立 性的承诺</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319" w:lineRule="auto" w:before="20"/>
              <w:ind w:left="22" w:right="22"/>
              <w:jc w:val="both"/>
              <w:rPr>
                <w:rFonts w:ascii="宋体" w:hAnsi="宋体" w:cs="宋体" w:eastAsia="宋体" w:hint="default"/>
                <w:sz w:val="18"/>
                <w:szCs w:val="18"/>
              </w:rPr>
            </w:pPr>
            <w:r>
              <w:rPr>
                <w:rFonts w:ascii="宋体" w:hAnsi="宋体" w:cs="宋体" w:eastAsia="宋体" w:hint="default"/>
                <w:sz w:val="18"/>
                <w:szCs w:val="18"/>
              </w:rPr>
              <w:t>河创新构建健全的公司法人 治理结构，拥有独立、完整 </w:t>
            </w:r>
            <w:r>
              <w:rPr>
                <w:rFonts w:ascii="宋体" w:hAnsi="宋体" w:cs="宋体" w:eastAsia="宋体" w:hint="default"/>
                <w:spacing w:val="-4"/>
                <w:sz w:val="18"/>
                <w:szCs w:val="18"/>
              </w:rPr>
              <w:t>的组织机构。</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．保证本次交</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319" w:lineRule="auto" w:before="157"/>
              <w:ind w:left="22" w:right="167"/>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易完成后中科金财、滨河创</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新的股东（大）会、</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监事会等依照法律、法规及</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中科金财、滨河创新公司章</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程独立行使职权。三、保证</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中科金财、滨河创新的资产</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9"/>
                <w:sz w:val="18"/>
                <w:szCs w:val="18"/>
              </w:rPr>
              <w:t>独立、完整</w:t>
            </w:r>
            <w:r>
              <w:rPr>
                <w:rFonts w:ascii="宋体" w:hAnsi="宋体" w:cs="宋体" w:eastAsia="宋体" w:hint="default"/>
                <w:spacing w:val="-36"/>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．保证本次交易</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完成后中科金财、滨河创新</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拥有与生产经营有关的独</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立、完整的资产。</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．保证本</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次交易完成后中科金财、滨</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河创新的经营场所独立于本</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制的其他公司、企业或者其</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他经济组织等关联方。</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．除</w:t>
            </w:r>
            <w:r>
              <w:rPr>
                <w:rFonts w:ascii="宋体" w:hAnsi="宋体" w:cs="宋体" w:eastAsia="宋体" w:hint="default"/>
                <w:sz w:val="18"/>
                <w:szCs w:val="18"/>
              </w:rPr>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正常经营性往来外，保证本</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次交易完成后中科金财、滨</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河创新不存在资金、资产被</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控制的其他公司、企业或者</w:t>
            </w:r>
          </w:p>
        </w:tc>
        <w:tc>
          <w:tcPr>
            <w:tcW w:w="992"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9.973999pt;margin-top:72.47998pt;width:109.3pt;height:686.5pt;mso-position-horizontal-relative:page;mso-position-vertical-relative:page;z-index:-10396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15"/>
                    <w:ind w:left="0" w:right="0" w:firstLine="0"/>
                    <w:jc w:val="left"/>
                    <w:rPr>
                      <w:rFonts w:ascii="宋体" w:hAnsi="宋体" w:cs="宋体" w:eastAsia="宋体" w:hint="default"/>
                      <w:sz w:val="18"/>
                      <w:szCs w:val="18"/>
                    </w:rPr>
                  </w:pPr>
                  <w:r>
                    <w:rPr>
                      <w:rFonts w:ascii="宋体" w:hAnsi="宋体" w:cs="宋体" w:eastAsia="宋体" w:hint="default"/>
                      <w:sz w:val="18"/>
                      <w:szCs w:val="18"/>
                    </w:rPr>
                    <w:t>保证中科金财、</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4"/>
        <w:gridCol w:w="1418"/>
        <w:gridCol w:w="1134"/>
        <w:gridCol w:w="2268"/>
        <w:gridCol w:w="992"/>
        <w:gridCol w:w="992"/>
        <w:gridCol w:w="920"/>
      </w:tblGrid>
      <w:tr>
        <w:trPr>
          <w:trHeight w:val="317"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其他经济组织等关联方占用</w:t>
            </w:r>
          </w:p>
        </w:tc>
        <w:tc>
          <w:tcPr>
            <w:tcW w:w="992" w:type="dxa"/>
            <w:vMerge w:val="restart"/>
            <w:tcBorders>
              <w:top w:val="single" w:sz="4" w:space="0" w:color="000000"/>
              <w:left w:val="single" w:sz="4" w:space="0" w:color="000000"/>
              <w:right w:val="single" w:sz="4" w:space="0" w:color="000000"/>
            </w:tcBorders>
          </w:tcPr>
          <w:p>
            <w:pPr>
              <w:pStyle w:val="TableParagraph"/>
              <w:spacing w:line="13729"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49.1pt;height:686.5pt;mso-position-horizontal-relative:char;mso-position-vertical-relative:line" coordorigin="0,0" coordsize="982,13730">
                  <v:group style="position:absolute;left:0;top:0;width:982;height:13730" coordorigin="0,0" coordsize="982,13730">
                    <v:shape style="position:absolute;left:0;top:0;width:982;height:13730" coordorigin="0,0" coordsize="982,13730" path="m0,13729l982,13729,982,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992"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的情形。四、</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滨河创新的业务独立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pacing w:val="-83"/>
                <w:sz w:val="18"/>
                <w:szCs w:val="18"/>
              </w:rPr>
              <w:t>．</w:t>
            </w:r>
            <w:r>
              <w:rPr>
                <w:rFonts w:ascii="宋体" w:hAnsi="宋体" w:cs="宋体" w:eastAsia="宋体" w:hint="default"/>
                <w:sz w:val="18"/>
                <w:szCs w:val="18"/>
              </w:rPr>
              <w:t>保证</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本次交易完成后中科金财、</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滨河创新拥有独立开展经营</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活动的相关资质，具有面向</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市场的独立、自主、持续的</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经营能力。</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．保证本次交易</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完成后本人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本公司控制的其他公司、企</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业或者其他经济组织等关联</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方避免从事与中科金财、滨</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河创新及其控制的其他公</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司、企业或者其他经济组织</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具有竞争关系的业务。</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．保</w:t>
            </w:r>
            <w:r>
              <w:rPr>
                <w:rFonts w:ascii="宋体" w:hAnsi="宋体" w:cs="宋体" w:eastAsia="宋体" w:hint="default"/>
                <w:sz w:val="18"/>
                <w:szCs w:val="18"/>
              </w:rPr>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证本次交易完成后本人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本公司控制的其他</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公司、企业或者其他经济组</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织等关联方减少与中科金</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财、滨河创新及其控制的其</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他公司、企业或者其他经济</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组织的关联交易；对于确有</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必要且无法避免的关联交</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易，保证按市场原则和公允</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价格进行公平操作，并按相</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关法律、法规及规范性文件</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的规定履行相关审批程序及</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信息披露义务。五、保证中</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科金财、滨河创新的财务独</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w:t>
            </w:r>
            <w:r>
              <w:rPr>
                <w:rFonts w:ascii="宋体" w:hAnsi="宋体" w:cs="宋体" w:eastAsia="宋体" w:hint="default"/>
                <w:spacing w:val="-45"/>
                <w:sz w:val="18"/>
                <w:szCs w:val="18"/>
              </w:rPr>
              <w:t> </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．保证中科金财、滨河创</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新本次交易完成后分别具备</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独立的财务部门以及独立的</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财务核算体系，具有规范、</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独立的财务会计制度。</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．保</w:t>
            </w:r>
            <w:r>
              <w:rPr>
                <w:rFonts w:ascii="宋体" w:hAnsi="宋体" w:cs="宋体" w:eastAsia="宋体" w:hint="default"/>
                <w:sz w:val="18"/>
                <w:szCs w:val="18"/>
              </w:rPr>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证中科金财、滨河创新本次</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交易完成后独立在银行开</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户，不与本人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本公司及本人</w:t>
            </w:r>
            <w:r>
              <w:rPr>
                <w:rFonts w:ascii="Times New Roman" w:hAnsi="Times New Roman" w:cs="Times New Roman" w:eastAsia="Times New Roman" w:hint="default"/>
                <w:spacing w:val="-4"/>
                <w:sz w:val="18"/>
                <w:szCs w:val="18"/>
              </w:rPr>
              <w:t>/</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本公司控制的其他公司、企</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业或者其他经济组织等关联</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方共用银行账户。</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．保证本</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次交易完成后中科金财、滨</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河创新的财务人员不在本人</w:t>
            </w:r>
            <w:r>
              <w:rPr>
                <w:rFonts w:ascii="Times New Roman" w:hAnsi="Times New Roman" w:cs="Times New Roman" w:eastAsia="Times New Roman" w:hint="default"/>
                <w:sz w:val="18"/>
                <w:szCs w:val="18"/>
              </w:rPr>
              <w:t>/</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3"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其他公司、企业或者其他经</w:t>
            </w:r>
          </w:p>
        </w:tc>
        <w:tc>
          <w:tcPr>
            <w:tcW w:w="99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4"/>
        <w:gridCol w:w="1418"/>
        <w:gridCol w:w="1134"/>
        <w:gridCol w:w="2268"/>
        <w:gridCol w:w="992"/>
        <w:gridCol w:w="992"/>
        <w:gridCol w:w="923"/>
      </w:tblGrid>
      <w:tr>
        <w:trPr>
          <w:trHeight w:val="2547"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2"/>
              <w:jc w:val="left"/>
              <w:rPr>
                <w:rFonts w:ascii="宋体" w:hAnsi="宋体" w:cs="宋体" w:eastAsia="宋体" w:hint="default"/>
                <w:sz w:val="18"/>
                <w:szCs w:val="18"/>
              </w:rPr>
            </w:pPr>
            <w:r>
              <w:rPr>
                <w:rFonts w:ascii="宋体" w:hAnsi="宋体" w:cs="宋体" w:eastAsia="宋体" w:hint="default"/>
                <w:spacing w:val="-5"/>
                <w:sz w:val="18"/>
                <w:szCs w:val="18"/>
              </w:rPr>
              <w:t>济组织等关联方兼职。</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．保</w:t>
            </w:r>
            <w:r>
              <w:rPr>
                <w:rFonts w:ascii="宋体" w:hAnsi="宋体" w:cs="宋体" w:eastAsia="宋体" w:hint="default"/>
                <w:spacing w:val="-85"/>
                <w:sz w:val="18"/>
                <w:szCs w:val="18"/>
              </w:rPr>
              <w:t> </w:t>
            </w:r>
            <w:r>
              <w:rPr>
                <w:rFonts w:ascii="宋体" w:hAnsi="宋体" w:cs="宋体" w:eastAsia="宋体" w:hint="default"/>
                <w:sz w:val="18"/>
                <w:szCs w:val="18"/>
              </w:rPr>
              <w:t>证本次交易完成后中科金</w:t>
            </w:r>
            <w:r>
              <w:rPr>
                <w:rFonts w:ascii="宋体" w:hAnsi="宋体" w:cs="宋体" w:eastAsia="宋体" w:hint="default"/>
                <w:sz w:val="18"/>
                <w:szCs w:val="18"/>
              </w:rPr>
              <w:t> 财、滨河创新能够独立做出 财务决策，本人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本公司不干 预中科金财、滨河创新的资 </w:t>
            </w:r>
            <w:r>
              <w:rPr>
                <w:rFonts w:ascii="宋体" w:hAnsi="宋体" w:cs="宋体" w:eastAsia="宋体" w:hint="default"/>
                <w:spacing w:val="-4"/>
                <w:sz w:val="18"/>
                <w:szCs w:val="18"/>
              </w:rPr>
              <w:t>金使用。</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．保证本次交易完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成后中科金财、滨河创新依 法独立纳税。</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11283"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0" w:lineRule="auto"/>
              <w:ind w:left="22" w:right="24"/>
              <w:jc w:val="left"/>
              <w:rPr>
                <w:rFonts w:ascii="宋体" w:hAnsi="宋体" w:cs="宋体" w:eastAsia="宋体" w:hint="default"/>
                <w:sz w:val="18"/>
                <w:szCs w:val="18"/>
              </w:rPr>
            </w:pPr>
            <w:r>
              <w:rPr>
                <w:rFonts w:ascii="宋体" w:hAnsi="宋体" w:cs="宋体" w:eastAsia="宋体" w:hint="default"/>
                <w:sz w:val="18"/>
                <w:szCs w:val="18"/>
              </w:rPr>
              <w:t>谢晓梅</w:t>
            </w:r>
            <w:r>
              <w:rPr>
                <w:rFonts w:ascii="Times New Roman" w:hAnsi="Times New Roman" w:cs="Times New Roman" w:eastAsia="Times New Roman" w:hint="default"/>
                <w:sz w:val="18"/>
                <w:szCs w:val="18"/>
              </w:rPr>
              <w:t>;</w:t>
            </w:r>
            <w:r>
              <w:rPr>
                <w:rFonts w:ascii="宋体" w:hAnsi="宋体" w:cs="宋体" w:eastAsia="宋体" w:hint="default"/>
                <w:sz w:val="18"/>
                <w:szCs w:val="18"/>
              </w:rPr>
              <w:t>吴红心</w:t>
            </w:r>
            <w:r>
              <w:rPr>
                <w:rFonts w:ascii="Times New Roman" w:hAnsi="Times New Roman" w:cs="Times New Roman" w:eastAsia="Times New Roman" w:hint="default"/>
                <w:sz w:val="18"/>
                <w:szCs w:val="18"/>
              </w:rPr>
              <w:t>;</w:t>
            </w:r>
            <w:r>
              <w:rPr>
                <w:rFonts w:ascii="宋体" w:hAnsi="宋体" w:cs="宋体" w:eastAsia="宋体" w:hint="default"/>
                <w:sz w:val="18"/>
                <w:szCs w:val="18"/>
              </w:rPr>
              <w:t>张 伟</w:t>
            </w:r>
            <w:r>
              <w:rPr>
                <w:rFonts w:ascii="Times New Roman" w:hAnsi="Times New Roman" w:cs="Times New Roman" w:eastAsia="Times New Roman" w:hint="default"/>
                <w:sz w:val="18"/>
                <w:szCs w:val="18"/>
              </w:rPr>
              <w:t>;</w:t>
            </w:r>
            <w:r>
              <w:rPr>
                <w:rFonts w:ascii="宋体" w:hAnsi="宋体" w:cs="宋体" w:eastAsia="宋体" w:hint="default"/>
                <w:sz w:val="18"/>
                <w:szCs w:val="18"/>
              </w:rPr>
              <w:t>周惠明</w:t>
            </w:r>
            <w:r>
              <w:rPr>
                <w:rFonts w:ascii="Times New Roman" w:hAnsi="Times New Roman" w:cs="Times New Roman" w:eastAsia="Times New Roman" w:hint="default"/>
                <w:sz w:val="18"/>
                <w:szCs w:val="18"/>
              </w:rPr>
              <w:t>;</w:t>
            </w:r>
            <w:r>
              <w:rPr>
                <w:rFonts w:ascii="宋体" w:hAnsi="宋体" w:cs="宋体" w:eastAsia="宋体" w:hint="default"/>
                <w:sz w:val="18"/>
                <w:szCs w:val="18"/>
              </w:rPr>
              <w:t>赫喆</w:t>
            </w:r>
            <w:r>
              <w:rPr>
                <w:rFonts w:ascii="Times New Roman" w:hAnsi="Times New Roman" w:cs="Times New Roman" w:eastAsia="Times New Roman" w:hint="default"/>
                <w:sz w:val="18"/>
                <w:szCs w:val="18"/>
              </w:rPr>
              <w:t>; </w:t>
            </w:r>
            <w:r>
              <w:rPr>
                <w:rFonts w:ascii="宋体" w:hAnsi="宋体" w:cs="宋体" w:eastAsia="宋体" w:hint="default"/>
                <w:sz w:val="18"/>
                <w:szCs w:val="18"/>
              </w:rPr>
              <w:t>杨承宏</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2" w:right="201"/>
              <w:jc w:val="both"/>
              <w:rPr>
                <w:rFonts w:ascii="宋体" w:hAnsi="宋体" w:cs="宋体" w:eastAsia="宋体" w:hint="default"/>
                <w:sz w:val="18"/>
                <w:szCs w:val="18"/>
              </w:rPr>
            </w:pPr>
            <w:r>
              <w:rPr>
                <w:rFonts w:ascii="宋体" w:hAnsi="宋体" w:cs="宋体" w:eastAsia="宋体" w:hint="default"/>
                <w:sz w:val="18"/>
                <w:szCs w:val="18"/>
              </w:rPr>
              <w:t>关于同业竞 争和关联交 易的承诺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一、关于同业竞争：</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．截至</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本承诺函签署日，本人及包 括本人控制的其他公司、企 业或者其他经济组织等关联 方未从事与中科金财、滨河 创新及其控制的其他公司、 企业或者其他经济组织存在 </w:t>
            </w:r>
            <w:r>
              <w:rPr>
                <w:rFonts w:ascii="宋体" w:hAnsi="宋体" w:cs="宋体" w:eastAsia="宋体" w:hint="default"/>
                <w:spacing w:val="-5"/>
                <w:sz w:val="18"/>
                <w:szCs w:val="18"/>
              </w:rPr>
              <w:t>同业竞争关系的业务。</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．在</w:t>
            </w:r>
            <w:r>
              <w:rPr>
                <w:rFonts w:ascii="宋体" w:hAnsi="宋体" w:cs="宋体" w:eastAsia="宋体" w:hint="default"/>
                <w:spacing w:val="-85"/>
                <w:sz w:val="18"/>
                <w:szCs w:val="18"/>
              </w:rPr>
              <w:t> </w:t>
            </w:r>
            <w:r>
              <w:rPr>
                <w:rFonts w:ascii="宋体" w:hAnsi="宋体" w:cs="宋体" w:eastAsia="宋体" w:hint="default"/>
                <w:sz w:val="18"/>
                <w:szCs w:val="18"/>
              </w:rPr>
              <w:t>作为中科金财的股东期间，</w:t>
            </w:r>
            <w:r>
              <w:rPr>
                <w:rFonts w:ascii="宋体" w:hAnsi="宋体" w:cs="宋体" w:eastAsia="宋体" w:hint="default"/>
                <w:sz w:val="18"/>
                <w:szCs w:val="18"/>
              </w:rPr>
              <w:t> 本人及包括本人控制的其他 公司、企业或者其他经济组 织等关联方将避免以任何形 式从事任何与中科金财、滨 河创新及其控制的其他公 司、企业或者其他经济组织 相同或相似且构成或可能构 成竞争关系的业务，亦不从 事任何可能损害中科金财、 滨河创新及其控制的其他公 司、企业或者其他经济组织 利益的活动。如本人及其控 制的其他公司、企业或者其 他经济组织遇到中科金财、 滨河创新及其控制的其他公 司、企业或者其他经济组织 主营业务范围内的业务机 会，本人及其控制的其他公 司、企业或者其他经济组织 承诺将该等合作机会让予中 科金财、滨河创新及其控制 的其他公司、企业或者其他 经济组织。二、关于规范及 减少关联交易：本人在作为 中科金财的股东期间，本人 及所控制的其他公司、企业 或者其他经济组织将尽量减</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1"/>
              <w:ind w:left="22" w:right="168"/>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4"/>
        <w:gridCol w:w="1418"/>
        <w:gridCol w:w="1134"/>
        <w:gridCol w:w="2268"/>
        <w:gridCol w:w="992"/>
        <w:gridCol w:w="992"/>
        <w:gridCol w:w="920"/>
      </w:tblGrid>
      <w:tr>
        <w:trPr>
          <w:trHeight w:val="8475"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少并规范与中科金财、滨河 创新及其控制的其他公司、 企业或者其他经济组织之间 的关联交易。对于无法避免 或有合理原因而发生的关联 交易，本人及所控制的其他 公司、企业或者其他经济组 织将遵循市场原则以公允、 合理的市场价格进行，根据 有关法律、法规及规范性文 件的规定履行关联交易决策 程序，依法履行信息披露义 务和办理有关报批程序，不 利用股东优势地位损害中科 金财及其他股东的合法权 益。本人若违反上述承诺， 将承担因此而给中科金财、 滨河创新及其控制的其他公 司、企业或者其他经济组织 造成的一切损失。三、关于 资金占用：除正常经营性往 来外，保证本次交易完成后 中科金财、滨河创新不存在 资金、资产被本人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 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本公司控制的其他公 司、企业或者其他经济组织 等关联方占用的情形。</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朱烨东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201"/>
              <w:jc w:val="left"/>
              <w:rPr>
                <w:rFonts w:ascii="宋体" w:hAnsi="宋体" w:cs="宋体" w:eastAsia="宋体" w:hint="default"/>
                <w:sz w:val="18"/>
                <w:szCs w:val="18"/>
              </w:rPr>
            </w:pPr>
            <w:r>
              <w:rPr>
                <w:rFonts w:ascii="宋体" w:hAnsi="宋体" w:cs="宋体" w:eastAsia="宋体" w:hint="default"/>
                <w:sz w:val="18"/>
                <w:szCs w:val="18"/>
              </w:rPr>
              <w:t>关于股份锁 定的承诺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3"/>
              <w:jc w:val="both"/>
              <w:rPr>
                <w:rFonts w:ascii="宋体" w:hAnsi="宋体" w:cs="宋体" w:eastAsia="宋体" w:hint="default"/>
                <w:sz w:val="18"/>
                <w:szCs w:val="18"/>
              </w:rPr>
            </w:pPr>
            <w:r>
              <w:rPr>
                <w:rFonts w:ascii="宋体" w:hAnsi="宋体" w:cs="宋体" w:eastAsia="宋体" w:hint="default"/>
                <w:sz w:val="18"/>
                <w:szCs w:val="18"/>
              </w:rPr>
              <w:t>本人同意自中科金财本次发 行结束之日（指本次发行的 股份上市之日）起，三十六 个月内不转让本次认购的股 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2019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7"/>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72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如承诺超期未履行完 </w:t>
            </w:r>
            <w:r>
              <w:rPr>
                <w:rFonts w:ascii="宋体" w:hAnsi="宋体" w:cs="宋体" w:eastAsia="宋体" w:hint="default"/>
                <w:spacing w:val="-2"/>
                <w:sz w:val="18"/>
                <w:szCs w:val="18"/>
              </w:rPr>
              <w:t>毕的，应当详细说明未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完成履行的具体原因 及下一步的工作计划</w:t>
            </w:r>
          </w:p>
        </w:tc>
        <w:tc>
          <w:tcPr>
            <w:tcW w:w="772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59" w:lineRule="auto" w:before="35"/>
        <w:ind w:right="0"/>
        <w:jc w:val="left"/>
        <w:rPr>
          <w:b w:val="0"/>
          <w:bCs w:val="0"/>
        </w:rPr>
      </w:pPr>
      <w:bookmarkStart w:name="2、公司资产或项目存在盈利预测，且报告期仍处在盈利预测期间，公司就资产或项目达到" w:id="68"/>
      <w:bookmarkEnd w:id="68"/>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不适用</w:t>
      </w:r>
    </w:p>
    <w:p>
      <w:pPr>
        <w:spacing w:line="240" w:lineRule="auto" w:before="1"/>
        <w:rPr>
          <w:rFonts w:ascii="宋体" w:hAnsi="宋体" w:cs="宋体" w:eastAsia="宋体" w:hint="default"/>
          <w:sz w:val="23"/>
          <w:szCs w:val="23"/>
        </w:rPr>
      </w:pPr>
    </w:p>
    <w:p>
      <w:pPr>
        <w:pStyle w:val="Heading2"/>
        <w:spacing w:line="240" w:lineRule="auto"/>
        <w:ind w:right="0"/>
        <w:jc w:val="left"/>
        <w:rPr>
          <w:b w:val="0"/>
          <w:bCs w:val="0"/>
        </w:rPr>
      </w:pPr>
      <w:bookmarkStart w:name="四、控股股东及其关联方对上市公司的非经营性占用资金情况" w:id="69"/>
      <w:bookmarkEnd w:id="69"/>
      <w:r>
        <w:rPr>
          <w:b w:val="0"/>
          <w:bCs w:val="0"/>
        </w:rPr>
      </w:r>
      <w:r>
        <w:rPr/>
        <w:t>四、控股股东及其关联方对上市公司的非经营性占用资金情况</w:t>
      </w:r>
      <w:r>
        <w:rPr>
          <w:b w:val="0"/>
          <w:bCs w:val="0"/>
        </w:rPr>
      </w:r>
    </w:p>
    <w:p>
      <w:pPr>
        <w:spacing w:line="240" w:lineRule="auto" w:before="6"/>
        <w:rPr>
          <w:rFonts w:ascii="宋体" w:hAnsi="宋体" w:cs="宋体" w:eastAsia="宋体" w:hint="default"/>
          <w:b/>
          <w:bCs/>
          <w:sz w:val="25"/>
          <w:szCs w:val="25"/>
        </w:rPr>
      </w:pPr>
    </w:p>
    <w:p>
      <w:pPr>
        <w:pStyle w:val="BodyText"/>
        <w:spacing w:line="304" w:lineRule="auto"/>
        <w:ind w:right="3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100"/>
        </w:rPr>
        <w:t> </w:t>
      </w:r>
      <w:r>
        <w:rPr>
          <w:spacing w:val="-1"/>
        </w:rPr>
        <w:t>公司报告期不存在控股股东及其关联方对上市公司的非经营性占用资金。</w:t>
      </w:r>
    </w:p>
    <w:p>
      <w:pPr>
        <w:spacing w:line="240" w:lineRule="auto" w:before="1"/>
        <w:rPr>
          <w:rFonts w:ascii="宋体" w:hAnsi="宋体" w:cs="宋体" w:eastAsia="宋体" w:hint="default"/>
          <w:sz w:val="20"/>
          <w:szCs w:val="20"/>
        </w:rPr>
      </w:pPr>
    </w:p>
    <w:p>
      <w:pPr>
        <w:pStyle w:val="Heading2"/>
        <w:spacing w:line="240" w:lineRule="auto"/>
        <w:ind w:right="0"/>
        <w:jc w:val="left"/>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0"/>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不适用</w:t>
      </w:r>
    </w:p>
    <w:p>
      <w:pPr>
        <w:spacing w:line="240" w:lineRule="auto" w:before="1"/>
        <w:rPr>
          <w:rFonts w:ascii="宋体" w:hAnsi="宋体" w:cs="宋体" w:eastAsia="宋体" w:hint="default"/>
          <w:sz w:val="23"/>
          <w:szCs w:val="23"/>
        </w:rPr>
      </w:pPr>
    </w:p>
    <w:p>
      <w:pPr>
        <w:pStyle w:val="Heading2"/>
        <w:spacing w:line="240" w:lineRule="auto"/>
        <w:ind w:right="0"/>
        <w:jc w:val="left"/>
        <w:rPr>
          <w:b w:val="0"/>
          <w:bCs w:val="0"/>
        </w:rPr>
      </w:pPr>
      <w:bookmarkStart w:name="六、与上年度财务报告相比，会计政策、会计估计和核算方法发生变化的情况说明" w:id="71"/>
      <w:bookmarkEnd w:id="71"/>
      <w:r>
        <w:rPr>
          <w:b w:val="0"/>
          <w:bCs w:val="0"/>
        </w:rPr>
      </w: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pStyle w:val="BodyText"/>
        <w:spacing w:line="240" w:lineRule="auto" w:before="151"/>
        <w:ind w:left="628" w:right="0"/>
        <w:jc w:val="left"/>
      </w:pPr>
      <w:r>
        <w:rPr/>
        <w:t>财政部于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日发布了《财政部关于修订印发</w:t>
      </w:r>
      <w:r>
        <w:rPr>
          <w:rFonts w:ascii="Times New Roman" w:hAnsi="Times New Roman" w:cs="Times New Roman" w:eastAsia="Times New Roman" w:hint="default"/>
        </w:rPr>
        <w:t>2018</w:t>
      </w:r>
      <w:r>
        <w:rPr/>
        <w:t>年度一般企业财务报表格式的通知》（财会</w:t>
      </w:r>
    </w:p>
    <w:p>
      <w:pPr>
        <w:spacing w:line="240" w:lineRule="auto" w:before="8"/>
        <w:rPr>
          <w:rFonts w:ascii="宋体" w:hAnsi="宋体" w:cs="宋体" w:eastAsia="宋体" w:hint="default"/>
          <w:sz w:val="14"/>
          <w:szCs w:val="14"/>
        </w:rPr>
      </w:pPr>
    </w:p>
    <w:p>
      <w:pPr>
        <w:pStyle w:val="BodyText"/>
        <w:spacing w:line="240" w:lineRule="auto"/>
        <w:ind w:left="228" w:right="0"/>
        <w:jc w:val="left"/>
      </w:pPr>
      <w:r>
        <w:rPr/>
        <w:t>（</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15</w:t>
      </w:r>
      <w:r>
        <w:rPr/>
        <w:t>号），对一般企业财务报表格式进行了修订。公司执行上述规定的主要影响如下：</w:t>
      </w:r>
    </w:p>
    <w:p>
      <w:pPr>
        <w:spacing w:line="240" w:lineRule="auto" w:before="1"/>
        <w:rPr>
          <w:rFonts w:ascii="宋体" w:hAnsi="宋体" w:cs="宋体" w:eastAsia="宋体" w:hint="default"/>
          <w:sz w:val="9"/>
          <w:szCs w:val="9"/>
        </w:rPr>
      </w:pPr>
    </w:p>
    <w:tbl>
      <w:tblPr>
        <w:tblW w:w="0" w:type="auto"/>
        <w:jc w:val="left"/>
        <w:tblInd w:w="433" w:type="dxa"/>
        <w:tblLayout w:type="fixed"/>
        <w:tblCellMar>
          <w:top w:w="0" w:type="dxa"/>
          <w:left w:w="0" w:type="dxa"/>
          <w:bottom w:w="0" w:type="dxa"/>
          <w:right w:w="0" w:type="dxa"/>
        </w:tblCellMar>
        <w:tblLook w:val="01E0"/>
      </w:tblPr>
      <w:tblGrid>
        <w:gridCol w:w="4257"/>
        <w:gridCol w:w="1134"/>
        <w:gridCol w:w="3398"/>
      </w:tblGrid>
      <w:tr>
        <w:trPr>
          <w:trHeight w:val="580" w:hRule="exact"/>
        </w:trPr>
        <w:tc>
          <w:tcPr>
            <w:tcW w:w="4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923" w:right="0"/>
              <w:jc w:val="left"/>
              <w:rPr>
                <w:rFonts w:ascii="宋体" w:hAnsi="宋体" w:cs="宋体" w:eastAsia="宋体" w:hint="default"/>
                <w:sz w:val="20"/>
                <w:szCs w:val="20"/>
              </w:rPr>
            </w:pPr>
            <w:r>
              <w:rPr>
                <w:rFonts w:ascii="宋体" w:hAnsi="宋体" w:cs="宋体" w:eastAsia="宋体" w:hint="default"/>
                <w:sz w:val="20"/>
                <w:szCs w:val="20"/>
              </w:rPr>
              <w:t>会计政策变更的内容和原因</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62" w:right="0"/>
              <w:jc w:val="left"/>
              <w:rPr>
                <w:rFonts w:ascii="宋体" w:hAnsi="宋体" w:cs="宋体" w:eastAsia="宋体" w:hint="default"/>
                <w:sz w:val="20"/>
                <w:szCs w:val="20"/>
              </w:rPr>
            </w:pPr>
            <w:r>
              <w:rPr>
                <w:rFonts w:ascii="宋体" w:hAnsi="宋体" w:cs="宋体" w:eastAsia="宋体" w:hint="default"/>
                <w:sz w:val="20"/>
                <w:szCs w:val="20"/>
              </w:rPr>
              <w:t>审批程序</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92" w:right="0"/>
              <w:jc w:val="left"/>
              <w:rPr>
                <w:rFonts w:ascii="宋体" w:hAnsi="宋体" w:cs="宋体" w:eastAsia="宋体" w:hint="default"/>
                <w:sz w:val="20"/>
                <w:szCs w:val="20"/>
              </w:rPr>
            </w:pPr>
            <w:r>
              <w:rPr>
                <w:rFonts w:ascii="宋体" w:hAnsi="宋体" w:cs="宋体" w:eastAsia="宋体" w:hint="default"/>
                <w:sz w:val="20"/>
                <w:szCs w:val="20"/>
              </w:rPr>
              <w:t>受影响的报表项目名称和金额</w:t>
            </w:r>
          </w:p>
        </w:tc>
      </w:tr>
      <w:tr>
        <w:trPr>
          <w:trHeight w:val="3150" w:hRule="exact"/>
        </w:trPr>
        <w:tc>
          <w:tcPr>
            <w:tcW w:w="425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1"/>
              <w:jc w:val="left"/>
              <w:rPr>
                <w:rFonts w:ascii="宋体" w:hAnsi="宋体" w:cs="宋体" w:eastAsia="宋体" w:hint="default"/>
                <w:sz w:val="20"/>
                <w:szCs w:val="20"/>
              </w:rPr>
            </w:pPr>
            <w:r>
              <w:rPr>
                <w:rFonts w:ascii="宋体" w:hAnsi="宋体" w:cs="宋体" w:eastAsia="宋体" w:hint="default"/>
                <w:spacing w:val="-4"/>
                <w:sz w:val="20"/>
                <w:szCs w:val="20"/>
              </w:rPr>
              <w:t>（</w:t>
            </w:r>
            <w:r>
              <w:rPr>
                <w:rFonts w:ascii="宋体" w:hAnsi="宋体" w:cs="宋体" w:eastAsia="宋体" w:hint="default"/>
                <w:spacing w:val="-4"/>
                <w:sz w:val="20"/>
                <w:szCs w:val="20"/>
              </w:rPr>
              <w:t>1</w:t>
            </w:r>
            <w:r>
              <w:rPr>
                <w:rFonts w:ascii="宋体" w:hAnsi="宋体" w:cs="宋体" w:eastAsia="宋体" w:hint="default"/>
                <w:spacing w:val="-4"/>
                <w:sz w:val="20"/>
                <w:szCs w:val="20"/>
              </w:rPr>
              <w:t>）资产负债表中“应收票据”和“应收账款”</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合并列示为“应收票据及应收账款”；“应付票</w:t>
            </w:r>
            <w:r>
              <w:rPr>
                <w:rFonts w:ascii="宋体" w:hAnsi="宋体" w:cs="宋体" w:eastAsia="宋体" w:hint="default"/>
                <w:w w:val="100"/>
                <w:sz w:val="20"/>
                <w:szCs w:val="20"/>
              </w:rPr>
              <w:t> </w:t>
            </w:r>
            <w:r>
              <w:rPr>
                <w:rFonts w:ascii="宋体" w:hAnsi="宋体" w:cs="宋体" w:eastAsia="宋体" w:hint="default"/>
                <w:sz w:val="20"/>
                <w:szCs w:val="20"/>
              </w:rPr>
              <w:t>据”和“应付账款”合并列示为“应付票据及应</w:t>
            </w:r>
            <w:r>
              <w:rPr>
                <w:rFonts w:ascii="宋体" w:hAnsi="宋体" w:cs="宋体" w:eastAsia="宋体" w:hint="default"/>
                <w:w w:val="100"/>
                <w:sz w:val="20"/>
                <w:szCs w:val="20"/>
              </w:rPr>
              <w:t> </w:t>
            </w:r>
            <w:r>
              <w:rPr>
                <w:rFonts w:ascii="宋体" w:hAnsi="宋体" w:cs="宋体" w:eastAsia="宋体" w:hint="default"/>
                <w:sz w:val="20"/>
                <w:szCs w:val="20"/>
              </w:rPr>
              <w:t>付账款”；“应收利息”和“应收股利”并入</w:t>
            </w:r>
            <w:r>
              <w:rPr>
                <w:rFonts w:ascii="宋体" w:hAnsi="宋体" w:cs="宋体" w:eastAsia="宋体" w:hint="default"/>
                <w:w w:val="100"/>
                <w:sz w:val="20"/>
                <w:szCs w:val="20"/>
              </w:rPr>
              <w:t> </w:t>
            </w:r>
            <w:r>
              <w:rPr>
                <w:rFonts w:ascii="宋体" w:hAnsi="宋体" w:cs="宋体" w:eastAsia="宋体" w:hint="default"/>
                <w:sz w:val="20"/>
                <w:szCs w:val="20"/>
              </w:rPr>
              <w:t>“其他应收款”列示；“应付利息”和“应付股</w:t>
            </w:r>
            <w:r>
              <w:rPr>
                <w:rFonts w:ascii="宋体" w:hAnsi="宋体" w:cs="宋体" w:eastAsia="宋体" w:hint="default"/>
                <w:w w:val="100"/>
                <w:sz w:val="20"/>
                <w:szCs w:val="20"/>
              </w:rPr>
              <w:t> </w:t>
            </w:r>
            <w:r>
              <w:rPr>
                <w:rFonts w:ascii="宋体" w:hAnsi="宋体" w:cs="宋体" w:eastAsia="宋体" w:hint="default"/>
                <w:sz w:val="20"/>
                <w:szCs w:val="20"/>
              </w:rPr>
              <w:t>利”并入“其他应付款”列示；“固定资产清</w:t>
            </w:r>
            <w:r>
              <w:rPr>
                <w:rFonts w:ascii="宋体" w:hAnsi="宋体" w:cs="宋体" w:eastAsia="宋体" w:hint="default"/>
                <w:w w:val="100"/>
                <w:sz w:val="20"/>
                <w:szCs w:val="20"/>
              </w:rPr>
              <w:t> </w:t>
            </w:r>
            <w:r>
              <w:rPr>
                <w:rFonts w:ascii="宋体" w:hAnsi="宋体" w:cs="宋体" w:eastAsia="宋体" w:hint="default"/>
                <w:sz w:val="20"/>
                <w:szCs w:val="20"/>
              </w:rPr>
              <w:t>理”并入“固定资产”列示；“工程物资”并入</w:t>
            </w:r>
            <w:r>
              <w:rPr>
                <w:rFonts w:ascii="宋体" w:hAnsi="宋体" w:cs="宋体" w:eastAsia="宋体" w:hint="default"/>
                <w:w w:val="100"/>
                <w:sz w:val="20"/>
                <w:szCs w:val="20"/>
              </w:rPr>
              <w:t> </w:t>
            </w:r>
            <w:r>
              <w:rPr>
                <w:rFonts w:ascii="宋体" w:hAnsi="宋体" w:cs="宋体" w:eastAsia="宋体" w:hint="default"/>
                <w:sz w:val="20"/>
                <w:szCs w:val="20"/>
              </w:rPr>
              <w:t>“在建工程”列示；“专项应付款”并入“长期</w:t>
            </w:r>
            <w:r>
              <w:rPr>
                <w:rFonts w:ascii="宋体" w:hAnsi="宋体" w:cs="宋体" w:eastAsia="宋体" w:hint="default"/>
                <w:w w:val="100"/>
                <w:sz w:val="20"/>
                <w:szCs w:val="20"/>
              </w:rPr>
              <w:t> </w:t>
            </w:r>
            <w:r>
              <w:rPr>
                <w:rFonts w:ascii="宋体" w:hAnsi="宋体" w:cs="宋体" w:eastAsia="宋体" w:hint="default"/>
                <w:sz w:val="20"/>
                <w:szCs w:val="20"/>
              </w:rPr>
              <w:t>应付款”列示。比较数据相应调整。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6" w:right="1"/>
              <w:jc w:val="left"/>
              <w:rPr>
                <w:rFonts w:ascii="宋体" w:hAnsi="宋体" w:cs="宋体" w:eastAsia="宋体" w:hint="default"/>
                <w:sz w:val="20"/>
                <w:szCs w:val="20"/>
              </w:rPr>
            </w:pPr>
            <w:r>
              <w:rPr>
                <w:rFonts w:ascii="宋体" w:hAnsi="宋体" w:cs="宋体" w:eastAsia="宋体" w:hint="default"/>
                <w:sz w:val="20"/>
                <w:szCs w:val="20"/>
              </w:rPr>
              <w:t>第四届董事</w:t>
            </w:r>
            <w:r>
              <w:rPr>
                <w:rFonts w:ascii="宋体" w:hAnsi="宋体" w:cs="宋体" w:eastAsia="宋体" w:hint="default"/>
                <w:w w:val="100"/>
                <w:sz w:val="20"/>
                <w:szCs w:val="20"/>
              </w:rPr>
              <w:t> </w:t>
            </w:r>
            <w:r>
              <w:rPr>
                <w:rFonts w:ascii="宋体" w:hAnsi="宋体" w:cs="宋体" w:eastAsia="宋体" w:hint="default"/>
                <w:sz w:val="20"/>
                <w:szCs w:val="20"/>
              </w:rPr>
              <w:t>会第十八次</w:t>
            </w:r>
            <w:r>
              <w:rPr>
                <w:rFonts w:ascii="宋体" w:hAnsi="宋体" w:cs="宋体" w:eastAsia="宋体" w:hint="default"/>
                <w:w w:val="100"/>
                <w:sz w:val="20"/>
                <w:szCs w:val="20"/>
              </w:rPr>
              <w:t> </w:t>
            </w:r>
            <w:r>
              <w:rPr>
                <w:rFonts w:ascii="宋体" w:hAnsi="宋体" w:cs="宋体" w:eastAsia="宋体" w:hint="default"/>
                <w:spacing w:val="-15"/>
                <w:w w:val="100"/>
                <w:sz w:val="20"/>
                <w:szCs w:val="20"/>
              </w:rPr>
              <w:t>会议、第四届</w:t>
            </w:r>
            <w:r>
              <w:rPr>
                <w:rFonts w:ascii="宋体" w:hAnsi="宋体" w:cs="宋体" w:eastAsia="宋体" w:hint="default"/>
                <w:w w:val="100"/>
                <w:sz w:val="20"/>
                <w:szCs w:val="20"/>
              </w:rPr>
              <w:t> </w:t>
            </w:r>
            <w:r>
              <w:rPr>
                <w:rFonts w:ascii="宋体" w:hAnsi="宋体" w:cs="宋体" w:eastAsia="宋体" w:hint="default"/>
                <w:sz w:val="20"/>
                <w:szCs w:val="20"/>
              </w:rPr>
              <w:t>监事会第十</w:t>
            </w:r>
            <w:r>
              <w:rPr>
                <w:rFonts w:ascii="宋体" w:hAnsi="宋体" w:cs="宋体" w:eastAsia="宋体" w:hint="default"/>
                <w:w w:val="100"/>
                <w:sz w:val="20"/>
                <w:szCs w:val="20"/>
              </w:rPr>
              <w:t> </w:t>
            </w:r>
            <w:r>
              <w:rPr>
                <w:rFonts w:ascii="宋体" w:hAnsi="宋体" w:cs="宋体" w:eastAsia="宋体" w:hint="default"/>
                <w:sz w:val="20"/>
                <w:szCs w:val="20"/>
              </w:rPr>
              <w:t>次会议</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2"/>
              <w:jc w:val="left"/>
              <w:rPr>
                <w:rFonts w:ascii="宋体" w:hAnsi="宋体" w:cs="宋体" w:eastAsia="宋体" w:hint="default"/>
                <w:sz w:val="20"/>
                <w:szCs w:val="20"/>
              </w:rPr>
            </w:pPr>
            <w:r>
              <w:rPr>
                <w:rFonts w:ascii="宋体" w:hAnsi="宋体" w:cs="宋体" w:eastAsia="宋体" w:hint="default"/>
                <w:sz w:val="20"/>
                <w:szCs w:val="20"/>
              </w:rPr>
              <w:t>“应收票据”和“应收账款”合并列</w:t>
            </w:r>
            <w:r>
              <w:rPr>
                <w:rFonts w:ascii="宋体" w:hAnsi="宋体" w:cs="宋体" w:eastAsia="宋体" w:hint="default"/>
                <w:w w:val="100"/>
                <w:sz w:val="20"/>
                <w:szCs w:val="20"/>
              </w:rPr>
              <w:t> </w:t>
            </w:r>
            <w:r>
              <w:rPr>
                <w:rFonts w:ascii="宋体" w:hAnsi="宋体" w:cs="宋体" w:eastAsia="宋体" w:hint="default"/>
                <w:spacing w:val="-2"/>
                <w:sz w:val="20"/>
                <w:szCs w:val="20"/>
              </w:rPr>
              <w:t>示为“应收票据及应收账款”，本期金</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额</w:t>
            </w:r>
            <w:r>
              <w:rPr>
                <w:rFonts w:ascii="宋体" w:hAnsi="宋体" w:cs="宋体" w:eastAsia="宋体" w:hint="default"/>
                <w:sz w:val="20"/>
                <w:szCs w:val="20"/>
              </w:rPr>
              <w:t>137,643,619.43</w:t>
            </w:r>
            <w:r>
              <w:rPr>
                <w:rFonts w:ascii="宋体" w:hAnsi="宋体" w:cs="宋体" w:eastAsia="宋体" w:hint="default"/>
                <w:sz w:val="20"/>
                <w:szCs w:val="20"/>
              </w:rPr>
              <w:t>元，上期金额</w:t>
            </w:r>
            <w:r>
              <w:rPr>
                <w:rFonts w:ascii="宋体" w:hAnsi="宋体" w:cs="宋体" w:eastAsia="宋体" w:hint="default"/>
                <w:w w:val="100"/>
                <w:sz w:val="20"/>
                <w:szCs w:val="20"/>
              </w:rPr>
              <w:t> </w:t>
            </w:r>
            <w:r>
              <w:rPr>
                <w:rFonts w:ascii="宋体" w:hAnsi="宋体" w:cs="宋体" w:eastAsia="宋体" w:hint="default"/>
                <w:sz w:val="20"/>
                <w:szCs w:val="20"/>
              </w:rPr>
              <w:t>99,776,164.45</w:t>
            </w:r>
            <w:r>
              <w:rPr>
                <w:rFonts w:ascii="宋体" w:hAnsi="宋体" w:cs="宋体" w:eastAsia="宋体" w:hint="default"/>
                <w:sz w:val="20"/>
                <w:szCs w:val="20"/>
              </w:rPr>
              <w:t>元；</w:t>
            </w:r>
          </w:p>
          <w:p>
            <w:pPr>
              <w:pStyle w:val="TableParagraph"/>
              <w:spacing w:line="285" w:lineRule="auto" w:before="12"/>
              <w:ind w:left="4" w:right="2"/>
              <w:jc w:val="left"/>
              <w:rPr>
                <w:rFonts w:ascii="宋体" w:hAnsi="宋体" w:cs="宋体" w:eastAsia="宋体" w:hint="default"/>
                <w:sz w:val="20"/>
                <w:szCs w:val="20"/>
              </w:rPr>
            </w:pPr>
            <w:r>
              <w:rPr>
                <w:rFonts w:ascii="宋体" w:hAnsi="宋体" w:cs="宋体" w:eastAsia="宋体" w:hint="default"/>
                <w:sz w:val="20"/>
                <w:szCs w:val="20"/>
              </w:rPr>
              <w:t>“应付票据”和“应付账款”合并列</w:t>
            </w:r>
            <w:r>
              <w:rPr>
                <w:rFonts w:ascii="宋体" w:hAnsi="宋体" w:cs="宋体" w:eastAsia="宋体" w:hint="default"/>
                <w:w w:val="100"/>
                <w:sz w:val="20"/>
                <w:szCs w:val="20"/>
              </w:rPr>
              <w:t> </w:t>
            </w:r>
            <w:r>
              <w:rPr>
                <w:rFonts w:ascii="宋体" w:hAnsi="宋体" w:cs="宋体" w:eastAsia="宋体" w:hint="default"/>
                <w:spacing w:val="-2"/>
                <w:sz w:val="20"/>
                <w:szCs w:val="20"/>
              </w:rPr>
              <w:t>示为“应付票据及应付账款”，本期金</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额</w:t>
            </w:r>
            <w:r>
              <w:rPr>
                <w:rFonts w:ascii="宋体" w:hAnsi="宋体" w:cs="宋体" w:eastAsia="宋体" w:hint="default"/>
                <w:sz w:val="20"/>
                <w:szCs w:val="20"/>
              </w:rPr>
              <w:t>314,422,963.70</w:t>
            </w:r>
            <w:r>
              <w:rPr>
                <w:rFonts w:ascii="宋体" w:hAnsi="宋体" w:cs="宋体" w:eastAsia="宋体" w:hint="default"/>
                <w:sz w:val="20"/>
                <w:szCs w:val="20"/>
              </w:rPr>
              <w:t>元，上期金额</w:t>
            </w:r>
            <w:r>
              <w:rPr>
                <w:rFonts w:ascii="宋体" w:hAnsi="宋体" w:cs="宋体" w:eastAsia="宋体" w:hint="default"/>
                <w:w w:val="100"/>
                <w:sz w:val="20"/>
                <w:szCs w:val="20"/>
              </w:rPr>
              <w:t> </w:t>
            </w:r>
            <w:r>
              <w:rPr>
                <w:rFonts w:ascii="宋体" w:hAnsi="宋体" w:cs="宋体" w:eastAsia="宋体" w:hint="default"/>
                <w:sz w:val="20"/>
                <w:szCs w:val="20"/>
              </w:rPr>
              <w:t>272,968,102.26</w:t>
            </w:r>
            <w:r>
              <w:rPr>
                <w:rFonts w:ascii="宋体" w:hAnsi="宋体" w:cs="宋体" w:eastAsia="宋体" w:hint="default"/>
                <w:sz w:val="20"/>
                <w:szCs w:val="20"/>
              </w:rPr>
              <w:t>元；</w:t>
            </w:r>
          </w:p>
          <w:p>
            <w:pPr>
              <w:pStyle w:val="TableParagraph"/>
              <w:spacing w:line="285" w:lineRule="auto" w:before="12"/>
              <w:ind w:left="4" w:right="-17"/>
              <w:jc w:val="left"/>
              <w:rPr>
                <w:rFonts w:ascii="宋体" w:hAnsi="宋体" w:cs="宋体" w:eastAsia="宋体" w:hint="default"/>
                <w:sz w:val="20"/>
                <w:szCs w:val="20"/>
              </w:rPr>
            </w:pPr>
            <w:r>
              <w:rPr>
                <w:rFonts w:ascii="宋体" w:hAnsi="宋体" w:cs="宋体" w:eastAsia="宋体" w:hint="default"/>
                <w:spacing w:val="-1"/>
                <w:sz w:val="20"/>
                <w:szCs w:val="20"/>
              </w:rPr>
              <w:t>调增“其他应付款”本期金额</w:t>
            </w:r>
            <w:r>
              <w:rPr>
                <w:rFonts w:ascii="宋体" w:hAnsi="宋体" w:cs="宋体" w:eastAsia="宋体" w:hint="default"/>
                <w:spacing w:val="-1"/>
                <w:sz w:val="20"/>
                <w:szCs w:val="20"/>
              </w:rPr>
              <w:t>0.00</w:t>
            </w:r>
            <w:r>
              <w:rPr>
                <w:rFonts w:ascii="宋体" w:hAnsi="宋体" w:cs="宋体" w:eastAsia="宋体" w:hint="default"/>
                <w:spacing w:val="-1"/>
                <w:sz w:val="20"/>
                <w:szCs w:val="20"/>
              </w:rPr>
              <w:t>元，</w:t>
            </w:r>
            <w:r>
              <w:rPr>
                <w:rFonts w:ascii="宋体" w:hAnsi="宋体" w:cs="宋体" w:eastAsia="宋体" w:hint="default"/>
                <w:spacing w:val="-87"/>
                <w:sz w:val="20"/>
                <w:szCs w:val="20"/>
              </w:rPr>
              <w:t> </w:t>
            </w:r>
            <w:r>
              <w:rPr>
                <w:rFonts w:ascii="宋体" w:hAnsi="宋体" w:cs="宋体" w:eastAsia="宋体" w:hint="default"/>
                <w:sz w:val="20"/>
                <w:szCs w:val="20"/>
              </w:rPr>
              <w:t>上期金额</w:t>
            </w:r>
            <w:r>
              <w:rPr>
                <w:rFonts w:ascii="宋体" w:hAnsi="宋体" w:cs="宋体" w:eastAsia="宋体" w:hint="default"/>
                <w:sz w:val="20"/>
                <w:szCs w:val="20"/>
              </w:rPr>
              <w:t>11,124,445.50</w:t>
            </w:r>
            <w:r>
              <w:rPr>
                <w:rFonts w:ascii="宋体" w:hAnsi="宋体" w:cs="宋体" w:eastAsia="宋体" w:hint="default"/>
                <w:sz w:val="20"/>
                <w:szCs w:val="20"/>
              </w:rPr>
              <w:t>元；</w:t>
            </w:r>
          </w:p>
        </w:tc>
      </w:tr>
      <w:tr>
        <w:trPr>
          <w:trHeight w:val="1591" w:hRule="exact"/>
        </w:trPr>
        <w:tc>
          <w:tcPr>
            <w:tcW w:w="425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39"/>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2</w:t>
            </w:r>
            <w:r>
              <w:rPr>
                <w:rFonts w:ascii="宋体" w:hAnsi="宋体" w:cs="宋体" w:eastAsia="宋体" w:hint="default"/>
                <w:sz w:val="20"/>
                <w:szCs w:val="20"/>
              </w:rPr>
              <w:t>）在利润表中新增“研发费用”项目，将原</w:t>
            </w:r>
            <w:r>
              <w:rPr>
                <w:rFonts w:ascii="宋体" w:hAnsi="宋体" w:cs="宋体" w:eastAsia="宋体" w:hint="default"/>
                <w:w w:val="100"/>
                <w:sz w:val="20"/>
                <w:szCs w:val="20"/>
              </w:rPr>
              <w:t> </w:t>
            </w:r>
            <w:r>
              <w:rPr>
                <w:rFonts w:ascii="宋体" w:hAnsi="宋体" w:cs="宋体" w:eastAsia="宋体" w:hint="default"/>
                <w:sz w:val="20"/>
                <w:szCs w:val="20"/>
              </w:rPr>
              <w:t>“管理费用”中的研发费用重分类至“研发费</w:t>
            </w:r>
            <w:r>
              <w:rPr>
                <w:rFonts w:ascii="宋体" w:hAnsi="宋体" w:cs="宋体" w:eastAsia="宋体" w:hint="default"/>
                <w:w w:val="100"/>
                <w:sz w:val="20"/>
                <w:szCs w:val="20"/>
              </w:rPr>
              <w:t> </w:t>
            </w:r>
            <w:r>
              <w:rPr>
                <w:rFonts w:ascii="宋体" w:hAnsi="宋体" w:cs="宋体" w:eastAsia="宋体" w:hint="default"/>
                <w:sz w:val="20"/>
                <w:szCs w:val="20"/>
              </w:rPr>
              <w:t>用”单独列示；在利润表中财务费用项下新增</w:t>
            </w:r>
            <w:r>
              <w:rPr>
                <w:rFonts w:ascii="宋体" w:hAnsi="宋体" w:cs="宋体" w:eastAsia="宋体" w:hint="default"/>
                <w:w w:val="100"/>
                <w:sz w:val="20"/>
                <w:szCs w:val="20"/>
              </w:rPr>
              <w:t> </w:t>
            </w:r>
            <w:r>
              <w:rPr>
                <w:rFonts w:ascii="宋体" w:hAnsi="宋体" w:cs="宋体" w:eastAsia="宋体" w:hint="default"/>
                <w:spacing w:val="-1"/>
                <w:sz w:val="20"/>
                <w:szCs w:val="20"/>
              </w:rPr>
              <w:t>“其中：利息费用”和“利息收入”项目。比较</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数据相应调整。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6" w:right="1"/>
              <w:jc w:val="left"/>
              <w:rPr>
                <w:rFonts w:ascii="宋体" w:hAnsi="宋体" w:cs="宋体" w:eastAsia="宋体" w:hint="default"/>
                <w:sz w:val="20"/>
                <w:szCs w:val="20"/>
              </w:rPr>
            </w:pPr>
            <w:r>
              <w:rPr>
                <w:rFonts w:ascii="宋体" w:hAnsi="宋体" w:cs="宋体" w:eastAsia="宋体" w:hint="default"/>
                <w:sz w:val="20"/>
                <w:szCs w:val="20"/>
              </w:rPr>
              <w:t>第四届董事</w:t>
            </w:r>
            <w:r>
              <w:rPr>
                <w:rFonts w:ascii="宋体" w:hAnsi="宋体" w:cs="宋体" w:eastAsia="宋体" w:hint="default"/>
                <w:w w:val="100"/>
                <w:sz w:val="20"/>
                <w:szCs w:val="20"/>
              </w:rPr>
              <w:t> </w:t>
            </w:r>
            <w:r>
              <w:rPr>
                <w:rFonts w:ascii="宋体" w:hAnsi="宋体" w:cs="宋体" w:eastAsia="宋体" w:hint="default"/>
                <w:sz w:val="20"/>
                <w:szCs w:val="20"/>
              </w:rPr>
              <w:t>会第十八次</w:t>
            </w:r>
            <w:r>
              <w:rPr>
                <w:rFonts w:ascii="宋体" w:hAnsi="宋体" w:cs="宋体" w:eastAsia="宋体" w:hint="default"/>
                <w:w w:val="100"/>
                <w:sz w:val="20"/>
                <w:szCs w:val="20"/>
              </w:rPr>
              <w:t> </w:t>
            </w:r>
            <w:r>
              <w:rPr>
                <w:rFonts w:ascii="宋体" w:hAnsi="宋体" w:cs="宋体" w:eastAsia="宋体" w:hint="default"/>
                <w:spacing w:val="-15"/>
                <w:w w:val="100"/>
                <w:sz w:val="20"/>
                <w:szCs w:val="20"/>
              </w:rPr>
              <w:t>会议、第四届</w:t>
            </w:r>
            <w:r>
              <w:rPr>
                <w:rFonts w:ascii="宋体" w:hAnsi="宋体" w:cs="宋体" w:eastAsia="宋体" w:hint="default"/>
                <w:w w:val="100"/>
                <w:sz w:val="20"/>
                <w:szCs w:val="20"/>
              </w:rPr>
              <w:t> </w:t>
            </w:r>
            <w:r>
              <w:rPr>
                <w:rFonts w:ascii="宋体" w:hAnsi="宋体" w:cs="宋体" w:eastAsia="宋体" w:hint="default"/>
                <w:sz w:val="20"/>
                <w:szCs w:val="20"/>
              </w:rPr>
              <w:t>监事会第十</w:t>
            </w:r>
            <w:r>
              <w:rPr>
                <w:rFonts w:ascii="宋体" w:hAnsi="宋体" w:cs="宋体" w:eastAsia="宋体" w:hint="default"/>
                <w:w w:val="100"/>
                <w:sz w:val="20"/>
                <w:szCs w:val="20"/>
              </w:rPr>
              <w:t> </w:t>
            </w:r>
            <w:r>
              <w:rPr>
                <w:rFonts w:ascii="宋体" w:hAnsi="宋体" w:cs="宋体" w:eastAsia="宋体" w:hint="default"/>
                <w:sz w:val="20"/>
                <w:szCs w:val="20"/>
              </w:rPr>
              <w:t>次会议</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780"/>
              <w:jc w:val="left"/>
              <w:rPr>
                <w:rFonts w:ascii="宋体" w:hAnsi="宋体" w:cs="宋体" w:eastAsia="宋体" w:hint="default"/>
                <w:sz w:val="20"/>
                <w:szCs w:val="20"/>
              </w:rPr>
            </w:pPr>
            <w:r>
              <w:rPr>
                <w:rFonts w:ascii="宋体" w:hAnsi="宋体" w:cs="宋体" w:eastAsia="宋体" w:hint="default"/>
                <w:sz w:val="20"/>
                <w:szCs w:val="20"/>
              </w:rPr>
              <w:t>调减“管理费用”本期金额</w:t>
            </w:r>
            <w:r>
              <w:rPr>
                <w:rFonts w:ascii="宋体" w:hAnsi="宋体" w:cs="宋体" w:eastAsia="宋体" w:hint="default"/>
                <w:w w:val="100"/>
                <w:sz w:val="20"/>
                <w:szCs w:val="20"/>
              </w:rPr>
              <w:t> </w:t>
            </w:r>
            <w:r>
              <w:rPr>
                <w:rFonts w:ascii="宋体" w:hAnsi="宋体" w:cs="宋体" w:eastAsia="宋体" w:hint="default"/>
                <w:sz w:val="20"/>
                <w:szCs w:val="20"/>
              </w:rPr>
              <w:t>137,805,965.53</w:t>
            </w:r>
            <w:r>
              <w:rPr>
                <w:rFonts w:ascii="宋体" w:hAnsi="宋体" w:cs="宋体" w:eastAsia="宋体" w:hint="default"/>
                <w:sz w:val="20"/>
                <w:szCs w:val="20"/>
              </w:rPr>
              <w:t>元，上期金额</w:t>
            </w:r>
          </w:p>
          <w:p>
            <w:pPr>
              <w:pStyle w:val="TableParagraph"/>
              <w:spacing w:line="285" w:lineRule="auto" w:before="12"/>
              <w:ind w:left="4" w:right="2"/>
              <w:jc w:val="left"/>
              <w:rPr>
                <w:rFonts w:ascii="宋体" w:hAnsi="宋体" w:cs="宋体" w:eastAsia="宋体" w:hint="default"/>
                <w:sz w:val="20"/>
                <w:szCs w:val="20"/>
              </w:rPr>
            </w:pPr>
            <w:r>
              <w:rPr>
                <w:rFonts w:ascii="宋体" w:hAnsi="宋体" w:cs="宋体" w:eastAsia="宋体" w:hint="default"/>
                <w:spacing w:val="-2"/>
                <w:sz w:val="20"/>
                <w:szCs w:val="20"/>
              </w:rPr>
              <w:t>121,734,113.84</w:t>
            </w:r>
            <w:r>
              <w:rPr>
                <w:rFonts w:ascii="宋体" w:hAnsi="宋体" w:cs="宋体" w:eastAsia="宋体" w:hint="default"/>
                <w:spacing w:val="-2"/>
                <w:sz w:val="20"/>
                <w:szCs w:val="20"/>
              </w:rPr>
              <w:t>元，重分类至“研发费</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用”。</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right="0"/>
        <w:jc w:val="left"/>
        <w:rPr>
          <w:b w:val="0"/>
          <w:bCs w:val="0"/>
        </w:rPr>
      </w:pPr>
      <w:bookmarkStart w:name="七、报告期内发生重大会计差错更正需追溯重述的情况说明" w:id="72"/>
      <w:bookmarkEnd w:id="72"/>
      <w:r>
        <w:rPr>
          <w:b w:val="0"/>
          <w:bCs w:val="0"/>
        </w:rPr>
      </w:r>
      <w:r>
        <w:rPr/>
        <w:t>七、报告期内发生重大会计差错更正需追溯重述的情况说明</w:t>
      </w:r>
      <w:r>
        <w:rPr>
          <w:b w:val="0"/>
          <w:bCs w:val="0"/>
        </w:rPr>
      </w:r>
    </w:p>
    <w:p>
      <w:pPr>
        <w:spacing w:line="240" w:lineRule="auto" w:before="5"/>
        <w:rPr>
          <w:rFonts w:ascii="宋体" w:hAnsi="宋体" w:cs="宋体" w:eastAsia="宋体" w:hint="default"/>
          <w:b/>
          <w:bCs/>
          <w:sz w:val="25"/>
          <w:szCs w:val="25"/>
        </w:rPr>
      </w:pPr>
    </w:p>
    <w:p>
      <w:pPr>
        <w:pStyle w:val="BodyText"/>
        <w:spacing w:line="304" w:lineRule="auto"/>
        <w:ind w:right="49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100"/>
        </w:rPr>
        <w:t> </w:t>
      </w:r>
      <w:r>
        <w:rPr>
          <w:spacing w:val="-1"/>
        </w:rPr>
        <w:t>公司报告期无重大会计差错更正需追溯重述的情况。</w:t>
      </w:r>
    </w:p>
    <w:p>
      <w:pPr>
        <w:spacing w:after="0" w:line="304"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八、与上年度财务报告相比，合并报表范围发生变化的情况说明" w:id="73"/>
      <w:bookmarkEnd w:id="73"/>
      <w:r>
        <w:rPr>
          <w:b w:val="0"/>
          <w:bCs w:val="0"/>
        </w:rPr>
      </w:r>
      <w:r>
        <w:rPr/>
        <w:t>八、与上年度财务报告相比，合并报表范围发生变化的情况说明</w:t>
      </w:r>
      <w:r>
        <w:rPr>
          <w:b w:val="0"/>
          <w:bCs w:val="0"/>
        </w:rPr>
      </w:r>
    </w:p>
    <w:p>
      <w:pPr>
        <w:spacing w:line="240" w:lineRule="auto" w:before="6"/>
        <w:rPr>
          <w:rFonts w:ascii="宋体" w:hAnsi="宋体" w:cs="宋体" w:eastAsia="宋体" w:hint="default"/>
          <w:b/>
          <w:bCs/>
          <w:sz w:val="25"/>
          <w:szCs w:val="25"/>
        </w:rPr>
      </w:pPr>
    </w:p>
    <w:p>
      <w:pPr>
        <w:pStyle w:val="BodyText"/>
        <w:spacing w:line="372" w:lineRule="auto"/>
        <w:ind w:left="553" w:right="1118" w:hanging="4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100"/>
        </w:rPr>
        <w:t> </w:t>
      </w:r>
      <w:r>
        <w:rPr>
          <w:spacing w:val="-2"/>
        </w:rPr>
        <w:t>本年与上年比较减少合并单位</w:t>
      </w:r>
      <w:r>
        <w:rPr>
          <w:rFonts w:ascii="Times New Roman" w:hAnsi="Times New Roman" w:cs="Times New Roman" w:eastAsia="Times New Roman" w:hint="default"/>
          <w:spacing w:val="-2"/>
        </w:rPr>
        <w:t>2</w:t>
      </w:r>
      <w:r>
        <w:rPr>
          <w:spacing w:val="-2"/>
        </w:rPr>
        <w:t>家，报告期内注销了北京中科金财互联网服务有限公司、天津滨河创新电子</w:t>
      </w:r>
    </w:p>
    <w:p>
      <w:pPr>
        <w:pStyle w:val="BodyText"/>
        <w:spacing w:line="240" w:lineRule="auto" w:before="69"/>
        <w:ind w:right="0"/>
        <w:jc w:val="left"/>
      </w:pPr>
      <w:r>
        <w:rPr/>
        <w:t>科技有限公司。</w:t>
      </w:r>
    </w:p>
    <w:p>
      <w:pPr>
        <w:spacing w:line="240" w:lineRule="auto" w:before="0"/>
        <w:rPr>
          <w:rFonts w:ascii="宋体" w:hAnsi="宋体" w:cs="宋体" w:eastAsia="宋体" w:hint="default"/>
          <w:sz w:val="20"/>
          <w:szCs w:val="20"/>
        </w:rPr>
      </w:pPr>
    </w:p>
    <w:p>
      <w:pPr>
        <w:pStyle w:val="Heading2"/>
        <w:spacing w:line="240" w:lineRule="auto" w:before="135"/>
        <w:ind w:right="0"/>
        <w:jc w:val="left"/>
        <w:rPr>
          <w:b w:val="0"/>
          <w:bCs w:val="0"/>
        </w:rPr>
      </w:pPr>
      <w:bookmarkStart w:name="九、聘任、解聘会计师事务所情况" w:id="74"/>
      <w:bookmarkEnd w:id="74"/>
      <w:r>
        <w:rPr>
          <w:b w:val="0"/>
          <w:bCs w:val="0"/>
        </w:rPr>
      </w:r>
      <w:r>
        <w:rPr/>
        <w:t>九、聘任、解聘会计师事务所情况</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t>现聘任的会计师事务所</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94</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张金华、郭晓清</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35"/>
        <w:ind w:right="0"/>
        <w:jc w:val="left"/>
      </w:pPr>
      <w:r>
        <w:rPr/>
        <w:t>当期是否改聘会计师事务所</w:t>
      </w:r>
    </w:p>
    <w:p>
      <w:pPr>
        <w:pStyle w:val="BodyText"/>
        <w:spacing w:line="304" w:lineRule="auto" w:before="91"/>
        <w:ind w:right="493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否</w:t>
      </w:r>
      <w:r>
        <w:rPr>
          <w:w w:val="100"/>
        </w:rPr>
        <w:t> </w:t>
      </w:r>
      <w:r>
        <w:rPr>
          <w:spacing w:val="-1"/>
        </w:rPr>
        <w:t>聘请内部控制审计会计师事务所、财务顾问或保荐人情况</w:t>
      </w:r>
    </w:p>
    <w:p>
      <w:pPr>
        <w:pStyle w:val="BodyText"/>
        <w:spacing w:line="240" w:lineRule="auto" w:before="3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不适用</w:t>
      </w:r>
    </w:p>
    <w:p>
      <w:pPr>
        <w:spacing w:line="240" w:lineRule="auto" w:before="2"/>
        <w:rPr>
          <w:rFonts w:ascii="宋体" w:hAnsi="宋体" w:cs="宋体" w:eastAsia="宋体" w:hint="default"/>
          <w:sz w:val="23"/>
          <w:szCs w:val="23"/>
        </w:rPr>
      </w:pPr>
    </w:p>
    <w:p>
      <w:pPr>
        <w:pStyle w:val="Heading2"/>
        <w:spacing w:line="240" w:lineRule="auto"/>
        <w:ind w:right="0"/>
        <w:jc w:val="left"/>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line="240" w:lineRule="auto" w:before="6"/>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不适用</w:t>
      </w:r>
    </w:p>
    <w:p>
      <w:pPr>
        <w:spacing w:line="240" w:lineRule="auto" w:before="1"/>
        <w:rPr>
          <w:rFonts w:ascii="宋体" w:hAnsi="宋体" w:cs="宋体" w:eastAsia="宋体" w:hint="default"/>
          <w:sz w:val="23"/>
          <w:szCs w:val="23"/>
        </w:rPr>
      </w:pPr>
    </w:p>
    <w:p>
      <w:pPr>
        <w:pStyle w:val="Heading2"/>
        <w:spacing w:line="240" w:lineRule="auto"/>
        <w:ind w:right="0"/>
        <w:jc w:val="left"/>
        <w:rPr>
          <w:b w:val="0"/>
          <w:bCs w:val="0"/>
        </w:rPr>
      </w:pPr>
      <w:bookmarkStart w:name="十一、破产重整相关事项" w:id="76"/>
      <w:bookmarkEnd w:id="76"/>
      <w:r>
        <w:rPr>
          <w:b w:val="0"/>
          <w:bCs w:val="0"/>
        </w:rPr>
      </w:r>
      <w:r>
        <w:rPr/>
        <w:t>十一、破产重整相关事项</w:t>
      </w:r>
      <w:r>
        <w:rPr>
          <w:b w:val="0"/>
          <w:bCs w:val="0"/>
        </w:rPr>
      </w:r>
    </w:p>
    <w:p>
      <w:pPr>
        <w:spacing w:line="240" w:lineRule="auto" w:before="6"/>
        <w:rPr>
          <w:rFonts w:ascii="宋体" w:hAnsi="宋体" w:cs="宋体" w:eastAsia="宋体" w:hint="default"/>
          <w:b/>
          <w:bCs/>
          <w:sz w:val="25"/>
          <w:szCs w:val="25"/>
        </w:rPr>
      </w:pPr>
    </w:p>
    <w:p>
      <w:pPr>
        <w:pStyle w:val="BodyText"/>
        <w:spacing w:line="304" w:lineRule="auto"/>
        <w:ind w:right="72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100"/>
        </w:rPr>
        <w:t> </w:t>
      </w:r>
      <w:r>
        <w:rPr>
          <w:spacing w:val="-1"/>
        </w:rPr>
        <w:t>公司报告期未发生破产重整相关事项。</w:t>
      </w:r>
    </w:p>
    <w:p>
      <w:pPr>
        <w:spacing w:line="240" w:lineRule="auto" w:before="1"/>
        <w:rPr>
          <w:rFonts w:ascii="宋体" w:hAnsi="宋体" w:cs="宋体" w:eastAsia="宋体" w:hint="default"/>
          <w:sz w:val="20"/>
          <w:szCs w:val="20"/>
        </w:rPr>
      </w:pPr>
    </w:p>
    <w:p>
      <w:pPr>
        <w:pStyle w:val="Heading2"/>
        <w:spacing w:line="240" w:lineRule="auto"/>
        <w:ind w:right="0"/>
        <w:jc w:val="left"/>
        <w:rPr>
          <w:b w:val="0"/>
          <w:bCs w:val="0"/>
        </w:rPr>
      </w:pPr>
      <w:bookmarkStart w:name="十二、重大诉讼、仲裁事项" w:id="77"/>
      <w:bookmarkEnd w:id="77"/>
      <w:r>
        <w:rPr>
          <w:b w:val="0"/>
          <w:bCs w:val="0"/>
        </w:rPr>
      </w:r>
      <w:r>
        <w:rPr/>
        <w:t>十二、重大诉讼、仲裁事项</w:t>
      </w:r>
      <w:r>
        <w:rPr>
          <w:b w:val="0"/>
          <w:bCs w:val="0"/>
        </w:rPr>
      </w:r>
    </w:p>
    <w:p>
      <w:pPr>
        <w:spacing w:line="240" w:lineRule="auto" w:before="6"/>
        <w:rPr>
          <w:rFonts w:ascii="宋体" w:hAnsi="宋体" w:cs="宋体" w:eastAsia="宋体" w:hint="default"/>
          <w:b/>
          <w:bCs/>
          <w:sz w:val="25"/>
          <w:szCs w:val="25"/>
        </w:rPr>
      </w:pPr>
    </w:p>
    <w:p>
      <w:pPr>
        <w:pStyle w:val="BodyText"/>
        <w:spacing w:line="304" w:lineRule="auto"/>
        <w:ind w:right="72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100"/>
        </w:rPr>
        <w:t> </w:t>
      </w:r>
      <w:r>
        <w:rPr>
          <w:spacing w:val="-1"/>
        </w:rPr>
        <w:t>本报告期公司无重大诉讼、仲裁事项。</w:t>
      </w:r>
    </w:p>
    <w:p>
      <w:pPr>
        <w:spacing w:line="240" w:lineRule="auto" w:before="2"/>
        <w:rPr>
          <w:rFonts w:ascii="宋体" w:hAnsi="宋体" w:cs="宋体" w:eastAsia="宋体" w:hint="default"/>
          <w:sz w:val="20"/>
          <w:szCs w:val="20"/>
        </w:rPr>
      </w:pPr>
    </w:p>
    <w:p>
      <w:pPr>
        <w:pStyle w:val="Heading2"/>
        <w:spacing w:line="240" w:lineRule="auto"/>
        <w:ind w:right="0"/>
        <w:jc w:val="left"/>
        <w:rPr>
          <w:b w:val="0"/>
          <w:bCs w:val="0"/>
        </w:rPr>
      </w:pPr>
      <w:bookmarkStart w:name="十三、处罚及整改情况" w:id="78"/>
      <w:bookmarkEnd w:id="78"/>
      <w:r>
        <w:rPr>
          <w:b w:val="0"/>
          <w:bCs w:val="0"/>
        </w:rPr>
      </w:r>
      <w:r>
        <w:rPr/>
        <w:t>十三、处罚及整改情况</w:t>
      </w:r>
      <w:r>
        <w:rPr>
          <w:b w:val="0"/>
          <w:bCs w:val="0"/>
        </w:rPr>
      </w:r>
    </w:p>
    <w:p>
      <w:pPr>
        <w:spacing w:line="240" w:lineRule="auto" w:before="4"/>
        <w:rPr>
          <w:rFonts w:ascii="宋体" w:hAnsi="宋体" w:cs="宋体" w:eastAsia="宋体" w:hint="default"/>
          <w:b/>
          <w:bCs/>
          <w:sz w:val="25"/>
          <w:szCs w:val="25"/>
        </w:rPr>
      </w:pPr>
    </w:p>
    <w:p>
      <w:pPr>
        <w:pStyle w:val="BodyText"/>
        <w:spacing w:line="304" w:lineRule="auto"/>
        <w:ind w:right="72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100"/>
        </w:rPr>
        <w:t> </w:t>
      </w:r>
      <w:r>
        <w:rPr>
          <w:spacing w:val="-1"/>
        </w:rPr>
        <w:t>公司报告期不存在处罚及整改情况。</w:t>
      </w:r>
    </w:p>
    <w:p>
      <w:pPr>
        <w:spacing w:line="240" w:lineRule="auto" w:before="1"/>
        <w:rPr>
          <w:rFonts w:ascii="宋体" w:hAnsi="宋体" w:cs="宋体" w:eastAsia="宋体" w:hint="default"/>
          <w:sz w:val="20"/>
          <w:szCs w:val="20"/>
        </w:rPr>
      </w:pPr>
    </w:p>
    <w:p>
      <w:pPr>
        <w:pStyle w:val="Heading2"/>
        <w:spacing w:line="240" w:lineRule="auto"/>
        <w:ind w:right="0"/>
        <w:jc w:val="left"/>
        <w:rPr>
          <w:b w:val="0"/>
          <w:bCs w:val="0"/>
        </w:rPr>
      </w:pPr>
      <w:bookmarkStart w:name="十四、公司及其控股股东、实际控制人的诚信状况" w:id="79"/>
      <w:bookmarkEnd w:id="79"/>
      <w:r>
        <w:rPr>
          <w:b w:val="0"/>
          <w:bCs w:val="0"/>
        </w:rPr>
      </w:r>
      <w:r>
        <w:rPr/>
        <w:t>十四、公司及其控股股东、实际控制人的诚信状况</w:t>
      </w:r>
      <w:r>
        <w:rPr>
          <w:b w:val="0"/>
          <w:bCs w:val="0"/>
        </w:rPr>
      </w:r>
    </w:p>
    <w:p>
      <w:pPr>
        <w:spacing w:line="240" w:lineRule="auto" w:before="6"/>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29" w:lineRule="auto"/>
        <w:ind w:right="0" w:firstLine="399"/>
        <w:jc w:val="left"/>
      </w:pPr>
      <w:r>
        <w:rPr>
          <w:spacing w:val="-1"/>
        </w:rPr>
        <w:t>报告期内，公司及控股股东、实际控制人依法诚信经营，信用状况良好，不存在未履行法院生效判决、所</w:t>
      </w:r>
      <w:r>
        <w:rPr>
          <w:w w:val="100"/>
        </w:rPr>
        <w:t> </w:t>
      </w:r>
      <w:r>
        <w:rPr/>
        <w:t>负数额较大的债务到期未清偿等情况。</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十五、公司股权激励计划、员工持股计划或其他员工激励措施的实施情况" w:id="80"/>
      <w:bookmarkEnd w:id="80"/>
      <w:r>
        <w:rPr>
          <w:b w:val="0"/>
          <w:bCs w:val="0"/>
        </w:rPr>
      </w:r>
      <w:r>
        <w:rPr/>
        <w:t>十五、公司股权激励计划、员工持股计划或其他员工激励措施的实施情况</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不适用</w:t>
      </w:r>
    </w:p>
    <w:p>
      <w:pPr>
        <w:pStyle w:val="BodyText"/>
        <w:spacing w:line="271" w:lineRule="auto" w:before="73"/>
        <w:ind w:right="1127"/>
        <w:jc w:val="left"/>
      </w:pPr>
      <w:r>
        <w:rPr>
          <w:spacing w:val="-3"/>
        </w:rPr>
        <w:t>公司需遵守《深圳证券交易所行业信息披露指引第</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号</w:t>
      </w:r>
      <w:r>
        <w:rPr>
          <w:rFonts w:ascii="Times New Roman" w:hAnsi="Times New Roman" w:cs="Times New Roman" w:eastAsia="Times New Roman" w:hint="default"/>
        </w:rPr>
        <w:t>——</w:t>
      </w:r>
      <w:r>
        <w:rPr/>
        <w:t>上市公司从事软件与信息技术服务业务》的披露要</w:t>
      </w:r>
      <w:r>
        <w:rPr>
          <w:w w:val="100"/>
        </w:rPr>
        <w:t> </w:t>
      </w:r>
      <w:r>
        <w:rPr/>
        <w:t>求</w:t>
      </w:r>
    </w:p>
    <w:p>
      <w:pPr>
        <w:pStyle w:val="BodyText"/>
        <w:spacing w:line="240" w:lineRule="auto" w:before="65"/>
        <w:ind w:right="0"/>
        <w:jc w:val="left"/>
      </w:pPr>
      <w:r>
        <w:rPr/>
        <w:t>公司报告期无股权激励计划、员工持股计划或其他员工激励措施及其实施情况。</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十六、重大关联交易" w:id="81"/>
      <w:bookmarkEnd w:id="81"/>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82"/>
      <w:bookmarkEnd w:id="82"/>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5"/>
        <w:rPr>
          <w:rFonts w:ascii="宋体" w:hAnsi="宋体" w:cs="宋体" w:eastAsia="宋体" w:hint="default"/>
          <w:b/>
          <w:bCs/>
          <w:sz w:val="25"/>
          <w:szCs w:val="25"/>
        </w:rPr>
      </w:pPr>
    </w:p>
    <w:p>
      <w:pPr>
        <w:pStyle w:val="BodyText"/>
        <w:spacing w:line="304" w:lineRule="auto"/>
        <w:ind w:right="62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100"/>
        </w:rPr>
        <w:t> </w:t>
      </w:r>
      <w:r>
        <w:rPr>
          <w:spacing w:val="-1"/>
        </w:rPr>
        <w:t>公司报告期未发生与日常经营相关的关联交易。</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bookmarkStart w:name="2、资产或股权收购、出售发生的关联交易" w:id="83"/>
      <w:bookmarkEnd w:id="83"/>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5"/>
        <w:rPr>
          <w:rFonts w:ascii="宋体" w:hAnsi="宋体" w:cs="宋体" w:eastAsia="宋体" w:hint="default"/>
          <w:b/>
          <w:bCs/>
          <w:sz w:val="25"/>
          <w:szCs w:val="25"/>
        </w:rPr>
      </w:pPr>
    </w:p>
    <w:p>
      <w:pPr>
        <w:pStyle w:val="BodyText"/>
        <w:spacing w:line="304" w:lineRule="auto"/>
        <w:ind w:right="49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100"/>
        </w:rPr>
        <w:t> </w:t>
      </w:r>
      <w:r>
        <w:rPr>
          <w:spacing w:val="-1"/>
        </w:rPr>
        <w:t>公司报告期未发生资产或股权收购、出售的关联交易。</w:t>
      </w:r>
    </w:p>
    <w:p>
      <w:pPr>
        <w:spacing w:line="240" w:lineRule="auto" w:before="11"/>
        <w:rPr>
          <w:rFonts w:ascii="宋体" w:hAnsi="宋体" w:cs="宋体" w:eastAsia="宋体" w:hint="default"/>
          <w:sz w:val="21"/>
          <w:szCs w:val="21"/>
        </w:rPr>
      </w:pPr>
    </w:p>
    <w:p>
      <w:pPr>
        <w:pStyle w:val="Heading3"/>
        <w:spacing w:line="240" w:lineRule="auto"/>
        <w:ind w:right="0"/>
        <w:jc w:val="left"/>
        <w:rPr>
          <w:b w:val="0"/>
          <w:bCs w:val="0"/>
        </w:rPr>
      </w:pPr>
      <w:bookmarkStart w:name="3、共同对外投资的关联交易" w:id="84"/>
      <w:bookmarkEnd w:id="84"/>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6"/>
        <w:rPr>
          <w:rFonts w:ascii="宋体" w:hAnsi="宋体" w:cs="宋体" w:eastAsia="宋体" w:hint="default"/>
          <w:b/>
          <w:bCs/>
          <w:sz w:val="25"/>
          <w:szCs w:val="25"/>
        </w:rPr>
      </w:pPr>
    </w:p>
    <w:p>
      <w:pPr>
        <w:pStyle w:val="BodyText"/>
        <w:spacing w:line="304" w:lineRule="auto"/>
        <w:ind w:right="62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100"/>
        </w:rPr>
        <w:t> </w:t>
      </w:r>
      <w:r>
        <w:rPr>
          <w:spacing w:val="-1"/>
        </w:rPr>
        <w:t>公司报告期未发生共同对外投资的关联交易。</w:t>
      </w:r>
    </w:p>
    <w:p>
      <w:pPr>
        <w:spacing w:line="240" w:lineRule="auto" w:before="11"/>
        <w:rPr>
          <w:rFonts w:ascii="宋体" w:hAnsi="宋体" w:cs="宋体" w:eastAsia="宋体" w:hint="default"/>
          <w:sz w:val="21"/>
          <w:szCs w:val="21"/>
        </w:rPr>
      </w:pPr>
    </w:p>
    <w:p>
      <w:pPr>
        <w:pStyle w:val="Heading3"/>
        <w:spacing w:line="240" w:lineRule="auto"/>
        <w:ind w:right="0"/>
        <w:jc w:val="left"/>
        <w:rPr>
          <w:b w:val="0"/>
          <w:bCs w:val="0"/>
        </w:rPr>
      </w:pPr>
      <w:bookmarkStart w:name="4、关联债权债务往来" w:id="85"/>
      <w:bookmarkEnd w:id="85"/>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6"/>
        <w:rPr>
          <w:rFonts w:ascii="宋体" w:hAnsi="宋体" w:cs="宋体" w:eastAsia="宋体" w:hint="default"/>
          <w:b/>
          <w:bCs/>
          <w:sz w:val="25"/>
          <w:szCs w:val="25"/>
        </w:rPr>
      </w:pPr>
    </w:p>
    <w:p>
      <w:pPr>
        <w:pStyle w:val="BodyText"/>
        <w:spacing w:line="304" w:lineRule="auto"/>
        <w:ind w:right="72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100"/>
        </w:rPr>
        <w:t> </w:t>
      </w:r>
      <w:r>
        <w:rPr>
          <w:spacing w:val="-1"/>
        </w:rPr>
        <w:t>公司报告期不存在关联债权债务往来。</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bookmarkStart w:name="5、其他重大关联交易" w:id="86"/>
      <w:bookmarkEnd w:id="86"/>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6"/>
        <w:rPr>
          <w:rFonts w:ascii="宋体" w:hAnsi="宋体" w:cs="宋体" w:eastAsia="宋体" w:hint="default"/>
          <w:b/>
          <w:bCs/>
          <w:sz w:val="25"/>
          <w:szCs w:val="25"/>
        </w:rPr>
      </w:pPr>
    </w:p>
    <w:p>
      <w:pPr>
        <w:pStyle w:val="BodyText"/>
        <w:spacing w:line="304" w:lineRule="auto"/>
        <w:ind w:right="77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100"/>
        </w:rPr>
        <w:t> </w:t>
      </w:r>
      <w:r>
        <w:rPr>
          <w:spacing w:val="-1"/>
        </w:rPr>
        <w:t>公司报告期无其他重大关联交易。</w:t>
      </w:r>
    </w:p>
    <w:p>
      <w:pPr>
        <w:spacing w:after="0" w:line="304"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r>
        <w:rPr/>
        <w:pict>
          <v:group style="position:absolute;margin-left:143.539993pt;margin-top:587.079956pt;width:43.4pt;height:17.650pt;mso-position-horizontal-relative:page;mso-position-vertical-relative:page;z-index:-1039552" coordorigin="2871,11742" coordsize="868,353">
            <v:shape style="position:absolute;left:2871;top:11742;width:868;height:353" coordorigin="2871,11742" coordsize="868,353" path="m2871,12094l3738,12094,3738,11742,2871,11742,2871,12094xe" filled="true" fillcolor="#ffffff" stroked="false">
              <v:path arrowok="t"/>
              <v:fill type="solid"/>
            </v:shape>
            <w10:wrap type="none"/>
          </v:group>
        </w:pict>
      </w:r>
    </w:p>
    <w:p>
      <w:pPr>
        <w:pStyle w:val="Heading2"/>
        <w:spacing w:line="240" w:lineRule="auto" w:before="26"/>
        <w:ind w:right="0"/>
        <w:jc w:val="left"/>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8"/>
      <w:bookmarkEnd w:id="8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9"/>
      <w:bookmarkEnd w:id="8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5"/>
        <w:rPr>
          <w:rFonts w:ascii="宋体" w:hAnsi="宋体" w:cs="宋体" w:eastAsia="宋体" w:hint="default"/>
          <w:b/>
          <w:bCs/>
          <w:sz w:val="25"/>
          <w:szCs w:val="25"/>
        </w:rPr>
      </w:pPr>
    </w:p>
    <w:p>
      <w:pPr>
        <w:pStyle w:val="BodyText"/>
        <w:spacing w:line="304" w:lineRule="auto"/>
        <w:ind w:right="816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100"/>
        </w:rPr>
        <w:t> </w:t>
      </w:r>
      <w:r>
        <w:rPr>
          <w:spacing w:val="-1"/>
        </w:rPr>
        <w:t>公司报告期不存在托管情况。</w:t>
      </w:r>
    </w:p>
    <w:p>
      <w:pPr>
        <w:spacing w:line="240" w:lineRule="auto" w:before="11"/>
        <w:rPr>
          <w:rFonts w:ascii="宋体" w:hAnsi="宋体" w:cs="宋体" w:eastAsia="宋体" w:hint="default"/>
          <w:sz w:val="21"/>
          <w:szCs w:val="21"/>
        </w:rPr>
      </w:pPr>
    </w:p>
    <w:p>
      <w:pPr>
        <w:pStyle w:val="Heading3"/>
        <w:spacing w:line="240" w:lineRule="auto"/>
        <w:ind w:right="0"/>
        <w:jc w:val="left"/>
        <w:rPr>
          <w:b w:val="0"/>
          <w:bCs w:val="0"/>
        </w:rPr>
      </w:pPr>
      <w:bookmarkStart w:name="（2）承包情况" w:id="90"/>
      <w:bookmarkEnd w:id="9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6"/>
        <w:rPr>
          <w:rFonts w:ascii="宋体" w:hAnsi="宋体" w:cs="宋体" w:eastAsia="宋体" w:hint="default"/>
          <w:b/>
          <w:bCs/>
          <w:sz w:val="25"/>
          <w:szCs w:val="25"/>
        </w:rPr>
      </w:pPr>
    </w:p>
    <w:p>
      <w:pPr>
        <w:pStyle w:val="BodyText"/>
        <w:spacing w:line="304" w:lineRule="auto"/>
        <w:ind w:right="816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100"/>
        </w:rPr>
        <w:t> </w:t>
      </w:r>
      <w:r>
        <w:rPr>
          <w:spacing w:val="-1"/>
        </w:rPr>
        <w:t>公司报告期不存在承包情况。</w:t>
      </w:r>
    </w:p>
    <w:p>
      <w:pPr>
        <w:spacing w:line="240" w:lineRule="auto" w:before="11"/>
        <w:rPr>
          <w:rFonts w:ascii="宋体" w:hAnsi="宋体" w:cs="宋体" w:eastAsia="宋体" w:hint="default"/>
          <w:sz w:val="21"/>
          <w:szCs w:val="21"/>
        </w:rPr>
      </w:pPr>
    </w:p>
    <w:p>
      <w:pPr>
        <w:pStyle w:val="Heading3"/>
        <w:spacing w:line="240" w:lineRule="auto"/>
        <w:ind w:right="0"/>
        <w:jc w:val="left"/>
        <w:rPr>
          <w:b w:val="0"/>
          <w:bCs w:val="0"/>
        </w:rPr>
      </w:pPr>
      <w:bookmarkStart w:name="（3）租赁情况" w:id="91"/>
      <w:bookmarkEnd w:id="9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6"/>
        <w:rPr>
          <w:rFonts w:ascii="宋体" w:hAnsi="宋体" w:cs="宋体" w:eastAsia="宋体" w:hint="default"/>
          <w:b/>
          <w:bCs/>
          <w:sz w:val="25"/>
          <w:szCs w:val="25"/>
        </w:rPr>
      </w:pPr>
    </w:p>
    <w:p>
      <w:pPr>
        <w:pStyle w:val="BodyText"/>
        <w:spacing w:line="304" w:lineRule="auto"/>
        <w:ind w:right="816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100"/>
        </w:rPr>
        <w:t> </w:t>
      </w:r>
      <w:r>
        <w:rPr>
          <w:spacing w:val="-1"/>
        </w:rPr>
        <w:t>公司报告期不存在租赁情况。</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bookmarkStart w:name="2、重大担保" w:id="92"/>
      <w:bookmarkEnd w:id="9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5"/>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12"/>
        <w:rPr>
          <w:rFonts w:ascii="宋体" w:hAnsi="宋体" w:cs="宋体" w:eastAsia="宋体" w:hint="default"/>
          <w:sz w:val="24"/>
          <w:szCs w:val="24"/>
        </w:rPr>
      </w:pPr>
    </w:p>
    <w:p>
      <w:pPr>
        <w:pStyle w:val="Heading3"/>
        <w:spacing w:line="240" w:lineRule="auto"/>
        <w:ind w:right="0"/>
        <w:jc w:val="left"/>
        <w:rPr>
          <w:b w:val="0"/>
          <w:bCs w:val="0"/>
        </w:rPr>
      </w:pPr>
      <w:bookmarkStart w:name="（1）担保情况" w:id="93"/>
      <w:bookmarkEnd w:id="93"/>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pict>
          <v:group style="position:absolute;margin-left:143.539993pt;margin-top:91.071716pt;width:43.4pt;height:17.650pt;mso-position-horizontal-relative:page;mso-position-vertical-relative:paragraph;z-index:-1039576" coordorigin="2871,1821" coordsize="868,353">
            <v:shape style="position:absolute;left:2871;top:1821;width:868;height:353" coordorigin="2871,1821" coordsize="868,353" path="m2871,2174l3738,2174,3738,1821,2871,1821,2871,2174xe" filled="true" fillcolor="#ffffff" stroked="false">
              <v:path arrowok="t"/>
              <v:fill type="solid"/>
            </v:shape>
            <w10:wrap type="none"/>
          </v:group>
        </w:pict>
      </w: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09"/>
        <w:gridCol w:w="917"/>
        <w:gridCol w:w="933"/>
        <w:gridCol w:w="1302"/>
        <w:gridCol w:w="1058"/>
        <w:gridCol w:w="1029"/>
        <w:gridCol w:w="1051"/>
        <w:gridCol w:w="796"/>
        <w:gridCol w:w="780"/>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6" w:right="8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29"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3"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2"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09"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44"/>
              <w:jc w:val="left"/>
              <w:rPr>
                <w:rFonts w:ascii="宋体" w:hAnsi="宋体" w:cs="宋体" w:eastAsia="宋体" w:hint="default"/>
                <w:sz w:val="18"/>
                <w:szCs w:val="18"/>
              </w:rPr>
            </w:pPr>
            <w:r>
              <w:rPr>
                <w:rFonts w:ascii="宋体" w:hAnsi="宋体" w:cs="宋体" w:eastAsia="宋体" w:hint="default"/>
                <w:spacing w:val="-10"/>
                <w:sz w:val="18"/>
                <w:szCs w:val="18"/>
              </w:rPr>
              <w:t>华缔资产管理（北京）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w:t>
            </w:r>
          </w:p>
        </w:tc>
        <w:tc>
          <w:tcPr>
            <w:tcW w:w="91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44"/>
              <w:jc w:val="left"/>
              <w:rPr>
                <w:rFonts w:ascii="宋体" w:hAnsi="宋体" w:cs="宋体" w:eastAsia="宋体" w:hint="default"/>
                <w:sz w:val="18"/>
                <w:szCs w:val="18"/>
              </w:rPr>
            </w:pPr>
            <w:r>
              <w:rPr>
                <w:rFonts w:ascii="宋体" w:hAnsi="宋体" w:cs="宋体" w:eastAsia="宋体" w:hint="default"/>
                <w:spacing w:val="-10"/>
                <w:sz w:val="18"/>
                <w:szCs w:val="18"/>
              </w:rPr>
              <w:t>华缔资产管理（北京）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w:t>
            </w:r>
          </w:p>
        </w:tc>
        <w:tc>
          <w:tcPr>
            <w:tcW w:w="91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8" w:right="23"/>
              <w:jc w:val="left"/>
              <w:rPr>
                <w:rFonts w:ascii="宋体" w:hAnsi="宋体" w:cs="宋体" w:eastAsia="宋体" w:hint="default"/>
                <w:sz w:val="18"/>
                <w:szCs w:val="18"/>
              </w:rPr>
            </w:pPr>
            <w:r>
              <w:rPr>
                <w:rFonts w:ascii="宋体" w:hAnsi="宋体" w:cs="宋体" w:eastAsia="宋体" w:hint="default"/>
                <w:sz w:val="18"/>
                <w:szCs w:val="18"/>
              </w:rPr>
              <w:t>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5"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40,000</w:t>
            </w: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 w:right="77"/>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5"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40,000</w:t>
            </w: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 w:right="77"/>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5"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40,000</w:t>
            </w: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7" w:right="77"/>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609"/>
        <w:gridCol w:w="2235"/>
        <w:gridCol w:w="2087"/>
        <w:gridCol w:w="2633"/>
      </w:tblGrid>
      <w:tr>
        <w:trPr>
          <w:trHeight w:val="714"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5"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40,000</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7"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393" w:hRule="exact"/>
        </w:trPr>
        <w:tc>
          <w:tcPr>
            <w:tcW w:w="95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违规对外担保情况" w:id="94"/>
      <w:bookmarkEnd w:id="94"/>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5"/>
        <w:rPr>
          <w:rFonts w:ascii="宋体" w:hAnsi="宋体" w:cs="宋体" w:eastAsia="宋体" w:hint="default"/>
          <w:b/>
          <w:bCs/>
          <w:sz w:val="25"/>
          <w:szCs w:val="25"/>
        </w:rPr>
      </w:pPr>
    </w:p>
    <w:p>
      <w:pPr>
        <w:pStyle w:val="BodyText"/>
        <w:spacing w:line="304" w:lineRule="auto"/>
        <w:ind w:right="72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100"/>
        </w:rPr>
        <w:t> </w:t>
      </w:r>
      <w:r>
        <w:rPr/>
        <w:t>公司报告期无违规对外担保情况。</w:t>
      </w:r>
    </w:p>
    <w:p>
      <w:pPr>
        <w:spacing w:line="240" w:lineRule="auto" w:before="11"/>
        <w:rPr>
          <w:rFonts w:ascii="宋体" w:hAnsi="宋体" w:cs="宋体" w:eastAsia="宋体" w:hint="default"/>
          <w:sz w:val="21"/>
          <w:szCs w:val="21"/>
        </w:rPr>
      </w:pPr>
    </w:p>
    <w:p>
      <w:pPr>
        <w:pStyle w:val="Heading3"/>
        <w:spacing w:line="240" w:lineRule="auto"/>
        <w:ind w:right="0"/>
        <w:jc w:val="left"/>
        <w:rPr>
          <w:b w:val="0"/>
          <w:bCs w:val="0"/>
        </w:rPr>
      </w:pPr>
      <w:bookmarkStart w:name="3、委托他人进行现金资产管理情况" w:id="95"/>
      <w:bookmarkEnd w:id="95"/>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6"/>
      <w:bookmarkEnd w:id="96"/>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5"/>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7" w:footer="979" w:top="1060" w:bottom="1160" w:left="980" w:right="0"/>
        </w:sectPr>
      </w:pPr>
    </w:p>
    <w:p>
      <w:pPr>
        <w:pStyle w:val="BodyText"/>
        <w:spacing w:line="304" w:lineRule="auto" w:before="38"/>
        <w:ind w:right="-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100"/>
        </w:rPr>
        <w:t> </w:t>
      </w:r>
      <w:r>
        <w:rPr>
          <w:spacing w:val="-1"/>
        </w:rPr>
        <w:t>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156" w:space="6584"/>
            <w:col w:w="219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103,155</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98,630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信托理财产品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47,644.04</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13,604.71</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153,449.04</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112,234.71</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35"/>
        <w:ind w:right="0"/>
        <w:jc w:val="left"/>
      </w:pPr>
      <w:r>
        <w:rPr>
          <w:spacing w:val="-1"/>
        </w:rPr>
        <w:t>单项金额重大或安全性较低、流动性较差、不保本的高风险委托理财具体情况</w:t>
      </w:r>
    </w:p>
    <w:p>
      <w:pPr>
        <w:pStyle w:val="BodyText"/>
        <w:spacing w:line="240" w:lineRule="auto" w:before="9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956" w:space="1784"/>
            <w:col w:w="219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27"/>
      </w:tblGrid>
      <w:tr>
        <w:trPr>
          <w:trHeight w:val="1962" w:hRule="exact"/>
        </w:trPr>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99" w:right="100"/>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6" w:lineRule="auto" w:before="19"/>
              <w:ind w:left="99" w:right="100"/>
              <w:jc w:val="both"/>
              <w:rPr>
                <w:rFonts w:ascii="宋体" w:hAnsi="宋体" w:cs="宋体" w:eastAsia="宋体" w:hint="default"/>
                <w:sz w:val="18"/>
                <w:szCs w:val="18"/>
              </w:rPr>
            </w:pPr>
            <w:r>
              <w:rPr>
                <w:rFonts w:ascii="宋体" w:hAnsi="宋体" w:cs="宋体" w:eastAsia="宋体" w:hint="default"/>
                <w:sz w:val="18"/>
                <w:szCs w:val="18"/>
              </w:rPr>
              <w:t>（或 受托 人姓</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9" w:right="109"/>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9" w:lineRule="auto" w:before="19"/>
              <w:ind w:left="22" w:right="21" w:hanging="2"/>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2"/>
                <w:sz w:val="18"/>
                <w:szCs w:val="18"/>
              </w:rPr>
              <w:t>人）类</w:t>
            </w:r>
            <w:r>
              <w:rPr>
                <w:rFonts w:ascii="宋体" w:hAnsi="宋体" w:cs="宋体" w:eastAsia="宋体" w:hint="default"/>
                <w:sz w:val="18"/>
                <w:szCs w:val="18"/>
              </w:rPr>
              <w:t> 型</w:t>
            </w:r>
          </w:p>
        </w:tc>
        <w:tc>
          <w:tcPr>
            <w:tcW w:w="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07"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94" w:right="95"/>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94" w:right="95"/>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94" w:right="94"/>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94"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4" w:right="95"/>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4"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9" w:lineRule="auto" w:before="19"/>
              <w:ind w:left="184" w:right="95" w:hanging="90"/>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4" w:right="95"/>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4" w:right="94"/>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8" w:right="89"/>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9" w:lineRule="auto" w:before="19"/>
              <w:ind w:left="88" w:right="89"/>
              <w:jc w:val="both"/>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7" w:right="89"/>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7" w:right="8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3" w:right="8" w:firstLine="61"/>
              <w:jc w:val="both"/>
              <w:rPr>
                <w:rFonts w:ascii="宋体" w:hAnsi="宋体" w:cs="宋体" w:eastAsia="宋体" w:hint="default"/>
                <w:sz w:val="18"/>
                <w:szCs w:val="18"/>
              </w:rPr>
            </w:pPr>
            <w:r>
              <w:rPr>
                <w:rFonts w:ascii="宋体" w:hAnsi="宋体" w:cs="宋体" w:eastAsia="宋体" w:hint="default"/>
                <w:sz w:val="18"/>
                <w:szCs w:val="18"/>
              </w:rPr>
              <w:t>事项 概述 及相 关查 询索 </w:t>
            </w:r>
            <w:r>
              <w:rPr>
                <w:rFonts w:ascii="宋体" w:hAnsi="宋体" w:cs="宋体" w:eastAsia="宋体" w:hint="default"/>
                <w:spacing w:val="-20"/>
                <w:sz w:val="18"/>
                <w:szCs w:val="18"/>
              </w:rPr>
              <w:t>引（如</w:t>
            </w:r>
          </w:p>
        </w:tc>
      </w:tr>
    </w:tbl>
    <w:p>
      <w:pPr>
        <w:spacing w:after="0" w:line="316" w:lineRule="auto"/>
        <w:jc w:val="both"/>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362" w:hRule="exact"/>
        </w:trPr>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9" w:right="0"/>
              <w:jc w:val="left"/>
              <w:rPr>
                <w:rFonts w:ascii="宋体" w:hAnsi="宋体" w:cs="宋体" w:eastAsia="宋体" w:hint="default"/>
                <w:sz w:val="18"/>
                <w:szCs w:val="18"/>
              </w:rPr>
            </w:pPr>
            <w:r>
              <w:rPr>
                <w:rFonts w:ascii="宋体" w:hAnsi="宋体" w:cs="宋体" w:eastAsia="宋体" w:hint="default"/>
                <w:sz w:val="18"/>
                <w:szCs w:val="18"/>
              </w:rPr>
              <w:t>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85" w:right="0"/>
              <w:jc w:val="left"/>
              <w:rPr>
                <w:rFonts w:ascii="宋体" w:hAnsi="宋体" w:cs="宋体" w:eastAsia="宋体" w:hint="default"/>
                <w:sz w:val="18"/>
                <w:szCs w:val="18"/>
              </w:rPr>
            </w:pPr>
            <w:r>
              <w:rPr>
                <w:rFonts w:ascii="宋体" w:hAnsi="宋体" w:cs="宋体" w:eastAsia="宋体" w:hint="default"/>
                <w:sz w:val="18"/>
                <w:szCs w:val="18"/>
              </w:rPr>
              <w:t>有）</w:t>
            </w: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197"/>
              <w:jc w:val="left"/>
              <w:rPr>
                <w:rFonts w:ascii="宋体" w:hAnsi="宋体" w:cs="宋体" w:eastAsia="宋体" w:hint="default"/>
                <w:sz w:val="18"/>
                <w:szCs w:val="18"/>
              </w:rPr>
            </w:pPr>
            <w:r>
              <w:rPr>
                <w:rFonts w:ascii="宋体" w:hAnsi="宋体" w:cs="宋体" w:eastAsia="宋体" w:hint="default"/>
                <w:sz w:val="18"/>
                <w:szCs w:val="18"/>
              </w:rPr>
              <w:t>商业 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10,000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167"/>
              <w:jc w:val="left"/>
              <w:rPr>
                <w:rFonts w:ascii="宋体" w:hAnsi="宋体" w:cs="宋体" w:eastAsia="宋体" w:hint="default"/>
                <w:sz w:val="18"/>
                <w:szCs w:val="18"/>
              </w:rPr>
            </w:pPr>
            <w:r>
              <w:rPr>
                <w:rFonts w:ascii="宋体" w:hAnsi="宋体" w:cs="宋体" w:eastAsia="宋体" w:hint="default"/>
                <w:sz w:val="18"/>
                <w:szCs w:val="18"/>
              </w:rPr>
              <w:t>银行 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3" w:right="0"/>
              <w:jc w:val="left"/>
              <w:rPr>
                <w:rFonts w:ascii="Times New Roman" w:hAnsi="Times New Roman" w:cs="Times New Roman" w:eastAsia="Times New Roman" w:hint="default"/>
                <w:sz w:val="18"/>
                <w:szCs w:val="18"/>
              </w:rPr>
            </w:pPr>
            <w:r>
              <w:rPr>
                <w:rFonts w:ascii="Times New Roman"/>
                <w:sz w:val="18"/>
              </w:rPr>
              <w:t>4.30%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106.03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62" w:lineRule="auto" w:before="59"/>
              <w:ind w:left="23" w:right="42"/>
              <w:jc w:val="both"/>
              <w:rPr>
                <w:rFonts w:ascii="Times New Roman" w:hAnsi="Times New Roman" w:cs="Times New Roman" w:eastAsia="Times New Roman" w:hint="default"/>
                <w:sz w:val="18"/>
                <w:szCs w:val="18"/>
              </w:rPr>
            </w:pPr>
            <w:r>
              <w:rPr>
                <w:rFonts w:ascii="Times New Roman"/>
                <w:sz w:val="18"/>
              </w:rPr>
              <w:t>http:// </w:t>
            </w:r>
            <w:hyperlink r:id="rId12">
              <w:r>
                <w:rPr>
                  <w:rFonts w:ascii="Times New Roman"/>
                  <w:spacing w:val="-4"/>
                  <w:sz w:val="18"/>
                </w:rPr>
                <w:t>www.</w:t>
              </w:r>
            </w:hyperlink>
            <w:r>
              <w:rPr>
                <w:rFonts w:ascii="Times New Roman"/>
                <w:sz w:val="18"/>
              </w:rPr>
              <w:t> cninfo</w:t>
            </w:r>
          </w:p>
          <w:p>
            <w:pPr>
              <w:pStyle w:val="TableParagraph"/>
              <w:spacing w:line="362" w:lineRule="auto" w:before="3"/>
              <w:ind w:left="23" w:right="22"/>
              <w:jc w:val="both"/>
              <w:rPr>
                <w:rFonts w:ascii="Times New Roman" w:hAnsi="Times New Roman" w:cs="Times New Roman" w:eastAsia="Times New Roman" w:hint="default"/>
                <w:sz w:val="18"/>
                <w:szCs w:val="18"/>
              </w:rPr>
            </w:pPr>
            <w:r>
              <w:rPr>
                <w:rFonts w:ascii="Times New Roman"/>
                <w:sz w:val="18"/>
              </w:rPr>
              <w:t>.com.c n</w:t>
            </w: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77"/>
              <w:jc w:val="both"/>
              <w:rPr>
                <w:rFonts w:ascii="宋体" w:hAnsi="宋体" w:cs="宋体" w:eastAsia="宋体" w:hint="default"/>
                <w:sz w:val="18"/>
                <w:szCs w:val="18"/>
              </w:rPr>
            </w:pPr>
            <w:r>
              <w:rPr>
                <w:rFonts w:ascii="宋体" w:hAnsi="宋体" w:cs="宋体" w:eastAsia="宋体" w:hint="default"/>
                <w:sz w:val="18"/>
                <w:szCs w:val="18"/>
              </w:rPr>
              <w:t>华夏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97"/>
              <w:jc w:val="left"/>
              <w:rPr>
                <w:rFonts w:ascii="宋体" w:hAnsi="宋体" w:cs="宋体" w:eastAsia="宋体" w:hint="default"/>
                <w:sz w:val="18"/>
                <w:szCs w:val="18"/>
              </w:rPr>
            </w:pPr>
            <w:r>
              <w:rPr>
                <w:rFonts w:ascii="宋体" w:hAnsi="宋体" w:cs="宋体" w:eastAsia="宋体" w:hint="default"/>
                <w:sz w:val="18"/>
                <w:szCs w:val="18"/>
              </w:rPr>
              <w:t>商业 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非保本 浮动收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10,000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银行 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3" w:right="0"/>
              <w:jc w:val="left"/>
              <w:rPr>
                <w:rFonts w:ascii="Times New Roman" w:hAnsi="Times New Roman" w:cs="Times New Roman" w:eastAsia="Times New Roman" w:hint="default"/>
                <w:sz w:val="18"/>
                <w:szCs w:val="18"/>
              </w:rPr>
            </w:pPr>
            <w:r>
              <w:rPr>
                <w:rFonts w:ascii="Times New Roman"/>
                <w:sz w:val="18"/>
              </w:rPr>
              <w:t>4.40%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90.85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62" w:lineRule="auto" w:before="58"/>
              <w:ind w:left="23" w:right="42"/>
              <w:jc w:val="both"/>
              <w:rPr>
                <w:rFonts w:ascii="Times New Roman" w:hAnsi="Times New Roman" w:cs="Times New Roman" w:eastAsia="Times New Roman" w:hint="default"/>
                <w:sz w:val="18"/>
                <w:szCs w:val="18"/>
              </w:rPr>
            </w:pPr>
            <w:r>
              <w:rPr>
                <w:rFonts w:ascii="Times New Roman"/>
                <w:sz w:val="18"/>
              </w:rPr>
              <w:t>http:// </w:t>
            </w:r>
            <w:hyperlink r:id="rId12">
              <w:r>
                <w:rPr>
                  <w:rFonts w:ascii="Times New Roman"/>
                  <w:spacing w:val="-4"/>
                  <w:sz w:val="18"/>
                </w:rPr>
                <w:t>www.</w:t>
              </w:r>
            </w:hyperlink>
            <w:r>
              <w:rPr>
                <w:rFonts w:ascii="Times New Roman"/>
                <w:sz w:val="18"/>
              </w:rPr>
              <w:t> cninfo</w:t>
            </w:r>
          </w:p>
          <w:p>
            <w:pPr>
              <w:pStyle w:val="TableParagraph"/>
              <w:spacing w:line="362" w:lineRule="auto" w:before="3"/>
              <w:ind w:left="23" w:right="22"/>
              <w:jc w:val="both"/>
              <w:rPr>
                <w:rFonts w:ascii="Times New Roman" w:hAnsi="Times New Roman" w:cs="Times New Roman" w:eastAsia="Times New Roman" w:hint="default"/>
                <w:sz w:val="18"/>
                <w:szCs w:val="18"/>
              </w:rPr>
            </w:pPr>
            <w:r>
              <w:rPr>
                <w:rFonts w:ascii="Times New Roman"/>
                <w:sz w:val="18"/>
              </w:rPr>
              <w:t>.com.c n</w:t>
            </w: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77"/>
              <w:jc w:val="both"/>
              <w:rPr>
                <w:rFonts w:ascii="宋体" w:hAnsi="宋体" w:cs="宋体" w:eastAsia="宋体" w:hint="default"/>
                <w:sz w:val="18"/>
                <w:szCs w:val="18"/>
              </w:rPr>
            </w:pPr>
            <w:r>
              <w:rPr>
                <w:rFonts w:ascii="宋体" w:hAnsi="宋体" w:cs="宋体" w:eastAsia="宋体" w:hint="default"/>
                <w:sz w:val="18"/>
                <w:szCs w:val="18"/>
              </w:rPr>
              <w:t>厦门 国际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197"/>
              <w:jc w:val="left"/>
              <w:rPr>
                <w:rFonts w:ascii="宋体" w:hAnsi="宋体" w:cs="宋体" w:eastAsia="宋体" w:hint="default"/>
                <w:sz w:val="18"/>
                <w:szCs w:val="18"/>
              </w:rPr>
            </w:pPr>
            <w:r>
              <w:rPr>
                <w:rFonts w:ascii="宋体" w:hAnsi="宋体" w:cs="宋体" w:eastAsia="宋体" w:hint="default"/>
                <w:sz w:val="18"/>
                <w:szCs w:val="18"/>
              </w:rPr>
              <w:t>商业 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8,000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银行 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3" w:right="0"/>
              <w:jc w:val="left"/>
              <w:rPr>
                <w:rFonts w:ascii="Times New Roman" w:hAnsi="Times New Roman" w:cs="Times New Roman" w:eastAsia="Times New Roman" w:hint="default"/>
                <w:sz w:val="18"/>
                <w:szCs w:val="18"/>
              </w:rPr>
            </w:pPr>
            <w:r>
              <w:rPr>
                <w:rFonts w:ascii="Times New Roman"/>
                <w:sz w:val="18"/>
              </w:rPr>
              <w:t>4.10%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85.64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62" w:lineRule="auto" w:before="58"/>
              <w:ind w:left="23" w:right="42"/>
              <w:jc w:val="both"/>
              <w:rPr>
                <w:rFonts w:ascii="Times New Roman" w:hAnsi="Times New Roman" w:cs="Times New Roman" w:eastAsia="Times New Roman" w:hint="default"/>
                <w:sz w:val="18"/>
                <w:szCs w:val="18"/>
              </w:rPr>
            </w:pPr>
            <w:r>
              <w:rPr>
                <w:rFonts w:ascii="Times New Roman"/>
                <w:sz w:val="18"/>
              </w:rPr>
              <w:t>http:// </w:t>
            </w:r>
            <w:hyperlink r:id="rId12">
              <w:r>
                <w:rPr>
                  <w:rFonts w:ascii="Times New Roman"/>
                  <w:spacing w:val="-4"/>
                  <w:sz w:val="18"/>
                </w:rPr>
                <w:t>www.</w:t>
              </w:r>
            </w:hyperlink>
            <w:r>
              <w:rPr>
                <w:rFonts w:ascii="Times New Roman"/>
                <w:sz w:val="18"/>
              </w:rPr>
              <w:t> cninfo</w:t>
            </w:r>
          </w:p>
          <w:p>
            <w:pPr>
              <w:pStyle w:val="TableParagraph"/>
              <w:spacing w:line="362" w:lineRule="auto" w:before="3"/>
              <w:ind w:left="23" w:right="22"/>
              <w:jc w:val="both"/>
              <w:rPr>
                <w:rFonts w:ascii="Times New Roman" w:hAnsi="Times New Roman" w:cs="Times New Roman" w:eastAsia="Times New Roman" w:hint="default"/>
                <w:sz w:val="18"/>
                <w:szCs w:val="18"/>
              </w:rPr>
            </w:pPr>
            <w:r>
              <w:rPr>
                <w:rFonts w:ascii="Times New Roman"/>
                <w:sz w:val="18"/>
              </w:rPr>
              <w:t>.com.c n</w:t>
            </w: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77"/>
              <w:jc w:val="both"/>
              <w:rPr>
                <w:rFonts w:ascii="宋体" w:hAnsi="宋体" w:cs="宋体" w:eastAsia="宋体" w:hint="default"/>
                <w:sz w:val="18"/>
                <w:szCs w:val="18"/>
              </w:rPr>
            </w:pPr>
            <w:r>
              <w:rPr>
                <w:rFonts w:ascii="宋体" w:hAnsi="宋体" w:cs="宋体" w:eastAsia="宋体" w:hint="default"/>
                <w:sz w:val="18"/>
                <w:szCs w:val="18"/>
              </w:rPr>
              <w:t>厦门 国际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97"/>
              <w:jc w:val="left"/>
              <w:rPr>
                <w:rFonts w:ascii="宋体" w:hAnsi="宋体" w:cs="宋体" w:eastAsia="宋体" w:hint="default"/>
                <w:sz w:val="18"/>
                <w:szCs w:val="18"/>
              </w:rPr>
            </w:pPr>
            <w:r>
              <w:rPr>
                <w:rFonts w:ascii="宋体" w:hAnsi="宋体" w:cs="宋体" w:eastAsia="宋体" w:hint="default"/>
                <w:sz w:val="18"/>
                <w:szCs w:val="18"/>
              </w:rPr>
              <w:t>商业 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8,000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银行 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3" w:right="0"/>
              <w:jc w:val="left"/>
              <w:rPr>
                <w:rFonts w:ascii="Times New Roman" w:hAnsi="Times New Roman" w:cs="Times New Roman" w:eastAsia="Times New Roman" w:hint="default"/>
                <w:sz w:val="18"/>
                <w:szCs w:val="18"/>
              </w:rPr>
            </w:pPr>
            <w:r>
              <w:rPr>
                <w:rFonts w:ascii="Times New Roman"/>
                <w:sz w:val="18"/>
              </w:rPr>
              <w:t>4.10%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84.47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62" w:lineRule="auto" w:before="58"/>
              <w:ind w:left="23" w:right="42"/>
              <w:jc w:val="both"/>
              <w:rPr>
                <w:rFonts w:ascii="Times New Roman" w:hAnsi="Times New Roman" w:cs="Times New Roman" w:eastAsia="Times New Roman" w:hint="default"/>
                <w:sz w:val="18"/>
                <w:szCs w:val="18"/>
              </w:rPr>
            </w:pPr>
            <w:r>
              <w:rPr>
                <w:rFonts w:ascii="Times New Roman"/>
                <w:sz w:val="18"/>
              </w:rPr>
              <w:t>http:// </w:t>
            </w:r>
            <w:hyperlink r:id="rId12">
              <w:r>
                <w:rPr>
                  <w:rFonts w:ascii="Times New Roman"/>
                  <w:spacing w:val="-4"/>
                  <w:sz w:val="18"/>
                </w:rPr>
                <w:t>www.</w:t>
              </w:r>
            </w:hyperlink>
            <w:r>
              <w:rPr>
                <w:rFonts w:ascii="Times New Roman"/>
                <w:sz w:val="18"/>
              </w:rPr>
              <w:t> cninfo</w:t>
            </w:r>
          </w:p>
          <w:p>
            <w:pPr>
              <w:pStyle w:val="TableParagraph"/>
              <w:spacing w:line="362" w:lineRule="auto" w:before="3"/>
              <w:ind w:left="23" w:right="22"/>
              <w:jc w:val="both"/>
              <w:rPr>
                <w:rFonts w:ascii="Times New Roman" w:hAnsi="Times New Roman" w:cs="Times New Roman" w:eastAsia="Times New Roman" w:hint="default"/>
                <w:sz w:val="18"/>
                <w:szCs w:val="18"/>
              </w:rPr>
            </w:pPr>
            <w:r>
              <w:rPr>
                <w:rFonts w:ascii="Times New Roman"/>
                <w:sz w:val="18"/>
              </w:rPr>
              <w:t>.com.c n</w:t>
            </w: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股份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97"/>
              <w:jc w:val="left"/>
              <w:rPr>
                <w:rFonts w:ascii="宋体" w:hAnsi="宋体" w:cs="宋体" w:eastAsia="宋体" w:hint="default"/>
                <w:sz w:val="18"/>
                <w:szCs w:val="18"/>
              </w:rPr>
            </w:pPr>
            <w:r>
              <w:rPr>
                <w:rFonts w:ascii="宋体" w:hAnsi="宋体" w:cs="宋体" w:eastAsia="宋体" w:hint="default"/>
                <w:sz w:val="18"/>
                <w:szCs w:val="18"/>
              </w:rPr>
              <w:t>商业 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7,000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银行 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3" w:right="0"/>
              <w:jc w:val="left"/>
              <w:rPr>
                <w:rFonts w:ascii="Times New Roman" w:hAnsi="Times New Roman" w:cs="Times New Roman" w:eastAsia="Times New Roman" w:hint="default"/>
                <w:sz w:val="18"/>
                <w:szCs w:val="18"/>
              </w:rPr>
            </w:pPr>
            <w:r>
              <w:rPr>
                <w:rFonts w:ascii="Times New Roman"/>
                <w:sz w:val="18"/>
              </w:rPr>
              <w:t>3.45%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26.85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62" w:lineRule="auto" w:before="58"/>
              <w:ind w:left="23" w:right="42"/>
              <w:jc w:val="both"/>
              <w:rPr>
                <w:rFonts w:ascii="Times New Roman" w:hAnsi="Times New Roman" w:cs="Times New Roman" w:eastAsia="Times New Roman" w:hint="default"/>
                <w:sz w:val="18"/>
                <w:szCs w:val="18"/>
              </w:rPr>
            </w:pPr>
            <w:r>
              <w:rPr>
                <w:rFonts w:ascii="Times New Roman"/>
                <w:sz w:val="18"/>
              </w:rPr>
              <w:t>http:// </w:t>
            </w:r>
            <w:hyperlink r:id="rId12">
              <w:r>
                <w:rPr>
                  <w:rFonts w:ascii="Times New Roman"/>
                  <w:spacing w:val="-4"/>
                  <w:sz w:val="18"/>
                </w:rPr>
                <w:t>www.</w:t>
              </w:r>
            </w:hyperlink>
            <w:r>
              <w:rPr>
                <w:rFonts w:ascii="Times New Roman"/>
                <w:sz w:val="18"/>
              </w:rPr>
              <w:t> cninfo</w:t>
            </w:r>
          </w:p>
          <w:p>
            <w:pPr>
              <w:pStyle w:val="TableParagraph"/>
              <w:spacing w:line="362" w:lineRule="auto" w:before="3"/>
              <w:ind w:left="23" w:right="22"/>
              <w:jc w:val="both"/>
              <w:rPr>
                <w:rFonts w:ascii="Times New Roman" w:hAnsi="Times New Roman" w:cs="Times New Roman" w:eastAsia="Times New Roman" w:hint="default"/>
                <w:sz w:val="18"/>
                <w:szCs w:val="18"/>
              </w:rPr>
            </w:pPr>
            <w:r>
              <w:rPr>
                <w:rFonts w:ascii="Times New Roman"/>
                <w:sz w:val="18"/>
              </w:rPr>
              <w:t>.com.c n</w:t>
            </w:r>
          </w:p>
        </w:tc>
      </w:tr>
      <w:tr>
        <w:trPr>
          <w:trHeight w:val="40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保本浮</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募集</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到期</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4.10%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74.94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巨潮</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223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7"/>
              <w:jc w:val="both"/>
              <w:rPr>
                <w:rFonts w:ascii="宋体" w:hAnsi="宋体" w:cs="宋体" w:eastAsia="宋体" w:hint="default"/>
                <w:sz w:val="18"/>
                <w:szCs w:val="18"/>
              </w:rPr>
            </w:pPr>
            <w:r>
              <w:rPr>
                <w:rFonts w:ascii="宋体" w:hAnsi="宋体" w:cs="宋体" w:eastAsia="宋体" w:hint="default"/>
                <w:sz w:val="18"/>
                <w:szCs w:val="18"/>
              </w:rPr>
              <w:t>国际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31"/>
              <w:jc w:val="left"/>
              <w:rPr>
                <w:rFonts w:ascii="宋体" w:hAnsi="宋体" w:cs="宋体" w:eastAsia="宋体" w:hint="default"/>
                <w:sz w:val="18"/>
                <w:szCs w:val="18"/>
              </w:rPr>
            </w:pPr>
            <w:r>
              <w:rPr>
                <w:rFonts w:ascii="宋体" w:hAnsi="宋体" w:cs="宋体" w:eastAsia="宋体" w:hint="default"/>
                <w:sz w:val="18"/>
                <w:szCs w:val="18"/>
              </w:rPr>
              <w:t>动收益 型</w:t>
            </w: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67"/>
              <w:jc w:val="right"/>
              <w:rPr>
                <w:rFonts w:ascii="宋体" w:hAnsi="宋体" w:cs="宋体" w:eastAsia="宋体" w:hint="default"/>
                <w:sz w:val="18"/>
                <w:szCs w:val="18"/>
              </w:rPr>
            </w:pP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67"/>
              <w:jc w:val="righ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7"/>
              <w:jc w:val="both"/>
              <w:rPr>
                <w:rFonts w:ascii="宋体" w:hAnsi="宋体" w:cs="宋体" w:eastAsia="宋体" w:hint="default"/>
                <w:sz w:val="18"/>
                <w:szCs w:val="18"/>
              </w:rPr>
            </w:pPr>
            <w:r>
              <w:rPr>
                <w:rFonts w:ascii="宋体" w:hAnsi="宋体" w:cs="宋体" w:eastAsia="宋体" w:hint="default"/>
                <w:sz w:val="18"/>
                <w:szCs w:val="18"/>
              </w:rPr>
              <w:t>一次 还本 付息</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10"/>
              <w:ind w:left="23"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资讯 网 </w:t>
            </w:r>
            <w:r>
              <w:rPr>
                <w:rFonts w:ascii="Times New Roman" w:hAnsi="Times New Roman" w:cs="Times New Roman" w:eastAsia="Times New Roman" w:hint="default"/>
                <w:sz w:val="18"/>
                <w:szCs w:val="18"/>
              </w:rPr>
              <w:t>http://</w:t>
            </w:r>
          </w:p>
          <w:p>
            <w:pPr>
              <w:pStyle w:val="TableParagraph"/>
              <w:spacing w:line="362" w:lineRule="auto" w:before="23"/>
              <w:ind w:left="23" w:right="42"/>
              <w:jc w:val="left"/>
              <w:rPr>
                <w:rFonts w:ascii="Times New Roman" w:hAnsi="Times New Roman" w:cs="Times New Roman" w:eastAsia="Times New Roman" w:hint="default"/>
                <w:sz w:val="18"/>
                <w:szCs w:val="18"/>
              </w:rPr>
            </w:pPr>
            <w:hyperlink r:id="rId12">
              <w:r>
                <w:rPr>
                  <w:rFonts w:ascii="Times New Roman"/>
                  <w:spacing w:val="-4"/>
                  <w:sz w:val="18"/>
                </w:rPr>
                <w:t>www.</w:t>
              </w:r>
            </w:hyperlink>
            <w:r>
              <w:rPr>
                <w:rFonts w:ascii="Times New Roman"/>
                <w:sz w:val="18"/>
              </w:rPr>
              <w:t> cninfo</w:t>
            </w:r>
          </w:p>
          <w:p>
            <w:pPr>
              <w:pStyle w:val="TableParagraph"/>
              <w:spacing w:line="362" w:lineRule="auto" w:before="3"/>
              <w:ind w:left="23" w:right="22"/>
              <w:jc w:val="left"/>
              <w:rPr>
                <w:rFonts w:ascii="Times New Roman" w:hAnsi="Times New Roman" w:cs="Times New Roman" w:eastAsia="Times New Roman" w:hint="default"/>
                <w:sz w:val="18"/>
                <w:szCs w:val="18"/>
              </w:rPr>
            </w:pPr>
            <w:r>
              <w:rPr>
                <w:rFonts w:ascii="Times New Roman"/>
                <w:sz w:val="18"/>
              </w:rPr>
              <w:t>.com.c n</w:t>
            </w: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77"/>
              <w:jc w:val="both"/>
              <w:rPr>
                <w:rFonts w:ascii="宋体" w:hAnsi="宋体" w:cs="宋体" w:eastAsia="宋体" w:hint="default"/>
                <w:sz w:val="18"/>
                <w:szCs w:val="18"/>
              </w:rPr>
            </w:pPr>
            <w:r>
              <w:rPr>
                <w:rFonts w:ascii="宋体" w:hAnsi="宋体" w:cs="宋体" w:eastAsia="宋体" w:hint="default"/>
                <w:sz w:val="18"/>
                <w:szCs w:val="18"/>
              </w:rPr>
              <w:t>华夏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97"/>
              <w:jc w:val="left"/>
              <w:rPr>
                <w:rFonts w:ascii="宋体" w:hAnsi="宋体" w:cs="宋体" w:eastAsia="宋体" w:hint="default"/>
                <w:sz w:val="18"/>
                <w:szCs w:val="18"/>
              </w:rPr>
            </w:pPr>
            <w:r>
              <w:rPr>
                <w:rFonts w:ascii="宋体" w:hAnsi="宋体" w:cs="宋体" w:eastAsia="宋体" w:hint="default"/>
                <w:sz w:val="18"/>
                <w:szCs w:val="18"/>
              </w:rPr>
              <w:t>商业 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非保本 浮动收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6,000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银行 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40" w:right="0"/>
              <w:jc w:val="center"/>
              <w:rPr>
                <w:rFonts w:ascii="Times New Roman" w:hAnsi="Times New Roman" w:cs="Times New Roman" w:eastAsia="Times New Roman" w:hint="default"/>
                <w:sz w:val="18"/>
                <w:szCs w:val="18"/>
              </w:rPr>
            </w:pPr>
            <w:r>
              <w:rPr>
                <w:rFonts w:ascii="Times New Roman"/>
                <w:sz w:val="18"/>
              </w:rPr>
              <w:t>4.40%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26.28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62" w:lineRule="auto" w:before="58"/>
              <w:ind w:left="23" w:right="42"/>
              <w:jc w:val="both"/>
              <w:rPr>
                <w:rFonts w:ascii="Times New Roman" w:hAnsi="Times New Roman" w:cs="Times New Roman" w:eastAsia="Times New Roman" w:hint="default"/>
                <w:sz w:val="18"/>
                <w:szCs w:val="18"/>
              </w:rPr>
            </w:pPr>
            <w:r>
              <w:rPr>
                <w:rFonts w:ascii="Times New Roman"/>
                <w:sz w:val="18"/>
              </w:rPr>
              <w:t>http:// </w:t>
            </w:r>
            <w:hyperlink r:id="rId12">
              <w:r>
                <w:rPr>
                  <w:rFonts w:ascii="Times New Roman"/>
                  <w:spacing w:val="-4"/>
                  <w:sz w:val="18"/>
                </w:rPr>
                <w:t>www.</w:t>
              </w:r>
            </w:hyperlink>
            <w:r>
              <w:rPr>
                <w:rFonts w:ascii="Times New Roman"/>
                <w:sz w:val="18"/>
              </w:rPr>
              <w:t> cninfo</w:t>
            </w:r>
          </w:p>
          <w:p>
            <w:pPr>
              <w:pStyle w:val="TableParagraph"/>
              <w:spacing w:line="362" w:lineRule="auto" w:before="3"/>
              <w:ind w:left="23" w:right="22"/>
              <w:jc w:val="both"/>
              <w:rPr>
                <w:rFonts w:ascii="Times New Roman" w:hAnsi="Times New Roman" w:cs="Times New Roman" w:eastAsia="Times New Roman" w:hint="default"/>
                <w:sz w:val="18"/>
                <w:szCs w:val="18"/>
              </w:rPr>
            </w:pPr>
            <w:r>
              <w:rPr>
                <w:rFonts w:ascii="Times New Roman"/>
                <w:sz w:val="18"/>
              </w:rPr>
              <w:t>.com.c n</w:t>
            </w: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77"/>
              <w:jc w:val="both"/>
              <w:rPr>
                <w:rFonts w:ascii="宋体" w:hAnsi="宋体" w:cs="宋体" w:eastAsia="宋体" w:hint="default"/>
                <w:sz w:val="18"/>
                <w:szCs w:val="18"/>
              </w:rPr>
            </w:pPr>
            <w:r>
              <w:rPr>
                <w:rFonts w:ascii="宋体" w:hAnsi="宋体" w:cs="宋体" w:eastAsia="宋体" w:hint="default"/>
                <w:sz w:val="18"/>
                <w:szCs w:val="18"/>
              </w:rPr>
              <w:t>兴业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97"/>
              <w:jc w:val="left"/>
              <w:rPr>
                <w:rFonts w:ascii="宋体" w:hAnsi="宋体" w:cs="宋体" w:eastAsia="宋体" w:hint="default"/>
                <w:sz w:val="18"/>
                <w:szCs w:val="18"/>
              </w:rPr>
            </w:pPr>
            <w:r>
              <w:rPr>
                <w:rFonts w:ascii="宋体" w:hAnsi="宋体" w:cs="宋体" w:eastAsia="宋体" w:hint="default"/>
                <w:sz w:val="18"/>
                <w:szCs w:val="18"/>
              </w:rPr>
              <w:t>商业 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非保本 浮动收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银行 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40" w:right="0"/>
              <w:jc w:val="center"/>
              <w:rPr>
                <w:rFonts w:ascii="Times New Roman" w:hAnsi="Times New Roman" w:cs="Times New Roman" w:eastAsia="Times New Roman" w:hint="default"/>
                <w:sz w:val="18"/>
                <w:szCs w:val="18"/>
              </w:rPr>
            </w:pPr>
            <w:r>
              <w:rPr>
                <w:rFonts w:ascii="Times New Roman"/>
                <w:sz w:val="18"/>
              </w:rPr>
              <w:t>3.61%</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62.26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62" w:lineRule="auto" w:before="58"/>
              <w:ind w:left="23" w:right="42"/>
              <w:jc w:val="both"/>
              <w:rPr>
                <w:rFonts w:ascii="Times New Roman" w:hAnsi="Times New Roman" w:cs="Times New Roman" w:eastAsia="Times New Roman" w:hint="default"/>
                <w:sz w:val="18"/>
                <w:szCs w:val="18"/>
              </w:rPr>
            </w:pPr>
            <w:r>
              <w:rPr>
                <w:rFonts w:ascii="Times New Roman"/>
                <w:sz w:val="18"/>
              </w:rPr>
              <w:t>http:// </w:t>
            </w:r>
            <w:hyperlink r:id="rId12">
              <w:r>
                <w:rPr>
                  <w:rFonts w:ascii="Times New Roman"/>
                  <w:spacing w:val="-4"/>
                  <w:sz w:val="18"/>
                </w:rPr>
                <w:t>www.</w:t>
              </w:r>
            </w:hyperlink>
            <w:r>
              <w:rPr>
                <w:rFonts w:ascii="Times New Roman"/>
                <w:sz w:val="18"/>
              </w:rPr>
              <w:t> cninfo</w:t>
            </w:r>
          </w:p>
          <w:p>
            <w:pPr>
              <w:pStyle w:val="TableParagraph"/>
              <w:spacing w:line="364" w:lineRule="auto" w:before="3"/>
              <w:ind w:left="23" w:right="22"/>
              <w:jc w:val="both"/>
              <w:rPr>
                <w:rFonts w:ascii="Times New Roman" w:hAnsi="Times New Roman" w:cs="Times New Roman" w:eastAsia="Times New Roman" w:hint="default"/>
                <w:sz w:val="18"/>
                <w:szCs w:val="18"/>
              </w:rPr>
            </w:pPr>
            <w:r>
              <w:rPr>
                <w:rFonts w:ascii="Times New Roman"/>
                <w:sz w:val="18"/>
              </w:rPr>
              <w:t>.com.c n</w:t>
            </w: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77"/>
              <w:jc w:val="both"/>
              <w:rPr>
                <w:rFonts w:ascii="宋体" w:hAnsi="宋体" w:cs="宋体" w:eastAsia="宋体" w:hint="default"/>
                <w:sz w:val="18"/>
                <w:szCs w:val="18"/>
              </w:rPr>
            </w:pPr>
            <w:r>
              <w:rPr>
                <w:rFonts w:ascii="宋体" w:hAnsi="宋体" w:cs="宋体" w:eastAsia="宋体" w:hint="default"/>
                <w:sz w:val="18"/>
                <w:szCs w:val="18"/>
              </w:rPr>
              <w:t>渤海 国际 信托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97"/>
              <w:jc w:val="left"/>
              <w:rPr>
                <w:rFonts w:ascii="宋体" w:hAnsi="宋体" w:cs="宋体" w:eastAsia="宋体" w:hint="default"/>
                <w:sz w:val="18"/>
                <w:szCs w:val="18"/>
              </w:rPr>
            </w:pPr>
            <w:r>
              <w:rPr>
                <w:rFonts w:ascii="宋体" w:hAnsi="宋体" w:cs="宋体" w:eastAsia="宋体" w:hint="default"/>
                <w:sz w:val="18"/>
                <w:szCs w:val="18"/>
              </w:rPr>
              <w:t>信托 公司</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优先级 浮动收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13,604</w:t>
            </w:r>
          </w:p>
          <w:p>
            <w:pPr>
              <w:pStyle w:val="TableParagraph"/>
              <w:spacing w:line="240" w:lineRule="auto" w:before="105"/>
              <w:ind w:left="317" w:right="0"/>
              <w:jc w:val="left"/>
              <w:rPr>
                <w:rFonts w:ascii="Times New Roman" w:hAnsi="Times New Roman" w:cs="Times New Roman" w:eastAsia="Times New Roman" w:hint="default"/>
                <w:sz w:val="18"/>
                <w:szCs w:val="18"/>
              </w:rPr>
            </w:pPr>
            <w:r>
              <w:rPr>
                <w:rFonts w:ascii="Times New Roman"/>
                <w:sz w:val="18"/>
              </w:rPr>
              <w:t>.71</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信托 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both"/>
              <w:rPr>
                <w:rFonts w:ascii="宋体" w:hAnsi="宋体" w:cs="宋体" w:eastAsia="宋体" w:hint="default"/>
                <w:sz w:val="18"/>
                <w:szCs w:val="18"/>
              </w:rPr>
            </w:pPr>
            <w:r>
              <w:rPr>
                <w:rFonts w:ascii="宋体" w:hAnsi="宋体" w:cs="宋体" w:eastAsia="宋体" w:hint="default"/>
                <w:sz w:val="18"/>
                <w:szCs w:val="18"/>
              </w:rPr>
              <w:t>每月 偿还 部分 本金 及利 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40" w:right="0"/>
              <w:jc w:val="center"/>
              <w:rPr>
                <w:rFonts w:ascii="Times New Roman" w:hAnsi="Times New Roman" w:cs="Times New Roman" w:eastAsia="Times New Roman" w:hint="default"/>
                <w:sz w:val="18"/>
                <w:szCs w:val="18"/>
              </w:rPr>
            </w:pPr>
            <w:r>
              <w:rPr>
                <w:rFonts w:ascii="Times New Roman"/>
                <w:sz w:val="18"/>
              </w:rPr>
              <w:t>6.50%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62" w:lineRule="auto" w:before="58"/>
              <w:ind w:left="23" w:right="42"/>
              <w:jc w:val="both"/>
              <w:rPr>
                <w:rFonts w:ascii="Times New Roman" w:hAnsi="Times New Roman" w:cs="Times New Roman" w:eastAsia="Times New Roman" w:hint="default"/>
                <w:sz w:val="18"/>
                <w:szCs w:val="18"/>
              </w:rPr>
            </w:pPr>
            <w:r>
              <w:rPr>
                <w:rFonts w:ascii="Times New Roman"/>
                <w:sz w:val="18"/>
              </w:rPr>
              <w:t>http:// </w:t>
            </w:r>
            <w:hyperlink r:id="rId12">
              <w:r>
                <w:rPr>
                  <w:rFonts w:ascii="Times New Roman"/>
                  <w:spacing w:val="-4"/>
                  <w:sz w:val="18"/>
                </w:rPr>
                <w:t>www.</w:t>
              </w:r>
            </w:hyperlink>
            <w:r>
              <w:rPr>
                <w:rFonts w:ascii="Times New Roman"/>
                <w:sz w:val="18"/>
              </w:rPr>
              <w:t> cninfo</w:t>
            </w:r>
          </w:p>
          <w:p>
            <w:pPr>
              <w:pStyle w:val="TableParagraph"/>
              <w:spacing w:line="362" w:lineRule="auto" w:before="3"/>
              <w:ind w:left="23" w:right="22"/>
              <w:jc w:val="both"/>
              <w:rPr>
                <w:rFonts w:ascii="Times New Roman" w:hAnsi="Times New Roman" w:cs="Times New Roman" w:eastAsia="Times New Roman" w:hint="default"/>
                <w:sz w:val="18"/>
                <w:szCs w:val="18"/>
              </w:rPr>
            </w:pPr>
            <w:r>
              <w:rPr>
                <w:rFonts w:ascii="Times New Roman"/>
                <w:sz w:val="18"/>
              </w:rPr>
              <w:t>.com.c n</w:t>
            </w:r>
          </w:p>
        </w:tc>
      </w:tr>
      <w:tr>
        <w:trPr>
          <w:trHeight w:val="714" w:hRule="exact"/>
        </w:trPr>
        <w:tc>
          <w:tcPr>
            <w:tcW w:w="17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74,604</w:t>
            </w:r>
          </w:p>
          <w:p>
            <w:pPr>
              <w:pStyle w:val="TableParagraph"/>
              <w:spacing w:line="240" w:lineRule="auto" w:before="105"/>
              <w:ind w:left="317" w:right="0"/>
              <w:jc w:val="left"/>
              <w:rPr>
                <w:rFonts w:ascii="Times New Roman" w:hAnsi="Times New Roman" w:cs="Times New Roman" w:eastAsia="Times New Roman" w:hint="default"/>
                <w:sz w:val="18"/>
                <w:szCs w:val="18"/>
              </w:rPr>
            </w:pPr>
            <w:r>
              <w:rPr>
                <w:rFonts w:ascii="Times New Roman"/>
                <w:sz w:val="18"/>
              </w:rPr>
              <w:t>.71</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5"/>
              <w:jc w:val="right"/>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5"/>
              <w:jc w:val="right"/>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557.32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35"/>
        <w:ind w:right="0"/>
        <w:jc w:val="left"/>
      </w:pPr>
      <w:r>
        <w:rPr/>
        <w:t>委托理财出现预期无法收回本金或存在其他可能导致减值的情形</w:t>
      </w:r>
    </w:p>
    <w:p>
      <w:pPr>
        <w:pStyle w:val="BodyText"/>
        <w:spacing w:line="240" w:lineRule="auto" w:before="9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不适用</w:t>
      </w:r>
    </w:p>
    <w:p>
      <w:pPr>
        <w:spacing w:line="240" w:lineRule="auto" w:before="11"/>
        <w:rPr>
          <w:rFonts w:ascii="宋体" w:hAnsi="宋体" w:cs="宋体" w:eastAsia="宋体" w:hint="default"/>
          <w:sz w:val="24"/>
          <w:szCs w:val="24"/>
        </w:rPr>
      </w:pPr>
    </w:p>
    <w:p>
      <w:pPr>
        <w:pStyle w:val="Heading3"/>
        <w:spacing w:line="240" w:lineRule="auto"/>
        <w:ind w:right="0"/>
        <w:jc w:val="left"/>
        <w:rPr>
          <w:b w:val="0"/>
          <w:bCs w:val="0"/>
        </w:rPr>
      </w:pPr>
      <w:bookmarkStart w:name="（2）委托贷款情况" w:id="97"/>
      <w:bookmarkEnd w:id="97"/>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6"/>
        <w:rPr>
          <w:rFonts w:ascii="宋体" w:hAnsi="宋体" w:cs="宋体" w:eastAsia="宋体" w:hint="default"/>
          <w:b/>
          <w:bCs/>
          <w:sz w:val="25"/>
          <w:szCs w:val="25"/>
        </w:rPr>
      </w:pPr>
    </w:p>
    <w:p>
      <w:pPr>
        <w:pStyle w:val="BodyText"/>
        <w:spacing w:line="304" w:lineRule="auto"/>
        <w:ind w:right="816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100"/>
        </w:rPr>
        <w:t> </w:t>
      </w:r>
      <w:r>
        <w:rPr>
          <w:spacing w:val="-1"/>
        </w:rPr>
        <w:t>公司报告期不存在委托贷款。</w:t>
      </w:r>
    </w:p>
    <w:p>
      <w:pPr>
        <w:spacing w:after="0" w:line="304"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both"/>
        <w:rPr>
          <w:b w:val="0"/>
          <w:bCs w:val="0"/>
        </w:rPr>
      </w:pPr>
      <w:bookmarkStart w:name="4、其他重大合同" w:id="98"/>
      <w:bookmarkEnd w:id="98"/>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6"/>
        <w:rPr>
          <w:rFonts w:ascii="宋体" w:hAnsi="宋体" w:cs="宋体" w:eastAsia="宋体" w:hint="default"/>
          <w:b/>
          <w:bCs/>
          <w:sz w:val="25"/>
          <w:szCs w:val="25"/>
        </w:rPr>
      </w:pPr>
    </w:p>
    <w:p>
      <w:pPr>
        <w:pStyle w:val="BodyText"/>
        <w:spacing w:line="304" w:lineRule="auto"/>
        <w:ind w:right="77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100"/>
        </w:rPr>
        <w:t> </w:t>
      </w:r>
      <w:r>
        <w:rPr>
          <w:spacing w:val="-1"/>
        </w:rPr>
        <w:t>公司报告期不存在其他重大合同。</w:t>
      </w:r>
    </w:p>
    <w:p>
      <w:pPr>
        <w:spacing w:line="240" w:lineRule="auto" w:before="3"/>
        <w:rPr>
          <w:rFonts w:ascii="宋体" w:hAnsi="宋体" w:cs="宋体" w:eastAsia="宋体" w:hint="default"/>
          <w:sz w:val="20"/>
          <w:szCs w:val="20"/>
        </w:rPr>
      </w:pPr>
    </w:p>
    <w:p>
      <w:pPr>
        <w:pStyle w:val="Heading2"/>
        <w:spacing w:line="240" w:lineRule="auto"/>
        <w:ind w:right="0"/>
        <w:jc w:val="both"/>
        <w:rPr>
          <w:b w:val="0"/>
          <w:bCs w:val="0"/>
        </w:rPr>
      </w:pPr>
      <w:bookmarkStart w:name="十八、社会责任情况" w:id="99"/>
      <w:bookmarkEnd w:id="99"/>
      <w:r>
        <w:rPr>
          <w:b w:val="0"/>
          <w:bCs w:val="0"/>
        </w:rPr>
      </w:r>
      <w:r>
        <w:rPr/>
        <w:t>十八、社会责任情况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履行社会责任情况" w:id="100"/>
      <w:bookmarkEnd w:id="100"/>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4"/>
        <w:rPr>
          <w:rFonts w:ascii="宋体" w:hAnsi="宋体" w:cs="宋体" w:eastAsia="宋体" w:hint="default"/>
          <w:b/>
          <w:bCs/>
          <w:sz w:val="31"/>
          <w:szCs w:val="31"/>
        </w:rPr>
      </w:pPr>
    </w:p>
    <w:p>
      <w:pPr>
        <w:pStyle w:val="BodyText"/>
        <w:spacing w:line="405" w:lineRule="auto"/>
        <w:ind w:right="1168" w:firstLine="399"/>
        <w:jc w:val="both"/>
      </w:pPr>
      <w:r>
        <w:rPr>
          <w:spacing w:val="-1"/>
        </w:rPr>
        <w:t>作为上市公司，公司在努力做好各项业务的同时，对履行社会责任有了更进一步的要求。</w:t>
      </w:r>
      <w:r>
        <w:rPr>
          <w:rFonts w:ascii="Times New Roman" w:hAnsi="Times New Roman" w:cs="Times New Roman" w:eastAsia="Times New Roman" w:hint="default"/>
          <w:spacing w:val="-1"/>
        </w:rPr>
        <w:t>2018</w:t>
      </w:r>
      <w:r>
        <w:rPr>
          <w:spacing w:val="-1"/>
        </w:rPr>
        <w:t>年，公司在</w:t>
      </w:r>
      <w:r>
        <w:rPr>
          <w:w w:val="100"/>
        </w:rPr>
        <w:t> </w:t>
      </w:r>
      <w:r>
        <w:rPr/>
        <w:t>保障股东权益、维护员工权益等方面取得了良好的进展，具体如下：</w:t>
      </w:r>
    </w:p>
    <w:p>
      <w:pPr>
        <w:pStyle w:val="BodyText"/>
        <w:spacing w:line="429" w:lineRule="auto" w:before="68"/>
        <w:ind w:left="553" w:right="0"/>
        <w:jc w:val="left"/>
      </w:pPr>
      <w:r>
        <w:rPr/>
        <w:t>（一）股东与债权人的权益保护</w:t>
      </w:r>
      <w:r>
        <w:rPr>
          <w:w w:val="100"/>
        </w:rPr>
        <w:t> </w:t>
      </w:r>
      <w:r>
        <w:rPr>
          <w:spacing w:val="-1"/>
        </w:rPr>
        <w:t>公司严格按照《公司法》、《证券法》、《上市公司治理准则》等法律法规要求，不断完善公司治理，制</w:t>
      </w:r>
    </w:p>
    <w:p>
      <w:pPr>
        <w:pStyle w:val="BodyText"/>
        <w:spacing w:line="429" w:lineRule="auto" w:before="48"/>
        <w:ind w:right="1169"/>
        <w:jc w:val="both"/>
      </w:pPr>
      <w:r>
        <w:rPr>
          <w:spacing w:val="-1"/>
        </w:rPr>
        <w:t>定了《股东大会议事规则》、《董事会议事规则》、《监事会议事规则》、《对外投资管理制度》、《关联交</w:t>
      </w:r>
      <w:r>
        <w:rPr>
          <w:spacing w:val="-63"/>
        </w:rPr>
        <w:t> </w:t>
      </w:r>
      <w:r>
        <w:rPr>
          <w:spacing w:val="-63"/>
        </w:rPr>
      </w:r>
      <w:r>
        <w:rPr>
          <w:spacing w:val="-1"/>
        </w:rPr>
        <w:t>易决策制度》等制度，建立了以《公司章程》为基础的内控体系，以股东大会、董事会、监事会及管理层为主</w:t>
      </w:r>
      <w:r>
        <w:rPr>
          <w:spacing w:val="-63"/>
        </w:rPr>
        <w:t> </w:t>
      </w:r>
      <w:r>
        <w:rPr>
          <w:spacing w:val="-63"/>
        </w:rPr>
      </w:r>
      <w:r>
        <w:rPr/>
        <w:t>的决策与经营体系，从制度上切实保障全体股东及债权人的权益。</w:t>
      </w:r>
    </w:p>
    <w:p>
      <w:pPr>
        <w:pStyle w:val="BodyText"/>
        <w:spacing w:line="429" w:lineRule="auto" w:before="48"/>
        <w:ind w:right="1168" w:firstLine="399"/>
        <w:jc w:val="both"/>
      </w:pPr>
      <w:r>
        <w:rPr>
          <w:spacing w:val="-1"/>
        </w:rPr>
        <w:t>公司自成立以来，一直努力确保公司发展的持续性、成长性和竞争力，依法经营，稳步推进公司业务，逐</w:t>
      </w:r>
      <w:r>
        <w:rPr>
          <w:w w:val="100"/>
        </w:rPr>
        <w:t> </w:t>
      </w:r>
      <w:r>
        <w:rPr>
          <w:spacing w:val="-1"/>
        </w:rPr>
        <w:t>步巩固和深化在金融机构、企业、政府等行业客户中的市场领先地位，本着诚信勤勉、尽职守责的原则，努力</w:t>
      </w:r>
      <w:r>
        <w:rPr>
          <w:spacing w:val="-63"/>
        </w:rPr>
        <w:t> </w:t>
      </w:r>
      <w:r>
        <w:rPr>
          <w:spacing w:val="-63"/>
        </w:rPr>
      </w:r>
      <w:r>
        <w:rPr/>
        <w:t>经营，规范运作，努力实现资产、所有者权益和营业总收入的稳定增长，为投资者创造稳定的回报。</w:t>
      </w:r>
    </w:p>
    <w:p>
      <w:pPr>
        <w:pStyle w:val="BodyText"/>
        <w:spacing w:line="240" w:lineRule="auto" w:before="48"/>
        <w:ind w:left="553" w:right="0"/>
        <w:jc w:val="left"/>
      </w:pPr>
      <w:r>
        <w:rPr/>
        <w:t>在保护股东权益方面，</w:t>
      </w:r>
      <w:r>
        <w:rPr>
          <w:rFonts w:ascii="Times New Roman" w:hAnsi="Times New Roman" w:cs="Times New Roman" w:eastAsia="Times New Roman" w:hint="default"/>
        </w:rPr>
        <w:t>2018</w:t>
      </w:r>
      <w:r>
        <w:rPr/>
        <w:t>年公司召开了两次股东大会，大会的召集、召开、表决程序均合法有效，符合</w:t>
      </w:r>
    </w:p>
    <w:p>
      <w:pPr>
        <w:spacing w:line="240" w:lineRule="auto" w:before="8"/>
        <w:rPr>
          <w:rFonts w:ascii="宋体" w:hAnsi="宋体" w:cs="宋体" w:eastAsia="宋体" w:hint="default"/>
          <w:sz w:val="14"/>
          <w:szCs w:val="14"/>
        </w:rPr>
      </w:pPr>
    </w:p>
    <w:p>
      <w:pPr>
        <w:pStyle w:val="BodyText"/>
        <w:spacing w:line="422" w:lineRule="auto"/>
        <w:ind w:right="1168"/>
        <w:jc w:val="both"/>
      </w:pPr>
      <w:r>
        <w:rPr>
          <w:spacing w:val="-1"/>
        </w:rPr>
        <w:t>《公司章程》及《股东大会议事规则》的规定，确保了股东对公司重大事项的知情权、参与权和表决权。信息</w:t>
      </w:r>
      <w:r>
        <w:rPr>
          <w:spacing w:val="-63"/>
        </w:rPr>
        <w:t> </w:t>
      </w:r>
      <w:r>
        <w:rPr>
          <w:spacing w:val="-63"/>
        </w:rPr>
      </w:r>
      <w:r>
        <w:rPr>
          <w:spacing w:val="-1"/>
        </w:rPr>
        <w:t>披露方面，公司严格按照深圳证券交易所《股票上市规则》及《规范运作指引》的要求开展工作，所有达到信</w:t>
      </w:r>
      <w:r>
        <w:rPr>
          <w:spacing w:val="-63"/>
        </w:rPr>
        <w:t> </w:t>
      </w:r>
      <w:r>
        <w:rPr>
          <w:spacing w:val="-63"/>
        </w:rPr>
      </w:r>
      <w:r>
        <w:rPr>
          <w:spacing w:val="-1"/>
        </w:rPr>
        <w:t>息披露标准的事项公司均进行了公告，不存在应披露而未披露的信息。与此同时，公司积极开展与投资者的沟</w:t>
      </w:r>
      <w:r>
        <w:rPr>
          <w:spacing w:val="-63"/>
        </w:rPr>
        <w:t> </w:t>
      </w:r>
      <w:r>
        <w:rPr>
          <w:spacing w:val="-63"/>
        </w:rPr>
      </w:r>
      <w:r>
        <w:rPr>
          <w:spacing w:val="-1"/>
        </w:rPr>
        <w:t>通交流工作，</w:t>
      </w:r>
      <w:r>
        <w:rPr>
          <w:rFonts w:ascii="Times New Roman" w:hAnsi="Times New Roman" w:cs="Times New Roman" w:eastAsia="Times New Roman" w:hint="default"/>
          <w:spacing w:val="-1"/>
        </w:rPr>
        <w:t>2018</w:t>
      </w:r>
      <w:r>
        <w:rPr>
          <w:spacing w:val="-1"/>
        </w:rPr>
        <w:t>年通过电话交流、投资者互动平台等方式，搭建了与投资者沟通的桥梁，增进了投资者对公</w:t>
      </w:r>
      <w:r>
        <w:rPr>
          <w:spacing w:val="-60"/>
        </w:rPr>
        <w:t> </w:t>
      </w:r>
      <w:r>
        <w:rPr>
          <w:spacing w:val="-60"/>
        </w:rPr>
      </w:r>
      <w:r>
        <w:rPr/>
        <w:t>司价值的了解。</w:t>
      </w:r>
    </w:p>
    <w:p>
      <w:pPr>
        <w:pStyle w:val="BodyText"/>
        <w:spacing w:line="405" w:lineRule="auto" w:before="54"/>
        <w:ind w:right="1168" w:firstLine="399"/>
        <w:jc w:val="both"/>
      </w:pPr>
      <w:r>
        <w:rPr>
          <w:spacing w:val="-1"/>
        </w:rPr>
        <w:t>在保护债权人权益方面，</w:t>
      </w:r>
      <w:r>
        <w:rPr>
          <w:rFonts w:ascii="Times New Roman" w:hAnsi="Times New Roman" w:cs="Times New Roman" w:eastAsia="Times New Roman" w:hint="default"/>
          <w:spacing w:val="-1"/>
        </w:rPr>
        <w:t>2018</w:t>
      </w:r>
      <w:r>
        <w:rPr>
          <w:spacing w:val="-1"/>
        </w:rPr>
        <w:t>年公司按时足额兑付了</w:t>
      </w:r>
      <w:r>
        <w:rPr>
          <w:rFonts w:ascii="Times New Roman" w:hAnsi="Times New Roman" w:cs="Times New Roman" w:eastAsia="Times New Roman" w:hint="default"/>
          <w:spacing w:val="-1"/>
        </w:rPr>
        <w:t>2012</w:t>
      </w:r>
      <w:r>
        <w:rPr>
          <w:spacing w:val="-1"/>
        </w:rPr>
        <w:t>年中财债，不存在拖欠债务的行为，妥善维护了</w:t>
      </w:r>
      <w:r>
        <w:rPr>
          <w:w w:val="100"/>
        </w:rPr>
        <w:t> </w:t>
      </w:r>
      <w:r>
        <w:rPr/>
        <w:t>债权人合法权益。</w:t>
      </w:r>
    </w:p>
    <w:p>
      <w:pPr>
        <w:pStyle w:val="BodyText"/>
        <w:spacing w:line="429" w:lineRule="auto" w:before="68"/>
        <w:ind w:left="553" w:right="0"/>
        <w:jc w:val="left"/>
      </w:pPr>
      <w:r>
        <w:rPr/>
        <w:t>（二）与供应商和客户精诚合作</w:t>
      </w:r>
      <w:r>
        <w:rPr>
          <w:w w:val="100"/>
        </w:rPr>
        <w:t> </w:t>
      </w:r>
      <w:r>
        <w:rPr>
          <w:spacing w:val="-1"/>
        </w:rPr>
        <w:t>公司相关商品和服务的采购，均严格选择在工商部门登记注册、合法纳税并具备与所采购规模相匹配的生</w:t>
      </w:r>
    </w:p>
    <w:p>
      <w:pPr>
        <w:pStyle w:val="BodyText"/>
        <w:spacing w:line="429" w:lineRule="auto" w:before="48"/>
        <w:ind w:left="553" w:right="0" w:hanging="400"/>
        <w:jc w:val="left"/>
      </w:pPr>
      <w:r>
        <w:rPr/>
        <w:t>产服务能力的供应商，合法签订合同，实行互惠共赢，确保企业产品、服务的质量信誉与消费者安全。</w:t>
      </w:r>
      <w:r>
        <w:rPr>
          <w:w w:val="100"/>
        </w:rPr>
        <w:t> </w:t>
      </w:r>
      <w:r>
        <w:rPr>
          <w:spacing w:val="-1"/>
        </w:rPr>
        <w:t>为了提高客户满意度，公司不断提高公司产品、服务的质量及研发水平，获得了计算机软件著作权证书，</w:t>
      </w:r>
    </w:p>
    <w:p>
      <w:pPr>
        <w:pStyle w:val="BodyText"/>
        <w:spacing w:line="405" w:lineRule="auto" w:before="48"/>
        <w:ind w:right="0"/>
        <w:jc w:val="left"/>
      </w:pPr>
      <w:r>
        <w:rPr/>
        <w:t>并拥有包括实用新型专利、计算机信息系统集成一级资质、</w:t>
      </w:r>
      <w:r>
        <w:rPr>
          <w:rFonts w:ascii="Times New Roman" w:hAnsi="Times New Roman" w:cs="Times New Roman" w:eastAsia="Times New Roman" w:hint="default"/>
        </w:rPr>
        <w:t>ISO27001</w:t>
      </w:r>
      <w:r>
        <w:rPr/>
        <w:t>信息安全管理体系认证、</w:t>
      </w:r>
      <w:r>
        <w:rPr>
          <w:rFonts w:ascii="Times New Roman" w:hAnsi="Times New Roman" w:cs="Times New Roman" w:eastAsia="Times New Roman" w:hint="default"/>
        </w:rPr>
        <w:t>ISO9001:2008</w:t>
      </w:r>
      <w:r>
        <w:rPr/>
        <w:t>质</w:t>
      </w:r>
      <w:r>
        <w:rPr>
          <w:w w:val="100"/>
        </w:rPr>
        <w:t> </w:t>
      </w:r>
      <w:r>
        <w:rPr>
          <w:spacing w:val="-3"/>
        </w:rPr>
        <w:t>量管理体系认证、银行</w:t>
      </w:r>
      <w:r>
        <w:rPr>
          <w:rFonts w:ascii="Times New Roman" w:hAnsi="Times New Roman" w:cs="Times New Roman" w:eastAsia="Times New Roman" w:hint="default"/>
          <w:spacing w:val="-3"/>
        </w:rPr>
        <w:t>AAA</w:t>
      </w:r>
      <w:r>
        <w:rPr>
          <w:spacing w:val="-3"/>
        </w:rPr>
        <w:t>级信用证书等各种资质，为客户提供优质的产品及服务，并不断提高公司行业声誉。</w:t>
      </w:r>
    </w:p>
    <w:p>
      <w:pPr>
        <w:spacing w:after="0" w:line="405"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29" w:lineRule="auto"/>
        <w:ind w:left="553" w:right="0"/>
        <w:jc w:val="left"/>
      </w:pPr>
      <w:r>
        <w:rPr/>
        <w:t>（三）重视员工权益和个人发展</w:t>
      </w:r>
      <w:r>
        <w:rPr>
          <w:w w:val="100"/>
        </w:rPr>
        <w:t> </w:t>
      </w:r>
      <w:r>
        <w:rPr>
          <w:spacing w:val="-2"/>
        </w:rPr>
        <w:t>公司始终视人才为公司最重要的战略资源，是公司核心的生产要素。近年来在公司建立并推行了</w:t>
      </w:r>
      <w:r>
        <w:rPr>
          <w:rFonts w:ascii="Times New Roman" w:hAnsi="Times New Roman" w:cs="Times New Roman" w:eastAsia="Times New Roman" w:hint="default"/>
          <w:spacing w:val="-2"/>
        </w:rPr>
        <w:t>“</w:t>
      </w:r>
      <w:r>
        <w:rPr>
          <w:spacing w:val="-2"/>
        </w:rPr>
        <w:t>中科金财</w:t>
      </w:r>
    </w:p>
    <w:p>
      <w:pPr>
        <w:pStyle w:val="BodyText"/>
        <w:spacing w:line="424" w:lineRule="auto" w:before="16"/>
        <w:ind w:right="1130"/>
        <w:jc w:val="both"/>
      </w:pPr>
      <w:r>
        <w:rPr>
          <w:spacing w:val="-2"/>
        </w:rPr>
        <w:t>多层级合伙人经营责任制</w:t>
      </w:r>
      <w:r>
        <w:rPr>
          <w:rFonts w:ascii="Times New Roman" w:hAnsi="Times New Roman" w:cs="Times New Roman" w:eastAsia="Times New Roman" w:hint="default"/>
          <w:spacing w:val="-2"/>
        </w:rPr>
        <w:t>”</w:t>
      </w:r>
      <w:r>
        <w:rPr>
          <w:spacing w:val="-2"/>
        </w:rPr>
        <w:t>，将公司划分为独立经营单元，通过建立与市场直接联系的独立核算制进行运营，调</w:t>
      </w:r>
      <w:r>
        <w:rPr>
          <w:spacing w:val="-65"/>
        </w:rPr>
        <w:t> </w:t>
      </w:r>
      <w:r>
        <w:rPr>
          <w:spacing w:val="-65"/>
        </w:rPr>
      </w:r>
      <w:r>
        <w:rPr/>
        <w:t>动员工参与经营管理，从而实现全员参与的经营模式。中科金财多层级合伙人经营责任制注重发现及培养经营</w:t>
      </w:r>
      <w:r>
        <w:rPr>
          <w:w w:val="100"/>
        </w:rPr>
        <w:t> </w:t>
      </w:r>
      <w:r>
        <w:rPr/>
        <w:t>人才，强调以客户为中心、全局观及组织协同性，打破了传统企业部门间的隔阂，有效调动员工参与经营管理</w:t>
      </w:r>
      <w:r>
        <w:rPr>
          <w:w w:val="100"/>
        </w:rPr>
        <w:t> </w:t>
      </w:r>
      <w:r>
        <w:rPr/>
        <w:t>的自主性和积极性，极大提升了员工的经营热情及主人翁意识。在实际经营过程中各经营单元体现出极强的经</w:t>
      </w:r>
      <w:r>
        <w:rPr>
          <w:w w:val="100"/>
        </w:rPr>
        <w:t> </w:t>
      </w:r>
      <w:r>
        <w:rPr/>
        <w:t>营智慧与合作意识，大大降低了沟通成本、交易成本、营销成本及运营成本，操作风险大幅降低，劳动生产率</w:t>
      </w:r>
      <w:r>
        <w:rPr>
          <w:w w:val="100"/>
        </w:rPr>
        <w:t> </w:t>
      </w:r>
      <w:r>
        <w:rPr/>
        <w:t>大幅提高，同时吸引了大量的各领域精英加盟中科金财。</w:t>
      </w:r>
    </w:p>
    <w:p>
      <w:pPr>
        <w:pStyle w:val="BodyText"/>
        <w:spacing w:line="422" w:lineRule="auto" w:before="52"/>
        <w:ind w:right="1130" w:firstLine="399"/>
        <w:jc w:val="both"/>
      </w:pPr>
      <w:r>
        <w:rPr/>
        <w:t>公司一直非常注重提高员工的个人能力，通过各种培训及讲座提高员工业务能力和管理水平。</w:t>
      </w:r>
      <w:r>
        <w:rPr>
          <w:spacing w:val="-65"/>
        </w:rPr>
        <w:t> </w:t>
      </w:r>
      <w:r>
        <w:rPr>
          <w:rFonts w:ascii="Times New Roman" w:hAnsi="Times New Roman" w:cs="Times New Roman" w:eastAsia="Times New Roman" w:hint="default"/>
        </w:rPr>
        <w:t>2018</w:t>
      </w:r>
      <w:r>
        <w:rPr/>
        <w:t>年公司</w:t>
      </w:r>
      <w:r>
        <w:rPr>
          <w:w w:val="100"/>
        </w:rPr>
        <w:t> </w:t>
      </w:r>
      <w:r>
        <w:rPr/>
        <w:t>组织了包括新员工入职培训、在职员工业务培训、管理人员业务培训、管理能力提升培训及其他单场讲座等多</w:t>
      </w:r>
      <w:r>
        <w:rPr>
          <w:w w:val="100"/>
        </w:rPr>
        <w:t> </w:t>
      </w:r>
      <w:r>
        <w:rPr/>
        <w:t>层次培训，事前通过调查员工需求，寻求各种培训资源和渠道，来提高培训的有效性和效率，这些培训充分调</w:t>
      </w:r>
      <w:r>
        <w:rPr>
          <w:w w:val="100"/>
        </w:rPr>
        <w:t> </w:t>
      </w:r>
      <w:r>
        <w:rPr/>
        <w:t>动了员工学习积极性，既能促进公司整体战略目标的实施，又能满足员工个人能力和职业发展的需求，实现企</w:t>
      </w:r>
      <w:r>
        <w:rPr>
          <w:w w:val="100"/>
        </w:rPr>
        <w:t> </w:t>
      </w:r>
      <w:r>
        <w:rPr/>
        <w:t>业和员工的共同进步，共同发展。</w:t>
      </w:r>
    </w:p>
    <w:p>
      <w:pPr>
        <w:pStyle w:val="BodyText"/>
        <w:spacing w:line="405" w:lineRule="auto" w:before="54"/>
        <w:ind w:right="1168" w:firstLine="399"/>
        <w:jc w:val="both"/>
      </w:pPr>
      <w:r>
        <w:rPr>
          <w:rFonts w:ascii="Times New Roman" w:hAnsi="Times New Roman" w:cs="Times New Roman" w:eastAsia="Times New Roman" w:hint="default"/>
          <w:spacing w:val="-1"/>
        </w:rPr>
        <w:t>2019</w:t>
      </w:r>
      <w:r>
        <w:rPr>
          <w:spacing w:val="-1"/>
        </w:rPr>
        <w:t>年，公司将继续努力提升公司竞争能力和经营业绩，确保股东和债权人利益，与供应商和客户精诚合</w:t>
      </w:r>
      <w:r>
        <w:rPr>
          <w:w w:val="100"/>
        </w:rPr>
        <w:t> </w:t>
      </w:r>
      <w:r>
        <w:rPr/>
        <w:t>作，促进员工发展与成长，深入切实地履行企业的社会责任，实现商业利益与社会责任的和谐共赢。</w:t>
      </w:r>
    </w:p>
    <w:p>
      <w:pPr>
        <w:spacing w:line="240" w:lineRule="auto" w:before="8"/>
        <w:rPr>
          <w:rFonts w:ascii="宋体" w:hAnsi="宋体" w:cs="宋体" w:eastAsia="宋体" w:hint="default"/>
          <w:sz w:val="21"/>
          <w:szCs w:val="21"/>
        </w:rPr>
      </w:pPr>
    </w:p>
    <w:p>
      <w:pPr>
        <w:spacing w:line="532" w:lineRule="auto" w:before="0"/>
        <w:ind w:left="154" w:right="4938" w:firstLine="0"/>
        <w:jc w:val="left"/>
        <w:rPr>
          <w:rFonts w:ascii="宋体" w:hAnsi="宋体" w:cs="宋体" w:eastAsia="宋体" w:hint="default"/>
          <w:sz w:val="21"/>
          <w:szCs w:val="21"/>
        </w:rPr>
      </w:pPr>
      <w:bookmarkStart w:name="2、履行精准扶贫社会责任情况" w:id="101"/>
      <w:bookmarkEnd w:id="10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b/>
          <w:bCs/>
          <w:w w:val="99"/>
          <w:sz w:val="21"/>
          <w:szCs w:val="21"/>
        </w:rPr>
        <w:t> </w:t>
      </w:r>
      <w:r>
        <w:rPr>
          <w:rFonts w:ascii="宋体" w:hAnsi="宋体" w:cs="宋体" w:eastAsia="宋体" w:hint="default"/>
          <w:spacing w:val="-1"/>
          <w:sz w:val="20"/>
          <w:szCs w:val="20"/>
        </w:rPr>
        <w:t>公司报告年度暂未开展精准扶贫工作，也暂无后续精准扶贫计划。</w:t>
      </w:r>
      <w:r>
        <w:rPr>
          <w:rFonts w:ascii="宋体" w:hAnsi="宋体" w:cs="宋体" w:eastAsia="宋体" w:hint="default"/>
          <w:spacing w:val="-77"/>
          <w:sz w:val="20"/>
          <w:szCs w:val="20"/>
        </w:rPr>
        <w:t> </w:t>
      </w:r>
      <w:r>
        <w:rPr>
          <w:rFonts w:ascii="宋体" w:hAnsi="宋体" w:cs="宋体" w:eastAsia="宋体" w:hint="default"/>
          <w:spacing w:val="-77"/>
          <w:sz w:val="20"/>
          <w:szCs w:val="20"/>
        </w:rPr>
      </w:r>
      <w:bookmarkStart w:name="3、环境保护相关的情况" w:id="102"/>
      <w:bookmarkEnd w:id="102"/>
      <w:r>
        <w:rPr>
          <w:rFonts w:ascii="宋体" w:hAnsi="宋体" w:cs="宋体" w:eastAsia="宋体" w:hint="default"/>
          <w:spacing w:val="-77"/>
          <w:sz w:val="20"/>
          <w:szCs w:val="20"/>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、环境保护相关的情况</w:t>
      </w:r>
      <w:r>
        <w:rPr>
          <w:rFonts w:ascii="宋体" w:hAnsi="宋体" w:cs="宋体" w:eastAsia="宋体" w:hint="default"/>
          <w:sz w:val="21"/>
          <w:szCs w:val="21"/>
        </w:rPr>
      </w:r>
    </w:p>
    <w:p>
      <w:pPr>
        <w:pStyle w:val="BodyText"/>
        <w:spacing w:line="321" w:lineRule="auto" w:before="49"/>
        <w:ind w:right="5020"/>
        <w:jc w:val="left"/>
      </w:pPr>
      <w:r>
        <w:rPr>
          <w:spacing w:val="-1"/>
        </w:rPr>
        <w:t>上市公司及其子公司是否属于环境保护部门公布的重点排污单位</w:t>
      </w:r>
      <w:r>
        <w:rPr>
          <w:spacing w:val="-77"/>
        </w:rPr>
        <w:t> </w:t>
      </w:r>
      <w:r>
        <w:rPr>
          <w:spacing w:val="-77"/>
        </w:rPr>
      </w:r>
      <w:r>
        <w:rPr/>
        <w:t>否</w:t>
      </w:r>
    </w:p>
    <w:p>
      <w:pPr>
        <w:pStyle w:val="BodyText"/>
        <w:spacing w:line="240" w:lineRule="auto" w:before="22"/>
        <w:ind w:right="0"/>
        <w:jc w:val="left"/>
      </w:pPr>
      <w:r>
        <w:rPr/>
        <w:t>公司及子公司不属于环境保护部门公布的重点排污单位。</w:t>
      </w:r>
    </w:p>
    <w:p>
      <w:pPr>
        <w:spacing w:line="240" w:lineRule="auto" w:before="5"/>
        <w:rPr>
          <w:rFonts w:ascii="宋体" w:hAnsi="宋体" w:cs="宋体" w:eastAsia="宋体" w:hint="default"/>
          <w:sz w:val="24"/>
          <w:szCs w:val="24"/>
        </w:rPr>
      </w:pPr>
    </w:p>
    <w:p>
      <w:pPr>
        <w:pStyle w:val="Heading2"/>
        <w:spacing w:line="240" w:lineRule="auto"/>
        <w:ind w:right="0"/>
        <w:jc w:val="left"/>
        <w:rPr>
          <w:b w:val="0"/>
          <w:bCs w:val="0"/>
        </w:rPr>
      </w:pPr>
      <w:bookmarkStart w:name="十九、其他重大事项的说明" w:id="103"/>
      <w:bookmarkEnd w:id="103"/>
      <w:r>
        <w:rPr>
          <w:b w:val="0"/>
          <w:bCs w:val="0"/>
        </w:rPr>
      </w:r>
      <w:r>
        <w:rPr/>
        <w:t>十九、其他重大事项的说明</w:t>
      </w:r>
      <w:r>
        <w:rPr>
          <w:b w:val="0"/>
          <w:bCs w:val="0"/>
        </w:rPr>
      </w:r>
    </w:p>
    <w:p>
      <w:pPr>
        <w:spacing w:line="240" w:lineRule="auto" w:before="4"/>
        <w:rPr>
          <w:rFonts w:ascii="宋体" w:hAnsi="宋体" w:cs="宋体" w:eastAsia="宋体" w:hint="default"/>
          <w:b/>
          <w:bCs/>
          <w:sz w:val="25"/>
          <w:szCs w:val="25"/>
        </w:rPr>
      </w:pPr>
    </w:p>
    <w:p>
      <w:pPr>
        <w:pStyle w:val="BodyText"/>
        <w:spacing w:line="304" w:lineRule="auto"/>
        <w:ind w:right="62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100"/>
        </w:rPr>
        <w:t> </w:t>
      </w:r>
      <w:r>
        <w:rPr>
          <w:spacing w:val="-1"/>
        </w:rPr>
        <w:t>公司报告期不存在需要说明的其他重大事项。</w:t>
      </w:r>
    </w:p>
    <w:p>
      <w:pPr>
        <w:spacing w:line="240" w:lineRule="auto" w:before="1"/>
        <w:rPr>
          <w:rFonts w:ascii="宋体" w:hAnsi="宋体" w:cs="宋体" w:eastAsia="宋体" w:hint="default"/>
          <w:sz w:val="20"/>
          <w:szCs w:val="20"/>
        </w:rPr>
      </w:pPr>
    </w:p>
    <w:p>
      <w:pPr>
        <w:pStyle w:val="Heading2"/>
        <w:spacing w:line="240" w:lineRule="auto"/>
        <w:ind w:right="0"/>
        <w:jc w:val="left"/>
        <w:rPr>
          <w:b w:val="0"/>
          <w:bCs w:val="0"/>
        </w:rPr>
      </w:pPr>
      <w:bookmarkStart w:name="二十、公司子公司重大事项" w:id="104"/>
      <w:bookmarkEnd w:id="104"/>
      <w:r>
        <w:rPr>
          <w:b w:val="0"/>
          <w:bCs w:val="0"/>
        </w:rPr>
      </w:r>
      <w:r>
        <w:rPr/>
        <w:t>二十、公司子公司重大事项</w:t>
      </w:r>
      <w:r>
        <w:rPr>
          <w:b w:val="0"/>
          <w:bCs w:val="0"/>
        </w:rPr>
      </w:r>
    </w:p>
    <w:p>
      <w:pPr>
        <w:spacing w:line="240" w:lineRule="auto" w:before="6"/>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6" w:right="0"/>
        <w:jc w:val="left"/>
        <w:rPr>
          <w:b w:val="0"/>
          <w:bCs w:val="0"/>
        </w:rPr>
      </w:pPr>
      <w:bookmarkStart w:name="_TOC_250006" w:id="105"/>
      <w:bookmarkStart w:name="第六节 股份变动及股东情况" w:id="106"/>
      <w:r>
        <w:rPr>
          <w:b w:val="0"/>
          <w:bCs w:val="0"/>
        </w:rPr>
      </w:r>
      <w:r>
        <w:rPr/>
        <w:t>第六节</w:t>
      </w:r>
      <w:r>
        <w:rPr>
          <w:spacing w:val="-10"/>
        </w:rPr>
        <w:t> </w:t>
      </w:r>
      <w:r>
        <w:rPr/>
        <w:t>股份变动及股东情况</w:t>
      </w:r>
      <w:bookmarkEnd w:id="10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7"/>
      <w:bookmarkEnd w:id="107"/>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8"/>
      <w:bookmarkEnd w:id="108"/>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61,181,56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18.12%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-3,283,18</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-3,283,18</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57,898,38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17.15%</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61,181,56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18.12%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-3,283,18</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-3,283,18</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57,898,38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17.15%</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61,181,56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18.12%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-3,283,18</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-3,283,18</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57,898,38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17.15%</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276,395,1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81.88%</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3,283,189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3,283,189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279,678,3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82.85%</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276,395,1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81.88%</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3,283,189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3,283,189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279,678,3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82.85%</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337,576,6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337,576,6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72"/>
        <w:ind w:right="0"/>
        <w:jc w:val="left"/>
      </w:pPr>
      <w:r>
        <w:rPr/>
        <w:t>股份变动的原因</w:t>
      </w:r>
    </w:p>
    <w:p>
      <w:pPr>
        <w:spacing w:line="240" w:lineRule="auto" w:before="10"/>
        <w:rPr>
          <w:rFonts w:ascii="宋体" w:hAnsi="宋体" w:cs="宋体" w:eastAsia="宋体" w:hint="default"/>
          <w:sz w:val="15"/>
          <w:szCs w:val="15"/>
        </w:rPr>
      </w:pPr>
    </w:p>
    <w:p>
      <w:pPr>
        <w:pStyle w:val="BodyText"/>
        <w:spacing w:line="417" w:lineRule="auto"/>
        <w:ind w:right="3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100"/>
        </w:rPr>
        <w:t> </w:t>
      </w:r>
      <w:r>
        <w:rPr>
          <w:spacing w:val="-1"/>
        </w:rPr>
        <w:t>公司离任董事离职时间已超过一年半，其所持股票限售情况发生变化。</w:t>
      </w:r>
      <w:r>
        <w:rPr>
          <w:spacing w:val="-77"/>
        </w:rPr>
        <w:t> </w:t>
      </w:r>
      <w:r>
        <w:rPr>
          <w:spacing w:val="-77"/>
        </w:rPr>
      </w:r>
      <w:r>
        <w:rPr/>
        <w:t>股份变动的批准情况</w:t>
      </w:r>
    </w:p>
    <w:p>
      <w:pPr>
        <w:pStyle w:val="BodyText"/>
        <w:spacing w:line="405" w:lineRule="auto" w:before="58"/>
        <w:ind w:right="89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100"/>
        </w:rPr>
        <w:t> </w:t>
      </w:r>
      <w:r>
        <w:rPr/>
        <w:t>股份变动的过户情况</w:t>
      </w:r>
    </w:p>
    <w:p>
      <w:pPr>
        <w:pStyle w:val="BodyText"/>
        <w:spacing w:line="405" w:lineRule="auto" w:before="68"/>
        <w:ind w:right="856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100"/>
        </w:rPr>
        <w:t> </w:t>
      </w:r>
      <w:r>
        <w:rPr>
          <w:spacing w:val="-1"/>
        </w:rPr>
        <w:t>股份回购的实施进展情况</w:t>
      </w:r>
    </w:p>
    <w:p>
      <w:pPr>
        <w:pStyle w:val="BodyText"/>
        <w:spacing w:line="405" w:lineRule="auto" w:before="68"/>
        <w:ind w:right="62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100"/>
        </w:rPr>
        <w:t> </w:t>
      </w:r>
      <w:r>
        <w:rPr>
          <w:spacing w:val="-1"/>
        </w:rPr>
        <w:t>采用集中竞价方式减持回购股份的实施进展情况</w:t>
      </w:r>
    </w:p>
    <w:p>
      <w:pPr>
        <w:pStyle w:val="BodyText"/>
        <w:spacing w:line="405" w:lineRule="auto" w:before="6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100"/>
        </w:rPr>
        <w:t> </w:t>
      </w:r>
      <w:r>
        <w:rPr>
          <w:spacing w:val="-1"/>
        </w:rPr>
        <w:t>股份变动对最近一年和最近一期基本每股收益和稀释每股收益、归属于公司普通股股东的每股净资产等财务指</w:t>
      </w:r>
    </w:p>
    <w:p>
      <w:pPr>
        <w:spacing w:after="0" w:line="405"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ind w:right="0"/>
        <w:jc w:val="left"/>
      </w:pPr>
      <w:r>
        <w:rPr/>
        <w:t>标的影响</w:t>
      </w:r>
    </w:p>
    <w:p>
      <w:pPr>
        <w:spacing w:line="240" w:lineRule="auto" w:before="10"/>
        <w:rPr>
          <w:rFonts w:ascii="宋体" w:hAnsi="宋体" w:cs="宋体" w:eastAsia="宋体" w:hint="default"/>
          <w:sz w:val="15"/>
          <w:szCs w:val="15"/>
        </w:rPr>
      </w:pPr>
    </w:p>
    <w:p>
      <w:pPr>
        <w:pStyle w:val="BodyText"/>
        <w:spacing w:line="405" w:lineRule="auto"/>
        <w:ind w:right="49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100"/>
        </w:rPr>
        <w:t> </w:t>
      </w:r>
      <w:r>
        <w:rPr>
          <w:spacing w:val="-1"/>
        </w:rPr>
        <w:t>公司认为必要或证券监管机构要求披露的其他内容</w:t>
      </w:r>
    </w:p>
    <w:p>
      <w:pPr>
        <w:pStyle w:val="BodyText"/>
        <w:spacing w:line="240" w:lineRule="auto" w:before="6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不适用</w:t>
      </w:r>
    </w:p>
    <w:p>
      <w:pPr>
        <w:spacing w:line="240" w:lineRule="auto" w:before="0"/>
        <w:rPr>
          <w:rFonts w:ascii="宋体" w:hAnsi="宋体" w:cs="宋体" w:eastAsia="宋体" w:hint="default"/>
          <w:sz w:val="20"/>
          <w:szCs w:val="20"/>
        </w:rPr>
      </w:pPr>
    </w:p>
    <w:p>
      <w:pPr>
        <w:pStyle w:val="Heading3"/>
        <w:spacing w:line="240" w:lineRule="auto" w:before="143"/>
        <w:ind w:right="0"/>
        <w:jc w:val="left"/>
        <w:rPr>
          <w:b w:val="0"/>
          <w:bCs w:val="0"/>
        </w:rPr>
      </w:pPr>
      <w:bookmarkStart w:name="2、限售股份变动情况" w:id="109"/>
      <w:bookmarkEnd w:id="109"/>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5"/>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7" w:footer="979" w:top="1060" w:bottom="1160" w:left="980" w:right="0"/>
        </w:sectPr>
      </w:pPr>
    </w:p>
    <w:p>
      <w:pPr>
        <w:pStyle w:val="BodyText"/>
        <w:spacing w:line="240" w:lineRule="auto" w:before="38"/>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686" w:space="7234"/>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42,819,688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42,819,688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每年度第一个交 易日解锁持股总 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刘开同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12,620,617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12,620,617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每年度第一个交 易日解锁持股总 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9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朱烨东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2,448,400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2,448,400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非公开发行限售 股；高管锁定股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非公开发行限售 股：</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日。高管锁定 股：每年度第一 个交易日解锁持 股总数的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赫喆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3,283,189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3,283,189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辞职满一年半</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孙昕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每年度第一个交 易日解锁持股总 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61,181,569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3,283,189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57,898,380</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二、证券发行与上市情况" w:id="110"/>
      <w:bookmarkEnd w:id="110"/>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11"/>
      <w:bookmarkEnd w:id="111"/>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5"/>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不适用</w:t>
      </w:r>
    </w:p>
    <w:p>
      <w:pPr>
        <w:spacing w:line="240" w:lineRule="auto" w:before="11"/>
        <w:rPr>
          <w:rFonts w:ascii="宋体" w:hAnsi="宋体" w:cs="宋体" w:eastAsia="宋体" w:hint="default"/>
          <w:sz w:val="24"/>
          <w:szCs w:val="24"/>
        </w:rPr>
      </w:pPr>
    </w:p>
    <w:p>
      <w:pPr>
        <w:pStyle w:val="Heading3"/>
        <w:spacing w:line="240" w:lineRule="auto"/>
        <w:ind w:right="0"/>
        <w:jc w:val="left"/>
        <w:rPr>
          <w:b w:val="0"/>
          <w:bCs w:val="0"/>
        </w:rPr>
      </w:pPr>
      <w:bookmarkStart w:name="2、公司股份总数及股东结构的变动、公司资产和负债结构的变动情况说明" w:id="112"/>
      <w:bookmarkEnd w:id="112"/>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6"/>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不适用</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现存的内部职工股情况" w:id="113"/>
      <w:bookmarkEnd w:id="113"/>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6"/>
        <w:rPr>
          <w:rFonts w:ascii="宋体" w:hAnsi="宋体" w:cs="宋体" w:eastAsia="宋体" w:hint="default"/>
          <w:b/>
          <w:bCs/>
          <w:sz w:val="25"/>
          <w:szCs w:val="25"/>
        </w:rPr>
      </w:pPr>
    </w:p>
    <w:p>
      <w:pPr>
        <w:spacing w:line="494" w:lineRule="auto" w:before="0"/>
        <w:ind w:left="154" w:right="7209" w:firstLine="0"/>
        <w:jc w:val="left"/>
        <w:rPr>
          <w:rFonts w:ascii="宋体" w:hAnsi="宋体" w:cs="宋体" w:eastAsia="宋体" w:hint="default"/>
          <w:sz w:val="21"/>
          <w:szCs w:val="21"/>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49"/>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bookmarkStart w:name="三、股东和实际控制人情况" w:id="114"/>
      <w:bookmarkEnd w:id="114"/>
      <w:r>
        <w:rPr>
          <w:rFonts w:ascii="宋体" w:hAnsi="宋体" w:cs="宋体" w:eastAsia="宋体" w:hint="default"/>
          <w:w w:val="100"/>
          <w:sz w:val="20"/>
          <w:szCs w:val="20"/>
        </w:rPr>
      </w:r>
      <w:r>
        <w:rPr>
          <w:rFonts w:ascii="宋体" w:hAnsi="宋体" w:cs="宋体" w:eastAsia="宋体" w:hint="default"/>
          <w:b/>
          <w:bCs/>
          <w:w w:val="95"/>
          <w:sz w:val="24"/>
          <w:szCs w:val="24"/>
        </w:rPr>
        <w:t>三、股东和实际控制人情况</w:t>
      </w:r>
      <w:r>
        <w:rPr>
          <w:rFonts w:ascii="宋体" w:hAnsi="宋体" w:cs="宋体" w:eastAsia="宋体" w:hint="default"/>
          <w:b/>
          <w:bCs/>
          <w:spacing w:val="18"/>
          <w:w w:val="95"/>
          <w:sz w:val="24"/>
          <w:szCs w:val="24"/>
        </w:rPr>
        <w:t> </w:t>
      </w:r>
      <w:bookmarkStart w:name="1、公司股东数量及持股情况" w:id="115"/>
      <w:bookmarkEnd w:id="115"/>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before="10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478"/>
        <w:gridCol w:w="695"/>
        <w:gridCol w:w="93"/>
        <w:gridCol w:w="786"/>
        <w:gridCol w:w="339"/>
        <w:gridCol w:w="449"/>
        <w:gridCol w:w="755"/>
        <w:gridCol w:w="872"/>
        <w:gridCol w:w="317"/>
        <w:gridCol w:w="1033"/>
        <w:gridCol w:w="140"/>
        <w:gridCol w:w="1207"/>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62,521</w:t>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70,648</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0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4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704"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9"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8" w:type="dxa"/>
            <w:gridSpan w:val="2"/>
            <w:vMerge/>
            <w:tcBorders>
              <w:left w:val="single" w:sz="9" w:space="0" w:color="D2D2D2"/>
              <w:bottom w:val="single" w:sz="4" w:space="0" w:color="000000"/>
              <w:right w:val="single" w:sz="9"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7" w:right="-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85"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7"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88" w:type="dxa"/>
            <w:gridSpan w:val="2"/>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8"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16.91%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57,092,91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42,819,68</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14,273,23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5" w:space="0" w:color="D2D2D2"/>
              <w:left w:val="single" w:sz="4" w:space="0" w:color="000000"/>
              <w:bottom w:val="single" w:sz="4" w:space="0" w:color="000000"/>
              <w:right w:val="single" w:sz="4" w:space="0" w:color="000000"/>
            </w:tcBorders>
          </w:tcPr>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5" w:space="0" w:color="D2D2D2"/>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38,849,980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华夏幸福基业控 股股份公司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4.65%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刘开同</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3.99%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13,457,49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-3,370,00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12,620,61</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836,873</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天津滨河数据信 息技术有限公司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2.32%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7,843,666</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7,843,666</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赫喆</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1.95%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6,566,378</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6,566,378</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杨承宏</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1.87%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6,309,660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6,309,660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青岛城投金融控 股集团有限公司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1.66%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5,604,237</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935,918</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5,604,237</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董书倩</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1.60%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5,414,660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5,414,660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朱烨东</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0.97%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3,264,533</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2,448,400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816,133</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华融国际信托有 限责任公司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0.82%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2,754,007</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2,754,007</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8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7"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8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11"/>
            <w:tcBorders>
              <w:top w:val="single" w:sz="4" w:space="0" w:color="000000"/>
              <w:left w:val="single" w:sz="10" w:space="0" w:color="D2D2D2"/>
              <w:bottom w:val="single" w:sz="4" w:space="0" w:color="000000"/>
              <w:right w:val="single" w:sz="4" w:space="0" w:color="000000"/>
            </w:tcBorders>
          </w:tcPr>
          <w:p>
            <w:pPr>
              <w:pStyle w:val="TableParagraph"/>
              <w:spacing w:line="316" w:lineRule="auto" w:before="71"/>
              <w:ind w:left="15" w:right="21"/>
              <w:jc w:val="left"/>
              <w:rPr>
                <w:rFonts w:ascii="宋体" w:hAnsi="宋体" w:cs="宋体" w:eastAsia="宋体" w:hint="default"/>
                <w:sz w:val="18"/>
                <w:szCs w:val="18"/>
              </w:rPr>
            </w:pPr>
            <w:r>
              <w:rPr>
                <w:rFonts w:ascii="宋体" w:hAnsi="宋体" w:cs="宋体" w:eastAsia="宋体" w:hint="default"/>
                <w:spacing w:val="-1"/>
                <w:sz w:val="18"/>
                <w:szCs w:val="18"/>
              </w:rPr>
              <w:t>上述股东中朱烨东、沈飒为夫妻关系，天津滨河数据信息技术有限公司是股东刘开同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控制的企业，刘开同与董书倩为夫妻关系。除上述关系外，公司未知上述其他股东是</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82"/>
        <w:gridCol w:w="3990"/>
        <w:gridCol w:w="1349"/>
        <w:gridCol w:w="1348"/>
      </w:tblGrid>
      <w:tr>
        <w:trPr>
          <w:trHeight w:val="362"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否存在其他关联关系或属于《上市公司收购管理办法》中规定的一致行动人。</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vMerge/>
            <w:tcBorders>
              <w:left w:val="single" w:sz="4" w:space="0" w:color="000000"/>
              <w:bottom w:val="single" w:sz="4" w:space="0" w:color="000000"/>
              <w:right w:val="single" w:sz="4" w:space="0" w:color="000000"/>
            </w:tcBorders>
            <w:shd w:val="clear" w:color="auto" w:fill="D2D2D2"/>
          </w:tcPr>
          <w:p>
            <w:pPr/>
          </w:p>
        </w:tc>
      </w:tr>
      <w:tr>
        <w:trPr>
          <w:trHeight w:val="201" w:hRule="exact"/>
        </w:trPr>
        <w:tc>
          <w:tcPr>
            <w:tcW w:w="2882" w:type="dxa"/>
            <w:vMerge/>
            <w:tcBorders>
              <w:left w:val="single" w:sz="4" w:space="0" w:color="000000"/>
              <w:bottom w:val="nil" w:sz="6" w:space="0" w:color="auto"/>
              <w:right w:val="single" w:sz="4" w:space="0" w:color="000000"/>
            </w:tcBorders>
            <w:shd w:val="clear" w:color="auto" w:fill="D2D2D2"/>
          </w:tcPr>
          <w:p>
            <w:pPr/>
          </w:p>
        </w:tc>
        <w:tc>
          <w:tcPr>
            <w:tcW w:w="3990" w:type="dxa"/>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2" w:type="dxa"/>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华夏幸福基业控股股份公司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15,700,000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14,273,230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14,273,230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天津滨河数据信息技术有限公司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7,843,666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7,843,666</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赫喆</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6,566,378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6,566,378</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杨承宏</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6,309,660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6,309,660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青岛城投金融控股集团有限公司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5,604,237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5,604,237</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董书倩</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5,414,660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5,414,660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华融国际信托有限责任公司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2,754,007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2,754,007</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刘运龙</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2,361,028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2,361,028</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吴海洋</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2,097,513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2,097,513</w:t>
            </w:r>
          </w:p>
        </w:tc>
      </w:tr>
      <w:tr>
        <w:trPr>
          <w:trHeight w:val="1338"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 w:right="21"/>
              <w:jc w:val="both"/>
              <w:rPr>
                <w:rFonts w:ascii="宋体" w:hAnsi="宋体" w:cs="宋体" w:eastAsia="宋体" w:hint="default"/>
                <w:sz w:val="18"/>
                <w:szCs w:val="18"/>
              </w:rPr>
            </w:pPr>
            <w:r>
              <w:rPr>
                <w:rFonts w:ascii="宋体" w:hAnsi="宋体" w:cs="宋体" w:eastAsia="宋体" w:hint="default"/>
                <w:spacing w:val="-1"/>
                <w:sz w:val="18"/>
                <w:szCs w:val="18"/>
              </w:rPr>
              <w:t>上述股东中朱烨东、沈飒为夫妻关系，天津滨河数据信息技术有限公司是股东刘开同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控制的企业，刘开同与董书倩为夫妻关系。除上述关系外，公司未知上述其他股东是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否存在其他关联关系或属于《上市公司收购管理办法》中规定的一致行动人。</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35"/>
        <w:ind w:right="0"/>
        <w:jc w:val="left"/>
      </w:pPr>
      <w:r>
        <w:rPr/>
        <w:t>公司前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名普通股股东、前</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名无限售条件普通股股东在报告期内是否进行约定购回交易</w:t>
      </w:r>
    </w:p>
    <w:p>
      <w:pPr>
        <w:pStyle w:val="BodyText"/>
        <w:spacing w:line="240" w:lineRule="auto" w:before="7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p>
    <w:p>
      <w:pPr>
        <w:pStyle w:val="BodyText"/>
        <w:spacing w:line="240" w:lineRule="auto" w:before="74"/>
        <w:ind w:right="0"/>
        <w:jc w:val="left"/>
      </w:pPr>
      <w:r>
        <w:rPr/>
        <w:t>公司前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名普通股股东、前</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名无限售条件普通股股东在报告期内未进行约定购回交易。</w:t>
      </w:r>
    </w:p>
    <w:p>
      <w:pPr>
        <w:spacing w:line="240" w:lineRule="auto" w:before="11"/>
        <w:rPr>
          <w:rFonts w:ascii="宋体" w:hAnsi="宋体" w:cs="宋体" w:eastAsia="宋体" w:hint="default"/>
          <w:sz w:val="24"/>
          <w:szCs w:val="24"/>
        </w:rPr>
      </w:pPr>
    </w:p>
    <w:p>
      <w:pPr>
        <w:pStyle w:val="Heading3"/>
        <w:spacing w:line="240" w:lineRule="auto"/>
        <w:ind w:right="0"/>
        <w:jc w:val="left"/>
        <w:rPr>
          <w:b w:val="0"/>
          <w:bCs w:val="0"/>
        </w:rPr>
      </w:pPr>
      <w:bookmarkStart w:name="2、公司控股股东情况" w:id="116"/>
      <w:bookmarkEnd w:id="116"/>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6"/>
        <w:rPr>
          <w:rFonts w:ascii="宋体" w:hAnsi="宋体" w:cs="宋体" w:eastAsia="宋体" w:hint="default"/>
          <w:b/>
          <w:bCs/>
          <w:sz w:val="25"/>
          <w:szCs w:val="25"/>
        </w:rPr>
      </w:pPr>
    </w:p>
    <w:p>
      <w:pPr>
        <w:pStyle w:val="BodyText"/>
        <w:spacing w:line="321" w:lineRule="auto"/>
        <w:ind w:right="8364"/>
        <w:jc w:val="left"/>
      </w:pPr>
      <w:r>
        <w:rPr>
          <w:spacing w:val="-1"/>
        </w:rPr>
        <w:t>控股股东性质：自然人控股</w:t>
      </w:r>
      <w:r>
        <w:rPr>
          <w:spacing w:val="-90"/>
        </w:rPr>
        <w:t> </w:t>
      </w:r>
      <w:r>
        <w:rPr>
          <w:spacing w:val="-90"/>
        </w:rPr>
      </w:r>
      <w:r>
        <w:rPr/>
        <w:t>控股股东类型：自然人</w:t>
      </w:r>
    </w:p>
    <w:p>
      <w:pPr>
        <w:spacing w:line="240" w:lineRule="auto" w:before="1"/>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北京中科金财科技股份有限公司副董事长兼总经理</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35"/>
        <w:ind w:right="0"/>
        <w:jc w:val="left"/>
      </w:pPr>
      <w:r>
        <w:rPr/>
        <w:t>控股股东报告期内变更</w:t>
      </w:r>
    </w:p>
    <w:p>
      <w:pPr>
        <w:pStyle w:val="BodyText"/>
        <w:spacing w:line="304" w:lineRule="auto" w:before="91"/>
        <w:ind w:right="77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100"/>
        </w:rPr>
        <w:t> </w:t>
      </w:r>
      <w:r>
        <w:rPr>
          <w:spacing w:val="-1"/>
        </w:rPr>
        <w:t>公司报告期控股股东未发生变更。</w:t>
      </w:r>
    </w:p>
    <w:p>
      <w:pPr>
        <w:spacing w:after="0" w:line="304"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公司实际控制人及其一致行动人" w:id="117"/>
      <w:bookmarkEnd w:id="117"/>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6"/>
        <w:rPr>
          <w:rFonts w:ascii="宋体" w:hAnsi="宋体" w:cs="宋体" w:eastAsia="宋体" w:hint="default"/>
          <w:b/>
          <w:bCs/>
          <w:sz w:val="25"/>
          <w:szCs w:val="25"/>
        </w:rPr>
      </w:pPr>
    </w:p>
    <w:p>
      <w:pPr>
        <w:pStyle w:val="BodyText"/>
        <w:spacing w:line="321" w:lineRule="auto"/>
        <w:ind w:right="8165"/>
        <w:jc w:val="left"/>
      </w:pPr>
      <w:r>
        <w:rPr>
          <w:spacing w:val="-1"/>
        </w:rPr>
        <w:t>实际控制人性质：境内自然人</w:t>
      </w:r>
      <w:r>
        <w:rPr>
          <w:spacing w:val="-90"/>
        </w:rPr>
        <w:t> </w:t>
      </w:r>
      <w:r>
        <w:rPr>
          <w:spacing w:val="-90"/>
        </w:rPr>
      </w:r>
      <w:r>
        <w:rPr/>
        <w:t>实际控制人类型：自然人</w:t>
      </w:r>
    </w:p>
    <w:p>
      <w:pPr>
        <w:spacing w:line="240" w:lineRule="auto" w:before="1"/>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朱烨东</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陈绪华</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朱烨东任职于北京中科金财科技股份有限公司，担任董事长一职。沈飒任职于北京中科金财</w:t>
            </w:r>
            <w:r>
              <w:rPr>
                <w:rFonts w:ascii="宋体" w:hAnsi="宋体" w:cs="宋体" w:eastAsia="宋体" w:hint="default"/>
                <w:sz w:val="18"/>
                <w:szCs w:val="18"/>
              </w:rPr>
              <w:t> 科技股份有限公司，担任副董事长兼总经理一职。陈绪华已退休。</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35"/>
        <w:ind w:right="0"/>
        <w:jc w:val="left"/>
      </w:pPr>
      <w:r>
        <w:rPr/>
        <w:t>实际控制人报告期内变更</w:t>
      </w:r>
    </w:p>
    <w:p>
      <w:pPr>
        <w:pStyle w:val="BodyText"/>
        <w:spacing w:line="314" w:lineRule="auto" w:before="91"/>
        <w:ind w:right="62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100"/>
        </w:rPr>
        <w:t> </w:t>
      </w:r>
      <w:r>
        <w:rPr/>
        <w:t>公司报告期实际控制人未发生变更。</w:t>
      </w:r>
      <w:r>
        <w:rPr>
          <w:w w:val="100"/>
        </w:rPr>
        <w:t> </w:t>
      </w:r>
      <w:r>
        <w:rPr>
          <w:spacing w:val="-1"/>
        </w:rPr>
        <w:t>公司与实际控制人之间的产权及控制关系的方框图</w:t>
      </w:r>
    </w:p>
    <w:p>
      <w:pPr>
        <w:spacing w:line="240" w:lineRule="auto" w:before="9"/>
        <w:rPr>
          <w:rFonts w:ascii="宋体" w:hAnsi="宋体" w:cs="宋体" w:eastAsia="宋体" w:hint="default"/>
          <w:sz w:val="19"/>
          <w:szCs w:val="19"/>
        </w:rPr>
      </w:pPr>
    </w:p>
    <w:p>
      <w:pPr>
        <w:spacing w:line="2988" w:lineRule="exact"/>
        <w:ind w:left="2044" w:right="0" w:firstLine="0"/>
        <w:rPr>
          <w:rFonts w:ascii="宋体" w:hAnsi="宋体" w:cs="宋体" w:eastAsia="宋体" w:hint="default"/>
          <w:sz w:val="20"/>
          <w:szCs w:val="20"/>
        </w:rPr>
      </w:pPr>
      <w:r>
        <w:rPr>
          <w:rFonts w:ascii="宋体" w:hAnsi="宋体" w:cs="宋体" w:eastAsia="宋体" w:hint="default"/>
          <w:position w:val="-59"/>
          <w:sz w:val="20"/>
          <w:szCs w:val="20"/>
        </w:rPr>
        <w:drawing>
          <wp:inline distT="0" distB="0" distL="0" distR="0">
            <wp:extent cx="3719705" cy="1897951"/>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3719705" cy="1897951"/>
                    </a:xfrm>
                    <a:prstGeom prst="rect">
                      <a:avLst/>
                    </a:prstGeom>
                  </pic:spPr>
                </pic:pic>
              </a:graphicData>
            </a:graphic>
          </wp:inline>
        </w:drawing>
      </w:r>
      <w:r>
        <w:rPr>
          <w:rFonts w:ascii="宋体" w:hAnsi="宋体" w:cs="宋体" w:eastAsia="宋体" w:hint="default"/>
          <w:position w:val="-59"/>
          <w:sz w:val="20"/>
          <w:szCs w:val="20"/>
        </w:rPr>
      </w:r>
    </w:p>
    <w:p>
      <w:pPr>
        <w:spacing w:line="240" w:lineRule="auto" w:before="1"/>
        <w:rPr>
          <w:rFonts w:ascii="宋体" w:hAnsi="宋体" w:cs="宋体" w:eastAsia="宋体" w:hint="default"/>
          <w:sz w:val="20"/>
          <w:szCs w:val="20"/>
        </w:rPr>
      </w:pPr>
    </w:p>
    <w:p>
      <w:pPr>
        <w:pStyle w:val="BodyText"/>
        <w:spacing w:line="240" w:lineRule="auto"/>
        <w:ind w:right="0"/>
        <w:jc w:val="left"/>
      </w:pPr>
      <w:r>
        <w:rPr/>
        <w:t>实际控制人通过信托或其他资产管理方式控制公司</w:t>
      </w:r>
    </w:p>
    <w:p>
      <w:pPr>
        <w:pStyle w:val="BodyText"/>
        <w:spacing w:line="240" w:lineRule="auto" w:before="17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不适用</w:t>
      </w:r>
    </w:p>
    <w:p>
      <w:pPr>
        <w:spacing w:line="240" w:lineRule="auto" w:before="11"/>
        <w:rPr>
          <w:rFonts w:ascii="宋体" w:hAnsi="宋体" w:cs="宋体" w:eastAsia="宋体" w:hint="default"/>
          <w:sz w:val="24"/>
          <w:szCs w:val="24"/>
        </w:rPr>
      </w:pPr>
    </w:p>
    <w:p>
      <w:pPr>
        <w:pStyle w:val="Heading3"/>
        <w:spacing w:line="240" w:lineRule="auto"/>
        <w:ind w:right="0"/>
        <w:jc w:val="left"/>
        <w:rPr>
          <w:b w:val="0"/>
          <w:bCs w:val="0"/>
        </w:rPr>
      </w:pPr>
      <w:bookmarkStart w:name="4、其他持股在10%以上的法人股东" w:id="118"/>
      <w:bookmarkEnd w:id="118"/>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6"/>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不适用</w:t>
      </w:r>
    </w:p>
    <w:p>
      <w:pPr>
        <w:spacing w:line="240" w:lineRule="auto" w:before="11"/>
        <w:rPr>
          <w:rFonts w:ascii="宋体" w:hAnsi="宋体" w:cs="宋体" w:eastAsia="宋体" w:hint="default"/>
          <w:sz w:val="24"/>
          <w:szCs w:val="24"/>
        </w:rPr>
      </w:pPr>
    </w:p>
    <w:p>
      <w:pPr>
        <w:pStyle w:val="Heading3"/>
        <w:spacing w:line="240" w:lineRule="auto"/>
        <w:ind w:right="0"/>
        <w:jc w:val="left"/>
        <w:rPr>
          <w:b w:val="0"/>
          <w:bCs w:val="0"/>
        </w:rPr>
      </w:pPr>
      <w:bookmarkStart w:name="5、控股股东、实际控制人、重组方及其他承诺主体股份限制减持情况" w:id="119"/>
      <w:bookmarkEnd w:id="119"/>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6"/>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_TOC_250005" w:id="120"/>
      <w:bookmarkStart w:name="第七节 优先股相关情况" w:id="121"/>
      <w:r>
        <w:rPr>
          <w:b w:val="0"/>
          <w:bCs w:val="0"/>
        </w:rPr>
      </w:r>
      <w:r>
        <w:rPr/>
        <w:t>第七节</w:t>
      </w:r>
      <w:r>
        <w:rPr>
          <w:spacing w:val="-8"/>
        </w:rPr>
        <w:t> </w:t>
      </w:r>
      <w:r>
        <w:rPr/>
        <w:t>优先股相关情况</w:t>
      </w:r>
      <w:bookmarkEnd w:id="120"/>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p>
      <w:pPr>
        <w:pStyle w:val="BodyText"/>
        <w:spacing w:line="304" w:lineRule="auto" w:before="38"/>
        <w:ind w:right="836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100"/>
        </w:rPr>
        <w:t> </w:t>
      </w:r>
      <w:r>
        <w:rPr>
          <w:spacing w:val="-1"/>
        </w:rPr>
        <w:t>报告期公司不存在优先股。</w:t>
      </w:r>
    </w:p>
    <w:p>
      <w:pPr>
        <w:spacing w:after="0" w:line="304"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4" w:id="122"/>
      <w:bookmarkStart w:name="第八节 董事、监事、高级管理人员和员工情况" w:id="123"/>
      <w:r>
        <w:rPr>
          <w:b w:val="0"/>
          <w:bCs w:val="0"/>
        </w:rPr>
      </w:r>
      <w:r>
        <w:rPr/>
        <w:t>第八节</w:t>
      </w:r>
      <w:r>
        <w:rPr>
          <w:spacing w:val="-16"/>
        </w:rPr>
        <w:t> </w:t>
      </w:r>
      <w:r>
        <w:rPr/>
        <w:t>董事、监事、高级管理人员和员工情况</w:t>
      </w:r>
      <w:bookmarkEnd w:id="122"/>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4"/>
      <w:bookmarkEnd w:id="124"/>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朱烨东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3,264,533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3,264,533</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副董事 长、总经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57,092,91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57,092,91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刘开同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16,827,49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13,457,49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赵学荣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董事、副 总经理兼 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贺岩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汪亮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白涛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赵燕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顾凌云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孙昕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12,900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司苗珍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郭通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赵剑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副总经理 兼董事会 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王之瑜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路一名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张京辉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77,198,34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73,828,34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公司董事、监事、高级管理人员变动情况" w:id="125"/>
      <w:bookmarkEnd w:id="125"/>
      <w:r>
        <w:rPr>
          <w:b w:val="0"/>
          <w:bCs w:val="0"/>
        </w:rPr>
      </w:r>
      <w:r>
        <w:rPr/>
        <w:t>二、公司董事、监事、高级管理人员变动情况</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1"/>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贺岩</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张京辉</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任职情况" w:id="126"/>
      <w:bookmarkEnd w:id="126"/>
      <w:r>
        <w:rPr>
          <w:b w:val="0"/>
          <w:bCs w:val="0"/>
        </w:rPr>
      </w:r>
      <w:r>
        <w:rPr/>
        <w:t>三、任职情况</w:t>
      </w:r>
      <w:r>
        <w:rPr>
          <w:b w:val="0"/>
          <w:bCs w:val="0"/>
        </w:rPr>
      </w:r>
    </w:p>
    <w:p>
      <w:pPr>
        <w:spacing w:line="240" w:lineRule="auto" w:before="3"/>
        <w:rPr>
          <w:rFonts w:ascii="宋体" w:hAnsi="宋体" w:cs="宋体" w:eastAsia="宋体" w:hint="default"/>
          <w:b/>
          <w:bCs/>
          <w:sz w:val="31"/>
          <w:szCs w:val="31"/>
        </w:rPr>
      </w:pPr>
    </w:p>
    <w:p>
      <w:pPr>
        <w:pStyle w:val="BodyText"/>
        <w:spacing w:line="429" w:lineRule="auto"/>
        <w:ind w:right="2474"/>
        <w:jc w:val="left"/>
      </w:pPr>
      <w:r>
        <w:rPr>
          <w:spacing w:val="-1"/>
        </w:rPr>
        <w:t>公司现任董事、监事、高级管理人员专业背景、主要工作经历以及目前在公司的主要职责</w:t>
      </w:r>
      <w:r>
        <w:rPr>
          <w:spacing w:val="-70"/>
        </w:rPr>
        <w:t> </w:t>
      </w:r>
      <w:r>
        <w:rPr>
          <w:spacing w:val="-70"/>
        </w:rPr>
      </w:r>
      <w:r>
        <w:rPr/>
        <w:t>董事：</w:t>
      </w:r>
    </w:p>
    <w:p>
      <w:pPr>
        <w:pStyle w:val="BodyText"/>
        <w:spacing w:line="405" w:lineRule="auto" w:before="48"/>
        <w:ind w:right="1168" w:firstLine="399"/>
        <w:jc w:val="both"/>
      </w:pPr>
      <w:r>
        <w:rPr>
          <w:spacing w:val="-1"/>
        </w:rPr>
        <w:t>朱烨东，男，中国国籍，无境外永久居留权，</w:t>
      </w:r>
      <w:r>
        <w:rPr>
          <w:rFonts w:ascii="Times New Roman" w:hAnsi="Times New Roman" w:cs="Times New Roman" w:eastAsia="Times New Roman" w:hint="default"/>
          <w:spacing w:val="-1"/>
        </w:rPr>
        <w:t>1968</w:t>
      </w:r>
      <w:r>
        <w:rPr>
          <w:spacing w:val="-1"/>
        </w:rPr>
        <w:t>年出生。南京理工大学计算机系软件专业学士、北京大</w:t>
      </w:r>
      <w:r>
        <w:rPr>
          <w:w w:val="100"/>
        </w:rPr>
        <w:t> </w:t>
      </w:r>
      <w:r>
        <w:rPr>
          <w:spacing w:val="-1"/>
        </w:rPr>
        <w:t>学经济学院金融学硕士、北京大学经济学院政治经济学博士、高级工程师，</w:t>
      </w:r>
      <w:r>
        <w:rPr>
          <w:rFonts w:ascii="Times New Roman" w:hAnsi="Times New Roman" w:cs="Times New Roman" w:eastAsia="Times New Roman" w:hint="default"/>
          <w:spacing w:val="-1"/>
        </w:rPr>
        <w:t>2007</w:t>
      </w:r>
      <w:r>
        <w:rPr>
          <w:spacing w:val="-1"/>
        </w:rPr>
        <w:t>年获得信息产业部计算机信息</w:t>
      </w:r>
      <w:r>
        <w:rPr>
          <w:spacing w:val="-60"/>
        </w:rPr>
        <w:t> </w:t>
      </w:r>
      <w:r>
        <w:rPr>
          <w:spacing w:val="-60"/>
        </w:rPr>
      </w:r>
      <w:r>
        <w:rPr>
          <w:spacing w:val="-1"/>
        </w:rPr>
        <w:t>系统集成高级项目经理证书。曾任北京大学北佳公司软件工程师，香港伟仕集团金融事业部总经理，北京奥德</w:t>
      </w:r>
    </w:p>
    <w:p>
      <w:pPr>
        <w:spacing w:after="0" w:line="405"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29" w:lineRule="auto"/>
        <w:ind w:right="1169"/>
        <w:jc w:val="both"/>
      </w:pPr>
      <w:r>
        <w:rPr>
          <w:spacing w:val="-1"/>
        </w:rPr>
        <w:t>映真计算机技术有限公司董事、总经理，北京北大青鸟计算机智能技术有限公司董事、总经理等职，现任公司</w:t>
      </w:r>
      <w:r>
        <w:rPr>
          <w:spacing w:val="-63"/>
        </w:rPr>
        <w:t> </w:t>
      </w:r>
      <w:r>
        <w:rPr>
          <w:spacing w:val="-63"/>
        </w:rPr>
      </w:r>
      <w:r>
        <w:rPr/>
        <w:t>董事长。</w:t>
      </w:r>
    </w:p>
    <w:p>
      <w:pPr>
        <w:pStyle w:val="BodyText"/>
        <w:spacing w:line="422" w:lineRule="auto" w:before="48"/>
        <w:ind w:right="1168" w:firstLine="399"/>
        <w:jc w:val="both"/>
      </w:pPr>
      <w:r>
        <w:rPr>
          <w:spacing w:val="-1"/>
        </w:rPr>
        <w:t>沈飒，女，中国国籍，无境外永久居留权，</w:t>
      </w:r>
      <w:r>
        <w:rPr>
          <w:rFonts w:ascii="Times New Roman" w:hAnsi="Times New Roman" w:cs="Times New Roman" w:eastAsia="Times New Roman" w:hint="default"/>
          <w:spacing w:val="-1"/>
        </w:rPr>
        <w:t>1973</w:t>
      </w:r>
      <w:r>
        <w:rPr>
          <w:spacing w:val="-1"/>
        </w:rPr>
        <w:t>年出生，北京大学经济学院金融专业硕士，中共党员。曾</w:t>
      </w:r>
      <w:r>
        <w:rPr>
          <w:w w:val="100"/>
        </w:rPr>
        <w:t> </w:t>
      </w:r>
      <w:r>
        <w:rPr>
          <w:spacing w:val="-1"/>
        </w:rPr>
        <w:t>任北京奥德映真计算机技术有限公司销售经理、方正奥德集团公司大客户部销售总监、北京北大青鸟计算机智</w:t>
      </w:r>
      <w:r>
        <w:rPr>
          <w:spacing w:val="-63"/>
        </w:rPr>
        <w:t> </w:t>
      </w:r>
      <w:r>
        <w:rPr>
          <w:spacing w:val="-63"/>
        </w:rPr>
      </w:r>
      <w:r>
        <w:rPr>
          <w:spacing w:val="-1"/>
        </w:rPr>
        <w:t>能技术有限公司营销副总经理、优利系统（中国）有限公司金融行业销售经理。长期从事政府、金融行业的市</w:t>
      </w:r>
      <w:r>
        <w:rPr>
          <w:spacing w:val="-63"/>
        </w:rPr>
        <w:t> </w:t>
      </w:r>
      <w:r>
        <w:rPr>
          <w:spacing w:val="-63"/>
        </w:rPr>
      </w:r>
      <w:r>
        <w:rPr/>
        <w:t>场开发及销售的管理工作，现任公司副董事长兼总经理。</w:t>
      </w:r>
    </w:p>
    <w:p>
      <w:pPr>
        <w:pStyle w:val="BodyText"/>
        <w:spacing w:line="240" w:lineRule="auto" w:before="54"/>
        <w:ind w:left="553" w:right="0"/>
        <w:jc w:val="left"/>
      </w:pPr>
      <w:r>
        <w:rPr/>
        <w:t>刘开同，男，中国国籍，无境外永久居留权，</w:t>
      </w:r>
      <w:r>
        <w:rPr>
          <w:rFonts w:ascii="Times New Roman" w:hAnsi="Times New Roman" w:cs="Times New Roman" w:eastAsia="Times New Roman" w:hint="default"/>
        </w:rPr>
        <w:t>1970</w:t>
      </w:r>
      <w:r>
        <w:rPr/>
        <w:t>年出生，清华大学工商管理专业，硕士学历。</w:t>
      </w:r>
      <w:r>
        <w:rPr>
          <w:rFonts w:ascii="Times New Roman" w:hAnsi="Times New Roman" w:cs="Times New Roman" w:eastAsia="Times New Roman" w:hint="default"/>
        </w:rPr>
        <w:t>2003</w:t>
      </w:r>
      <w:r>
        <w:rPr/>
        <w:t>年至</w:t>
      </w:r>
    </w:p>
    <w:p>
      <w:pPr>
        <w:spacing w:line="240" w:lineRule="auto" w:before="8"/>
        <w:rPr>
          <w:rFonts w:ascii="宋体" w:hAnsi="宋体" w:cs="宋体" w:eastAsia="宋体" w:hint="default"/>
          <w:sz w:val="14"/>
          <w:szCs w:val="14"/>
        </w:rPr>
      </w:pPr>
    </w:p>
    <w:p>
      <w:pPr>
        <w:pStyle w:val="BodyText"/>
        <w:spacing w:line="405" w:lineRule="auto"/>
        <w:ind w:left="553" w:right="0" w:hanging="400"/>
        <w:jc w:val="left"/>
      </w:pPr>
      <w:r>
        <w:rPr>
          <w:rFonts w:ascii="Times New Roman" w:hAnsi="Times New Roman" w:cs="Times New Roman" w:eastAsia="Times New Roman" w:hint="default"/>
        </w:rPr>
        <w:t>2007</w:t>
      </w:r>
      <w:r>
        <w:rPr/>
        <w:t>年，任职于广州御银科技股份有限公司，历任客户经理、区域营销总监，现任公司董事。</w:t>
      </w:r>
      <w:r>
        <w:rPr>
          <w:w w:val="100"/>
        </w:rPr>
        <w:t> </w:t>
      </w:r>
      <w:r>
        <w:rPr>
          <w:spacing w:val="-1"/>
        </w:rPr>
        <w:t>赵学荣，女，中国国籍，无境外永久居留权，</w:t>
      </w:r>
      <w:r>
        <w:rPr>
          <w:rFonts w:ascii="Times New Roman" w:hAnsi="Times New Roman" w:cs="Times New Roman" w:eastAsia="Times New Roman" w:hint="default"/>
          <w:spacing w:val="-1"/>
        </w:rPr>
        <w:t>1973</w:t>
      </w:r>
      <w:r>
        <w:rPr>
          <w:spacing w:val="-1"/>
        </w:rPr>
        <w:t>年出生，上海交通大学上海高级金融学院</w:t>
      </w:r>
      <w:r>
        <w:rPr>
          <w:rFonts w:ascii="Times New Roman" w:hAnsi="Times New Roman" w:cs="Times New Roman" w:eastAsia="Times New Roman" w:hint="default"/>
          <w:spacing w:val="-1"/>
        </w:rPr>
        <w:t>EMBA</w:t>
      </w:r>
      <w:r>
        <w:rPr>
          <w:spacing w:val="-1"/>
        </w:rPr>
        <w:t>，高级</w:t>
      </w:r>
    </w:p>
    <w:p>
      <w:pPr>
        <w:pStyle w:val="BodyText"/>
        <w:spacing w:line="417" w:lineRule="auto" w:before="38"/>
        <w:ind w:right="1130"/>
        <w:jc w:val="both"/>
      </w:pPr>
      <w:r>
        <w:rPr/>
        <w:t>会计师。曾任北京伟仕科技发展公司会计、北京奥德映真计算机技术有限公司财务主管、财务部经理、北京北</w:t>
      </w:r>
      <w:r>
        <w:rPr>
          <w:w w:val="100"/>
        </w:rPr>
        <w:t> </w:t>
      </w:r>
      <w:r>
        <w:rPr/>
        <w:t>大青鸟计算机智能技术有限公司财务经理。从事财务管理工作</w:t>
      </w:r>
      <w:r>
        <w:rPr>
          <w:rFonts w:ascii="Times New Roman" w:hAnsi="Times New Roman" w:cs="Times New Roman" w:eastAsia="Times New Roman" w:hint="default"/>
        </w:rPr>
        <w:t>20</w:t>
      </w:r>
      <w:r>
        <w:rPr/>
        <w:t>余年，具有丰富的</w:t>
      </w:r>
      <w:r>
        <w:rPr>
          <w:rFonts w:ascii="Times New Roman" w:hAnsi="Times New Roman" w:cs="Times New Roman" w:eastAsia="Times New Roman" w:hint="default"/>
        </w:rPr>
        <w:t>IT</w:t>
      </w:r>
      <w:r>
        <w:rPr>
          <w:rFonts w:ascii="Times New Roman" w:hAnsi="Times New Roman" w:cs="Times New Roman" w:eastAsia="Times New Roman" w:hint="default"/>
          <w:spacing w:val="-5"/>
        </w:rPr>
        <w:t> </w:t>
      </w:r>
      <w:r>
        <w:rPr/>
        <w:t>类企业财务核算与管理经</w:t>
      </w:r>
      <w:r>
        <w:rPr>
          <w:w w:val="100"/>
        </w:rPr>
        <w:t> </w:t>
      </w:r>
      <w:r>
        <w:rPr/>
        <w:t>验。现任公司董事、副总经理兼财务总监。</w:t>
      </w:r>
    </w:p>
    <w:p>
      <w:pPr>
        <w:pStyle w:val="BodyText"/>
        <w:spacing w:line="417" w:lineRule="auto" w:before="58"/>
        <w:ind w:right="1169" w:firstLine="399"/>
        <w:jc w:val="both"/>
      </w:pPr>
      <w:r>
        <w:rPr>
          <w:spacing w:val="-1"/>
        </w:rPr>
        <w:t>贺岩，男，中国国籍，无境外永久居留权，</w:t>
      </w:r>
      <w:r>
        <w:rPr>
          <w:rFonts w:ascii="Times New Roman" w:hAnsi="Times New Roman" w:cs="Times New Roman" w:eastAsia="Times New Roman" w:hint="default"/>
          <w:spacing w:val="-1"/>
        </w:rPr>
        <w:t>1978</w:t>
      </w:r>
      <w:r>
        <w:rPr>
          <w:spacing w:val="-1"/>
        </w:rPr>
        <w:t>年出生，南开大学</w:t>
      </w:r>
      <w:r>
        <w:rPr>
          <w:rFonts w:ascii="Times New Roman" w:hAnsi="Times New Roman" w:cs="Times New Roman" w:eastAsia="Times New Roman" w:hint="default"/>
          <w:spacing w:val="-1"/>
        </w:rPr>
        <w:t>EMBA</w:t>
      </w:r>
      <w:r>
        <w:rPr>
          <w:spacing w:val="-1"/>
        </w:rPr>
        <w:t>，硕士学历。</w:t>
      </w:r>
      <w:r>
        <w:rPr>
          <w:rFonts w:ascii="Times New Roman" w:hAnsi="Times New Roman" w:cs="Times New Roman" w:eastAsia="Times New Roman" w:hint="default"/>
          <w:spacing w:val="-1"/>
        </w:rPr>
        <w:t>2007</w:t>
      </w:r>
      <w:r>
        <w:rPr>
          <w:spacing w:val="-1"/>
        </w:rPr>
        <w:t>年取得深圳证</w:t>
      </w:r>
      <w:r>
        <w:rPr>
          <w:w w:val="100"/>
        </w:rPr>
        <w:t> </w:t>
      </w:r>
      <w:r>
        <w:rPr>
          <w:spacing w:val="-1"/>
        </w:rPr>
        <w:t>券交易所董事会秘书资格证书。曾任广州中加贸易有限公司副总经理，北京中科金财科技股份有限公司董事会</w:t>
      </w:r>
      <w:r>
        <w:rPr>
          <w:spacing w:val="-63"/>
        </w:rPr>
        <w:t> </w:t>
      </w:r>
      <w:r>
        <w:rPr>
          <w:spacing w:val="-63"/>
        </w:rPr>
      </w:r>
      <w:r>
        <w:rPr/>
        <w:t>办公室主任、证券事务代表，现任公司董事、副总经理。</w:t>
      </w:r>
    </w:p>
    <w:p>
      <w:pPr>
        <w:pStyle w:val="BodyText"/>
        <w:spacing w:line="405" w:lineRule="auto" w:before="58"/>
        <w:ind w:right="1168" w:firstLine="399"/>
        <w:jc w:val="both"/>
      </w:pPr>
      <w:r>
        <w:rPr>
          <w:spacing w:val="-1"/>
        </w:rPr>
        <w:t>汪亮，男，中国国籍，无境外永久居留权，</w:t>
      </w:r>
      <w:r>
        <w:rPr>
          <w:rFonts w:ascii="Times New Roman" w:hAnsi="Times New Roman" w:cs="Times New Roman" w:eastAsia="Times New Roman" w:hint="default"/>
          <w:spacing w:val="-1"/>
        </w:rPr>
        <w:t>1982</w:t>
      </w:r>
      <w:r>
        <w:rPr>
          <w:spacing w:val="-1"/>
        </w:rPr>
        <w:t>年出生。北京城市学院生物计算机专业，大专学历。现任</w:t>
      </w:r>
      <w:r>
        <w:rPr>
          <w:w w:val="100"/>
        </w:rPr>
        <w:t> </w:t>
      </w:r>
      <w:r>
        <w:rPr/>
        <w:t>公司董事、大客户业务群总经理。</w:t>
      </w:r>
    </w:p>
    <w:p>
      <w:pPr>
        <w:pStyle w:val="BodyText"/>
        <w:spacing w:line="417" w:lineRule="auto" w:before="68"/>
        <w:ind w:right="1168" w:firstLine="399"/>
        <w:jc w:val="right"/>
      </w:pPr>
      <w:r>
        <w:rPr>
          <w:spacing w:val="-1"/>
        </w:rPr>
        <w:t>白涛，女，中国国籍，无境外永久居留权，</w:t>
      </w:r>
      <w:r>
        <w:rPr>
          <w:rFonts w:ascii="Times New Roman" w:hAnsi="Times New Roman" w:cs="Times New Roman" w:eastAsia="Times New Roman" w:hint="default"/>
          <w:spacing w:val="-1"/>
        </w:rPr>
        <w:t>1965</w:t>
      </w:r>
      <w:r>
        <w:rPr>
          <w:spacing w:val="-1"/>
        </w:rPr>
        <w:t>年出生。北京大学法学学士、美国康乃尔大学法学博士。</w:t>
      </w:r>
      <w:r>
        <w:rPr>
          <w:w w:val="100"/>
        </w:rPr>
        <w:t> </w:t>
      </w:r>
      <w:r>
        <w:rPr>
          <w:spacing w:val="-1"/>
        </w:rPr>
        <w:t>曾任职于中信律师事务所、北京市通商律师事务所，现任北京市君合律师事务所合伙人，兼任公司独立董事。</w:t>
      </w:r>
      <w:r>
        <w:rPr>
          <w:spacing w:val="-82"/>
        </w:rPr>
        <w:t> </w:t>
      </w:r>
      <w:r>
        <w:rPr>
          <w:spacing w:val="-82"/>
        </w:rPr>
      </w:r>
      <w:r>
        <w:rPr>
          <w:spacing w:val="-1"/>
        </w:rPr>
        <w:t>赵燕，女，中国国籍，无境外永久居留权，</w:t>
      </w:r>
      <w:r>
        <w:rPr>
          <w:rFonts w:ascii="Times New Roman" w:hAnsi="Times New Roman" w:cs="Times New Roman" w:eastAsia="Times New Roman" w:hint="default"/>
          <w:spacing w:val="-1"/>
        </w:rPr>
        <w:t>1972</w:t>
      </w:r>
      <w:r>
        <w:rPr>
          <w:spacing w:val="-1"/>
        </w:rPr>
        <w:t>年出生。北方工业大学会计专业，本科学历，中国注册会</w:t>
      </w:r>
      <w:r>
        <w:rPr>
          <w:w w:val="100"/>
        </w:rPr>
        <w:t> </w:t>
      </w:r>
      <w:r>
        <w:rPr>
          <w:spacing w:val="-1"/>
        </w:rPr>
        <w:t>计师、注册评估师、高级会计师。历任五联联合会计师事务所有限公司部门经理、北京五联方圆会计师事务所</w:t>
      </w:r>
      <w:r>
        <w:rPr>
          <w:spacing w:val="-82"/>
        </w:rPr>
        <w:t> </w:t>
      </w:r>
      <w:r>
        <w:rPr>
          <w:spacing w:val="-82"/>
        </w:rPr>
      </w:r>
      <w:r>
        <w:rPr>
          <w:spacing w:val="-1"/>
        </w:rPr>
        <w:t>有限公司所长助理、国富浩华会计师事务所有限公司副主任会计师等职，现任瑞华会计师事务所（特殊普通合</w:t>
      </w:r>
    </w:p>
    <w:p>
      <w:pPr>
        <w:pStyle w:val="BodyText"/>
        <w:spacing w:line="429" w:lineRule="auto" w:before="58"/>
        <w:ind w:left="553" w:right="0" w:hanging="400"/>
        <w:jc w:val="left"/>
      </w:pPr>
      <w:r>
        <w:rPr/>
        <w:t>伙）合伙人，兼任公司独立董事。</w:t>
      </w:r>
      <w:r>
        <w:rPr>
          <w:w w:val="100"/>
        </w:rPr>
        <w:t> </w:t>
      </w:r>
      <w:r>
        <w:rPr>
          <w:spacing w:val="-2"/>
        </w:rPr>
        <w:t>顾凌云，男，中国国籍，美国永久居留权，</w:t>
      </w:r>
      <w:r>
        <w:rPr>
          <w:rFonts w:ascii="Times New Roman" w:hAnsi="Times New Roman" w:cs="Times New Roman" w:eastAsia="Times New Roman" w:hint="default"/>
          <w:spacing w:val="-2"/>
        </w:rPr>
        <w:t>1976</w:t>
      </w:r>
      <w:r>
        <w:rPr>
          <w:spacing w:val="-2"/>
        </w:rPr>
        <w:t>年出生，美国卡内基梅隆大学计算机科学专业，博士学历。</w:t>
      </w:r>
    </w:p>
    <w:p>
      <w:pPr>
        <w:pStyle w:val="BodyText"/>
        <w:spacing w:line="405" w:lineRule="auto" w:before="16"/>
        <w:ind w:right="1118"/>
        <w:jc w:val="left"/>
      </w:pPr>
      <w:r>
        <w:rPr>
          <w:spacing w:val="-1"/>
        </w:rPr>
        <w:t>曾任</w:t>
      </w:r>
      <w:r>
        <w:rPr>
          <w:rFonts w:ascii="Times New Roman" w:hAnsi="Times New Roman" w:cs="Times New Roman" w:eastAsia="Times New Roman" w:hint="default"/>
          <w:spacing w:val="-1"/>
        </w:rPr>
        <w:t>IDG</w:t>
      </w:r>
      <w:r>
        <w:rPr>
          <w:spacing w:val="-1"/>
        </w:rPr>
        <w:t>资本驻站企业家兼投资顾问，现任上海冰鉴信息科技有限公司董事长兼</w:t>
      </w:r>
      <w:r>
        <w:rPr>
          <w:rFonts w:ascii="Times New Roman" w:hAnsi="Times New Roman" w:cs="Times New Roman" w:eastAsia="Times New Roman" w:hint="default"/>
          <w:spacing w:val="-1"/>
        </w:rPr>
        <w:t>CEO</w:t>
      </w:r>
      <w:r>
        <w:rPr>
          <w:spacing w:val="-1"/>
        </w:rPr>
        <w:t>，兼任公司独立董事。</w:t>
      </w:r>
      <w:r>
        <w:rPr>
          <w:spacing w:val="-62"/>
        </w:rPr>
        <w:t> </w:t>
      </w:r>
      <w:r>
        <w:rPr>
          <w:spacing w:val="-62"/>
        </w:rPr>
      </w:r>
      <w:r>
        <w:rPr/>
        <w:t>监事：</w:t>
      </w:r>
    </w:p>
    <w:p>
      <w:pPr>
        <w:pStyle w:val="BodyText"/>
        <w:spacing w:line="405" w:lineRule="auto" w:before="68"/>
        <w:ind w:right="0" w:firstLine="399"/>
        <w:jc w:val="left"/>
      </w:pPr>
      <w:r>
        <w:rPr>
          <w:spacing w:val="-2"/>
        </w:rPr>
        <w:t>孙昕，男，中国国籍，无境外永久居留权，</w:t>
      </w:r>
      <w:r>
        <w:rPr>
          <w:rFonts w:ascii="Times New Roman" w:hAnsi="Times New Roman" w:cs="Times New Roman" w:eastAsia="Times New Roman" w:hint="default"/>
          <w:spacing w:val="-2"/>
        </w:rPr>
        <w:t>1975</w:t>
      </w:r>
      <w:r>
        <w:rPr>
          <w:spacing w:val="-2"/>
        </w:rPr>
        <w:t>年出生。沈阳航空航天大学计算机及应用专业，本科学历。</w:t>
      </w:r>
      <w:r>
        <w:rPr>
          <w:w w:val="100"/>
        </w:rPr>
        <w:t> </w:t>
      </w:r>
      <w:r>
        <w:rPr/>
        <w:t>现任北京中科金财科技股份有限公司监事会主席、金融技术应用事业群总经理。</w:t>
      </w:r>
    </w:p>
    <w:p>
      <w:pPr>
        <w:pStyle w:val="BodyText"/>
        <w:spacing w:line="405" w:lineRule="auto" w:before="68"/>
        <w:ind w:right="1168" w:firstLine="399"/>
        <w:jc w:val="both"/>
      </w:pPr>
      <w:r>
        <w:rPr>
          <w:spacing w:val="-1"/>
        </w:rPr>
        <w:t>司苗珍，女，中国国籍，无境外永久居留权，</w:t>
      </w:r>
      <w:r>
        <w:rPr>
          <w:rFonts w:ascii="Times New Roman" w:hAnsi="Times New Roman" w:cs="Times New Roman" w:eastAsia="Times New Roman" w:hint="default"/>
          <w:spacing w:val="-1"/>
        </w:rPr>
        <w:t>1989</w:t>
      </w:r>
      <w:r>
        <w:rPr>
          <w:spacing w:val="-1"/>
        </w:rPr>
        <w:t>年出生，东北大学秦皇岛分校电子信息工程专业，本科</w:t>
      </w:r>
      <w:r>
        <w:rPr>
          <w:w w:val="100"/>
        </w:rPr>
        <w:t> </w:t>
      </w:r>
      <w:r>
        <w:rPr>
          <w:spacing w:val="-1"/>
        </w:rPr>
        <w:t>学历。自</w:t>
      </w:r>
      <w:r>
        <w:rPr>
          <w:rFonts w:ascii="Times New Roman" w:hAnsi="Times New Roman" w:cs="Times New Roman" w:eastAsia="Times New Roman" w:hint="default"/>
          <w:spacing w:val="-1"/>
        </w:rPr>
        <w:t>2012</w:t>
      </w:r>
      <w:r>
        <w:rPr>
          <w:spacing w:val="-1"/>
        </w:rPr>
        <w:t>年毕业加入公司至今，从事公司业务群内部运营管理和总裁日常事务管理，现任公司监事、总裁</w:t>
      </w:r>
    </w:p>
    <w:p>
      <w:pPr>
        <w:spacing w:after="0" w:line="405"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ind w:right="0"/>
        <w:jc w:val="left"/>
      </w:pPr>
      <w:r>
        <w:rPr/>
        <w:t>办公室经理。</w:t>
      </w:r>
    </w:p>
    <w:p>
      <w:pPr>
        <w:spacing w:line="240" w:lineRule="auto" w:before="10"/>
        <w:rPr>
          <w:rFonts w:ascii="宋体" w:hAnsi="宋体" w:cs="宋体" w:eastAsia="宋体" w:hint="default"/>
          <w:sz w:val="15"/>
          <w:szCs w:val="15"/>
        </w:rPr>
      </w:pPr>
    </w:p>
    <w:p>
      <w:pPr>
        <w:pStyle w:val="BodyText"/>
        <w:spacing w:line="405" w:lineRule="auto"/>
        <w:ind w:right="1168" w:firstLine="399"/>
        <w:jc w:val="both"/>
      </w:pPr>
      <w:r>
        <w:rPr>
          <w:spacing w:val="-1"/>
        </w:rPr>
        <w:t>郭通，男，中国国籍，无境外永久居留权，</w:t>
      </w:r>
      <w:r>
        <w:rPr>
          <w:rFonts w:ascii="Times New Roman" w:hAnsi="Times New Roman" w:cs="Times New Roman" w:eastAsia="Times New Roman" w:hint="default"/>
          <w:spacing w:val="-1"/>
        </w:rPr>
        <w:t>1979</w:t>
      </w:r>
      <w:r>
        <w:rPr>
          <w:spacing w:val="-1"/>
        </w:rPr>
        <w:t>年出生。哈尔滨工业大学计算机及应用专业学士、高级工</w:t>
      </w:r>
      <w:r>
        <w:rPr>
          <w:w w:val="100"/>
        </w:rPr>
        <w:t> </w:t>
      </w:r>
      <w:r>
        <w:rPr>
          <w:spacing w:val="-1"/>
        </w:rPr>
        <w:t>程师，</w:t>
      </w:r>
      <w:r>
        <w:rPr>
          <w:rFonts w:ascii="Times New Roman" w:hAnsi="Times New Roman" w:cs="Times New Roman" w:eastAsia="Times New Roman" w:hint="default"/>
          <w:spacing w:val="-1"/>
        </w:rPr>
        <w:t>2006</w:t>
      </w:r>
      <w:r>
        <w:rPr>
          <w:spacing w:val="-1"/>
        </w:rPr>
        <w:t>年获得信息产业部计算机信息系统集成项目经理证书。曾任北京联想集团有限公司高性能服务器事</w:t>
      </w:r>
      <w:r>
        <w:rPr>
          <w:spacing w:val="-60"/>
        </w:rPr>
        <w:t> </w:t>
      </w:r>
      <w:r>
        <w:rPr>
          <w:spacing w:val="-60"/>
        </w:rPr>
      </w:r>
      <w:r>
        <w:rPr/>
        <w:t>业部技术支持工程师，现任公司</w:t>
      </w:r>
      <w:r>
        <w:rPr>
          <w:rFonts w:ascii="Times New Roman" w:hAnsi="Times New Roman" w:cs="Times New Roman" w:eastAsia="Times New Roman" w:hint="default"/>
        </w:rPr>
        <w:t>IT</w:t>
      </w:r>
      <w:r>
        <w:rPr/>
        <w:t>服务实施部经理。</w:t>
      </w:r>
    </w:p>
    <w:p>
      <w:pPr>
        <w:pStyle w:val="BodyText"/>
        <w:spacing w:line="429" w:lineRule="auto" w:before="38"/>
        <w:ind w:left="553" w:right="5169" w:hanging="400"/>
        <w:jc w:val="left"/>
      </w:pPr>
      <w:r>
        <w:rPr/>
        <w:t>高级管理人员：</w:t>
      </w:r>
      <w:r>
        <w:rPr>
          <w:w w:val="100"/>
        </w:rPr>
        <w:t> </w:t>
      </w:r>
      <w:r>
        <w:rPr/>
        <w:t>沈飒，现任公司副董事长、总经理，简历同上。</w:t>
      </w:r>
      <w:r>
        <w:rPr>
          <w:w w:val="100"/>
        </w:rPr>
        <w:t> </w:t>
      </w:r>
      <w:r>
        <w:rPr/>
        <w:t>贺岩，现任公司董事、副总经理，简历同上。</w:t>
      </w:r>
      <w:r>
        <w:rPr>
          <w:w w:val="100"/>
        </w:rPr>
        <w:t> </w:t>
      </w:r>
      <w:r>
        <w:rPr>
          <w:spacing w:val="-1"/>
        </w:rPr>
        <w:t>赵学荣，现任公司董事、副总经理兼财务总监，简历同上。</w:t>
      </w:r>
    </w:p>
    <w:p>
      <w:pPr>
        <w:pStyle w:val="BodyText"/>
        <w:spacing w:line="417" w:lineRule="auto" w:before="48"/>
        <w:ind w:right="1129" w:firstLine="399"/>
        <w:jc w:val="both"/>
      </w:pPr>
      <w:r>
        <w:rPr>
          <w:spacing w:val="-1"/>
        </w:rPr>
        <w:t>李烁，男，中国国籍，无境外永久居留权，</w:t>
      </w:r>
      <w:r>
        <w:rPr>
          <w:rFonts w:ascii="Times New Roman" w:hAnsi="Times New Roman" w:cs="Times New Roman" w:eastAsia="Times New Roman" w:hint="default"/>
          <w:spacing w:val="-1"/>
        </w:rPr>
        <w:t>1973</w:t>
      </w:r>
      <w:r>
        <w:rPr>
          <w:spacing w:val="-1"/>
        </w:rPr>
        <w:t>年出生，中共党员，东北财经大学</w:t>
      </w:r>
      <w:r>
        <w:rPr>
          <w:rFonts w:ascii="Times New Roman" w:hAnsi="Times New Roman" w:cs="Times New Roman" w:eastAsia="Times New Roman" w:hint="default"/>
          <w:spacing w:val="-1"/>
        </w:rPr>
        <w:t>MBA</w:t>
      </w:r>
      <w:r>
        <w:rPr>
          <w:spacing w:val="-1"/>
        </w:rPr>
        <w:t>。曾任大连银行总</w:t>
      </w:r>
      <w:r>
        <w:rPr>
          <w:w w:val="100"/>
        </w:rPr>
        <w:t> </w:t>
      </w:r>
      <w:r>
        <w:rPr/>
        <w:t>行办公室秘书、浦发银行大连高新园区支行副行长、浦发银行大连分行贵宾理财中心总经理、浦发银行大连长</w:t>
      </w:r>
      <w:r>
        <w:rPr>
          <w:w w:val="100"/>
        </w:rPr>
        <w:t> </w:t>
      </w:r>
      <w:r>
        <w:rPr/>
        <w:t>春路支行行长、广发银行大连分行副行长，曾分管公司银行、贸易融资、金融市场、资产管理、小企业金融、</w:t>
      </w:r>
      <w:r>
        <w:rPr>
          <w:w w:val="100"/>
        </w:rPr>
        <w:t> </w:t>
      </w:r>
      <w:r>
        <w:rPr/>
        <w:t>财富管理等多个部门，银行从业</w:t>
      </w:r>
      <w:r>
        <w:rPr>
          <w:rFonts w:ascii="Times New Roman" w:hAnsi="Times New Roman" w:cs="Times New Roman" w:eastAsia="Times New Roman" w:hint="default"/>
        </w:rPr>
        <w:t>20</w:t>
      </w:r>
      <w:r>
        <w:rPr/>
        <w:t>年，具有丰富的银行信贷、资产管理、金融同业业务管理经验，熟悉现代企</w:t>
      </w:r>
      <w:r>
        <w:rPr>
          <w:w w:val="100"/>
        </w:rPr>
        <w:t> </w:t>
      </w:r>
      <w:r>
        <w:rPr/>
        <w:t>业管理制度，现任公司副总经理。</w:t>
      </w:r>
    </w:p>
    <w:p>
      <w:pPr>
        <w:pStyle w:val="BodyText"/>
        <w:spacing w:line="405" w:lineRule="auto" w:before="58"/>
        <w:ind w:right="1168" w:firstLine="399"/>
        <w:jc w:val="both"/>
      </w:pPr>
      <w:r>
        <w:rPr>
          <w:spacing w:val="-1"/>
        </w:rPr>
        <w:t>赵剑，男，中国国籍，无境外永久居留权，</w:t>
      </w:r>
      <w:r>
        <w:rPr>
          <w:rFonts w:ascii="Times New Roman" w:hAnsi="Times New Roman" w:cs="Times New Roman" w:eastAsia="Times New Roman" w:hint="default"/>
          <w:spacing w:val="-1"/>
        </w:rPr>
        <w:t>1983</w:t>
      </w:r>
      <w:r>
        <w:rPr>
          <w:spacing w:val="-1"/>
        </w:rPr>
        <w:t>年出生，中共党员。中国政法大学法学学士，本科学历。</w:t>
      </w:r>
      <w:r>
        <w:rPr>
          <w:w w:val="100"/>
        </w:rPr>
        <w:t> </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月取得深圳证券交易所颁发的董事会秘书资格证书。曾任北京市金杜律师事务所律师，现任公司副总</w:t>
      </w:r>
      <w:r>
        <w:rPr>
          <w:spacing w:val="-60"/>
        </w:rPr>
        <w:t> </w:t>
      </w:r>
      <w:r>
        <w:rPr>
          <w:spacing w:val="-60"/>
        </w:rPr>
      </w:r>
      <w:r>
        <w:rPr/>
        <w:t>经理兼董事会秘书。</w:t>
      </w:r>
    </w:p>
    <w:p>
      <w:pPr>
        <w:pStyle w:val="BodyText"/>
        <w:spacing w:line="405" w:lineRule="auto" w:before="68"/>
        <w:ind w:right="1168" w:firstLine="399"/>
        <w:jc w:val="both"/>
      </w:pPr>
      <w:r>
        <w:rPr>
          <w:spacing w:val="-1"/>
        </w:rPr>
        <w:t>王之瑜，男，中国国籍，无境外永久居留权，</w:t>
      </w:r>
      <w:r>
        <w:rPr>
          <w:rFonts w:ascii="Times New Roman" w:hAnsi="Times New Roman" w:cs="Times New Roman" w:eastAsia="Times New Roman" w:hint="default"/>
          <w:spacing w:val="-1"/>
        </w:rPr>
        <w:t>1976</w:t>
      </w:r>
      <w:r>
        <w:rPr>
          <w:spacing w:val="-1"/>
        </w:rPr>
        <w:t>年出生。沈阳大学，本科学历。曾任北京网新易尚科技</w:t>
      </w:r>
      <w:r>
        <w:rPr>
          <w:w w:val="100"/>
        </w:rPr>
        <w:t> </w:t>
      </w:r>
      <w:r>
        <w:rPr/>
        <w:t>有限公司沈阳办事处经理，</w:t>
      </w:r>
      <w:r>
        <w:rPr>
          <w:rFonts w:ascii="Times New Roman" w:hAnsi="Times New Roman" w:cs="Times New Roman" w:eastAsia="Times New Roman" w:hint="default"/>
        </w:rPr>
        <w:t>2008</w:t>
      </w:r>
      <w:r>
        <w:rPr/>
        <w:t>年加入北京中科金财科技股份有限公司，现任公司副总经理。</w:t>
      </w:r>
    </w:p>
    <w:p>
      <w:pPr>
        <w:pStyle w:val="BodyText"/>
        <w:spacing w:line="405" w:lineRule="auto" w:before="38"/>
        <w:ind w:right="1118" w:firstLine="399"/>
        <w:jc w:val="left"/>
      </w:pPr>
      <w:r>
        <w:rPr>
          <w:spacing w:val="-2"/>
        </w:rPr>
        <w:t>路一名，男，中国国籍，无境外永久居留权，</w:t>
      </w:r>
      <w:r>
        <w:rPr>
          <w:rFonts w:ascii="Times New Roman" w:hAnsi="Times New Roman" w:cs="Times New Roman" w:eastAsia="Times New Roman" w:hint="default"/>
          <w:spacing w:val="-2"/>
        </w:rPr>
        <w:t>1983</w:t>
      </w:r>
      <w:r>
        <w:rPr>
          <w:spacing w:val="-2"/>
        </w:rPr>
        <w:t>年出生。黑龙江工程学院，本科学历。曾任同方知网</w:t>
      </w:r>
      <w:r>
        <w:rPr>
          <w:rFonts w:ascii="Times New Roman" w:hAnsi="Times New Roman" w:cs="Times New Roman" w:eastAsia="Times New Roman" w:hint="default"/>
          <w:spacing w:val="-2"/>
        </w:rPr>
        <w:t>(</w:t>
      </w:r>
      <w:r>
        <w:rPr>
          <w:spacing w:val="-2"/>
        </w:rPr>
        <w:t>北</w:t>
      </w:r>
      <w:r>
        <w:rPr>
          <w:w w:val="100"/>
        </w:rPr>
        <w:t> </w:t>
      </w:r>
      <w:r>
        <w:rPr/>
        <w:t>京</w:t>
      </w:r>
      <w:r>
        <w:rPr>
          <w:rFonts w:ascii="Times New Roman" w:hAnsi="Times New Roman" w:cs="Times New Roman" w:eastAsia="Times New Roman" w:hint="default"/>
        </w:rPr>
        <w:t>)</w:t>
      </w:r>
      <w:r>
        <w:rPr/>
        <w:t>技术有限公司销售总监，</w:t>
      </w:r>
      <w:r>
        <w:rPr>
          <w:rFonts w:ascii="Times New Roman" w:hAnsi="Times New Roman" w:cs="Times New Roman" w:eastAsia="Times New Roman" w:hint="default"/>
        </w:rPr>
        <w:t>2011</w:t>
      </w:r>
      <w:r>
        <w:rPr/>
        <w:t>年加入北京中科金财科技股份有限公司，现任公司副总经理。</w:t>
      </w:r>
      <w:r>
        <w:rPr>
          <w:w w:val="100"/>
        </w:rPr>
        <w:t> </w:t>
      </w:r>
      <w:r>
        <w:rPr/>
        <w:t>在股东单位任职情况</w:t>
      </w:r>
    </w:p>
    <w:p>
      <w:pPr>
        <w:pStyle w:val="BodyText"/>
        <w:spacing w:line="374" w:lineRule="auto" w:before="68"/>
        <w:ind w:right="89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100"/>
        </w:rPr>
        <w:t> </w:t>
      </w:r>
      <w:r>
        <w:rPr/>
        <w:t>在其他单位任职情况</w:t>
      </w:r>
    </w:p>
    <w:p>
      <w:pPr>
        <w:pStyle w:val="BodyText"/>
        <w:spacing w:line="256" w:lineRule="exact"/>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1"/>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北京市君合律师事务所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赵燕</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顾凌云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上海冰鉴信息科技有限公司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董事长兼</w:t>
            </w:r>
          </w:p>
          <w:p>
            <w:pPr>
              <w:pStyle w:val="TableParagraph"/>
              <w:spacing w:line="240" w:lineRule="auto" w:before="117"/>
              <w:ind w:left="23" w:right="0"/>
              <w:jc w:val="left"/>
              <w:rPr>
                <w:rFonts w:ascii="Times New Roman" w:hAnsi="Times New Roman" w:cs="Times New Roman" w:eastAsia="Times New Roman" w:hint="default"/>
                <w:sz w:val="18"/>
                <w:szCs w:val="18"/>
              </w:rPr>
            </w:pPr>
            <w:r>
              <w:rPr>
                <w:rFonts w:ascii="Times New Roman"/>
                <w:sz w:val="18"/>
              </w:rPr>
              <w:t>CEO</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顾凌云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上海冰鉴企业征信服务有限公司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董事长兼</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362"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sz w:val="18"/>
              </w:rPr>
              <w:t>CEO</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顾凌云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上海冰鉴文化传播合伙企业（有限合伙）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顾凌云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南京冰鉴信息科技有限公司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董事长兼</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CEO</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顾凌云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常州冰鉴信息科技有限公司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董事长兼</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CEO</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顾凌云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成都冰鉴信息科技有限公司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董事长兼</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CEO</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顾凌云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南京锐驰鼎欣科技股份有限公司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顾凌云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南京本立道生数据科技有限公司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顾凌云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成都量化金服大数据技术服务有限公司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35"/>
        <w:ind w:right="0"/>
        <w:jc w:val="both"/>
      </w:pPr>
      <w:r>
        <w:rPr/>
        <w:t>公司现任及报告期内离任董事、监事和高级管理人员近三年证券监管机构处罚的情况</w:t>
      </w:r>
    </w:p>
    <w:p>
      <w:pPr>
        <w:pStyle w:val="BodyText"/>
        <w:spacing w:line="240" w:lineRule="auto" w:before="91"/>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不适用</w:t>
      </w:r>
    </w:p>
    <w:p>
      <w:pPr>
        <w:spacing w:line="240" w:lineRule="auto" w:before="1"/>
        <w:rPr>
          <w:rFonts w:ascii="宋体" w:hAnsi="宋体" w:cs="宋体" w:eastAsia="宋体" w:hint="default"/>
          <w:sz w:val="23"/>
          <w:szCs w:val="23"/>
        </w:rPr>
      </w:pPr>
    </w:p>
    <w:p>
      <w:pPr>
        <w:pStyle w:val="Heading2"/>
        <w:spacing w:line="240" w:lineRule="auto"/>
        <w:ind w:right="0"/>
        <w:jc w:val="both"/>
        <w:rPr>
          <w:b w:val="0"/>
          <w:bCs w:val="0"/>
        </w:rPr>
      </w:pPr>
      <w:bookmarkStart w:name="四、董事、监事、高级管理人员报酬情况" w:id="127"/>
      <w:bookmarkEnd w:id="127"/>
      <w:r>
        <w:rPr>
          <w:b w:val="0"/>
          <w:bCs w:val="0"/>
        </w:rPr>
      </w:r>
      <w:r>
        <w:rPr/>
        <w:t>四、董事、监事、高级管理人员报酬情况</w:t>
      </w:r>
      <w:r>
        <w:rPr>
          <w:b w:val="0"/>
          <w:bCs w:val="0"/>
        </w:rPr>
      </w:r>
    </w:p>
    <w:p>
      <w:pPr>
        <w:spacing w:line="240" w:lineRule="auto" w:before="4"/>
        <w:rPr>
          <w:rFonts w:ascii="宋体" w:hAnsi="宋体" w:cs="宋体" w:eastAsia="宋体" w:hint="default"/>
          <w:b/>
          <w:bCs/>
          <w:sz w:val="31"/>
          <w:szCs w:val="31"/>
        </w:rPr>
      </w:pPr>
    </w:p>
    <w:p>
      <w:pPr>
        <w:pStyle w:val="BodyText"/>
        <w:spacing w:line="429" w:lineRule="auto"/>
        <w:ind w:left="553" w:right="0" w:hanging="400"/>
        <w:jc w:val="left"/>
      </w:pPr>
      <w:r>
        <w:rPr/>
        <w:t>董事、监事、高级管理人员报酬的决策程序、确定依据、实际支付情况</w:t>
      </w:r>
      <w:r>
        <w:rPr>
          <w:w w:val="100"/>
        </w:rPr>
        <w:t> </w:t>
      </w:r>
      <w:r>
        <w:rPr>
          <w:spacing w:val="-1"/>
        </w:rPr>
        <w:t>高级管理人员报酬由董事会薪酬与考核委员会提出方案，经董事会审议通过后方可实施；董事的报酬由董</w:t>
      </w:r>
    </w:p>
    <w:p>
      <w:pPr>
        <w:pStyle w:val="BodyText"/>
        <w:spacing w:line="429" w:lineRule="auto" w:before="48"/>
        <w:ind w:right="1169"/>
        <w:jc w:val="both"/>
      </w:pPr>
      <w:r>
        <w:rPr>
          <w:spacing w:val="-1"/>
        </w:rPr>
        <w:t>事会薪酬与考核委员会提出方案，经董事会审议通过后，报送股东大会审议通过方可实施，兼任管理职务的董</w:t>
      </w:r>
      <w:r>
        <w:rPr>
          <w:spacing w:val="-63"/>
        </w:rPr>
        <w:t> </w:t>
      </w:r>
      <w:r>
        <w:rPr>
          <w:spacing w:val="-63"/>
        </w:rPr>
      </w:r>
      <w:r>
        <w:rPr>
          <w:spacing w:val="-1"/>
        </w:rPr>
        <w:t>事，仅领取管理职务薪酬，无董事职务薪酬；监事的报酬由监事会提出方案，经股东大会通过后方可实施，职</w:t>
      </w:r>
      <w:r>
        <w:rPr>
          <w:spacing w:val="-63"/>
        </w:rPr>
        <w:t> </w:t>
      </w:r>
      <w:r>
        <w:rPr>
          <w:spacing w:val="-63"/>
        </w:rPr>
      </w:r>
      <w:r>
        <w:rPr/>
        <w:t>工代表监事和兼任管理职务的监事，仅领取管理职务薪酬，无监事职务薪酬。</w:t>
      </w:r>
    </w:p>
    <w:p>
      <w:pPr>
        <w:pStyle w:val="BodyText"/>
        <w:spacing w:line="429" w:lineRule="auto" w:before="48"/>
        <w:ind w:right="0" w:firstLine="399"/>
        <w:jc w:val="left"/>
      </w:pPr>
      <w:r>
        <w:rPr>
          <w:spacing w:val="-1"/>
        </w:rPr>
        <w:t>确定依据：董事、监事及高级管理人员的报酬根据岗位的主要范围、职责、重要性以及其它相关企业相关</w:t>
      </w:r>
      <w:r>
        <w:rPr>
          <w:w w:val="100"/>
        </w:rPr>
        <w:t> </w:t>
      </w:r>
      <w:r>
        <w:rPr/>
        <w:t>岗位的薪酬水平确定。</w:t>
      </w:r>
    </w:p>
    <w:p>
      <w:pPr>
        <w:pStyle w:val="BodyText"/>
        <w:spacing w:line="240" w:lineRule="auto" w:before="48"/>
        <w:ind w:right="0"/>
        <w:jc w:val="both"/>
      </w:pPr>
      <w:r>
        <w:rPr/>
        <w:t>公司报告期内董事、监事和高级管理人员报酬情况</w:t>
      </w:r>
    </w:p>
    <w:p>
      <w:pPr>
        <w:spacing w:line="240" w:lineRule="auto" w:before="2"/>
        <w:rPr>
          <w:rFonts w:ascii="宋体" w:hAnsi="宋体" w:cs="宋体" w:eastAsia="宋体" w:hint="default"/>
          <w:sz w:val="14"/>
          <w:szCs w:val="14"/>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朱烨东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副董事长兼总经 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刘开同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赵学荣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2"/>
              <w:jc w:val="left"/>
              <w:rPr>
                <w:rFonts w:ascii="宋体" w:hAnsi="宋体" w:cs="宋体" w:eastAsia="宋体" w:hint="default"/>
                <w:sz w:val="18"/>
                <w:szCs w:val="18"/>
              </w:rPr>
            </w:pPr>
            <w:r>
              <w:rPr>
                <w:rFonts w:ascii="宋体" w:hAnsi="宋体" w:cs="宋体" w:eastAsia="宋体" w:hint="default"/>
                <w:sz w:val="18"/>
                <w:szCs w:val="18"/>
              </w:rPr>
              <w:t>董事、副总经理 兼财务总监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贺岩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汪亮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顾凌云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司苗珍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副总经理兼董事 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王之瑜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路一名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张京辉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658.77</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35"/>
        <w:ind w:right="0"/>
        <w:jc w:val="left"/>
      </w:pPr>
      <w:r>
        <w:rPr/>
        <w:t>公司董事、高级管理人员报告期内被授予的股权激励情况</w:t>
      </w:r>
    </w:p>
    <w:p>
      <w:pPr>
        <w:spacing w:line="494" w:lineRule="auto" w:before="91"/>
        <w:ind w:left="154" w:right="7485" w:firstLine="0"/>
        <w:jc w:val="left"/>
        <w:rPr>
          <w:rFonts w:ascii="宋体" w:hAnsi="宋体" w:cs="宋体" w:eastAsia="宋体" w:hint="default"/>
          <w:sz w:val="21"/>
          <w:szCs w:val="21"/>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49"/>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bookmarkStart w:name="五、公司员工情况" w:id="128"/>
      <w:bookmarkEnd w:id="128"/>
      <w:r>
        <w:rPr>
          <w:rFonts w:ascii="宋体" w:hAnsi="宋体" w:cs="宋体" w:eastAsia="宋体" w:hint="default"/>
          <w:w w:val="100"/>
          <w:sz w:val="20"/>
          <w:szCs w:val="20"/>
        </w:rPr>
      </w:r>
      <w:r>
        <w:rPr>
          <w:rFonts w:ascii="宋体" w:hAnsi="宋体" w:cs="宋体" w:eastAsia="宋体" w:hint="default"/>
          <w:b/>
          <w:bCs/>
          <w:sz w:val="24"/>
          <w:szCs w:val="24"/>
        </w:rPr>
        <w:t>五、公司员工情况</w:t>
      </w:r>
      <w:r>
        <w:rPr>
          <w:rFonts w:ascii="宋体" w:hAnsi="宋体" w:cs="宋体" w:eastAsia="宋体" w:hint="default"/>
          <w:b/>
          <w:bCs/>
          <w:w w:val="99"/>
          <w:sz w:val="24"/>
          <w:szCs w:val="24"/>
        </w:rPr>
        <w:t> </w:t>
      </w:r>
      <w:bookmarkStart w:name="1、员工数量、专业构成及教育程度" w:id="129"/>
      <w:bookmarkEnd w:id="12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、员工数量、专业构成及教育程度</w:t>
      </w:r>
      <w:r>
        <w:rPr>
          <w:rFonts w:ascii="宋体" w:hAnsi="宋体" w:cs="宋体" w:eastAsia="宋体" w:hint="default"/>
          <w:sz w:val="21"/>
          <w:szCs w:val="21"/>
        </w:rPr>
      </w:r>
    </w:p>
    <w:p>
      <w:pPr>
        <w:spacing w:line="240" w:lineRule="auto" w:before="11"/>
        <w:rPr>
          <w:rFonts w:ascii="宋体" w:hAnsi="宋体" w:cs="宋体" w:eastAsia="宋体" w:hint="default"/>
          <w:b/>
          <w:bCs/>
          <w:sz w:val="6"/>
          <w:szCs w:val="6"/>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1,004</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1,004</w:t>
            </w:r>
          </w:p>
        </w:tc>
      </w:tr>
      <w:tr>
        <w:trPr>
          <w:trHeight w:val="393"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中高职及以下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1,004</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薪酬政策" w:id="130"/>
      <w:bookmarkEnd w:id="130"/>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3"/>
        <w:rPr>
          <w:rFonts w:ascii="宋体" w:hAnsi="宋体" w:cs="宋体" w:eastAsia="宋体" w:hint="default"/>
          <w:b/>
          <w:bCs/>
          <w:sz w:val="31"/>
          <w:szCs w:val="31"/>
        </w:rPr>
      </w:pPr>
    </w:p>
    <w:p>
      <w:pPr>
        <w:pStyle w:val="BodyText"/>
        <w:spacing w:line="417" w:lineRule="auto"/>
        <w:ind w:right="1126" w:firstLine="399"/>
        <w:jc w:val="left"/>
      </w:pPr>
      <w:r>
        <w:rPr/>
        <w:t>公司实行中科金财多层级合伙人经营责任制，让全体员工参与经营管理，实现</w:t>
      </w:r>
      <w:r>
        <w:rPr>
          <w:rFonts w:ascii="Times New Roman" w:hAnsi="Times New Roman" w:cs="Times New Roman" w:eastAsia="Times New Roman" w:hint="default"/>
        </w:rPr>
        <w:t>“</w:t>
      </w:r>
      <w:r>
        <w:rPr/>
        <w:t>全员参与</w:t>
      </w:r>
      <w:r>
        <w:rPr>
          <w:rFonts w:ascii="Times New Roman" w:hAnsi="Times New Roman" w:cs="Times New Roman" w:eastAsia="Times New Roman" w:hint="default"/>
        </w:rPr>
        <w:t>”</w:t>
      </w:r>
      <w:r>
        <w:rPr/>
        <w:t>的经营理念。公</w:t>
      </w:r>
      <w:r>
        <w:rPr>
          <w:w w:val="100"/>
        </w:rPr>
        <w:t> </w:t>
      </w:r>
      <w:r>
        <w:rPr/>
        <w:t>司向员工提供稳定且有竞争力的薪酬，通过业绩核算，将薪酬与绩效挂钩。公司积极加强对员工的激励，以充</w:t>
      </w:r>
      <w:r>
        <w:rPr>
          <w:w w:val="100"/>
        </w:rPr>
        <w:t> </w:t>
      </w:r>
      <w:r>
        <w:rPr/>
        <w:t>分调动员工的积极性和主动性，充分发挥薪酬吸引、保留、激励人才的战略作用。</w:t>
      </w:r>
      <w:r>
        <w:rPr>
          <w:w w:val="100"/>
        </w:rPr>
        <w:t> </w:t>
      </w:r>
      <w:r>
        <w:rPr>
          <w:spacing w:val="-3"/>
        </w:rPr>
        <w:t>公司需遵守《深圳证券交易所行业信息披露指引第</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号</w:t>
      </w:r>
      <w:r>
        <w:rPr>
          <w:rFonts w:ascii="Times New Roman" w:hAnsi="Times New Roman" w:cs="Times New Roman" w:eastAsia="Times New Roman" w:hint="default"/>
        </w:rPr>
        <w:t>——</w:t>
      </w:r>
      <w:r>
        <w:rPr/>
        <w:t>上市公司从事软件与信息技术服务业务》的披露要</w:t>
      </w:r>
      <w:r>
        <w:rPr>
          <w:w w:val="100"/>
        </w:rPr>
        <w:t> </w:t>
      </w:r>
      <w:r>
        <w:rPr/>
        <w:t>求</w:t>
      </w: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3、培训计划" w:id="131"/>
      <w:bookmarkEnd w:id="131"/>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3"/>
        <w:rPr>
          <w:rFonts w:ascii="宋体" w:hAnsi="宋体" w:cs="宋体" w:eastAsia="宋体" w:hint="default"/>
          <w:b/>
          <w:bCs/>
          <w:sz w:val="31"/>
          <w:szCs w:val="31"/>
        </w:rPr>
      </w:pPr>
    </w:p>
    <w:p>
      <w:pPr>
        <w:pStyle w:val="BodyText"/>
        <w:spacing w:line="429" w:lineRule="auto"/>
        <w:ind w:right="1168" w:firstLine="399"/>
        <w:jc w:val="both"/>
      </w:pPr>
      <w:r>
        <w:rPr>
          <w:spacing w:val="-1"/>
        </w:rPr>
        <w:t>公司建立核心人才数据库，开展培训建设，通过线上、线下、内训、外训多种培训方式，进行人才的开发</w:t>
      </w:r>
      <w:r>
        <w:rPr>
          <w:w w:val="100"/>
        </w:rPr>
        <w:t> </w:t>
      </w:r>
      <w:r>
        <w:rPr>
          <w:spacing w:val="-1"/>
        </w:rPr>
        <w:t>和培养，有效扩大了人才建设的广度和深度。公司通过</w:t>
      </w:r>
      <w:r>
        <w:rPr>
          <w:rFonts w:ascii="宋体" w:hAnsi="宋体" w:cs="宋体" w:eastAsia="宋体" w:hint="default"/>
          <w:spacing w:val="-1"/>
        </w:rPr>
        <w:t>e-learning</w:t>
      </w:r>
      <w:r>
        <w:rPr>
          <w:spacing w:val="-1"/>
        </w:rPr>
        <w:t>系统，将公司的战略模式、经营指导、业务</w:t>
      </w:r>
      <w:r>
        <w:rPr>
          <w:spacing w:val="-58"/>
        </w:rPr>
        <w:t> </w:t>
      </w:r>
      <w:r>
        <w:rPr>
          <w:spacing w:val="-58"/>
        </w:rPr>
      </w:r>
      <w:r>
        <w:rPr>
          <w:spacing w:val="-1"/>
        </w:rPr>
        <w:t>培训全部上线，并将培训与绩效、员工转正挂钩，提高员工培训覆盖率，体现公司“全员参与”的经营理念。</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4、劳务外包情况" w:id="132"/>
      <w:bookmarkEnd w:id="132"/>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6"/>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1"/>
        <w:jc w:val="center"/>
        <w:rPr>
          <w:b w:val="0"/>
          <w:bCs w:val="0"/>
        </w:rPr>
      </w:pPr>
      <w:bookmarkStart w:name="_TOC_250003" w:id="133"/>
      <w:bookmarkStart w:name="第九节 公司治理" w:id="134"/>
      <w:r>
        <w:rPr>
          <w:b w:val="0"/>
          <w:bCs w:val="0"/>
        </w:rPr>
      </w:r>
      <w:r>
        <w:rPr/>
        <w:t>第九节</w:t>
      </w:r>
      <w:r>
        <w:rPr>
          <w:spacing w:val="-5"/>
        </w:rPr>
        <w:t> </w:t>
      </w:r>
      <w:r>
        <w:rPr/>
        <w:t>公司治理</w:t>
      </w:r>
      <w:bookmarkEnd w:id="13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35"/>
      <w:bookmarkEnd w:id="135"/>
      <w:r>
        <w:rPr>
          <w:b w:val="0"/>
          <w:bCs w:val="0"/>
        </w:rPr>
      </w:r>
      <w:r>
        <w:rPr/>
        <w:t>一、公司治理的基本状况</w:t>
      </w:r>
      <w:r>
        <w:rPr>
          <w:b w:val="0"/>
          <w:bCs w:val="0"/>
        </w:rPr>
      </w:r>
    </w:p>
    <w:p>
      <w:pPr>
        <w:spacing w:line="240" w:lineRule="auto" w:before="3"/>
        <w:rPr>
          <w:rFonts w:ascii="宋体" w:hAnsi="宋体" w:cs="宋体" w:eastAsia="宋体" w:hint="default"/>
          <w:b/>
          <w:bCs/>
          <w:sz w:val="31"/>
          <w:szCs w:val="31"/>
        </w:rPr>
      </w:pPr>
    </w:p>
    <w:p>
      <w:pPr>
        <w:pStyle w:val="BodyText"/>
        <w:spacing w:line="429" w:lineRule="auto"/>
        <w:ind w:right="0" w:firstLine="399"/>
        <w:jc w:val="left"/>
      </w:pPr>
      <w:r>
        <w:rPr>
          <w:spacing w:val="-2"/>
        </w:rPr>
        <w:t>公司严格按照《公司法》、《证券法》、《上市公司治理准则》、《股票上市规则》等法律、法规的要求，</w:t>
      </w:r>
      <w:r>
        <w:rPr>
          <w:w w:val="100"/>
        </w:rPr>
        <w:t> </w:t>
      </w:r>
      <w:r>
        <w:rPr/>
        <w:t>不断完善公司治理结构，建立健全内部管理和控制制度，规范公司运作，提高公司治理水平。截至报告期末，</w:t>
      </w:r>
      <w:r>
        <w:rPr>
          <w:w w:val="100"/>
        </w:rPr>
        <w:t> </w:t>
      </w:r>
      <w:r>
        <w:rPr/>
        <w:t>公司已经形成了较为完善的法人治理结构，形成了完善的决策机制、监督机制和执行机制，公司治理的实际情</w:t>
      </w:r>
      <w:r>
        <w:rPr>
          <w:w w:val="100"/>
        </w:rPr>
        <w:t> </w:t>
      </w:r>
      <w:r>
        <w:rPr/>
        <w:t>况与《公司法》和中国证监会相关规定的要求不存在差异。具体情况如下：</w:t>
      </w:r>
    </w:p>
    <w:p>
      <w:pPr>
        <w:pStyle w:val="BodyText"/>
        <w:spacing w:line="429" w:lineRule="auto" w:before="48"/>
        <w:ind w:left="553" w:right="0"/>
        <w:jc w:val="left"/>
      </w:pPr>
      <w:r>
        <w:rPr/>
        <w:t>（一）关于股东与股东大会</w:t>
      </w:r>
      <w:r>
        <w:rPr>
          <w:w w:val="100"/>
        </w:rPr>
        <w:t> </w:t>
      </w:r>
      <w:r>
        <w:rPr>
          <w:spacing w:val="-1"/>
        </w:rPr>
        <w:t>股东大会是公司的最高权力机构，公司依据《公司法》、《上市公司治理准则》、《公司章程》等文件制</w:t>
      </w:r>
    </w:p>
    <w:p>
      <w:pPr>
        <w:pStyle w:val="BodyText"/>
        <w:spacing w:line="429" w:lineRule="auto" w:before="48"/>
        <w:ind w:right="1168"/>
        <w:jc w:val="both"/>
      </w:pPr>
      <w:r>
        <w:rPr>
          <w:spacing w:val="-1"/>
        </w:rPr>
        <w:t>定了《股东大会议事规则》，规范了股东大会召集、召开、表决程序，平等对待所有股东，积极采用网络投票</w:t>
      </w:r>
      <w:r>
        <w:rPr>
          <w:spacing w:val="-63"/>
        </w:rPr>
        <w:t> </w:t>
      </w:r>
      <w:r>
        <w:rPr>
          <w:spacing w:val="-63"/>
        </w:rPr>
      </w:r>
      <w:r>
        <w:rPr>
          <w:spacing w:val="-1"/>
        </w:rPr>
        <w:t>等形式，保障中小股东参与度，保证股东对公司重大事项的知情权和参与权，确保全体股东尤其是中小股东享</w:t>
      </w:r>
      <w:r>
        <w:rPr>
          <w:spacing w:val="-63"/>
        </w:rPr>
        <w:t> </w:t>
      </w:r>
      <w:r>
        <w:rPr>
          <w:spacing w:val="-63"/>
        </w:rPr>
      </w:r>
      <w:r>
        <w:rPr/>
        <w:t>有平等地位，充分行使自己的权利。</w:t>
      </w:r>
    </w:p>
    <w:p>
      <w:pPr>
        <w:pStyle w:val="BodyText"/>
        <w:spacing w:line="429" w:lineRule="auto" w:before="48"/>
        <w:ind w:left="553" w:right="0"/>
        <w:jc w:val="left"/>
      </w:pPr>
      <w:r>
        <w:rPr/>
        <w:t>（二）关于公司与控股股东</w:t>
      </w:r>
      <w:r>
        <w:rPr>
          <w:w w:val="100"/>
        </w:rPr>
        <w:t> </w:t>
      </w:r>
      <w:r>
        <w:rPr>
          <w:spacing w:val="-2"/>
        </w:rPr>
        <w:t>公司拥有独立的业务和自主经营能力，在业务、人员、资产、机构、财务上独立于控股股东，公司董事会、</w:t>
      </w:r>
    </w:p>
    <w:p>
      <w:pPr>
        <w:pStyle w:val="BodyText"/>
        <w:spacing w:line="429" w:lineRule="auto" w:before="48"/>
        <w:ind w:right="1030"/>
        <w:jc w:val="left"/>
      </w:pPr>
      <w:r>
        <w:rPr>
          <w:spacing w:val="-2"/>
        </w:rPr>
        <w:t>监事会和内部机构独立运作。公司控股股东严格根据《上市公司治理准则》、《股票上市规则》、《公司章程》</w:t>
      </w:r>
      <w:r>
        <w:rPr>
          <w:spacing w:val="-80"/>
        </w:rPr>
        <w:t> </w:t>
      </w:r>
      <w:r>
        <w:rPr>
          <w:spacing w:val="-80"/>
        </w:rPr>
      </w:r>
      <w:r>
        <w:rPr/>
        <w:t>规范股东行为，通过股东大会行使股东权利，未发生超越股东大会及董事会而直接或间接干预公司经营与决策</w:t>
      </w:r>
      <w:r>
        <w:rPr>
          <w:w w:val="100"/>
        </w:rPr>
        <w:t> </w:t>
      </w:r>
      <w:r>
        <w:rPr/>
        <w:t>的行为。</w:t>
      </w:r>
    </w:p>
    <w:p>
      <w:pPr>
        <w:pStyle w:val="BodyText"/>
        <w:spacing w:line="429" w:lineRule="auto" w:before="48"/>
        <w:ind w:left="553" w:right="0"/>
        <w:jc w:val="left"/>
      </w:pPr>
      <w:r>
        <w:rPr/>
        <w:t>（三）关于董事与董事会</w:t>
      </w:r>
      <w:r>
        <w:rPr>
          <w:w w:val="100"/>
        </w:rPr>
        <w:t> </w:t>
      </w:r>
      <w:r>
        <w:rPr>
          <w:spacing w:val="-1"/>
        </w:rPr>
        <w:t>公司严格按照《公司法》、《公司章程》等相关法律法规选举产生董事人选，公司目前有独立董事三名，</w:t>
      </w:r>
    </w:p>
    <w:p>
      <w:pPr>
        <w:pStyle w:val="BodyText"/>
        <w:spacing w:line="429" w:lineRule="auto" w:before="48"/>
        <w:ind w:right="1132"/>
        <w:jc w:val="both"/>
      </w:pPr>
      <w:r>
        <w:rPr>
          <w:spacing w:val="-4"/>
        </w:rPr>
        <w:t>占全体董事的三分之一，董事会人数及人员构成符合法律法规和《公司章程》的要求。公司董事会严格按照《公</w:t>
      </w:r>
      <w:r>
        <w:rPr>
          <w:spacing w:val="-80"/>
        </w:rPr>
        <w:t> </w:t>
      </w:r>
      <w:r>
        <w:rPr>
          <w:spacing w:val="-80"/>
        </w:rPr>
      </w:r>
      <w:r>
        <w:rPr/>
        <w:t>司章程》、《独立董事工作制度》及《董事会议事规则》、《规范运作指引》等相关规定召集召开董事会，各</w:t>
      </w:r>
      <w:r>
        <w:rPr>
          <w:w w:val="100"/>
        </w:rPr>
        <w:t> </w:t>
      </w:r>
      <w:r>
        <w:rPr/>
        <w:t>董事按要求出席董事会，认真审议各项议案，勤勉尽责。独立董事独立履行职责，维护公司整体利益，尤其关</w:t>
      </w:r>
      <w:r>
        <w:rPr>
          <w:w w:val="100"/>
        </w:rPr>
        <w:t> </w:t>
      </w:r>
      <w:r>
        <w:rPr/>
        <w:t>注中小股东的合法权益不受损害，对重要及重大事项发表独立意见。</w:t>
      </w:r>
    </w:p>
    <w:p>
      <w:pPr>
        <w:pStyle w:val="BodyText"/>
        <w:spacing w:line="429" w:lineRule="auto" w:before="48"/>
        <w:ind w:left="553" w:right="0"/>
        <w:jc w:val="left"/>
      </w:pPr>
      <w:r>
        <w:rPr/>
        <w:t>（四）关于监事与监事会</w:t>
      </w:r>
      <w:r>
        <w:rPr>
          <w:w w:val="100"/>
        </w:rPr>
        <w:t> </w:t>
      </w:r>
      <w:r>
        <w:rPr>
          <w:spacing w:val="-1"/>
        </w:rPr>
        <w:t>公司严格按照《公司法》、《公司章程》等相关法律法规选举产生监事人选，公司监事会由</w:t>
      </w:r>
      <w:r>
        <w:rPr>
          <w:rFonts w:ascii="宋体" w:hAnsi="宋体" w:cs="宋体" w:eastAsia="宋体" w:hint="default"/>
          <w:spacing w:val="-1"/>
        </w:rPr>
        <w:t>3</w:t>
      </w:r>
      <w:r>
        <w:rPr>
          <w:spacing w:val="-1"/>
        </w:rPr>
        <w:t>名监事组成，</w:t>
      </w:r>
    </w:p>
    <w:p>
      <w:pPr>
        <w:pStyle w:val="BodyText"/>
        <w:spacing w:line="429" w:lineRule="auto" w:before="48"/>
        <w:ind w:right="1169"/>
        <w:jc w:val="both"/>
      </w:pPr>
      <w:r>
        <w:rPr>
          <w:spacing w:val="-1"/>
        </w:rPr>
        <w:t>监事会人数及人员构成符合法律法规的要求。公司监事会严格按照《公司章程》及《监事会议事规则》等相关</w:t>
      </w:r>
      <w:r>
        <w:rPr>
          <w:spacing w:val="-63"/>
        </w:rPr>
        <w:t> </w:t>
      </w:r>
      <w:r>
        <w:rPr>
          <w:spacing w:val="-63"/>
        </w:rPr>
      </w:r>
      <w:r>
        <w:rPr>
          <w:spacing w:val="-1"/>
        </w:rPr>
        <w:t>规定召集召开监事会，各监事按要求出席监事会，认真履行职责，对公司重大事项、关联交易、财务状况等进</w:t>
      </w:r>
      <w:r>
        <w:rPr>
          <w:spacing w:val="-63"/>
        </w:rPr>
        <w:t> </w:t>
      </w:r>
      <w:r>
        <w:rPr>
          <w:spacing w:val="-63"/>
        </w:rPr>
      </w:r>
      <w:r>
        <w:rPr/>
        <w:t>行监督并发表意见，维护了公司及股东的合法权益。</w:t>
      </w:r>
    </w:p>
    <w:p>
      <w:pPr>
        <w:spacing w:after="0" w:line="429"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29" w:lineRule="auto"/>
        <w:ind w:left="553" w:right="0"/>
        <w:jc w:val="left"/>
      </w:pPr>
      <w:r>
        <w:rPr/>
        <w:t>（五）关于信息披露与透明度</w:t>
      </w:r>
      <w:r>
        <w:rPr>
          <w:w w:val="100"/>
        </w:rPr>
        <w:t> </w:t>
      </w:r>
      <w:r>
        <w:rPr>
          <w:spacing w:val="-1"/>
        </w:rPr>
        <w:t>公司严格执行《信息披露管理制度》、《董事会秘书工作制度》、《内幕信息知情人管理制度》等，由董</w:t>
      </w:r>
    </w:p>
    <w:p>
      <w:pPr>
        <w:pStyle w:val="BodyText"/>
        <w:spacing w:line="240" w:lineRule="auto" w:before="48"/>
        <w:ind w:right="0"/>
        <w:jc w:val="both"/>
      </w:pPr>
      <w:r>
        <w:rPr>
          <w:spacing w:val="-6"/>
        </w:rPr>
        <w:t>事会秘书负责信息披露工作，建立投资者专线电话、电子邮箱，提高公司运作的透明度。公司指定《证券时报》、</w:t>
      </w:r>
    </w:p>
    <w:p>
      <w:pPr>
        <w:spacing w:line="240" w:lineRule="auto" w:before="10"/>
        <w:rPr>
          <w:rFonts w:ascii="宋体" w:hAnsi="宋体" w:cs="宋体" w:eastAsia="宋体" w:hint="default"/>
          <w:sz w:val="15"/>
          <w:szCs w:val="15"/>
        </w:rPr>
      </w:pPr>
    </w:p>
    <w:p>
      <w:pPr>
        <w:pStyle w:val="BodyText"/>
        <w:spacing w:line="429" w:lineRule="auto"/>
        <w:ind w:right="0"/>
        <w:jc w:val="left"/>
      </w:pPr>
      <w:r>
        <w:rPr>
          <w:spacing w:val="-1"/>
        </w:rPr>
        <w:t>《证券日报》、《中国证券报》、《上海证券报》及巨潮资讯网作为公司信息披露的法定媒体，严格按照有关</w:t>
      </w:r>
      <w:r>
        <w:rPr>
          <w:spacing w:val="-63"/>
        </w:rPr>
        <w:t> </w:t>
      </w:r>
      <w:r>
        <w:rPr>
          <w:spacing w:val="-63"/>
        </w:rPr>
      </w:r>
      <w:r>
        <w:rPr/>
        <w:t>规定真实、准确、完整、及时地披露有关信息，确保所有投资者能够以平等的机会获取信息。</w:t>
      </w:r>
    </w:p>
    <w:p>
      <w:pPr>
        <w:pStyle w:val="BodyText"/>
        <w:spacing w:line="429" w:lineRule="auto" w:before="48"/>
        <w:ind w:left="553" w:right="0"/>
        <w:jc w:val="left"/>
      </w:pPr>
      <w:r>
        <w:rPr/>
        <w:t>（六）关于相关利益者</w:t>
      </w:r>
      <w:r>
        <w:rPr>
          <w:w w:val="100"/>
        </w:rPr>
        <w:t> </w:t>
      </w:r>
      <w:r>
        <w:rPr>
          <w:spacing w:val="-2"/>
        </w:rPr>
        <w:t>公司充分尊重和维护相关利益者的合法权益，积极加强与相关利益者的沟通和交流，推动公司持续、稳定、</w:t>
      </w:r>
    </w:p>
    <w:p>
      <w:pPr>
        <w:pStyle w:val="BodyText"/>
        <w:spacing w:line="240" w:lineRule="auto" w:before="48"/>
        <w:ind w:right="0"/>
        <w:jc w:val="both"/>
      </w:pPr>
      <w:r>
        <w:rPr/>
        <w:t>健康地发展。公司的治理情况符合中国证监会有关上市公司治理的规范性文件要求。</w:t>
      </w:r>
    </w:p>
    <w:p>
      <w:pPr>
        <w:spacing w:line="240" w:lineRule="auto" w:before="10"/>
        <w:rPr>
          <w:rFonts w:ascii="宋体" w:hAnsi="宋体" w:cs="宋体" w:eastAsia="宋体" w:hint="default"/>
          <w:sz w:val="15"/>
          <w:szCs w:val="15"/>
        </w:rPr>
      </w:pPr>
    </w:p>
    <w:p>
      <w:pPr>
        <w:pStyle w:val="BodyText"/>
        <w:spacing w:line="429" w:lineRule="auto"/>
        <w:ind w:left="553" w:right="0"/>
        <w:jc w:val="left"/>
      </w:pPr>
      <w:r>
        <w:rPr/>
        <w:t>（七）关于公司与投资者</w:t>
      </w:r>
      <w:r>
        <w:rPr>
          <w:w w:val="100"/>
        </w:rPr>
        <w:t> </w:t>
      </w:r>
      <w:r>
        <w:rPr>
          <w:spacing w:val="-1"/>
        </w:rPr>
        <w:t>公司严格执行《投资者关系管理制度》、《机构投资者接待管理办法》，公司董事会秘书为投资者关系管</w:t>
      </w:r>
    </w:p>
    <w:p>
      <w:pPr>
        <w:pStyle w:val="BodyText"/>
        <w:spacing w:line="429" w:lineRule="auto" w:before="48"/>
        <w:ind w:right="0"/>
        <w:jc w:val="left"/>
      </w:pPr>
      <w:r>
        <w:rPr>
          <w:spacing w:val="-1"/>
        </w:rPr>
        <w:t>理负责人，组织实施投资者关系的日常管理工作。报告期内，公司通过电话、接待投资者、深交所投资者关系</w:t>
      </w:r>
      <w:r>
        <w:rPr>
          <w:spacing w:val="-63"/>
        </w:rPr>
        <w:t> </w:t>
      </w:r>
      <w:r>
        <w:rPr>
          <w:spacing w:val="-63"/>
        </w:rPr>
      </w:r>
      <w:r>
        <w:rPr/>
        <w:t>互动平台等方式，加强与投资者的沟通。</w:t>
      </w:r>
    </w:p>
    <w:p>
      <w:pPr>
        <w:pStyle w:val="BodyText"/>
        <w:spacing w:line="429" w:lineRule="auto" w:before="48"/>
        <w:ind w:left="553" w:right="0"/>
        <w:jc w:val="left"/>
      </w:pPr>
      <w:r>
        <w:rPr/>
        <w:t>（八）关于绩效评价与激励约束机制</w:t>
      </w:r>
      <w:r>
        <w:rPr>
          <w:w w:val="100"/>
        </w:rPr>
        <w:t> </w:t>
      </w:r>
      <w:r>
        <w:rPr>
          <w:spacing w:val="-1"/>
        </w:rPr>
        <w:t>公司逐步完善和建立公正、透明的董事、监事及高级管理人员绩效评价体系和激励约束机制，高级管理人</w:t>
      </w:r>
    </w:p>
    <w:p>
      <w:pPr>
        <w:pStyle w:val="BodyText"/>
        <w:spacing w:line="429" w:lineRule="auto" w:before="48"/>
        <w:ind w:right="1169"/>
        <w:jc w:val="both"/>
      </w:pPr>
      <w:r>
        <w:rPr>
          <w:spacing w:val="-1"/>
        </w:rPr>
        <w:t>员的聘任公开、透明，符合有关法律法规和公司内部规章制度的要求。本公司高级管理人员实行年薪制，年薪</w:t>
      </w:r>
      <w:r>
        <w:rPr>
          <w:spacing w:val="-63"/>
        </w:rPr>
        <w:t> </w:t>
      </w:r>
      <w:r>
        <w:rPr>
          <w:spacing w:val="-63"/>
        </w:rPr>
      </w:r>
      <w:r>
        <w:rPr>
          <w:spacing w:val="-1"/>
        </w:rPr>
        <w:t>与年度经营指标完成情况挂钩，同时根据《公司章程》中对高级管理人员履职行为、权限和职责的规定进行综</w:t>
      </w:r>
      <w:r>
        <w:rPr>
          <w:spacing w:val="-63"/>
        </w:rPr>
        <w:t> </w:t>
      </w:r>
      <w:r>
        <w:rPr>
          <w:spacing w:val="-63"/>
        </w:rPr>
      </w:r>
      <w:r>
        <w:rPr/>
        <w:t>合考评。</w:t>
      </w:r>
    </w:p>
    <w:p>
      <w:pPr>
        <w:pStyle w:val="BodyText"/>
        <w:spacing w:line="240" w:lineRule="auto" w:before="11"/>
        <w:ind w:right="0"/>
        <w:jc w:val="both"/>
      </w:pPr>
      <w:r>
        <w:rPr/>
        <w:t>公司治理的实际状况与中国证监会发布的有关上市公司治理的规范性文件是否存在重大差异</w:t>
      </w:r>
    </w:p>
    <w:p>
      <w:pPr>
        <w:pStyle w:val="BodyText"/>
        <w:spacing w:line="304" w:lineRule="auto" w:before="91"/>
        <w:ind w:right="24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否</w:t>
      </w:r>
      <w:r>
        <w:rPr>
          <w:w w:val="100"/>
        </w:rPr>
        <w:t> </w:t>
      </w:r>
      <w:r>
        <w:rPr/>
        <w:t>公司治理的实际状况与中国证监会发布的有关上市公司治理的规范性文件不存在重大差异。</w:t>
      </w:r>
    </w:p>
    <w:p>
      <w:pPr>
        <w:spacing w:line="240" w:lineRule="auto" w:before="1"/>
        <w:rPr>
          <w:rFonts w:ascii="宋体" w:hAnsi="宋体" w:cs="宋体" w:eastAsia="宋体" w:hint="default"/>
          <w:sz w:val="20"/>
          <w:szCs w:val="20"/>
        </w:rPr>
      </w:pPr>
    </w:p>
    <w:p>
      <w:pPr>
        <w:pStyle w:val="Heading2"/>
        <w:spacing w:line="240" w:lineRule="auto"/>
        <w:ind w:right="0"/>
        <w:jc w:val="both"/>
        <w:rPr>
          <w:b w:val="0"/>
          <w:bCs w:val="0"/>
        </w:rPr>
      </w:pPr>
      <w:bookmarkStart w:name="二、公司相对于控股股东在业务、人员、资产、机构、财务等方面的独立情况" w:id="136"/>
      <w:bookmarkEnd w:id="136"/>
      <w:r>
        <w:rPr>
          <w:b w:val="0"/>
          <w:bCs w:val="0"/>
        </w:rPr>
      </w:r>
      <w:r>
        <w:rPr/>
        <w:t>二、公司相对于控股股东在业务、人员、资产、机构、财务等方面的独立情况</w:t>
      </w:r>
      <w:r>
        <w:rPr>
          <w:b w:val="0"/>
          <w:bCs w:val="0"/>
        </w:rPr>
      </w:r>
    </w:p>
    <w:p>
      <w:pPr>
        <w:spacing w:line="240" w:lineRule="auto" w:before="4"/>
        <w:rPr>
          <w:rFonts w:ascii="宋体" w:hAnsi="宋体" w:cs="宋体" w:eastAsia="宋体" w:hint="default"/>
          <w:b/>
          <w:bCs/>
          <w:sz w:val="31"/>
          <w:szCs w:val="31"/>
        </w:rPr>
      </w:pPr>
    </w:p>
    <w:p>
      <w:pPr>
        <w:pStyle w:val="BodyText"/>
        <w:spacing w:line="240" w:lineRule="auto"/>
        <w:ind w:left="553" w:right="0"/>
        <w:jc w:val="left"/>
      </w:pPr>
      <w:r>
        <w:rPr>
          <w:spacing w:val="-3"/>
        </w:rPr>
        <w:t>公司与控股股东在业务、人员、资产、机构、财务等方面完全分开，具有独立完整的业务及自主经营能力。</w:t>
      </w:r>
    </w:p>
    <w:p>
      <w:pPr>
        <w:spacing w:line="240" w:lineRule="auto" w:before="10"/>
        <w:rPr>
          <w:rFonts w:ascii="宋体" w:hAnsi="宋体" w:cs="宋体" w:eastAsia="宋体" w:hint="default"/>
          <w:sz w:val="15"/>
          <w:szCs w:val="15"/>
        </w:rPr>
      </w:pPr>
    </w:p>
    <w:p>
      <w:pPr>
        <w:pStyle w:val="BodyText"/>
        <w:spacing w:line="429" w:lineRule="auto"/>
        <w:ind w:right="0" w:firstLine="399"/>
        <w:jc w:val="left"/>
      </w:pPr>
      <w:r>
        <w:rPr>
          <w:spacing w:val="-1"/>
        </w:rPr>
        <w:t>（一）业务独立：公司拥有独立完整的业务体系及自主经营能力，能够面向市场独立经营、核算和决策，</w:t>
      </w:r>
      <w:r>
        <w:rPr>
          <w:w w:val="100"/>
        </w:rPr>
        <w:t> </w:t>
      </w:r>
      <w:r>
        <w:rPr/>
        <w:t>独立承担责任与风险。公司的业务开展完全独立于控股股东，不存在受制于公司股东及其它关联方的情况。</w:t>
      </w:r>
    </w:p>
    <w:p>
      <w:pPr>
        <w:pStyle w:val="BodyText"/>
        <w:spacing w:line="422" w:lineRule="auto" w:before="48"/>
        <w:ind w:right="0" w:firstLine="399"/>
        <w:jc w:val="left"/>
      </w:pPr>
      <w:r>
        <w:rPr>
          <w:spacing w:val="-3"/>
        </w:rPr>
        <w:t>（二）人员独立：公司董事</w:t>
      </w:r>
      <w:r>
        <w:rPr>
          <w:rFonts w:ascii="Times New Roman" w:hAnsi="Times New Roman" w:cs="Times New Roman" w:eastAsia="Times New Roman" w:hint="default"/>
          <w:spacing w:val="-3"/>
        </w:rPr>
        <w:t>(</w:t>
      </w:r>
      <w:r>
        <w:rPr>
          <w:spacing w:val="-3"/>
        </w:rPr>
        <w:t>含独立董事</w:t>
      </w:r>
      <w:r>
        <w:rPr>
          <w:rFonts w:ascii="Times New Roman" w:hAnsi="Times New Roman" w:cs="Times New Roman" w:eastAsia="Times New Roman" w:hint="default"/>
          <w:spacing w:val="-3"/>
        </w:rPr>
        <w:t>)</w:t>
      </w:r>
      <w:r>
        <w:rPr>
          <w:spacing w:val="-3"/>
        </w:rPr>
        <w:t>、监事及高级管理人员严格按照《公司法》、《公司章程》的有关</w:t>
      </w:r>
      <w:r>
        <w:rPr>
          <w:w w:val="100"/>
        </w:rPr>
        <w:t> </w:t>
      </w:r>
      <w:r>
        <w:rPr>
          <w:spacing w:val="-2"/>
        </w:rPr>
        <w:t>规定产生，公司的总经理、副总经理、财务负责人、董事会秘书等高级管理人员均在公司专职工作并领取薪酬，</w:t>
      </w:r>
      <w:r>
        <w:rPr>
          <w:spacing w:val="-78"/>
        </w:rPr>
        <w:t> </w:t>
      </w:r>
      <w:r>
        <w:rPr>
          <w:spacing w:val="-78"/>
        </w:rPr>
      </w:r>
      <w:r>
        <w:rPr/>
        <w:t>不存在在关联企业兼职领薪的情况；公司高级管理人员的任免均由公司董事会通过合法程序决定，不存在控股</w:t>
      </w:r>
      <w:r>
        <w:rPr>
          <w:w w:val="100"/>
        </w:rPr>
        <w:t> </w:t>
      </w:r>
      <w:r>
        <w:rPr/>
        <w:t>股东干涉人事任免决定的现象；公司拥有独立的员工队伍，并已建立较为完善的劳动用工和人事管理制度。公</w:t>
      </w:r>
      <w:r>
        <w:rPr>
          <w:w w:val="100"/>
        </w:rPr>
        <w:t> </w:t>
      </w:r>
      <w:r>
        <w:rPr/>
        <w:t>司依据国家的法律法规与员工签定了劳动合同并缴纳社会保险费用，公司拥有独立的劳动用工权利，不存在受</w:t>
      </w:r>
    </w:p>
    <w:p>
      <w:pPr>
        <w:spacing w:after="0" w:line="42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ind w:right="0"/>
        <w:jc w:val="left"/>
      </w:pPr>
      <w:r>
        <w:rPr/>
        <w:t>控股股东控制的情形。</w:t>
      </w:r>
    </w:p>
    <w:p>
      <w:pPr>
        <w:spacing w:line="240" w:lineRule="auto" w:before="10"/>
        <w:rPr>
          <w:rFonts w:ascii="宋体" w:hAnsi="宋体" w:cs="宋体" w:eastAsia="宋体" w:hint="default"/>
          <w:sz w:val="15"/>
          <w:szCs w:val="15"/>
        </w:rPr>
      </w:pPr>
    </w:p>
    <w:p>
      <w:pPr>
        <w:pStyle w:val="BodyText"/>
        <w:spacing w:line="429" w:lineRule="auto"/>
        <w:ind w:right="1168" w:firstLine="399"/>
        <w:jc w:val="both"/>
      </w:pPr>
      <w:r>
        <w:rPr>
          <w:spacing w:val="-1"/>
        </w:rPr>
        <w:t>（三）资产独立：公司的资产完整，拥有与生产经营范围相适应的各项资质、设备、知识产权等资产。公</w:t>
      </w:r>
      <w:r>
        <w:rPr>
          <w:w w:val="100"/>
        </w:rPr>
        <w:t> </w:t>
      </w:r>
      <w:r>
        <w:rPr>
          <w:spacing w:val="-1"/>
        </w:rPr>
        <w:t>司的各项资产均不存在被抵押、质押的情况，并对其拥有完整的所有权。公司资产独立于公司控股股东，对所</w:t>
      </w:r>
      <w:r>
        <w:rPr>
          <w:spacing w:val="-63"/>
        </w:rPr>
        <w:t> </w:t>
      </w:r>
      <w:r>
        <w:rPr>
          <w:spacing w:val="-63"/>
        </w:rPr>
      </w:r>
      <w:r>
        <w:rPr>
          <w:spacing w:val="-1"/>
        </w:rPr>
        <w:t>有资产有完全的控制支配权，不存在资产、资金被控股股东占用而损害公司利益的情况，亦不存在为股东和其</w:t>
      </w:r>
      <w:r>
        <w:rPr>
          <w:spacing w:val="-63"/>
        </w:rPr>
        <w:t> </w:t>
      </w:r>
      <w:r>
        <w:rPr>
          <w:spacing w:val="-63"/>
        </w:rPr>
      </w:r>
      <w:r>
        <w:rPr/>
        <w:t>他个人提供担保的情形。</w:t>
      </w:r>
    </w:p>
    <w:p>
      <w:pPr>
        <w:pStyle w:val="BodyText"/>
        <w:spacing w:line="429" w:lineRule="auto" w:before="48"/>
        <w:ind w:right="1169" w:firstLine="399"/>
        <w:jc w:val="both"/>
      </w:pPr>
      <w:r>
        <w:rPr>
          <w:spacing w:val="-1"/>
        </w:rPr>
        <w:t>（四）机构独立：公司依照《公司法》和《公司章程》的规定，设置了股东大会、董事会、监事会，制定</w:t>
      </w:r>
      <w:r>
        <w:rPr>
          <w:w w:val="100"/>
        </w:rPr>
        <w:t> </w:t>
      </w:r>
      <w:r>
        <w:rPr>
          <w:spacing w:val="-1"/>
        </w:rPr>
        <w:t>了议事规则，公司独立行使经营管理职权，独立于公司的控股股东、实际控制人及其控制的其他企业，不存在</w:t>
      </w:r>
      <w:r>
        <w:rPr>
          <w:spacing w:val="-63"/>
        </w:rPr>
        <w:t> </w:t>
      </w:r>
      <w:r>
        <w:rPr>
          <w:spacing w:val="-63"/>
        </w:rPr>
      </w:r>
      <w:r>
        <w:rPr/>
        <w:t>机构混同的情形。公司的办公场所独立于股东单位，不存在混合经营、合署办公的情形。</w:t>
      </w:r>
    </w:p>
    <w:p>
      <w:pPr>
        <w:pStyle w:val="BodyText"/>
        <w:spacing w:line="429" w:lineRule="auto" w:before="48"/>
        <w:ind w:right="1169" w:firstLine="399"/>
        <w:jc w:val="both"/>
      </w:pPr>
      <w:r>
        <w:rPr>
          <w:spacing w:val="-1"/>
        </w:rPr>
        <w:t>（五）财务独立：公司设立了独立的财务部门，配备了专职财务人员，建立了独立的会计核算体系和财务</w:t>
      </w:r>
      <w:r>
        <w:rPr>
          <w:w w:val="100"/>
        </w:rPr>
        <w:t> </w:t>
      </w:r>
      <w:r>
        <w:rPr/>
        <w:t>管理制度。公司在银行独立开户，依法独立纳税，具有独立作出财务决策的能力。</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三、同业竞争情况" w:id="137"/>
      <w:bookmarkEnd w:id="137"/>
      <w:r>
        <w:rPr>
          <w:b w:val="0"/>
          <w:bCs w:val="0"/>
        </w:rPr>
      </w:r>
      <w:r>
        <w:rPr/>
        <w:t>三、同业竞争情况</w:t>
      </w:r>
      <w:r>
        <w:rPr>
          <w:b w:val="0"/>
          <w:bCs w:val="0"/>
        </w:rPr>
      </w:r>
    </w:p>
    <w:p>
      <w:pPr>
        <w:spacing w:line="240" w:lineRule="auto" w:before="4"/>
        <w:rPr>
          <w:rFonts w:ascii="宋体" w:hAnsi="宋体" w:cs="宋体" w:eastAsia="宋体" w:hint="default"/>
          <w:b/>
          <w:bCs/>
          <w:sz w:val="25"/>
          <w:szCs w:val="25"/>
        </w:rPr>
      </w:pPr>
    </w:p>
    <w:p>
      <w:pPr>
        <w:spacing w:line="494" w:lineRule="auto" w:before="0"/>
        <w:ind w:left="154" w:right="3147" w:firstLine="0"/>
        <w:jc w:val="left"/>
        <w:rPr>
          <w:rFonts w:ascii="宋体" w:hAnsi="宋体" w:cs="宋体" w:eastAsia="宋体" w:hint="default"/>
          <w:sz w:val="21"/>
          <w:szCs w:val="21"/>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49"/>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bookmarkStart w:name="四、报告期内召开的年度股东大会和临时股东大会的有关情况" w:id="138"/>
      <w:bookmarkEnd w:id="138"/>
      <w:r>
        <w:rPr>
          <w:rFonts w:ascii="宋体" w:hAnsi="宋体" w:cs="宋体" w:eastAsia="宋体" w:hint="default"/>
          <w:w w:val="100"/>
          <w:sz w:val="20"/>
          <w:szCs w:val="20"/>
        </w:rPr>
      </w:r>
      <w:r>
        <w:rPr>
          <w:rFonts w:ascii="宋体" w:hAnsi="宋体" w:cs="宋体" w:eastAsia="宋体" w:hint="default"/>
          <w:b/>
          <w:bCs/>
          <w:w w:val="95"/>
          <w:sz w:val="24"/>
          <w:szCs w:val="24"/>
        </w:rPr>
        <w:t>四、报告期内召开的年度股东大会和临时股东大会的有关情况</w:t>
      </w:r>
      <w:r>
        <w:rPr>
          <w:rFonts w:ascii="宋体" w:hAnsi="宋体" w:cs="宋体" w:eastAsia="宋体" w:hint="default"/>
          <w:b/>
          <w:bCs/>
          <w:spacing w:val="70"/>
          <w:w w:val="95"/>
          <w:sz w:val="24"/>
          <w:szCs w:val="24"/>
        </w:rPr>
        <w:t> </w:t>
      </w:r>
      <w:bookmarkStart w:name="1、本报告期股东大会情况" w:id="139"/>
      <w:bookmarkEnd w:id="139"/>
      <w:r>
        <w:rPr>
          <w:rFonts w:ascii="宋体" w:hAnsi="宋体" w:cs="宋体" w:eastAsia="宋体" w:hint="default"/>
          <w:b/>
          <w:bCs/>
          <w:spacing w:val="70"/>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spacing w:before="44"/>
        <w:ind w:left="0" w:right="1148" w:firstLine="0"/>
        <w:jc w:val="right"/>
        <w:rPr>
          <w:rFonts w:ascii="宋体" w:hAnsi="宋体" w:cs="宋体" w:eastAsia="宋体" w:hint="default"/>
          <w:sz w:val="18"/>
          <w:szCs w:val="18"/>
        </w:rPr>
      </w:pPr>
      <w:r>
        <w:rPr/>
        <w:pict>
          <v:shape style="position:absolute;margin-left:56.459999pt;margin-top:-114.51825pt;width:479.1pt;height:324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21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3"/>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《北京中科金财科 技股份有限公司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w:t>
                        </w:r>
                        <w:r>
                          <w:rPr>
                            <w:rFonts w:ascii="宋体" w:hAnsi="宋体" w:cs="宋体" w:eastAsia="宋体" w:hint="default"/>
                            <w:spacing w:val="-10"/>
                            <w:sz w:val="18"/>
                            <w:szCs w:val="18"/>
                          </w:rPr>
                          <w:t>会决议公告》刊登于</w:t>
                        </w:r>
                      </w:p>
                      <w:p>
                        <w:pPr>
                          <w:pStyle w:val="TableParagraph"/>
                          <w:spacing w:line="316" w:lineRule="auto" w:before="22"/>
                          <w:ind w:left="23" w:right="20"/>
                          <w:jc w:val="left"/>
                          <w:rPr>
                            <w:rFonts w:ascii="宋体" w:hAnsi="宋体" w:cs="宋体" w:eastAsia="宋体" w:hint="default"/>
                            <w:sz w:val="18"/>
                            <w:szCs w:val="18"/>
                          </w:rPr>
                        </w:pPr>
                        <w:r>
                          <w:rPr>
                            <w:rFonts w:ascii="宋体" w:hAnsi="宋体" w:cs="宋体" w:eastAsia="宋体" w:hint="default"/>
                            <w:spacing w:val="-27"/>
                            <w:sz w:val="18"/>
                            <w:szCs w:val="18"/>
                          </w:rPr>
                          <w:t>《证券时报》、《证券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0"/>
                            <w:sz w:val="18"/>
                            <w:szCs w:val="18"/>
                          </w:rPr>
                          <w:t>日报》、《中国证券</w:t>
                        </w:r>
                        <w:r>
                          <w:rPr>
                            <w:rFonts w:ascii="宋体" w:hAnsi="宋体" w:cs="宋体" w:eastAsia="宋体" w:hint="default"/>
                            <w:sz w:val="18"/>
                            <w:szCs w:val="18"/>
                          </w:rPr>
                          <w:t> </w:t>
                        </w:r>
                        <w:r>
                          <w:rPr>
                            <w:rFonts w:ascii="宋体" w:hAnsi="宋体" w:cs="宋体" w:eastAsia="宋体" w:hint="default"/>
                            <w:spacing w:val="-20"/>
                            <w:sz w:val="18"/>
                            <w:szCs w:val="18"/>
                          </w:rPr>
                          <w:t>报》、《上海证券报</w:t>
                        </w:r>
                        <w:r>
                          <w:rPr>
                            <w:rFonts w:ascii="宋体" w:hAnsi="宋体" w:cs="宋体" w:eastAsia="宋体" w:hint="default"/>
                            <w:sz w:val="18"/>
                            <w:szCs w:val="18"/>
                          </w:rPr>
                          <w:t> 及巨潮资讯</w:t>
                        </w:r>
                      </w:p>
                      <w:p>
                        <w:pPr>
                          <w:pStyle w:val="TableParagraph"/>
                          <w:spacing w:line="362" w:lineRule="auto" w:before="58"/>
                          <w:ind w:left="23" w:right="31"/>
                          <w:jc w:val="left"/>
                          <w:rPr>
                            <w:rFonts w:ascii="Times New Roman" w:hAnsi="Times New Roman" w:cs="Times New Roman" w:eastAsia="Times New Roman" w:hint="default"/>
                            <w:sz w:val="18"/>
                            <w:szCs w:val="18"/>
                          </w:rPr>
                        </w:pPr>
                        <w:hyperlink r:id="rId14">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w:t>
                        </w:r>
                      </w:p>
                    </w:tc>
                  </w:tr>
                  <w:tr>
                    <w:trPr>
                      <w:trHeight w:val="285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19"/>
                          <w:jc w:val="right"/>
                          <w:rPr>
                            <w:rFonts w:ascii="Times New Roman" w:hAnsi="Times New Roman" w:cs="Times New Roman" w:eastAsia="Times New Roman" w:hint="default"/>
                            <w:sz w:val="18"/>
                            <w:szCs w:val="18"/>
                          </w:rPr>
                        </w:pPr>
                        <w:r>
                          <w:rPr>
                            <w:rFonts w:ascii="Times New Roman"/>
                            <w:sz w:val="18"/>
                          </w:rPr>
                          <w:t>21.77%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《北京中科金财科 技股份有限公司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股东大会决议公告 </w:t>
                        </w:r>
                        <w:r>
                          <w:rPr>
                            <w:rFonts w:ascii="宋体" w:hAnsi="宋体" w:cs="宋体" w:eastAsia="宋体" w:hint="default"/>
                            <w:spacing w:val="-20"/>
                            <w:sz w:val="18"/>
                            <w:szCs w:val="18"/>
                          </w:rPr>
                          <w:t>刊登于《证券时报》</w:t>
                        </w:r>
                        <w:r>
                          <w:rPr>
                            <w:rFonts w:ascii="宋体" w:hAnsi="宋体" w:cs="宋体" w:eastAsia="宋体" w:hint="default"/>
                            <w:sz w:val="18"/>
                            <w:szCs w:val="18"/>
                          </w:rPr>
                        </w:r>
                      </w:p>
                      <w:p>
                        <w:pPr>
                          <w:pStyle w:val="TableParagraph"/>
                          <w:spacing w:line="316" w:lineRule="auto" w:before="21"/>
                          <w:ind w:left="23" w:right="20"/>
                          <w:jc w:val="both"/>
                          <w:rPr>
                            <w:rFonts w:ascii="宋体" w:hAnsi="宋体" w:cs="宋体" w:eastAsia="宋体" w:hint="default"/>
                            <w:sz w:val="18"/>
                            <w:szCs w:val="18"/>
                          </w:rPr>
                        </w:pPr>
                        <w:r>
                          <w:rPr>
                            <w:rFonts w:ascii="宋体" w:hAnsi="宋体" w:cs="宋体" w:eastAsia="宋体" w:hint="default"/>
                            <w:spacing w:val="-27"/>
                            <w:sz w:val="18"/>
                            <w:szCs w:val="18"/>
                          </w:rPr>
                          <w:t>《证券日报》、《中国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证券报》、《上海证券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报》及巨潮资讯</w:t>
                        </w:r>
                      </w:p>
                      <w:p>
                        <w:pPr>
                          <w:pStyle w:val="TableParagraph"/>
                          <w:spacing w:line="240" w:lineRule="auto" w:before="58"/>
                          <w:ind w:left="23" w:right="0"/>
                          <w:jc w:val="left"/>
                          <w:rPr>
                            <w:rFonts w:ascii="Times New Roman" w:hAnsi="Times New Roman" w:cs="Times New Roman" w:eastAsia="Times New Roman" w:hint="default"/>
                            <w:sz w:val="18"/>
                            <w:szCs w:val="18"/>
                          </w:rPr>
                        </w:pPr>
                        <w:hyperlink r:id="rId14">
                          <w:r>
                            <w:rPr>
                              <w:rFonts w:ascii="Times New Roman"/>
                              <w:sz w:val="18"/>
                            </w:rPr>
                            <w:t>http://www.cninfo.co</w:t>
                          </w:r>
                        </w:hyperlink>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0"/>
        <w:ind w:left="0" w:right="1148"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76"/>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62"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sz w:val="18"/>
              </w:rPr>
              <w:t>m.cn</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表决权恢复的优先股股东请求召开临时股东大会" w:id="140"/>
      <w:bookmarkEnd w:id="140"/>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5"/>
        <w:rPr>
          <w:rFonts w:ascii="宋体" w:hAnsi="宋体" w:cs="宋体" w:eastAsia="宋体" w:hint="default"/>
          <w:b/>
          <w:bCs/>
          <w:sz w:val="25"/>
          <w:szCs w:val="25"/>
        </w:rPr>
      </w:pPr>
    </w:p>
    <w:p>
      <w:pPr>
        <w:spacing w:line="494" w:lineRule="auto" w:before="0"/>
        <w:ind w:left="154" w:right="6214" w:firstLine="0"/>
        <w:jc w:val="left"/>
        <w:rPr>
          <w:rFonts w:ascii="宋体" w:hAnsi="宋体" w:cs="宋体" w:eastAsia="宋体" w:hint="default"/>
          <w:sz w:val="21"/>
          <w:szCs w:val="21"/>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49"/>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bookmarkStart w:name="五、报告期内独立董事履行职责的情况" w:id="141"/>
      <w:bookmarkEnd w:id="141"/>
      <w:r>
        <w:rPr>
          <w:rFonts w:ascii="宋体" w:hAnsi="宋体" w:cs="宋体" w:eastAsia="宋体" w:hint="default"/>
          <w:w w:val="100"/>
          <w:sz w:val="20"/>
          <w:szCs w:val="20"/>
        </w:rPr>
      </w:r>
      <w:r>
        <w:rPr>
          <w:rFonts w:ascii="宋体" w:hAnsi="宋体" w:cs="宋体" w:eastAsia="宋体" w:hint="default"/>
          <w:b/>
          <w:bCs/>
          <w:w w:val="95"/>
          <w:sz w:val="24"/>
          <w:szCs w:val="24"/>
        </w:rPr>
        <w:t>五、报告期内独立董事履行职责的情况</w:t>
      </w:r>
      <w:r>
        <w:rPr>
          <w:rFonts w:ascii="宋体" w:hAnsi="宋体" w:cs="宋体" w:eastAsia="宋体" w:hint="default"/>
          <w:b/>
          <w:bCs/>
          <w:spacing w:val="73"/>
          <w:w w:val="95"/>
          <w:sz w:val="24"/>
          <w:szCs w:val="24"/>
        </w:rPr>
        <w:t> </w:t>
      </w:r>
      <w:bookmarkStart w:name="1、独立董事出席董事会及股东大会的情况" w:id="142"/>
      <w:bookmarkEnd w:id="142"/>
      <w:r>
        <w:rPr>
          <w:rFonts w:ascii="宋体" w:hAnsi="宋体" w:cs="宋体" w:eastAsia="宋体" w:hint="default"/>
          <w:b/>
          <w:bCs/>
          <w:spacing w:val="73"/>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12"/>
        <w:rPr>
          <w:rFonts w:ascii="宋体" w:hAnsi="宋体" w:cs="宋体" w:eastAsia="宋体" w:hint="default"/>
          <w:b/>
          <w:bCs/>
          <w:sz w:val="6"/>
          <w:szCs w:val="6"/>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白涛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赵燕</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顾凌云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321" w:lineRule="auto" w:before="35"/>
        <w:ind w:right="7767"/>
        <w:jc w:val="left"/>
      </w:pPr>
      <w:r>
        <w:rPr>
          <w:spacing w:val="-1"/>
        </w:rPr>
        <w:t>连续两次未亲自出席董事会的说明</w:t>
      </w:r>
      <w:r>
        <w:rPr>
          <w:spacing w:val="-87"/>
        </w:rPr>
        <w:t> </w:t>
      </w:r>
      <w:r>
        <w:rPr>
          <w:spacing w:val="-87"/>
        </w:rPr>
      </w:r>
      <w:r>
        <w:rPr/>
        <w:t>无。</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独立董事对公司有关事项提出异议的情况" w:id="143"/>
      <w:bookmarkEnd w:id="143"/>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5"/>
        <w:rPr>
          <w:rFonts w:ascii="宋体" w:hAnsi="宋体" w:cs="宋体" w:eastAsia="宋体" w:hint="default"/>
          <w:b/>
          <w:bCs/>
          <w:sz w:val="25"/>
          <w:szCs w:val="25"/>
        </w:rPr>
      </w:pPr>
    </w:p>
    <w:p>
      <w:pPr>
        <w:pStyle w:val="BodyText"/>
        <w:spacing w:line="240" w:lineRule="auto"/>
        <w:ind w:right="0"/>
        <w:jc w:val="left"/>
      </w:pPr>
      <w:r>
        <w:rPr/>
        <w:t>独立董事对公司有关事项是否提出异议</w:t>
      </w:r>
    </w:p>
    <w:p>
      <w:pPr>
        <w:pStyle w:val="BodyText"/>
        <w:spacing w:line="304" w:lineRule="auto" w:before="91"/>
        <w:ind w:right="62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否</w:t>
      </w:r>
      <w:r>
        <w:rPr>
          <w:w w:val="100"/>
        </w:rPr>
        <w:t> </w:t>
      </w:r>
      <w:r>
        <w:rPr>
          <w:spacing w:val="-1"/>
        </w:rPr>
        <w:t>报告期内独立董事对公司有关事项未提出异议。</w:t>
      </w:r>
    </w:p>
    <w:p>
      <w:pPr>
        <w:spacing w:line="240" w:lineRule="auto" w:before="11"/>
        <w:rPr>
          <w:rFonts w:ascii="宋体" w:hAnsi="宋体" w:cs="宋体" w:eastAsia="宋体" w:hint="default"/>
          <w:sz w:val="21"/>
          <w:szCs w:val="21"/>
        </w:rPr>
      </w:pPr>
    </w:p>
    <w:p>
      <w:pPr>
        <w:pStyle w:val="Heading3"/>
        <w:spacing w:line="240" w:lineRule="auto"/>
        <w:ind w:right="0"/>
        <w:jc w:val="left"/>
        <w:rPr>
          <w:b w:val="0"/>
          <w:bCs w:val="0"/>
        </w:rPr>
      </w:pPr>
      <w:bookmarkStart w:name="3、独立董事履行职责的其他说明" w:id="144"/>
      <w:bookmarkEnd w:id="144"/>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31"/>
          <w:szCs w:val="31"/>
        </w:rPr>
      </w:pPr>
    </w:p>
    <w:p>
      <w:pPr>
        <w:pStyle w:val="BodyText"/>
        <w:spacing w:line="240" w:lineRule="auto"/>
        <w:ind w:right="0"/>
        <w:jc w:val="left"/>
      </w:pPr>
      <w:r>
        <w:rPr/>
        <w:t>独立董事对公司有关建议是否被采纳</w:t>
      </w:r>
    </w:p>
    <w:p>
      <w:pPr>
        <w:spacing w:line="240" w:lineRule="auto" w:before="10"/>
        <w:rPr>
          <w:rFonts w:ascii="宋体" w:hAnsi="宋体" w:cs="宋体" w:eastAsia="宋体" w:hint="default"/>
          <w:sz w:val="15"/>
          <w:szCs w:val="15"/>
        </w:rPr>
      </w:pPr>
    </w:p>
    <w:p>
      <w:pPr>
        <w:pStyle w:val="BodyText"/>
        <w:spacing w:line="405" w:lineRule="auto"/>
        <w:ind w:right="62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w w:val="100"/>
        </w:rPr>
        <w:t> </w:t>
      </w:r>
      <w:r>
        <w:rPr>
          <w:spacing w:val="-1"/>
        </w:rPr>
        <w:t>独立董事对公司有关建议被采纳或未被采纳的说明</w:t>
      </w:r>
    </w:p>
    <w:p>
      <w:pPr>
        <w:pStyle w:val="BodyText"/>
        <w:spacing w:line="422" w:lineRule="auto" w:before="68"/>
        <w:ind w:right="1168" w:firstLine="400"/>
        <w:jc w:val="both"/>
      </w:pPr>
      <w:r>
        <w:rPr>
          <w:spacing w:val="-1"/>
        </w:rPr>
        <w:t>公司独立董事在</w:t>
      </w:r>
      <w:r>
        <w:rPr>
          <w:rFonts w:ascii="Times New Roman" w:hAnsi="Times New Roman" w:cs="Times New Roman" w:eastAsia="Times New Roman" w:hint="default"/>
          <w:spacing w:val="-1"/>
        </w:rPr>
        <w:t>2018</w:t>
      </w:r>
      <w:r>
        <w:rPr>
          <w:spacing w:val="-1"/>
        </w:rPr>
        <w:t>年度勤勉尽责，积极了解公司的生产经营情况和财务状况；及时关注经济形势以及市</w:t>
      </w:r>
      <w:r>
        <w:rPr>
          <w:w w:val="100"/>
        </w:rPr>
        <w:t> </w:t>
      </w:r>
      <w:r>
        <w:rPr>
          <w:spacing w:val="-1"/>
        </w:rPr>
        <w:t>场变化对公司经营状况的影响；关注传媒、网络有关公司的相关报道；及时获悉公司重大事项的进展情况，认</w:t>
      </w:r>
      <w:r>
        <w:rPr>
          <w:spacing w:val="-63"/>
        </w:rPr>
        <w:t> </w:t>
      </w:r>
      <w:r>
        <w:rPr>
          <w:spacing w:val="-63"/>
        </w:rPr>
      </w:r>
      <w:r>
        <w:rPr>
          <w:spacing w:val="-1"/>
        </w:rPr>
        <w:t>真审阅公司提供的定期报告、临时公告；对报告期内公司发生的相关事项出具了独立、公正的独立董事意见，</w:t>
      </w:r>
      <w:r>
        <w:rPr>
          <w:spacing w:val="-62"/>
        </w:rPr>
        <w:t> </w:t>
      </w:r>
      <w:r>
        <w:rPr>
          <w:spacing w:val="-62"/>
        </w:rPr>
      </w:r>
      <w:r>
        <w:rPr/>
        <w:t>有效地履行了独立董事的职责，维护了公司和中小股东的合法权益。</w:t>
      </w:r>
    </w:p>
    <w:p>
      <w:pPr>
        <w:spacing w:line="240" w:lineRule="auto" w:before="10"/>
        <w:rPr>
          <w:rFonts w:ascii="宋体" w:hAnsi="宋体" w:cs="宋体" w:eastAsia="宋体" w:hint="default"/>
          <w:sz w:val="18"/>
          <w:szCs w:val="18"/>
        </w:rPr>
      </w:pPr>
    </w:p>
    <w:p>
      <w:pPr>
        <w:pStyle w:val="Heading2"/>
        <w:spacing w:line="240" w:lineRule="auto"/>
        <w:ind w:right="0"/>
        <w:jc w:val="left"/>
        <w:rPr>
          <w:b w:val="0"/>
          <w:bCs w:val="0"/>
        </w:rPr>
      </w:pPr>
      <w:bookmarkStart w:name="六、董事会下设专门委员会在报告期内履行职责情况" w:id="145"/>
      <w:bookmarkEnd w:id="145"/>
      <w:r>
        <w:rPr>
          <w:b w:val="0"/>
          <w:bCs w:val="0"/>
        </w:rPr>
      </w:r>
      <w:r>
        <w:rPr/>
        <w:t>六、董事会下设专门委员会在报告期内履行职责情况</w:t>
      </w:r>
      <w:r>
        <w:rPr>
          <w:b w:val="0"/>
          <w:bCs w:val="0"/>
        </w:rPr>
      </w:r>
    </w:p>
    <w:p>
      <w:pPr>
        <w:spacing w:line="240" w:lineRule="auto" w:before="3"/>
        <w:rPr>
          <w:rFonts w:ascii="宋体" w:hAnsi="宋体" w:cs="宋体" w:eastAsia="宋体" w:hint="default"/>
          <w:b/>
          <w:bCs/>
          <w:sz w:val="31"/>
          <w:szCs w:val="31"/>
        </w:rPr>
      </w:pPr>
    </w:p>
    <w:p>
      <w:pPr>
        <w:pStyle w:val="BodyText"/>
        <w:spacing w:line="240" w:lineRule="auto"/>
        <w:ind w:left="580" w:right="0"/>
        <w:jc w:val="left"/>
      </w:pPr>
      <w:r>
        <w:rPr>
          <w:rFonts w:ascii="Times New Roman" w:hAnsi="Times New Roman" w:cs="Times New Roman" w:eastAsia="Times New Roman" w:hint="default"/>
        </w:rPr>
        <w:t>1.</w:t>
      </w:r>
      <w:r>
        <w:rPr/>
        <w:t>战略委员会</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29" w:lineRule="auto"/>
        <w:ind w:right="0" w:firstLine="399"/>
        <w:jc w:val="left"/>
      </w:pPr>
      <w:r>
        <w:rPr>
          <w:spacing w:val="-2"/>
        </w:rPr>
        <w:t>报告期内，战略委员会根据《董事会战略委员会工作制度》及其他有关规定积极开展工作，认真履行职责。</w:t>
      </w:r>
      <w:r>
        <w:rPr>
          <w:w w:val="100"/>
        </w:rPr>
        <w:t> </w:t>
      </w:r>
      <w:r>
        <w:rPr/>
        <w:t>报告期内，战略委员会向董事会提出的建议，明晰了公司的经营策略，对公司持续稳定健康的发展起到了及其</w:t>
      </w:r>
      <w:r>
        <w:rPr>
          <w:w w:val="100"/>
        </w:rPr>
        <w:t> </w:t>
      </w:r>
      <w:r>
        <w:rPr/>
        <w:t>重要的促进作用，对公司重要事项进行深入的分析研究，为公司发展战略的实施提出了合理的建议。</w:t>
      </w:r>
    </w:p>
    <w:p>
      <w:pPr>
        <w:pStyle w:val="BodyText"/>
        <w:spacing w:line="405" w:lineRule="auto" w:before="48"/>
        <w:ind w:left="553" w:right="0"/>
        <w:jc w:val="left"/>
      </w:pPr>
      <w:r>
        <w:rPr>
          <w:rFonts w:ascii="Times New Roman" w:hAnsi="Times New Roman" w:cs="Times New Roman" w:eastAsia="Times New Roman" w:hint="default"/>
        </w:rPr>
        <w:t>2.</w:t>
      </w:r>
      <w:r>
        <w:rPr/>
        <w:t>审计委员会</w:t>
      </w:r>
      <w:r>
        <w:rPr>
          <w:w w:val="100"/>
        </w:rPr>
        <w:t> </w:t>
      </w:r>
      <w:r>
        <w:rPr>
          <w:spacing w:val="-2"/>
        </w:rPr>
        <w:t>报告期内，审计委员会根据《董事会审计委员会工作制度》及其他有关规定积极开展工作，认真履行职责，</w:t>
      </w:r>
    </w:p>
    <w:p>
      <w:pPr>
        <w:pStyle w:val="BodyText"/>
        <w:spacing w:line="412" w:lineRule="auto" w:before="68"/>
        <w:ind w:right="1130"/>
        <w:jc w:val="both"/>
      </w:pPr>
      <w:r>
        <w:rPr>
          <w:spacing w:val="-2"/>
        </w:rPr>
        <w:t>本着勤勉尽责的原则，充分发挥监督作用，维护审计的独立性，审计委员会共召开</w:t>
      </w:r>
      <w:r>
        <w:rPr>
          <w:rFonts w:ascii="Times New Roman" w:hAnsi="Times New Roman" w:cs="Times New Roman" w:eastAsia="Times New Roman" w:hint="default"/>
          <w:spacing w:val="-2"/>
        </w:rPr>
        <w:t>5</w:t>
      </w:r>
      <w:r>
        <w:rPr>
          <w:spacing w:val="-2"/>
        </w:rPr>
        <w:t>次会议，审议通过了内部审</w:t>
      </w:r>
      <w:r>
        <w:rPr>
          <w:spacing w:val="-75"/>
        </w:rPr>
        <w:t> </w:t>
      </w:r>
      <w:r>
        <w:rPr>
          <w:spacing w:val="-75"/>
        </w:rPr>
      </w:r>
      <w:r>
        <w:rPr/>
        <w:t>计部门</w:t>
      </w:r>
      <w:r>
        <w:rPr>
          <w:rFonts w:ascii="Times New Roman" w:hAnsi="Times New Roman" w:cs="Times New Roman" w:eastAsia="Times New Roman" w:hint="default"/>
        </w:rPr>
        <w:t>2018</w:t>
      </w:r>
      <w:r>
        <w:rPr/>
        <w:t>年各项审计工作汇报，对公司内部控制建立健全情况和财务审计情况进行了监督检查。审核了公司</w:t>
      </w:r>
      <w:r>
        <w:rPr>
          <w:w w:val="100"/>
        </w:rPr>
        <w:t> </w:t>
      </w:r>
      <w:r>
        <w:rPr/>
        <w:t>所有重要的会计政策，定期了解公司财务状况和经营情况，督促和指导公司内部审计部门对公司财务管理运行</w:t>
      </w:r>
      <w:r>
        <w:rPr>
          <w:w w:val="100"/>
        </w:rPr>
        <w:t> </w:t>
      </w:r>
      <w:r>
        <w:rPr/>
        <w:t>情况进行定期和不定期的检查和评估。</w:t>
      </w:r>
    </w:p>
    <w:p>
      <w:pPr>
        <w:pStyle w:val="BodyText"/>
        <w:spacing w:line="405" w:lineRule="auto" w:before="62"/>
        <w:ind w:left="553" w:right="0"/>
        <w:jc w:val="left"/>
      </w:pPr>
      <w:r>
        <w:rPr>
          <w:rFonts w:ascii="Times New Roman" w:hAnsi="Times New Roman" w:cs="Times New Roman" w:eastAsia="Times New Roman" w:hint="default"/>
        </w:rPr>
        <w:t>3.</w:t>
      </w:r>
      <w:r>
        <w:rPr/>
        <w:t>薪酬与考核委员会</w:t>
      </w:r>
      <w:r>
        <w:rPr>
          <w:w w:val="100"/>
        </w:rPr>
        <w:t> </w:t>
      </w:r>
      <w:r>
        <w:rPr>
          <w:spacing w:val="-1"/>
        </w:rPr>
        <w:t>报告期内，薪酬与考核委员会根据《董事会薪酬与考核委员会工作制度》及其他有关规定积极开展工作，</w:t>
      </w:r>
    </w:p>
    <w:p>
      <w:pPr>
        <w:pStyle w:val="BodyText"/>
        <w:spacing w:line="429" w:lineRule="auto" w:before="68"/>
        <w:ind w:right="1168"/>
        <w:jc w:val="both"/>
      </w:pPr>
      <w:r>
        <w:rPr>
          <w:spacing w:val="-1"/>
        </w:rPr>
        <w:t>认真履行职责。报告期内，薪酬与考核委员会召开了两次会议，结合公司经营规模等实际情况并参照行业薪酬</w:t>
      </w:r>
      <w:r>
        <w:rPr>
          <w:spacing w:val="-63"/>
        </w:rPr>
        <w:t> </w:t>
      </w:r>
      <w:r>
        <w:rPr>
          <w:spacing w:val="-63"/>
        </w:rPr>
      </w:r>
      <w:r>
        <w:rPr>
          <w:spacing w:val="-1"/>
        </w:rPr>
        <w:t>水平，对公司董事、监事和高级管理人员的薪酬情况进行了审核，并对公司薪酬体系的改善提出了合理化的建</w:t>
      </w:r>
      <w:r>
        <w:rPr>
          <w:spacing w:val="-63"/>
        </w:rPr>
        <w:t> </w:t>
      </w:r>
      <w:r>
        <w:rPr>
          <w:spacing w:val="-63"/>
        </w:rPr>
      </w:r>
      <w:r>
        <w:rPr/>
        <w:t>议。</w:t>
      </w:r>
    </w:p>
    <w:p>
      <w:pPr>
        <w:pStyle w:val="BodyText"/>
        <w:spacing w:line="405" w:lineRule="auto" w:before="48"/>
        <w:ind w:left="553" w:right="0"/>
        <w:jc w:val="left"/>
      </w:pPr>
      <w:r>
        <w:rPr>
          <w:rFonts w:ascii="Times New Roman" w:hAnsi="Times New Roman" w:cs="Times New Roman" w:eastAsia="Times New Roman" w:hint="default"/>
        </w:rPr>
        <w:t>4.</w:t>
      </w:r>
      <w:r>
        <w:rPr/>
        <w:t>提名委员会</w:t>
      </w:r>
      <w:r>
        <w:rPr>
          <w:w w:val="100"/>
        </w:rPr>
        <w:t> </w:t>
      </w:r>
      <w:r>
        <w:rPr>
          <w:spacing w:val="-2"/>
        </w:rPr>
        <w:t>报告期内，提名委员会根据《董事会提名委员会工作制度》及其他有关规定积极开展工作，认真履行职责。</w:t>
      </w:r>
    </w:p>
    <w:p>
      <w:pPr>
        <w:pStyle w:val="BodyText"/>
        <w:spacing w:line="240" w:lineRule="auto" w:before="68"/>
        <w:ind w:right="0"/>
        <w:jc w:val="both"/>
      </w:pPr>
      <w:r>
        <w:rPr/>
        <w:t>报告期内，提名委员会对公司董监高的构成情况及任职资格等相关情况进行了认真的审核。</w:t>
      </w:r>
    </w:p>
    <w:p>
      <w:pPr>
        <w:spacing w:line="240" w:lineRule="auto" w:before="0"/>
        <w:rPr>
          <w:rFonts w:ascii="宋体" w:hAnsi="宋体" w:cs="宋体" w:eastAsia="宋体" w:hint="default"/>
          <w:sz w:val="20"/>
          <w:szCs w:val="20"/>
        </w:rPr>
      </w:pPr>
    </w:p>
    <w:p>
      <w:pPr>
        <w:pStyle w:val="Heading2"/>
        <w:spacing w:line="240" w:lineRule="auto" w:before="135"/>
        <w:ind w:right="0"/>
        <w:jc w:val="both"/>
        <w:rPr>
          <w:b w:val="0"/>
          <w:bCs w:val="0"/>
        </w:rPr>
      </w:pPr>
      <w:bookmarkStart w:name="七、监事会工作情况" w:id="146"/>
      <w:bookmarkEnd w:id="146"/>
      <w:r>
        <w:rPr>
          <w:b w:val="0"/>
          <w:bCs w:val="0"/>
        </w:rPr>
      </w:r>
      <w:r>
        <w:rPr/>
        <w:t>七、监事会工作情况</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both"/>
      </w:pPr>
      <w:r>
        <w:rPr/>
        <w:t>监事会在报告期内的监督活动中发现公司是否存在风险</w:t>
      </w:r>
    </w:p>
    <w:p>
      <w:pPr>
        <w:pStyle w:val="BodyText"/>
        <w:spacing w:line="304" w:lineRule="auto" w:before="90"/>
        <w:ind w:right="720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否</w:t>
      </w:r>
      <w:r>
        <w:rPr>
          <w:w w:val="100"/>
        </w:rPr>
        <w:t> </w:t>
      </w:r>
      <w:r>
        <w:rPr/>
        <w:t>监事会对报告期内的监督事项无异议。</w:t>
      </w:r>
    </w:p>
    <w:p>
      <w:pPr>
        <w:spacing w:line="240" w:lineRule="auto" w:before="1"/>
        <w:rPr>
          <w:rFonts w:ascii="宋体" w:hAnsi="宋体" w:cs="宋体" w:eastAsia="宋体" w:hint="default"/>
          <w:sz w:val="20"/>
          <w:szCs w:val="20"/>
        </w:rPr>
      </w:pPr>
    </w:p>
    <w:p>
      <w:pPr>
        <w:pStyle w:val="Heading2"/>
        <w:spacing w:line="240" w:lineRule="auto"/>
        <w:ind w:right="0"/>
        <w:jc w:val="both"/>
        <w:rPr>
          <w:b w:val="0"/>
          <w:bCs w:val="0"/>
        </w:rPr>
      </w:pPr>
      <w:bookmarkStart w:name="八、高级管理人员的考评及激励情况" w:id="147"/>
      <w:bookmarkEnd w:id="147"/>
      <w:r>
        <w:rPr>
          <w:b w:val="0"/>
          <w:bCs w:val="0"/>
        </w:rPr>
      </w:r>
      <w:r>
        <w:rPr/>
        <w:t>八、高级管理人员的考评及激励情况</w:t>
      </w:r>
      <w:r>
        <w:rPr>
          <w:b w:val="0"/>
          <w:bCs w:val="0"/>
        </w:rPr>
      </w:r>
    </w:p>
    <w:p>
      <w:pPr>
        <w:spacing w:line="240" w:lineRule="auto" w:before="4"/>
        <w:rPr>
          <w:rFonts w:ascii="宋体" w:hAnsi="宋体" w:cs="宋体" w:eastAsia="宋体" w:hint="default"/>
          <w:b/>
          <w:bCs/>
          <w:sz w:val="31"/>
          <w:szCs w:val="31"/>
        </w:rPr>
      </w:pPr>
    </w:p>
    <w:p>
      <w:pPr>
        <w:pStyle w:val="BodyText"/>
        <w:spacing w:line="429" w:lineRule="auto"/>
        <w:ind w:right="0" w:firstLine="399"/>
        <w:jc w:val="left"/>
      </w:pPr>
      <w:r>
        <w:rPr>
          <w:spacing w:val="-2"/>
        </w:rPr>
        <w:t>公司建立了较为合理的高级管理人员的绩效评价标准和激励约束机制，根据高级管理人员的年度履职情况、</w:t>
      </w:r>
      <w:r>
        <w:rPr>
          <w:w w:val="100"/>
        </w:rPr>
        <w:t> </w:t>
      </w:r>
      <w:r>
        <w:rPr>
          <w:spacing w:val="-4"/>
        </w:rPr>
        <w:t>绩效考核结果和公司经营业绩的情况决定其年度薪酬。</w:t>
      </w:r>
      <w:r>
        <w:rPr>
          <w:rFonts w:ascii="宋体" w:hAnsi="宋体" w:cs="宋体" w:eastAsia="宋体" w:hint="default"/>
          <w:spacing w:val="-4"/>
        </w:rPr>
        <w:t>2018</w:t>
      </w:r>
      <w:r>
        <w:rPr>
          <w:spacing w:val="-4"/>
        </w:rPr>
        <w:t>年公司高级管理人员能够严格按照《公司法》、《公</w:t>
      </w:r>
      <w:r>
        <w:rPr>
          <w:spacing w:val="-70"/>
        </w:rPr>
        <w:t> </w:t>
      </w:r>
      <w:r>
        <w:rPr>
          <w:spacing w:val="-70"/>
        </w:rPr>
      </w:r>
      <w:r>
        <w:rPr>
          <w:spacing w:val="-2"/>
        </w:rPr>
        <w:t>司章程》及国家有关法律法规认真履行职责，积极落实公司股东大会和董事会相关决议，认真履行了工作职责，</w:t>
      </w:r>
      <w:r>
        <w:rPr>
          <w:spacing w:val="-77"/>
        </w:rPr>
        <w:t> </w:t>
      </w:r>
      <w:r>
        <w:rPr>
          <w:spacing w:val="-77"/>
        </w:rPr>
      </w:r>
      <w:r>
        <w:rPr/>
        <w:t>较好的完成了既定目标。公司各项考评及激励机制执行情况良好，起到了应有的激励和约束作用。</w:t>
      </w:r>
    </w:p>
    <w:p>
      <w:pPr>
        <w:spacing w:after="0" w:line="429"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r>
        <w:rPr/>
        <w:pict>
          <v:shape style="position:absolute;margin-left:277.643005pt;margin-top:616.659973pt;width:257.3pt;height:38pt;mso-position-horizontal-relative:page;mso-position-vertical-relative:page;z-index:-1039480" type="#_x0000_t202" filled="false" stroked="false">
            <v:textbox inset="0,0,0,0">
              <w:txbxContent>
                <w:p>
                  <w:pPr>
                    <w:spacing w:line="240" w:lineRule="auto" w:before="0"/>
                    <w:rPr>
                      <w:rFonts w:ascii="宋体" w:hAnsi="宋体" w:cs="宋体" w:eastAsia="宋体" w:hint="default"/>
                      <w:b/>
                      <w:bCs/>
                      <w:sz w:val="18"/>
                      <w:szCs w:val="18"/>
                    </w:rPr>
                  </w:pPr>
                </w:p>
                <w:p>
                  <w:pPr>
                    <w:spacing w:before="126"/>
                    <w:ind w:left="0" w:right="0" w:firstLine="0"/>
                    <w:jc w:val="left"/>
                    <w:rPr>
                      <w:rFonts w:ascii="宋体" w:hAnsi="宋体" w:cs="宋体" w:eastAsia="宋体" w:hint="default"/>
                      <w:sz w:val="18"/>
                      <w:szCs w:val="18"/>
                    </w:rPr>
                  </w:pPr>
                  <w:r>
                    <w:rPr>
                      <w:rFonts w:ascii="宋体" w:hAnsi="宋体" w:cs="宋体" w:eastAsia="宋体" w:hint="default"/>
                      <w:sz w:val="18"/>
                      <w:szCs w:val="18"/>
                    </w:rPr>
                    <w:t>定量标准以合并税前利润、</w:t>
                  </w:r>
                </w:p>
              </w:txbxContent>
            </v:textbox>
            <w10:wrap type="none"/>
          </v:shape>
        </w:pict>
      </w:r>
      <w:r>
        <w:rPr/>
        <w:pict>
          <v:group style="position:absolute;margin-left:383.980011pt;margin-top:543.940002pt;width:154.3pt;height:31.2pt;mso-position-horizontal-relative:page;mso-position-vertical-relative:page;z-index:-1039432" coordorigin="7680,10879" coordsize="3086,624">
            <v:group style="position:absolute;left:7680;top:10879;width:2996;height:312" coordorigin="7680,10879" coordsize="2996,312">
              <v:shape style="position:absolute;left:7680;top:10879;width:2996;height:312" coordorigin="7680,10879" coordsize="2996,312" path="m7680,11191l10675,11191,10675,10879,7680,10879,7680,11191xe" filled="true" fillcolor="#ffffff" stroked="false">
                <v:path arrowok="t"/>
                <v:fill type="solid"/>
              </v:shape>
            </v:group>
            <v:group style="position:absolute;left:7680;top:11191;width:2996;height:312" coordorigin="7680,11191" coordsize="2996,312">
              <v:shape style="position:absolute;left:7680;top:11191;width:2996;height:312" coordorigin="7680,11191" coordsize="2996,312" path="m7680,11503l10675,11503,10675,11191,7680,11191,7680,11503xe" filled="true" fillcolor="#ffffff" stroked="false">
                <v:path arrowok="t"/>
                <v:fill type="solid"/>
              </v:shape>
              <v:shape style="position:absolute;left:10585;top:1125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p>
    <w:p>
      <w:pPr>
        <w:pStyle w:val="Heading2"/>
        <w:spacing w:line="240" w:lineRule="auto" w:before="26"/>
        <w:ind w:right="0"/>
        <w:jc w:val="left"/>
        <w:rPr>
          <w:b w:val="0"/>
          <w:bCs w:val="0"/>
        </w:rPr>
      </w:pPr>
      <w:bookmarkStart w:name="九、内部控制评价报告" w:id="148"/>
      <w:bookmarkEnd w:id="148"/>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49"/>
      <w:bookmarkEnd w:id="149"/>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5"/>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p>
    <w:p>
      <w:pPr>
        <w:spacing w:line="240" w:lineRule="auto" w:before="11"/>
        <w:rPr>
          <w:rFonts w:ascii="宋体" w:hAnsi="宋体" w:cs="宋体" w:eastAsia="宋体" w:hint="default"/>
          <w:sz w:val="24"/>
          <w:szCs w:val="24"/>
        </w:rPr>
      </w:pPr>
    </w:p>
    <w:p>
      <w:pPr>
        <w:pStyle w:val="Heading3"/>
        <w:spacing w:line="240" w:lineRule="auto"/>
        <w:ind w:right="0"/>
        <w:jc w:val="left"/>
        <w:rPr>
          <w:b w:val="0"/>
          <w:bCs w:val="0"/>
        </w:rPr>
      </w:pPr>
      <w:bookmarkStart w:name="2、内控自我评价报告" w:id="150"/>
      <w:bookmarkEnd w:id="150"/>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329"/>
        <w:gridCol w:w="305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73"/>
                <w:sz w:val="18"/>
                <w:szCs w:val="18"/>
              </w:rPr>
              <w:t> </w:t>
            </w:r>
            <w:hyperlink r:id="rId11">
              <w:r>
                <w:rPr>
                  <w:rFonts w:ascii="Times New Roman" w:hAnsi="Times New Roman" w:cs="Times New Roman" w:eastAsia="Times New Roman" w:hint="default"/>
                  <w:sz w:val="18"/>
                  <w:szCs w:val="18"/>
                </w:rPr>
                <w:t>http://www.cninfo.com.cn/</w:t>
              </w:r>
            </w:hyperlink>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502"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9" w:space="0" w:color="FFFFFF"/>
            </w:tcBorders>
          </w:tcPr>
          <w:p>
            <w:pPr>
              <w:pStyle w:val="TableParagraph"/>
              <w:spacing w:line="314" w:lineRule="auto" w:before="52"/>
              <w:ind w:left="22" w:right="41"/>
              <w:jc w:val="left"/>
              <w:rPr>
                <w:rFonts w:ascii="宋体" w:hAnsi="宋体" w:cs="宋体" w:eastAsia="宋体" w:hint="default"/>
                <w:sz w:val="18"/>
                <w:szCs w:val="18"/>
              </w:rPr>
            </w:pPr>
            <w:r>
              <w:rPr>
                <w:rFonts w:ascii="宋体" w:hAnsi="宋体" w:cs="宋体" w:eastAsia="宋体" w:hint="default"/>
                <w:sz w:val="18"/>
                <w:szCs w:val="18"/>
              </w:rPr>
              <w:t>公司确定的财务报告内部控制缺陷评价的 </w:t>
            </w:r>
            <w:r>
              <w:rPr>
                <w:rFonts w:ascii="宋体" w:hAnsi="宋体" w:cs="宋体" w:eastAsia="宋体" w:hint="default"/>
                <w:spacing w:val="-5"/>
                <w:sz w:val="18"/>
                <w:szCs w:val="18"/>
              </w:rPr>
              <w:t>定性标准如下：（</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）财务报告重大缺陷的</w:t>
            </w:r>
            <w:r>
              <w:rPr>
                <w:rFonts w:ascii="宋体" w:hAnsi="宋体" w:cs="宋体" w:eastAsia="宋体" w:hint="default"/>
                <w:spacing w:val="-85"/>
                <w:sz w:val="18"/>
                <w:szCs w:val="18"/>
              </w:rPr>
              <w:t> </w:t>
            </w:r>
            <w:r>
              <w:rPr>
                <w:rFonts w:ascii="宋体" w:hAnsi="宋体" w:cs="宋体" w:eastAsia="宋体" w:hint="default"/>
                <w:sz w:val="18"/>
                <w:szCs w:val="18"/>
              </w:rPr>
              <w:t>迹象包括：①公司董事、监事和高级管理 人员的舞弊行为；②公司因责任事故更正 已公布的财务报告；③注册会计师发现的 却未被公司内部控制识别的当期财务报告 中的重大错报；④审计委员会和审计部对 公司的对外财务报告和财务报告内部控制 </w:t>
            </w:r>
            <w:r>
              <w:rPr>
                <w:rFonts w:ascii="宋体" w:hAnsi="宋体" w:cs="宋体" w:eastAsia="宋体" w:hint="default"/>
                <w:spacing w:val="-5"/>
                <w:sz w:val="18"/>
                <w:szCs w:val="18"/>
              </w:rPr>
              <w:t>监督无效。（</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）财务报告重要缺陷的迹象</w:t>
            </w:r>
            <w:r>
              <w:rPr>
                <w:rFonts w:ascii="宋体" w:hAnsi="宋体" w:cs="宋体" w:eastAsia="宋体" w:hint="default"/>
                <w:spacing w:val="-85"/>
                <w:sz w:val="18"/>
                <w:szCs w:val="18"/>
              </w:rPr>
              <w:t> </w:t>
            </w:r>
            <w:r>
              <w:rPr>
                <w:rFonts w:ascii="宋体" w:hAnsi="宋体" w:cs="宋体" w:eastAsia="宋体" w:hint="default"/>
                <w:sz w:val="18"/>
                <w:szCs w:val="18"/>
              </w:rPr>
              <w:t>包括：①未依照公认会计准则选择和应用 会计政策；②关键岗位人员舞弊；③合规 性监管职能失效，存在违反法规的行为， 该行为对财务报告的可靠性产生重大影 </w:t>
            </w:r>
            <w:r>
              <w:rPr>
                <w:rFonts w:ascii="宋体" w:hAnsi="宋体" w:cs="宋体" w:eastAsia="宋体" w:hint="default"/>
                <w:spacing w:val="-4"/>
                <w:sz w:val="18"/>
                <w:szCs w:val="18"/>
              </w:rPr>
              <w:t>响；④业务过程控制存在一项或多项缺陷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不能合理保证编制的财务报表达到真实、 </w:t>
            </w:r>
            <w:r>
              <w:rPr>
                <w:rFonts w:ascii="宋体" w:hAnsi="宋体" w:cs="宋体" w:eastAsia="宋体" w:hint="default"/>
                <w:spacing w:val="-5"/>
                <w:sz w:val="18"/>
                <w:szCs w:val="18"/>
              </w:rPr>
              <w:t>完整的目标。（</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）一般缺陷是指除上述重</w:t>
            </w:r>
            <w:r>
              <w:rPr>
                <w:rFonts w:ascii="宋体" w:hAnsi="宋体" w:cs="宋体" w:eastAsia="宋体" w:hint="default"/>
                <w:spacing w:val="-85"/>
                <w:sz w:val="18"/>
                <w:szCs w:val="18"/>
              </w:rPr>
              <w:t> </w:t>
            </w:r>
            <w:r>
              <w:rPr>
                <w:rFonts w:ascii="宋体" w:hAnsi="宋体" w:cs="宋体" w:eastAsia="宋体" w:hint="default"/>
                <w:sz w:val="18"/>
                <w:szCs w:val="18"/>
              </w:rPr>
              <w:t>大缺陷、重要缺陷之外的其他控制缺陷。</w:t>
            </w:r>
          </w:p>
        </w:tc>
        <w:tc>
          <w:tcPr>
            <w:tcW w:w="3051" w:type="dxa"/>
            <w:vMerge w:val="restart"/>
            <w:tcBorders>
              <w:top w:val="single" w:sz="4" w:space="0" w:color="000000"/>
              <w:left w:val="single" w:sz="9" w:space="0" w:color="FFFFFF"/>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4" w:lineRule="auto"/>
              <w:ind w:left="16" w:right="25"/>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w:t>
            </w:r>
            <w:r>
              <w:rPr>
                <w:rFonts w:ascii="宋体" w:hAnsi="宋体" w:cs="宋体" w:eastAsia="宋体" w:hint="default"/>
                <w:spacing w:val="-9"/>
                <w:sz w:val="18"/>
                <w:szCs w:val="18"/>
              </w:rPr>
              <w:t>评价的定性标准如下：（</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）非财务报告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重大缺陷的迹象包括：①公司经营活动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严重违反国家法律法规，受到重大处 </w:t>
            </w:r>
            <w:r>
              <w:rPr>
                <w:rFonts w:ascii="宋体" w:hAnsi="宋体" w:cs="宋体" w:eastAsia="宋体" w:hint="default"/>
                <w:spacing w:val="-4"/>
                <w:sz w:val="18"/>
                <w:szCs w:val="18"/>
              </w:rPr>
              <w:t>罚；②媒体负面新闻频频曝光，对公司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声誉造成重大损害；③重要业务缺乏制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度控制或制度系统性失效；④内部控制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评价的结果特别是重大缺陷未得到整 </w:t>
            </w:r>
            <w:r>
              <w:rPr>
                <w:rFonts w:ascii="宋体" w:hAnsi="宋体" w:cs="宋体" w:eastAsia="宋体" w:hint="default"/>
                <w:spacing w:val="-9"/>
                <w:sz w:val="18"/>
                <w:szCs w:val="18"/>
              </w:rPr>
              <w:t>改。（</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）非财务报告重要缺陷的迹象包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括：①公司违反国家法律法规受到轻微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处罚；②重要业务制度控制或系统存在</w:t>
            </w:r>
          </w:p>
          <w:p>
            <w:pPr>
              <w:pStyle w:val="TableParagraph"/>
              <w:spacing w:line="196" w:lineRule="exact" w:before="20"/>
              <w:ind w:left="16" w:right="0"/>
              <w:jc w:val="left"/>
              <w:rPr>
                <w:rFonts w:ascii="宋体" w:hAnsi="宋体" w:cs="宋体" w:eastAsia="宋体" w:hint="default"/>
                <w:sz w:val="18"/>
                <w:szCs w:val="18"/>
              </w:rPr>
            </w:pPr>
            <w:r>
              <w:rPr>
                <w:rFonts w:ascii="宋体" w:hAnsi="宋体" w:cs="宋体" w:eastAsia="宋体" w:hint="default"/>
                <w:sz w:val="18"/>
                <w:szCs w:val="18"/>
              </w:rPr>
              <w:t>缺陷；③内部控制重要缺陷未得到整</w:t>
            </w:r>
          </w:p>
          <w:p>
            <w:pPr>
              <w:pStyle w:val="TableParagraph"/>
              <w:spacing w:line="156"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6" w:right="0"/>
              <w:jc w:val="left"/>
              <w:rPr>
                <w:rFonts w:ascii="宋体" w:hAnsi="宋体" w:cs="宋体" w:eastAsia="宋体" w:hint="default"/>
                <w:sz w:val="18"/>
                <w:szCs w:val="18"/>
              </w:rPr>
            </w:pPr>
            <w:r>
              <w:rPr>
                <w:rFonts w:ascii="宋体" w:hAnsi="宋体" w:cs="宋体" w:eastAsia="宋体" w:hint="default"/>
                <w:sz w:val="18"/>
                <w:szCs w:val="18"/>
              </w:rPr>
              <w:t>改</w:t>
            </w:r>
            <w:r>
              <w:rPr>
                <w:rFonts w:ascii="宋体" w:hAnsi="宋体" w:cs="宋体" w:eastAsia="宋体" w:hint="default"/>
                <w:spacing w:val="-168"/>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78"/>
                <w:sz w:val="18"/>
                <w:szCs w:val="18"/>
              </w:rPr>
              <w:t>）</w:t>
            </w:r>
            <w:r>
              <w:rPr>
                <w:rFonts w:ascii="宋体" w:hAnsi="宋体" w:cs="宋体" w:eastAsia="宋体" w:hint="default"/>
                <w:sz w:val="18"/>
                <w:szCs w:val="18"/>
              </w:rPr>
              <w:t>一般</w:t>
            </w:r>
            <w:r>
              <w:rPr>
                <w:rFonts w:ascii="宋体" w:hAnsi="宋体" w:cs="宋体" w:eastAsia="宋体" w:hint="default"/>
                <w:spacing w:val="1"/>
                <w:sz w:val="18"/>
                <w:szCs w:val="18"/>
              </w:rPr>
              <w:t>缺</w:t>
            </w:r>
            <w:r>
              <w:rPr>
                <w:rFonts w:ascii="宋体" w:hAnsi="宋体" w:cs="宋体" w:eastAsia="宋体" w:hint="default"/>
                <w:sz w:val="18"/>
                <w:szCs w:val="18"/>
              </w:rPr>
              <w:t>陷是指除上述重大缺陷</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重要缺陷之外的其他控制缺陷。</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9" w:space="0" w:color="FFFFFF"/>
            </w:tcBorders>
          </w:tcPr>
          <w:p>
            <w:pPr/>
          </w:p>
        </w:tc>
        <w:tc>
          <w:tcPr>
            <w:tcW w:w="3051" w:type="dxa"/>
            <w:vMerge/>
            <w:tcBorders>
              <w:left w:val="single" w:sz="9" w:space="0" w:color="FFFFFF"/>
              <w:right w:val="nil" w:sz="6" w:space="0" w:color="auto"/>
            </w:tcBorders>
          </w:tcPr>
          <w:p>
            <w:pPr/>
          </w:p>
        </w:tc>
      </w:tr>
      <w:tr>
        <w:trPr>
          <w:trHeight w:val="2501"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9" w:space="0" w:color="FFFFFF"/>
            </w:tcBorders>
          </w:tcPr>
          <w:p>
            <w:pPr/>
          </w:p>
        </w:tc>
        <w:tc>
          <w:tcPr>
            <w:tcW w:w="3051" w:type="dxa"/>
            <w:vMerge/>
            <w:tcBorders>
              <w:left w:val="single" w:sz="9" w:space="0" w:color="FFFFFF"/>
              <w:bottom w:val="single" w:sz="4" w:space="0" w:color="000000"/>
              <w:right w:val="nil" w:sz="6" w:space="0" w:color="auto"/>
            </w:tcBorders>
          </w:tcPr>
          <w:p>
            <w:pPr/>
          </w:p>
        </w:tc>
      </w:tr>
      <w:tr>
        <w:trPr>
          <w:trHeight w:val="1234"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14"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公司确定的财务报告内部控制缺陷评价的 定量标准如下： 资产总额作为衡量指标。内部控制缺陷可 能导致或导致的损失与利润表相关的，以 当期合并税前利润指标衡量。如果该缺陷 单独或连同其他缺陷可能导致的财务报告 错报金额小于合并税前利润的</w:t>
            </w:r>
            <w:r>
              <w:rPr>
                <w:rFonts w:ascii="宋体" w:hAnsi="宋体" w:cs="宋体" w:eastAsia="宋体" w:hint="default"/>
                <w:spacing w:val="-46"/>
                <w:sz w:val="18"/>
                <w:szCs w:val="18"/>
              </w:rPr>
              <w:t> </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，则认定</w:t>
            </w:r>
            <w:r>
              <w:rPr>
                <w:rFonts w:ascii="宋体" w:hAnsi="宋体" w:cs="宋体" w:eastAsia="宋体" w:hint="default"/>
                <w:sz w:val="18"/>
                <w:szCs w:val="18"/>
              </w:rPr>
              <w:t> </w:t>
            </w:r>
            <w:r>
              <w:rPr>
                <w:rFonts w:ascii="宋体" w:hAnsi="宋体" w:cs="宋体" w:eastAsia="宋体" w:hint="default"/>
                <w:spacing w:val="-5"/>
                <w:sz w:val="18"/>
                <w:szCs w:val="18"/>
              </w:rPr>
              <w:t>为一般缺陷；如果超过合并税前利润的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，则为重要缺陷；如果超过合并</w:t>
            </w:r>
          </w:p>
        </w:tc>
        <w:tc>
          <w:tcPr>
            <w:tcW w:w="3051" w:type="dxa"/>
            <w:vMerge w:val="restart"/>
            <w:tcBorders>
              <w:top w:val="single" w:sz="4" w:space="0" w:color="000000"/>
              <w:left w:val="single" w:sz="4" w:space="0" w:color="000000"/>
              <w:right w:val="single" w:sz="4" w:space="0" w:color="000000"/>
            </w:tcBorders>
          </w:tcPr>
          <w:p>
            <w:pPr>
              <w:pStyle w:val="TableParagraph"/>
              <w:spacing w:line="759" w:lineRule="exact"/>
              <w:ind w:right="-51"/>
              <w:jc w:val="left"/>
              <w:rPr>
                <w:rFonts w:ascii="宋体" w:hAnsi="宋体" w:cs="宋体" w:eastAsia="宋体" w:hint="default"/>
                <w:sz w:val="20"/>
                <w:szCs w:val="20"/>
              </w:rPr>
            </w:pPr>
            <w:r>
              <w:rPr>
                <w:rFonts w:ascii="宋体" w:hAnsi="宋体" w:cs="宋体" w:eastAsia="宋体" w:hint="default"/>
                <w:position w:val="-14"/>
                <w:sz w:val="20"/>
                <w:szCs w:val="20"/>
              </w:rPr>
              <w:pict>
                <v:group style="width:152.1pt;height:38pt;mso-position-horizontal-relative:char;mso-position-vertical-relative:line" coordorigin="0,0" coordsize="3042,760">
                  <v:group style="position:absolute;left:0;top:0;width:3042;height:760" coordorigin="0,0" coordsize="3042,760">
                    <v:shape style="position:absolute;left:0;top:0;width:3042;height:760" coordorigin="0,0" coordsize="3042,760" path="m0,760l3041,760,3041,0,0,0,0,760xe" filled="true" fillcolor="#ffffff" stroked="false">
                      <v:path arrowok="t"/>
                      <v:fill type="solid"/>
                    </v:shape>
                  </v:group>
                </v:group>
              </w:pict>
            </w:r>
            <w:r>
              <w:rPr>
                <w:rFonts w:ascii="宋体" w:hAnsi="宋体" w:cs="宋体" w:eastAsia="宋体" w:hint="default"/>
                <w:position w:val="-14"/>
                <w:sz w:val="20"/>
                <w:szCs w:val="20"/>
              </w:rPr>
            </w:r>
          </w:p>
          <w:p>
            <w:pPr>
              <w:pStyle w:val="TableParagraph"/>
              <w:spacing w:line="319"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w:t>
            </w:r>
            <w:r>
              <w:rPr>
                <w:rFonts w:ascii="宋体" w:hAnsi="宋体" w:cs="宋体" w:eastAsia="宋体" w:hint="default"/>
                <w:spacing w:val="-4"/>
                <w:sz w:val="18"/>
                <w:szCs w:val="18"/>
              </w:rPr>
              <w:t>评价的定量标准如下：非财务报告内部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控制缺陷评价的定量标准参照财务报 告内部控制缺陷评价的定量标准执行。</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1234"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322"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税前利润的</w:t>
            </w:r>
            <w:r>
              <w:rPr>
                <w:rFonts w:ascii="宋体" w:hAnsi="宋体" w:cs="宋体" w:eastAsia="宋体" w:hint="default"/>
                <w:spacing w:val="-41"/>
                <w:sz w:val="18"/>
                <w:szCs w:val="18"/>
              </w:rPr>
              <w:t> </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，则认定为重大缺陷。内部</w:t>
            </w:r>
          </w:p>
        </w:tc>
        <w:tc>
          <w:tcPr>
            <w:tcW w:w="3051" w:type="dxa"/>
            <w:vMerge w:val="restart"/>
            <w:tcBorders>
              <w:top w:val="single" w:sz="4" w:space="0" w:color="000000"/>
              <w:left w:val="single" w:sz="4" w:space="0" w:color="000000"/>
              <w:right w:val="single" w:sz="4" w:space="0" w:color="000000"/>
            </w:tcBorders>
          </w:tcPr>
          <w:p>
            <w:pPr>
              <w:pStyle w:val="TableParagraph"/>
              <w:spacing w:line="2849" w:lineRule="exact"/>
              <w:ind w:right="-51"/>
              <w:jc w:val="left"/>
              <w:rPr>
                <w:rFonts w:ascii="宋体" w:hAnsi="宋体" w:cs="宋体" w:eastAsia="宋体" w:hint="default"/>
                <w:sz w:val="20"/>
                <w:szCs w:val="20"/>
              </w:rPr>
            </w:pPr>
            <w:r>
              <w:rPr>
                <w:rFonts w:ascii="宋体" w:hAnsi="宋体" w:cs="宋体" w:eastAsia="宋体" w:hint="default"/>
                <w:position w:val="-56"/>
                <w:sz w:val="20"/>
                <w:szCs w:val="20"/>
              </w:rPr>
              <w:pict>
                <v:group style="width:152.1pt;height:142.5pt;mso-position-horizontal-relative:char;mso-position-vertical-relative:line" coordorigin="0,0" coordsize="3042,2850">
                  <v:group style="position:absolute;left:0;top:0;width:3042;height:2850" coordorigin="0,0" coordsize="3042,2850">
                    <v:shape style="position:absolute;left:0;top:0;width:3042;height:2850" coordorigin="0,0" coordsize="3042,2850" path="m0,2849l3041,2849,3041,0,0,0,0,2849xe" filled="true" fillcolor="#ffffff" stroked="false">
                      <v:path arrowok="t"/>
                      <v:fill type="solid"/>
                    </v:shape>
                  </v:group>
                </v:group>
              </w:pict>
            </w:r>
            <w:r>
              <w:rPr>
                <w:rFonts w:ascii="宋体" w:hAnsi="宋体" w:cs="宋体" w:eastAsia="宋体" w:hint="default"/>
                <w:position w:val="-56"/>
                <w:sz w:val="20"/>
                <w:szCs w:val="20"/>
              </w:rPr>
            </w: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332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控制缺陷可能导致或导致的损失与资产管</w:t>
            </w:r>
          </w:p>
        </w:tc>
        <w:tc>
          <w:tcPr>
            <w:tcW w:w="3051"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9"/>
                <w:sz w:val="18"/>
                <w:szCs w:val="18"/>
              </w:rPr>
              <w:t>理相关的，以当</w:t>
            </w:r>
          </w:p>
        </w:tc>
        <w:tc>
          <w:tcPr>
            <w:tcW w:w="3051"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如果该缺陷单独或连同其他缺陷可能导致</w:t>
            </w:r>
          </w:p>
        </w:tc>
        <w:tc>
          <w:tcPr>
            <w:tcW w:w="3051"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的财务报告错报金额小于合并资产总额的</w:t>
            </w:r>
          </w:p>
        </w:tc>
        <w:tc>
          <w:tcPr>
            <w:tcW w:w="3051"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33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，则认定为一般缺陷；如果超过合并</w:t>
            </w:r>
          </w:p>
        </w:tc>
        <w:tc>
          <w:tcPr>
            <w:tcW w:w="3051"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认定为重要缺</w:t>
            </w:r>
          </w:p>
        </w:tc>
        <w:tc>
          <w:tcPr>
            <w:tcW w:w="3051" w:type="dxa"/>
            <w:vMerge/>
            <w:tcBorders>
              <w:left w:val="single" w:sz="4" w:space="0" w:color="000000"/>
              <w:right w:val="single" w:sz="4" w:space="0" w:color="000000"/>
            </w:tcBorders>
          </w:tcPr>
          <w:p>
            <w:pPr/>
          </w:p>
        </w:tc>
      </w:tr>
      <w:tr>
        <w:trPr>
          <w:trHeight w:val="313" w:hRule="exact"/>
        </w:trPr>
        <w:tc>
          <w:tcPr>
            <w:tcW w:w="3194" w:type="dxa"/>
            <w:vMerge/>
            <w:tcBorders>
              <w:left w:val="single" w:sz="4" w:space="0" w:color="000000"/>
              <w:right w:val="single" w:sz="4" w:space="0" w:color="000000"/>
            </w:tcBorders>
            <w:shd w:val="clear" w:color="auto" w:fill="D2D2D2"/>
          </w:tcPr>
          <w:p>
            <w:pPr/>
          </w:p>
        </w:tc>
        <w:tc>
          <w:tcPr>
            <w:tcW w:w="332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4"/>
                <w:sz w:val="18"/>
                <w:szCs w:val="18"/>
              </w:rPr>
              <w:t>陷；如果超过合并资产总额</w:t>
            </w:r>
            <w:r>
              <w:rPr>
                <w:rFonts w:ascii="宋体" w:hAnsi="宋体" w:cs="宋体" w:eastAsia="宋体" w:hint="default"/>
                <w:spacing w:val="-35"/>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，则认定为</w:t>
            </w:r>
          </w:p>
        </w:tc>
        <w:tc>
          <w:tcPr>
            <w:tcW w:w="3051" w:type="dxa"/>
            <w:vMerge/>
            <w:tcBorders>
              <w:left w:val="single" w:sz="4" w:space="0" w:color="000000"/>
              <w:right w:val="single" w:sz="4" w:space="0" w:color="000000"/>
            </w:tcBorders>
          </w:tcPr>
          <w:p>
            <w:pPr/>
          </w:p>
        </w:tc>
      </w:tr>
      <w:tr>
        <w:trPr>
          <w:trHeight w:val="352"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33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重大缺陷。</w:t>
            </w:r>
          </w:p>
        </w:tc>
        <w:tc>
          <w:tcPr>
            <w:tcW w:w="3051" w:type="dxa"/>
            <w:vMerge/>
            <w:tcBorders>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pict>
          <v:shape style="position:absolute;margin-left:277.634003pt;margin-top:-235.204391pt;width:257.3pt;height:142.5pt;mso-position-horizontal-relative:page;mso-position-vertical-relative:paragraph;z-index:-103938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期合并资产总额指标衡量。</w:t>
                  </w:r>
                </w:p>
              </w:txbxContent>
            </v:textbox>
            <w10:wrap type="none"/>
          </v:shape>
        </w:pict>
      </w:r>
      <w:bookmarkStart w:name="十、内部控制审计报告或鉴证报告" w:id="151"/>
      <w:bookmarkEnd w:id="151"/>
      <w:r>
        <w:rPr>
          <w:b w:val="0"/>
          <w:bCs w:val="0"/>
        </w:rPr>
      </w:r>
      <w:r>
        <w:rPr/>
        <w:t>十、内部控制审计报告或鉴证报告</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t>内部控制鉴证报告</w:t>
      </w:r>
    </w:p>
    <w:p>
      <w:pPr>
        <w:spacing w:line="240" w:lineRule="auto" w:before="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4"/>
              <w:jc w:val="left"/>
              <w:rPr>
                <w:rFonts w:ascii="宋体" w:hAnsi="宋体" w:cs="宋体" w:eastAsia="宋体" w:hint="default"/>
                <w:sz w:val="18"/>
                <w:szCs w:val="18"/>
              </w:rPr>
            </w:pPr>
            <w:r>
              <w:rPr>
                <w:rFonts w:ascii="宋体" w:hAnsi="宋体" w:cs="宋体" w:eastAsia="宋体" w:hint="default"/>
                <w:sz w:val="18"/>
                <w:szCs w:val="18"/>
              </w:rPr>
              <w:t>我们认为，贵公司按照财政部等五部委颁发的《企业内部控制基本规范》及相关规定于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 面保持了与财务报表相关的有效的内部控制。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73"/>
                <w:sz w:val="18"/>
                <w:szCs w:val="18"/>
              </w:rPr>
              <w:t> </w:t>
            </w:r>
            <w:hyperlink r:id="rId11">
              <w:r>
                <w:rPr>
                  <w:rFonts w:ascii="Times New Roman" w:hAnsi="Times New Roman" w:cs="Times New Roman" w:eastAsia="Times New Roman" w:hint="default"/>
                  <w:sz w:val="18"/>
                  <w:szCs w:val="18"/>
                </w:rPr>
                <w:t>http://www.cninfo.com.cn/</w:t>
              </w:r>
            </w:hyperlink>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35"/>
        <w:ind w:right="0"/>
        <w:jc w:val="left"/>
      </w:pPr>
      <w:r>
        <w:rPr/>
        <w:t>会计师事务所是否出具非标准意见的内部控制鉴证报告</w:t>
      </w:r>
    </w:p>
    <w:p>
      <w:pPr>
        <w:pStyle w:val="BodyText"/>
        <w:spacing w:line="304" w:lineRule="auto" w:before="90"/>
        <w:ind w:right="314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否</w:t>
      </w:r>
      <w:r>
        <w:rPr>
          <w:w w:val="100"/>
        </w:rPr>
        <w:t> </w:t>
      </w:r>
      <w:r>
        <w:rPr>
          <w:spacing w:val="-1"/>
        </w:rPr>
        <w:t>会计师事务所出具的内部控制鉴证报告与董事会的自我评价报告意见是否一致</w:t>
      </w:r>
    </w:p>
    <w:p>
      <w:pPr>
        <w:pStyle w:val="BodyText"/>
        <w:spacing w:line="240" w:lineRule="auto" w:before="3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_TOC_250002" w:id="152"/>
      <w:bookmarkStart w:name="第十节 公司债券相关情况" w:id="153"/>
      <w:r>
        <w:rPr>
          <w:b w:val="0"/>
          <w:bCs w:val="0"/>
        </w:rPr>
      </w:r>
      <w:r>
        <w:rPr/>
        <w:t>第十节</w:t>
      </w:r>
      <w:r>
        <w:rPr>
          <w:spacing w:val="-9"/>
        </w:rPr>
        <w:t> </w:t>
      </w:r>
      <w:r>
        <w:rPr/>
        <w:t>公司债券相关情况</w:t>
      </w:r>
      <w:bookmarkEnd w:id="152"/>
      <w:r>
        <w:rPr>
          <w:b w:val="0"/>
          <w:bCs w:val="0"/>
        </w:rPr>
      </w:r>
    </w:p>
    <w:p>
      <w:pPr>
        <w:spacing w:line="240" w:lineRule="auto" w:before="5"/>
        <w:rPr>
          <w:rFonts w:ascii="宋体" w:hAnsi="宋体" w:cs="宋体" w:eastAsia="宋体" w:hint="default"/>
          <w:b/>
          <w:bCs/>
          <w:sz w:val="41"/>
          <w:szCs w:val="41"/>
        </w:rPr>
      </w:pPr>
    </w:p>
    <w:p>
      <w:pPr>
        <w:pStyle w:val="BodyText"/>
        <w:spacing w:line="321" w:lineRule="auto"/>
        <w:ind w:right="1118"/>
        <w:jc w:val="left"/>
      </w:pPr>
      <w:r>
        <w:rPr>
          <w:spacing w:val="-1"/>
        </w:rPr>
        <w:t>公司是否存在公开发行并在证券交易所上市，且在年度报告批准报出日未到期或到期未能全额兑付的公司债券</w:t>
      </w:r>
      <w:r>
        <w:rPr>
          <w:spacing w:val="-63"/>
        </w:rPr>
        <w:t> </w:t>
      </w:r>
      <w:r>
        <w:rPr>
          <w:spacing w:val="-63"/>
        </w:rPr>
      </w:r>
      <w:r>
        <w:rPr/>
        <w:t>否</w:t>
      </w:r>
    </w:p>
    <w:p>
      <w:pPr>
        <w:spacing w:after="0" w:line="321"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8" w:right="0"/>
        <w:jc w:val="left"/>
        <w:rPr>
          <w:b w:val="0"/>
          <w:bCs w:val="0"/>
        </w:rPr>
      </w:pPr>
      <w:bookmarkStart w:name="_TOC_250001" w:id="154"/>
      <w:bookmarkStart w:name="第十一节 财务报告" w:id="155"/>
      <w:r>
        <w:rPr>
          <w:b w:val="0"/>
          <w:bCs w:val="0"/>
        </w:rPr>
      </w:r>
      <w:r>
        <w:rPr/>
        <w:t>第十一节</w:t>
      </w:r>
      <w:r>
        <w:rPr>
          <w:spacing w:val="-6"/>
        </w:rPr>
        <w:t> </w:t>
      </w:r>
      <w:r>
        <w:rPr/>
        <w:t>财务报告</w:t>
      </w:r>
      <w:bookmarkEnd w:id="15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6"/>
      <w:bookmarkEnd w:id="156"/>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ZB10543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张金华、郭晓清</w:t>
            </w:r>
          </w:p>
        </w:tc>
      </w:tr>
    </w:tbl>
    <w:p>
      <w:pPr>
        <w:pStyle w:val="BodyText"/>
        <w:spacing w:line="321" w:lineRule="auto" w:before="35"/>
        <w:ind w:left="4374" w:right="5349"/>
        <w:jc w:val="center"/>
      </w:pPr>
      <w:r>
        <w:rPr/>
        <w:t>审计报告正文</w:t>
      </w:r>
      <w:r>
        <w:rPr>
          <w:w w:val="100"/>
        </w:rPr>
        <w:t> </w:t>
      </w:r>
      <w:r>
        <w:rPr/>
        <w:t>审计报告</w:t>
      </w: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67"/>
        <w:ind w:right="-1"/>
        <w:jc w:val="left"/>
      </w:pPr>
      <w:r>
        <w:rPr>
          <w:spacing w:val="-1"/>
        </w:rPr>
        <w:t>北京中科金财科技股份有限公司全体股东：</w:t>
      </w:r>
    </w:p>
    <w:p>
      <w:pPr>
        <w:spacing w:line="240" w:lineRule="auto" w:before="10"/>
        <w:rPr>
          <w:rFonts w:ascii="宋体" w:hAnsi="宋体" w:cs="宋体" w:eastAsia="宋体" w:hint="default"/>
          <w:sz w:val="15"/>
          <w:szCs w:val="15"/>
        </w:rPr>
      </w:pPr>
    </w:p>
    <w:p>
      <w:pPr>
        <w:pStyle w:val="BodyText"/>
        <w:spacing w:line="240" w:lineRule="auto"/>
        <w:ind w:left="553" w:right="-1"/>
        <w:jc w:val="left"/>
      </w:pPr>
      <w:r>
        <w:rPr/>
        <w:t>（一）审计意见</w:t>
      </w:r>
    </w:p>
    <w:p>
      <w:pPr>
        <w:pStyle w:val="BodyText"/>
        <w:spacing w:line="240" w:lineRule="auto" w:before="38"/>
        <w:ind w:left="153" w:right="0"/>
        <w:jc w:val="left"/>
      </w:pPr>
      <w:r>
        <w:rPr/>
        <w:br w:type="column"/>
      </w:r>
      <w:r>
        <w:rPr/>
        <w:t>信会师报字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ZB10543</w:t>
      </w:r>
      <w:r>
        <w:rPr/>
        <w:t>号</w:t>
      </w:r>
    </w:p>
    <w:p>
      <w:pPr>
        <w:spacing w:after="0" w:line="240" w:lineRule="auto"/>
        <w:jc w:val="left"/>
        <w:sectPr>
          <w:type w:val="continuous"/>
          <w:pgSz w:w="11910" w:h="16840"/>
          <w:pgMar w:top="1060" w:bottom="1160" w:left="980" w:right="0"/>
          <w:cols w:num="2" w:equalWidth="0">
            <w:col w:w="3955" w:space="2996"/>
            <w:col w:w="3979"/>
          </w:cols>
        </w:sectPr>
      </w:pPr>
    </w:p>
    <w:p>
      <w:pPr>
        <w:spacing w:line="240" w:lineRule="auto" w:before="11"/>
        <w:rPr>
          <w:rFonts w:ascii="宋体" w:hAnsi="宋体" w:cs="宋体" w:eastAsia="宋体" w:hint="default"/>
          <w:sz w:val="12"/>
          <w:szCs w:val="12"/>
        </w:rPr>
      </w:pPr>
    </w:p>
    <w:p>
      <w:pPr>
        <w:pStyle w:val="BodyText"/>
        <w:spacing w:line="405" w:lineRule="auto" w:before="38"/>
        <w:ind w:right="1168" w:firstLine="399"/>
        <w:jc w:val="both"/>
      </w:pPr>
      <w:r>
        <w:rPr>
          <w:spacing w:val="-1"/>
        </w:rPr>
        <w:t>我们审计了北京中科金财科技股份有限公司（以下简称中科金财）财务报表，包括</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w:t>
      </w:r>
      <w:r>
        <w:rPr>
          <w:w w:val="100"/>
        </w:rPr>
        <w:t> </w:t>
      </w:r>
      <w:r>
        <w:rPr>
          <w:spacing w:val="-1"/>
        </w:rPr>
        <w:t>及母公司资产负债表，</w:t>
      </w:r>
      <w:r>
        <w:rPr>
          <w:rFonts w:ascii="Times New Roman" w:hAnsi="Times New Roman" w:cs="Times New Roman" w:eastAsia="Times New Roman" w:hint="default"/>
          <w:spacing w:val="-1"/>
        </w:rPr>
        <w:t>2018</w:t>
      </w:r>
      <w:r>
        <w:rPr>
          <w:spacing w:val="-1"/>
        </w:rPr>
        <w:t>年度的合并及母公司利润表、合并及母公司现金流量表、合并及母公司股东权益变</w:t>
      </w:r>
      <w:r>
        <w:rPr>
          <w:spacing w:val="-60"/>
        </w:rPr>
        <w:t> </w:t>
      </w:r>
      <w:r>
        <w:rPr>
          <w:spacing w:val="-60"/>
        </w:rPr>
      </w:r>
      <w:r>
        <w:rPr/>
        <w:t>动表以及相关财务报表附注。</w:t>
      </w:r>
    </w:p>
    <w:p>
      <w:pPr>
        <w:pStyle w:val="BodyText"/>
        <w:spacing w:line="405" w:lineRule="auto" w:before="68"/>
        <w:ind w:right="1168" w:firstLine="399"/>
        <w:jc w:val="both"/>
      </w:pPr>
      <w:r>
        <w:rPr>
          <w:spacing w:val="-1"/>
        </w:rPr>
        <w:t>我们认为，后附的财务报表在所有重大方面按照企业会计准则的规定编制，公允反映了中科金财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rFonts w:ascii="Times New Roman" w:hAnsi="Times New Roman" w:cs="Times New Roman" w:eastAsia="Times New Roman" w:hint="default"/>
          <w:w w:val="100"/>
        </w:rPr>
        <w:t> </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2018</w:t>
      </w:r>
      <w:r>
        <w:rPr/>
        <w:t>年度的合并及母公司经营成果和现金流量。</w:t>
      </w:r>
    </w:p>
    <w:p>
      <w:pPr>
        <w:pStyle w:val="BodyText"/>
        <w:spacing w:line="429" w:lineRule="auto" w:before="38"/>
        <w:ind w:left="553" w:right="0"/>
        <w:jc w:val="left"/>
      </w:pPr>
      <w:r>
        <w:rPr/>
        <w:t>（二）形成审计意见的基础</w:t>
      </w:r>
      <w:r>
        <w:rPr>
          <w:w w:val="100"/>
        </w:rPr>
        <w:t> </w:t>
      </w:r>
      <w:r>
        <w:rPr>
          <w:spacing w:val="-1"/>
        </w:rPr>
        <w:t>我们按照中国注册会计师审计准则的规定执行了审计工作。审计报告的</w:t>
      </w:r>
      <w:r>
        <w:rPr>
          <w:rFonts w:ascii="Times New Roman" w:hAnsi="Times New Roman" w:cs="Times New Roman" w:eastAsia="Times New Roman" w:hint="default"/>
          <w:spacing w:val="-1"/>
        </w:rPr>
        <w:t>“</w:t>
      </w:r>
      <w:r>
        <w:rPr>
          <w:spacing w:val="-1"/>
        </w:rPr>
        <w:t>注册会计师对财务报表审计的责</w:t>
      </w:r>
    </w:p>
    <w:p>
      <w:pPr>
        <w:pStyle w:val="BodyText"/>
        <w:spacing w:line="417" w:lineRule="auto" w:before="16"/>
        <w:ind w:right="1132"/>
        <w:jc w:val="both"/>
      </w:pPr>
      <w:r>
        <w:rPr>
          <w:spacing w:val="-2"/>
        </w:rPr>
        <w:t>任</w:t>
      </w:r>
      <w:r>
        <w:rPr>
          <w:rFonts w:ascii="Times New Roman" w:hAnsi="Times New Roman" w:cs="Times New Roman" w:eastAsia="Times New Roman" w:hint="default"/>
          <w:spacing w:val="-2"/>
        </w:rPr>
        <w:t>”</w:t>
      </w:r>
      <w:r>
        <w:rPr>
          <w:spacing w:val="-2"/>
        </w:rPr>
        <w:t>部分进一步阐述了我们在这些准则下的责任。按照中国注册会计师职业道德守则，我们独立于中科金财，并</w:t>
      </w:r>
      <w:r>
        <w:rPr>
          <w:spacing w:val="-67"/>
        </w:rPr>
        <w:t> </w:t>
      </w:r>
      <w:r>
        <w:rPr>
          <w:spacing w:val="-67"/>
        </w:rPr>
      </w:r>
      <w:r>
        <w:rPr/>
        <w:t>履行了职业道德方面的其他责任。我们相信，我们获取的审计证据是充分、适当的，为发表审计意见提供了基</w:t>
      </w:r>
      <w:r>
        <w:rPr>
          <w:w w:val="100"/>
        </w:rPr>
        <w:t> </w:t>
      </w:r>
      <w:r>
        <w:rPr/>
        <w:t>础。</w:t>
      </w:r>
    </w:p>
    <w:p>
      <w:pPr>
        <w:pStyle w:val="BodyText"/>
        <w:spacing w:line="429" w:lineRule="auto" w:before="58"/>
        <w:ind w:left="553" w:right="0"/>
        <w:jc w:val="left"/>
      </w:pPr>
      <w:r>
        <w:rPr/>
        <w:t>（三）关键审计事项</w:t>
      </w:r>
      <w:r>
        <w:rPr>
          <w:w w:val="100"/>
        </w:rPr>
        <w:t> </w:t>
      </w:r>
      <w:r>
        <w:rPr>
          <w:spacing w:val="-1"/>
        </w:rPr>
        <w:t>关键审计事项是我们根据职业判断，认为对本期财务报表审计最为重要的事项。这些事项的应对以对财务</w:t>
      </w:r>
    </w:p>
    <w:p>
      <w:pPr>
        <w:pStyle w:val="BodyText"/>
        <w:spacing w:line="429" w:lineRule="auto" w:before="48"/>
        <w:ind w:right="1168"/>
        <w:jc w:val="both"/>
      </w:pPr>
      <w:r>
        <w:rPr/>
        <w:pict>
          <v:shape style="position:absolute;margin-left:81.320pt;margin-top:45.599659pt;width:433.15pt;height:52.8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434"/>
                    <w:gridCol w:w="4206"/>
                  </w:tblGrid>
                  <w:tr>
                    <w:trPr>
                      <w:trHeight w:val="347" w:hRule="exact"/>
                    </w:trPr>
                    <w:tc>
                      <w:tcPr>
                        <w:tcW w:w="4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关键审计事项</w:t>
                        </w:r>
                      </w:p>
                    </w:tc>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794" w:right="0"/>
                          <w:jc w:val="left"/>
                          <w:rPr>
                            <w:rFonts w:ascii="宋体" w:hAnsi="宋体" w:cs="宋体" w:eastAsia="宋体" w:hint="default"/>
                            <w:sz w:val="20"/>
                            <w:szCs w:val="20"/>
                          </w:rPr>
                        </w:pPr>
                        <w:r>
                          <w:rPr>
                            <w:rFonts w:ascii="宋体" w:hAnsi="宋体" w:cs="宋体" w:eastAsia="宋体" w:hint="default"/>
                            <w:sz w:val="20"/>
                            <w:szCs w:val="20"/>
                          </w:rPr>
                          <w:t>该事项在审计中是如何应对的</w:t>
                        </w:r>
                      </w:p>
                    </w:tc>
                  </w:tr>
                  <w:tr>
                    <w:trPr>
                      <w:trHeight w:val="347" w:hRule="exact"/>
                    </w:trPr>
                    <w:tc>
                      <w:tcPr>
                        <w:tcW w:w="864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（一）商誉的减值</w:t>
                        </w:r>
                      </w:p>
                    </w:tc>
                  </w:tr>
                  <w:tr>
                    <w:trPr>
                      <w:trHeight w:val="348" w:hRule="exact"/>
                    </w:trPr>
                    <w:tc>
                      <w:tcPr>
                        <w:tcW w:w="4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商誉减值的会计政策详情及分析请参阅合并财务报</w:t>
                        </w:r>
                      </w:p>
                    </w:tc>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与商誉减值有关的审计程序包括：</w:t>
                        </w:r>
                      </w:p>
                    </w:tc>
                  </w:tr>
                </w:tbl>
                <w:p>
                  <w:pPr/>
                </w:p>
              </w:txbxContent>
            </v:textbox>
            <w10:wrap type="none"/>
          </v:shape>
        </w:pict>
      </w:r>
      <w:r>
        <w:rPr>
          <w:spacing w:val="-1"/>
        </w:rPr>
        <w:t>报表整体进行审计并形成审计意见为背景，我们不对这些事项单独发表意见。我们确定下列事项是需要在审计</w:t>
      </w:r>
      <w:r>
        <w:rPr>
          <w:spacing w:val="-63"/>
        </w:rPr>
        <w:t> </w:t>
      </w:r>
      <w:r>
        <w:rPr>
          <w:spacing w:val="-63"/>
        </w:rPr>
      </w:r>
      <w:r>
        <w:rPr/>
        <w:t>报告中沟通的关键审计事项。</w:t>
      </w:r>
    </w:p>
    <w:p>
      <w:pPr>
        <w:spacing w:after="0" w:line="429" w:lineRule="auto"/>
        <w:jc w:val="both"/>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646" w:type="dxa"/>
        <w:tblLayout w:type="fixed"/>
        <w:tblCellMar>
          <w:top w:w="0" w:type="dxa"/>
          <w:left w:w="0" w:type="dxa"/>
          <w:bottom w:w="0" w:type="dxa"/>
          <w:right w:w="0" w:type="dxa"/>
        </w:tblCellMar>
        <w:tblLook w:val="01E0"/>
      </w:tblPr>
      <w:tblGrid>
        <w:gridCol w:w="4434"/>
        <w:gridCol w:w="4206"/>
      </w:tblGrid>
      <w:tr>
        <w:trPr>
          <w:trHeight w:val="7524" w:hRule="exact"/>
        </w:trPr>
        <w:tc>
          <w:tcPr>
            <w:tcW w:w="4434"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1"/>
              <w:jc w:val="left"/>
              <w:rPr>
                <w:rFonts w:ascii="宋体" w:hAnsi="宋体" w:cs="宋体" w:eastAsia="宋体" w:hint="default"/>
                <w:sz w:val="20"/>
                <w:szCs w:val="20"/>
              </w:rPr>
            </w:pPr>
            <w:r>
              <w:rPr>
                <w:rFonts w:ascii="宋体" w:hAnsi="宋体" w:cs="宋体" w:eastAsia="宋体" w:hint="default"/>
                <w:sz w:val="20"/>
                <w:szCs w:val="20"/>
              </w:rPr>
              <w:t>表附注“五、重要会计政策和会计估计”注释十九</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所述的会计政策及“七、合并财务报表项目附注”</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注释十三。</w:t>
            </w:r>
            <w:r>
              <w:rPr>
                <w:rFonts w:ascii="宋体" w:hAnsi="宋体" w:cs="宋体" w:eastAsia="宋体" w:hint="default"/>
                <w:w w:val="100"/>
                <w:sz w:val="20"/>
                <w:szCs w:val="20"/>
              </w:rPr>
              <w:t> </w:t>
            </w:r>
            <w:r>
              <w:rPr>
                <w:rFonts w:ascii="宋体" w:hAnsi="宋体" w:cs="宋体" w:eastAsia="宋体" w:hint="default"/>
                <w:sz w:val="20"/>
                <w:szCs w:val="20"/>
              </w:rPr>
              <w:t>截至</w:t>
            </w:r>
            <w:r>
              <w:rPr>
                <w:rFonts w:ascii="宋体" w:hAnsi="宋体" w:cs="宋体" w:eastAsia="宋体" w:hint="default"/>
                <w:sz w:val="20"/>
                <w:szCs w:val="20"/>
              </w:rPr>
              <w:t>2018</w:t>
            </w:r>
            <w:r>
              <w:rPr>
                <w:rFonts w:ascii="宋体" w:hAnsi="宋体" w:cs="宋体" w:eastAsia="宋体" w:hint="default"/>
                <w:sz w:val="20"/>
                <w:szCs w:val="20"/>
              </w:rPr>
              <w:t>年</w:t>
            </w:r>
            <w:r>
              <w:rPr>
                <w:rFonts w:ascii="宋体" w:hAnsi="宋体" w:cs="宋体" w:eastAsia="宋体" w:hint="default"/>
                <w:sz w:val="20"/>
                <w:szCs w:val="20"/>
              </w:rPr>
              <w:t>12</w:t>
            </w:r>
            <w:r>
              <w:rPr>
                <w:rFonts w:ascii="宋体" w:hAnsi="宋体" w:cs="宋体" w:eastAsia="宋体" w:hint="default"/>
                <w:sz w:val="20"/>
                <w:szCs w:val="20"/>
              </w:rPr>
              <w:t>月</w:t>
            </w:r>
            <w:r>
              <w:rPr>
                <w:rFonts w:ascii="宋体" w:hAnsi="宋体" w:cs="宋体" w:eastAsia="宋体" w:hint="default"/>
                <w:sz w:val="20"/>
                <w:szCs w:val="20"/>
              </w:rPr>
              <w:t>31</w:t>
            </w:r>
            <w:r>
              <w:rPr>
                <w:rFonts w:ascii="宋体" w:hAnsi="宋体" w:cs="宋体" w:eastAsia="宋体" w:hint="default"/>
                <w:sz w:val="20"/>
                <w:szCs w:val="20"/>
              </w:rPr>
              <w:t>日，中科金财商誉的账面价值合</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计人民币</w:t>
            </w:r>
            <w:r>
              <w:rPr>
                <w:rFonts w:ascii="宋体" w:hAnsi="宋体" w:cs="宋体" w:eastAsia="宋体" w:hint="default"/>
                <w:sz w:val="20"/>
                <w:szCs w:val="20"/>
              </w:rPr>
              <w:t>7.01</w:t>
            </w:r>
            <w:r>
              <w:rPr>
                <w:rFonts w:ascii="宋体" w:hAnsi="宋体" w:cs="宋体" w:eastAsia="宋体" w:hint="default"/>
                <w:sz w:val="20"/>
                <w:szCs w:val="20"/>
              </w:rPr>
              <w:t>亿元，相应的减值准备余额为人民币</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4.16</w:t>
            </w:r>
            <w:r>
              <w:rPr>
                <w:rFonts w:ascii="宋体" w:hAnsi="宋体" w:cs="宋体" w:eastAsia="宋体" w:hint="default"/>
                <w:sz w:val="20"/>
                <w:szCs w:val="20"/>
              </w:rPr>
              <w:t>亿元。</w:t>
            </w:r>
            <w:r>
              <w:rPr>
                <w:rFonts w:ascii="宋体" w:hAnsi="宋体" w:cs="宋体" w:eastAsia="宋体" w:hint="default"/>
                <w:w w:val="100"/>
                <w:sz w:val="20"/>
                <w:szCs w:val="20"/>
              </w:rPr>
              <w:t> </w:t>
            </w:r>
            <w:r>
              <w:rPr>
                <w:rFonts w:ascii="宋体" w:hAnsi="宋体" w:cs="宋体" w:eastAsia="宋体" w:hint="default"/>
                <w:sz w:val="20"/>
                <w:szCs w:val="20"/>
              </w:rPr>
              <w:t>管理层每年评估商誉可能出现减值的情况。商誉的</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减值评估结果由管理层依据其聘任的外部评估师编</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制的估值报告进行确定。减值评估是依据所编制的</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折现现金流预测而估计商誉的使用价值。折现现金</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流预测的编制涉及运用重大判断和估计，特别是确</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定收入增长率、永续增长率、成本上涨，以及确定</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所应用的风险调整折现率时均存在固有不确定性和</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可能受到管理层偏好的影响。</w:t>
            </w:r>
            <w:r>
              <w:rPr>
                <w:rFonts w:ascii="宋体" w:hAnsi="宋体" w:cs="宋体" w:eastAsia="宋体" w:hint="default"/>
                <w:w w:val="100"/>
                <w:sz w:val="20"/>
                <w:szCs w:val="20"/>
              </w:rPr>
              <w:t> </w:t>
            </w:r>
            <w:r>
              <w:rPr>
                <w:rFonts w:ascii="宋体" w:hAnsi="宋体" w:cs="宋体" w:eastAsia="宋体" w:hint="default"/>
                <w:sz w:val="20"/>
                <w:szCs w:val="20"/>
              </w:rPr>
              <w:t>由于商誉的减值预测和折现未来现金流量涉及固有</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不确定性，以及管理层在选用假设和估计时可能出</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现偏好的风险，我们将评估商誉的减值视为中科金</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财的关键审计事项。</w:t>
            </w:r>
          </w:p>
        </w:tc>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0"/>
              <w:jc w:val="left"/>
              <w:rPr>
                <w:rFonts w:ascii="宋体" w:hAnsi="宋体" w:cs="宋体" w:eastAsia="宋体" w:hint="default"/>
                <w:sz w:val="20"/>
                <w:szCs w:val="20"/>
              </w:rPr>
            </w:pPr>
            <w:r>
              <w:rPr>
                <w:rFonts w:ascii="宋体" w:hAnsi="宋体" w:cs="宋体" w:eastAsia="宋体" w:hint="default"/>
                <w:spacing w:val="2"/>
                <w:sz w:val="20"/>
                <w:szCs w:val="20"/>
              </w:rPr>
              <w:t>1</w:t>
            </w:r>
            <w:r>
              <w:rPr>
                <w:rFonts w:ascii="宋体" w:hAnsi="宋体" w:cs="宋体" w:eastAsia="宋体" w:hint="default"/>
                <w:spacing w:val="2"/>
                <w:sz w:val="20"/>
                <w:szCs w:val="20"/>
              </w:rPr>
              <w:t>、我们评估及测试了与商誉减值测试相关的内</w:t>
            </w:r>
            <w:r>
              <w:rPr>
                <w:rFonts w:ascii="宋体" w:hAnsi="宋体" w:cs="宋体" w:eastAsia="宋体" w:hint="default"/>
                <w:spacing w:val="-70"/>
                <w:sz w:val="20"/>
                <w:szCs w:val="20"/>
              </w:rPr>
              <w:t> </w:t>
            </w:r>
            <w:r>
              <w:rPr>
                <w:rFonts w:ascii="宋体" w:hAnsi="宋体" w:cs="宋体" w:eastAsia="宋体" w:hint="default"/>
                <w:spacing w:val="-70"/>
                <w:sz w:val="20"/>
                <w:szCs w:val="20"/>
              </w:rPr>
            </w:r>
            <w:r>
              <w:rPr>
                <w:rFonts w:ascii="宋体" w:hAnsi="宋体" w:cs="宋体" w:eastAsia="宋体" w:hint="default"/>
                <w:spacing w:val="-2"/>
                <w:sz w:val="20"/>
                <w:szCs w:val="20"/>
              </w:rPr>
              <w:t>部控制的设计及执行有效性，包括关键假设的采</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用及减值计提金额的复核及审批；</w:t>
            </w:r>
            <w:r>
              <w:rPr>
                <w:rFonts w:ascii="宋体" w:hAnsi="宋体" w:cs="宋体" w:eastAsia="宋体" w:hint="default"/>
                <w:w w:val="100"/>
                <w:sz w:val="20"/>
                <w:szCs w:val="20"/>
              </w:rPr>
              <w:t> </w:t>
            </w:r>
            <w:r>
              <w:rPr>
                <w:rFonts w:ascii="宋体" w:hAnsi="宋体" w:cs="宋体" w:eastAsia="宋体" w:hint="default"/>
                <w:spacing w:val="2"/>
                <w:sz w:val="20"/>
                <w:szCs w:val="20"/>
              </w:rPr>
              <w:t>2</w:t>
            </w:r>
            <w:r>
              <w:rPr>
                <w:rFonts w:ascii="宋体" w:hAnsi="宋体" w:cs="宋体" w:eastAsia="宋体" w:hint="default"/>
                <w:spacing w:val="2"/>
                <w:sz w:val="20"/>
                <w:szCs w:val="20"/>
              </w:rPr>
              <w:t>、聘请外部专家对与商誉相关的资产组或资产</w:t>
            </w:r>
            <w:r>
              <w:rPr>
                <w:rFonts w:ascii="宋体" w:hAnsi="宋体" w:cs="宋体" w:eastAsia="宋体" w:hint="default"/>
                <w:spacing w:val="-70"/>
                <w:sz w:val="20"/>
                <w:szCs w:val="20"/>
              </w:rPr>
              <w:t> </w:t>
            </w:r>
            <w:r>
              <w:rPr>
                <w:rFonts w:ascii="宋体" w:hAnsi="宋体" w:cs="宋体" w:eastAsia="宋体" w:hint="default"/>
                <w:spacing w:val="-70"/>
                <w:sz w:val="20"/>
                <w:szCs w:val="20"/>
              </w:rPr>
            </w:r>
            <w:r>
              <w:rPr>
                <w:rFonts w:ascii="宋体" w:hAnsi="宋体" w:cs="宋体" w:eastAsia="宋体" w:hint="default"/>
                <w:spacing w:val="7"/>
                <w:sz w:val="20"/>
                <w:szCs w:val="20"/>
              </w:rPr>
              <w:t>组组合进行评估，并对专家的评估结果进行复</w:t>
            </w:r>
            <w:r>
              <w:rPr>
                <w:rFonts w:ascii="宋体" w:hAnsi="宋体" w:cs="宋体" w:eastAsia="宋体" w:hint="default"/>
                <w:spacing w:val="-65"/>
                <w:sz w:val="20"/>
                <w:szCs w:val="20"/>
              </w:rPr>
              <w:t> </w:t>
            </w:r>
            <w:r>
              <w:rPr>
                <w:rFonts w:ascii="宋体" w:hAnsi="宋体" w:cs="宋体" w:eastAsia="宋体" w:hint="default"/>
                <w:spacing w:val="-65"/>
                <w:sz w:val="20"/>
                <w:szCs w:val="20"/>
              </w:rPr>
            </w:r>
            <w:r>
              <w:rPr>
                <w:rFonts w:ascii="宋体" w:hAnsi="宋体" w:cs="宋体" w:eastAsia="宋体" w:hint="default"/>
                <w:sz w:val="20"/>
                <w:szCs w:val="20"/>
              </w:rPr>
              <w:t>核；</w:t>
            </w:r>
            <w:r>
              <w:rPr>
                <w:rFonts w:ascii="宋体" w:hAnsi="宋体" w:cs="宋体" w:eastAsia="宋体" w:hint="default"/>
                <w:w w:val="100"/>
                <w:sz w:val="20"/>
                <w:szCs w:val="20"/>
              </w:rPr>
              <w:t> </w:t>
            </w:r>
            <w:r>
              <w:rPr>
                <w:rFonts w:ascii="宋体" w:hAnsi="宋体" w:cs="宋体" w:eastAsia="宋体" w:hint="default"/>
                <w:spacing w:val="2"/>
                <w:sz w:val="20"/>
                <w:szCs w:val="20"/>
              </w:rPr>
              <w:t>3</w:t>
            </w:r>
            <w:r>
              <w:rPr>
                <w:rFonts w:ascii="宋体" w:hAnsi="宋体" w:cs="宋体" w:eastAsia="宋体" w:hint="default"/>
                <w:spacing w:val="2"/>
                <w:sz w:val="20"/>
                <w:szCs w:val="20"/>
              </w:rPr>
              <w:t>、通过参考行业惯例，评估了管理层进行现金</w:t>
            </w:r>
            <w:r>
              <w:rPr>
                <w:rFonts w:ascii="宋体" w:hAnsi="宋体" w:cs="宋体" w:eastAsia="宋体" w:hint="default"/>
                <w:spacing w:val="-70"/>
                <w:sz w:val="20"/>
                <w:szCs w:val="20"/>
              </w:rPr>
              <w:t> </w:t>
            </w:r>
            <w:r>
              <w:rPr>
                <w:rFonts w:ascii="宋体" w:hAnsi="宋体" w:cs="宋体" w:eastAsia="宋体" w:hint="default"/>
                <w:spacing w:val="-70"/>
                <w:sz w:val="20"/>
                <w:szCs w:val="20"/>
              </w:rPr>
            </w:r>
            <w:r>
              <w:rPr>
                <w:rFonts w:ascii="宋体" w:hAnsi="宋体" w:cs="宋体" w:eastAsia="宋体" w:hint="default"/>
                <w:sz w:val="20"/>
                <w:szCs w:val="20"/>
              </w:rPr>
              <w:t>流量预测时使用的估值方法的适当性；</w:t>
            </w:r>
            <w:r>
              <w:rPr>
                <w:rFonts w:ascii="宋体" w:hAnsi="宋体" w:cs="宋体" w:eastAsia="宋体" w:hint="default"/>
                <w:w w:val="100"/>
                <w:sz w:val="20"/>
                <w:szCs w:val="20"/>
              </w:rPr>
              <w:t> </w:t>
            </w:r>
            <w:r>
              <w:rPr>
                <w:rFonts w:ascii="宋体" w:hAnsi="宋体" w:cs="宋体" w:eastAsia="宋体" w:hint="default"/>
                <w:spacing w:val="2"/>
                <w:sz w:val="20"/>
                <w:szCs w:val="20"/>
              </w:rPr>
              <w:t>4</w:t>
            </w:r>
            <w:r>
              <w:rPr>
                <w:rFonts w:ascii="宋体" w:hAnsi="宋体" w:cs="宋体" w:eastAsia="宋体" w:hint="default"/>
                <w:spacing w:val="2"/>
                <w:sz w:val="20"/>
                <w:szCs w:val="20"/>
              </w:rPr>
              <w:t>、通过将收入增长率、永续增长率和成本上涨</w:t>
            </w:r>
            <w:r>
              <w:rPr>
                <w:rFonts w:ascii="宋体" w:hAnsi="宋体" w:cs="宋体" w:eastAsia="宋体" w:hint="default"/>
                <w:spacing w:val="-70"/>
                <w:sz w:val="20"/>
                <w:szCs w:val="20"/>
              </w:rPr>
              <w:t> </w:t>
            </w:r>
            <w:r>
              <w:rPr>
                <w:rFonts w:ascii="宋体" w:hAnsi="宋体" w:cs="宋体" w:eastAsia="宋体" w:hint="default"/>
                <w:spacing w:val="-70"/>
                <w:sz w:val="20"/>
                <w:szCs w:val="20"/>
              </w:rPr>
            </w:r>
            <w:r>
              <w:rPr>
                <w:rFonts w:ascii="宋体" w:hAnsi="宋体" w:cs="宋体" w:eastAsia="宋体" w:hint="default"/>
                <w:spacing w:val="-2"/>
                <w:sz w:val="20"/>
                <w:szCs w:val="20"/>
              </w:rPr>
              <w:t>等关键输入值与过往业绩、管理层预算和预测及</w:t>
            </w:r>
            <w:r>
              <w:rPr>
                <w:rFonts w:ascii="宋体" w:hAnsi="宋体" w:cs="宋体" w:eastAsia="宋体" w:hint="default"/>
                <w:spacing w:val="-76"/>
                <w:sz w:val="20"/>
                <w:szCs w:val="20"/>
              </w:rPr>
              <w:t> </w:t>
            </w:r>
            <w:r>
              <w:rPr>
                <w:rFonts w:ascii="宋体" w:hAnsi="宋体" w:cs="宋体" w:eastAsia="宋体" w:hint="default"/>
                <w:spacing w:val="-76"/>
                <w:sz w:val="20"/>
                <w:szCs w:val="20"/>
              </w:rPr>
            </w:r>
            <w:r>
              <w:rPr>
                <w:rFonts w:ascii="宋体" w:hAnsi="宋体" w:cs="宋体" w:eastAsia="宋体" w:hint="default"/>
                <w:spacing w:val="-2"/>
                <w:sz w:val="20"/>
                <w:szCs w:val="20"/>
              </w:rPr>
              <w:t>行业报告进行比较，审慎评价编制折现现金流预</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测中采用的关键假设及判断；</w:t>
            </w:r>
            <w:r>
              <w:rPr>
                <w:rFonts w:ascii="宋体" w:hAnsi="宋体" w:cs="宋体" w:eastAsia="宋体" w:hint="default"/>
                <w:w w:val="100"/>
                <w:sz w:val="20"/>
                <w:szCs w:val="20"/>
              </w:rPr>
              <w:t> </w:t>
            </w:r>
            <w:r>
              <w:rPr>
                <w:rFonts w:ascii="宋体" w:hAnsi="宋体" w:cs="宋体" w:eastAsia="宋体" w:hint="default"/>
                <w:spacing w:val="2"/>
                <w:sz w:val="20"/>
                <w:szCs w:val="20"/>
              </w:rPr>
              <w:t>5</w:t>
            </w:r>
            <w:r>
              <w:rPr>
                <w:rFonts w:ascii="宋体" w:hAnsi="宋体" w:cs="宋体" w:eastAsia="宋体" w:hint="default"/>
                <w:spacing w:val="2"/>
                <w:sz w:val="20"/>
                <w:szCs w:val="20"/>
              </w:rPr>
              <w:t>、基于同行业可比公司的市场数据重新计算折</w:t>
            </w:r>
            <w:r>
              <w:rPr>
                <w:rFonts w:ascii="宋体" w:hAnsi="宋体" w:cs="宋体" w:eastAsia="宋体" w:hint="default"/>
                <w:spacing w:val="-70"/>
                <w:sz w:val="20"/>
                <w:szCs w:val="20"/>
              </w:rPr>
              <w:t> </w:t>
            </w:r>
            <w:r>
              <w:rPr>
                <w:rFonts w:ascii="宋体" w:hAnsi="宋体" w:cs="宋体" w:eastAsia="宋体" w:hint="default"/>
                <w:spacing w:val="-70"/>
                <w:sz w:val="20"/>
                <w:szCs w:val="20"/>
              </w:rPr>
            </w:r>
            <w:r>
              <w:rPr>
                <w:rFonts w:ascii="宋体" w:hAnsi="宋体" w:cs="宋体" w:eastAsia="宋体" w:hint="default"/>
                <w:spacing w:val="-2"/>
                <w:sz w:val="20"/>
                <w:szCs w:val="20"/>
              </w:rPr>
              <w:t>现率，并将我们的计算结果与管理层计算预计未</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pacing w:val="-2"/>
                <w:sz w:val="20"/>
                <w:szCs w:val="20"/>
              </w:rPr>
              <w:t>来现金流量现值时采用的折现率进行比较，以评</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pacing w:val="7"/>
                <w:sz w:val="20"/>
                <w:szCs w:val="20"/>
              </w:rPr>
              <w:t>价其计算预计未来现金流量现值时采用的折现</w:t>
            </w:r>
            <w:r>
              <w:rPr>
                <w:rFonts w:ascii="宋体" w:hAnsi="宋体" w:cs="宋体" w:eastAsia="宋体" w:hint="default"/>
                <w:spacing w:val="-61"/>
                <w:sz w:val="20"/>
                <w:szCs w:val="20"/>
              </w:rPr>
              <w:t> </w:t>
            </w:r>
            <w:r>
              <w:rPr>
                <w:rFonts w:ascii="宋体" w:hAnsi="宋体" w:cs="宋体" w:eastAsia="宋体" w:hint="default"/>
                <w:spacing w:val="-61"/>
                <w:sz w:val="20"/>
                <w:szCs w:val="20"/>
              </w:rPr>
            </w:r>
            <w:r>
              <w:rPr>
                <w:rFonts w:ascii="宋体" w:hAnsi="宋体" w:cs="宋体" w:eastAsia="宋体" w:hint="default"/>
                <w:sz w:val="20"/>
                <w:szCs w:val="20"/>
              </w:rPr>
              <w:t>率；</w:t>
            </w:r>
            <w:r>
              <w:rPr>
                <w:rFonts w:ascii="宋体" w:hAnsi="宋体" w:cs="宋体" w:eastAsia="宋体" w:hint="default"/>
                <w:w w:val="100"/>
                <w:sz w:val="20"/>
                <w:szCs w:val="20"/>
              </w:rPr>
              <w:t> </w:t>
            </w:r>
            <w:r>
              <w:rPr>
                <w:rFonts w:ascii="宋体" w:hAnsi="宋体" w:cs="宋体" w:eastAsia="宋体" w:hint="default"/>
                <w:spacing w:val="2"/>
                <w:sz w:val="20"/>
                <w:szCs w:val="20"/>
              </w:rPr>
              <w:t>6</w:t>
            </w:r>
            <w:r>
              <w:rPr>
                <w:rFonts w:ascii="宋体" w:hAnsi="宋体" w:cs="宋体" w:eastAsia="宋体" w:hint="default"/>
                <w:spacing w:val="2"/>
                <w:sz w:val="20"/>
                <w:szCs w:val="20"/>
              </w:rPr>
              <w:t>、对预测收入和采用的折现率等关键假设进行</w:t>
            </w:r>
            <w:r>
              <w:rPr>
                <w:rFonts w:ascii="宋体" w:hAnsi="宋体" w:cs="宋体" w:eastAsia="宋体" w:hint="default"/>
                <w:spacing w:val="-70"/>
                <w:sz w:val="20"/>
                <w:szCs w:val="20"/>
              </w:rPr>
              <w:t> </w:t>
            </w:r>
            <w:r>
              <w:rPr>
                <w:rFonts w:ascii="宋体" w:hAnsi="宋体" w:cs="宋体" w:eastAsia="宋体" w:hint="default"/>
                <w:spacing w:val="-70"/>
                <w:sz w:val="20"/>
                <w:szCs w:val="20"/>
              </w:rPr>
            </w:r>
            <w:r>
              <w:rPr>
                <w:rFonts w:ascii="宋体" w:hAnsi="宋体" w:cs="宋体" w:eastAsia="宋体" w:hint="default"/>
                <w:spacing w:val="-2"/>
                <w:sz w:val="20"/>
                <w:szCs w:val="20"/>
              </w:rPr>
              <w:t>敏感性分析，以评价关键假设的变化对减值评估</w:t>
            </w:r>
            <w:r>
              <w:rPr>
                <w:rFonts w:ascii="宋体" w:hAnsi="宋体" w:cs="宋体" w:eastAsia="宋体" w:hint="default"/>
                <w:spacing w:val="-76"/>
                <w:sz w:val="20"/>
                <w:szCs w:val="20"/>
              </w:rPr>
              <w:t> </w:t>
            </w:r>
            <w:r>
              <w:rPr>
                <w:rFonts w:ascii="宋体" w:hAnsi="宋体" w:cs="宋体" w:eastAsia="宋体" w:hint="default"/>
                <w:spacing w:val="-76"/>
                <w:sz w:val="20"/>
                <w:szCs w:val="20"/>
              </w:rPr>
            </w:r>
            <w:r>
              <w:rPr>
                <w:rFonts w:ascii="宋体" w:hAnsi="宋体" w:cs="宋体" w:eastAsia="宋体" w:hint="default"/>
                <w:spacing w:val="7"/>
                <w:sz w:val="20"/>
                <w:szCs w:val="20"/>
              </w:rPr>
              <w:t>结果的影响以及考虑对关键假设的选择是否存</w:t>
            </w:r>
            <w:r>
              <w:rPr>
                <w:rFonts w:ascii="宋体" w:hAnsi="宋体" w:cs="宋体" w:eastAsia="宋体" w:hint="default"/>
                <w:spacing w:val="-65"/>
                <w:sz w:val="20"/>
                <w:szCs w:val="20"/>
              </w:rPr>
              <w:t> </w:t>
            </w:r>
            <w:r>
              <w:rPr>
                <w:rFonts w:ascii="宋体" w:hAnsi="宋体" w:cs="宋体" w:eastAsia="宋体" w:hint="default"/>
                <w:spacing w:val="-65"/>
                <w:sz w:val="20"/>
                <w:szCs w:val="20"/>
              </w:rPr>
            </w:r>
            <w:r>
              <w:rPr>
                <w:rFonts w:ascii="宋体" w:hAnsi="宋体" w:cs="宋体" w:eastAsia="宋体" w:hint="default"/>
                <w:sz w:val="20"/>
                <w:szCs w:val="20"/>
              </w:rPr>
              <w:t>在管理层偏向的迹象；</w:t>
            </w:r>
            <w:r>
              <w:rPr>
                <w:rFonts w:ascii="宋体" w:hAnsi="宋体" w:cs="宋体" w:eastAsia="宋体" w:hint="default"/>
                <w:w w:val="100"/>
                <w:sz w:val="20"/>
                <w:szCs w:val="20"/>
              </w:rPr>
              <w:t> </w:t>
            </w:r>
            <w:r>
              <w:rPr>
                <w:rFonts w:ascii="宋体" w:hAnsi="宋体" w:cs="宋体" w:eastAsia="宋体" w:hint="default"/>
                <w:spacing w:val="2"/>
                <w:sz w:val="20"/>
                <w:szCs w:val="20"/>
              </w:rPr>
              <w:t>7</w:t>
            </w:r>
            <w:r>
              <w:rPr>
                <w:rFonts w:ascii="宋体" w:hAnsi="宋体" w:cs="宋体" w:eastAsia="宋体" w:hint="default"/>
                <w:spacing w:val="2"/>
                <w:sz w:val="20"/>
                <w:szCs w:val="20"/>
              </w:rPr>
              <w:t>、通过对比上一年度的预测和本年度的业绩进</w:t>
            </w:r>
            <w:r>
              <w:rPr>
                <w:rFonts w:ascii="宋体" w:hAnsi="宋体" w:cs="宋体" w:eastAsia="宋体" w:hint="default"/>
                <w:spacing w:val="-70"/>
                <w:sz w:val="20"/>
                <w:szCs w:val="20"/>
              </w:rPr>
              <w:t> </w:t>
            </w:r>
            <w:r>
              <w:rPr>
                <w:rFonts w:ascii="宋体" w:hAnsi="宋体" w:cs="宋体" w:eastAsia="宋体" w:hint="default"/>
                <w:spacing w:val="-70"/>
                <w:sz w:val="20"/>
                <w:szCs w:val="20"/>
              </w:rPr>
            </w:r>
            <w:r>
              <w:rPr>
                <w:rFonts w:ascii="宋体" w:hAnsi="宋体" w:cs="宋体" w:eastAsia="宋体" w:hint="default"/>
                <w:spacing w:val="-2"/>
                <w:sz w:val="20"/>
                <w:szCs w:val="20"/>
              </w:rPr>
              <w:t>行追溯性审核，以评估管理层预测过程的可靠性</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和历史准确性；</w:t>
            </w:r>
          </w:p>
        </w:tc>
      </w:tr>
      <w:tr>
        <w:trPr>
          <w:trHeight w:val="347" w:hRule="exact"/>
        </w:trPr>
        <w:tc>
          <w:tcPr>
            <w:tcW w:w="864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（二）资金信托计划事项</w:t>
            </w:r>
          </w:p>
        </w:tc>
      </w:tr>
      <w:tr>
        <w:trPr>
          <w:trHeight w:val="5964" w:hRule="exact"/>
        </w:trPr>
        <w:tc>
          <w:tcPr>
            <w:tcW w:w="4434"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1"/>
              <w:jc w:val="both"/>
              <w:rPr>
                <w:rFonts w:ascii="宋体" w:hAnsi="宋体" w:cs="宋体" w:eastAsia="宋体" w:hint="default"/>
                <w:sz w:val="20"/>
                <w:szCs w:val="20"/>
              </w:rPr>
            </w:pPr>
            <w:r>
              <w:rPr>
                <w:rFonts w:ascii="宋体" w:hAnsi="宋体" w:cs="宋体" w:eastAsia="宋体" w:hint="default"/>
                <w:sz w:val="20"/>
                <w:szCs w:val="20"/>
              </w:rPr>
              <w:t>请参阅财务报表附注“五、重要会计政策和会计估</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计”注释十所述的会计政策及“七、合并财务报表</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项目附注”注释六及十六、“九、在其他主体中的</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权益”注释一、</w:t>
            </w:r>
            <w:r>
              <w:rPr>
                <w:rFonts w:ascii="宋体" w:hAnsi="宋体" w:cs="宋体" w:eastAsia="宋体" w:hint="default"/>
                <w:sz w:val="20"/>
                <w:szCs w:val="20"/>
              </w:rPr>
              <w:t>1</w:t>
            </w:r>
            <w:r>
              <w:rPr>
                <w:rFonts w:ascii="宋体" w:hAnsi="宋体" w:cs="宋体" w:eastAsia="宋体" w:hint="default"/>
                <w:sz w:val="20"/>
                <w:szCs w:val="20"/>
              </w:rPr>
              <w:t>。截至 </w:t>
            </w:r>
            <w:r>
              <w:rPr>
                <w:rFonts w:ascii="宋体" w:hAnsi="宋体" w:cs="宋体" w:eastAsia="宋体" w:hint="default"/>
                <w:sz w:val="20"/>
                <w:szCs w:val="20"/>
              </w:rPr>
              <w:t>2018</w:t>
            </w:r>
            <w:r>
              <w:rPr>
                <w:rFonts w:ascii="宋体" w:hAnsi="宋体" w:cs="宋体" w:eastAsia="宋体" w:hint="default"/>
                <w:sz w:val="20"/>
                <w:szCs w:val="20"/>
              </w:rPr>
              <w:t>年 </w:t>
            </w:r>
            <w:r>
              <w:rPr>
                <w:rFonts w:ascii="宋体" w:hAnsi="宋体" w:cs="宋体" w:eastAsia="宋体" w:hint="default"/>
                <w:sz w:val="20"/>
                <w:szCs w:val="20"/>
              </w:rPr>
              <w:t>12 </w:t>
            </w:r>
            <w:r>
              <w:rPr>
                <w:rFonts w:ascii="宋体" w:hAnsi="宋体" w:cs="宋体" w:eastAsia="宋体" w:hint="default"/>
                <w:sz w:val="20"/>
                <w:szCs w:val="20"/>
              </w:rPr>
              <w:t>月 </w:t>
            </w:r>
            <w:r>
              <w:rPr>
                <w:rFonts w:ascii="宋体" w:hAnsi="宋体" w:cs="宋体" w:eastAsia="宋体" w:hint="default"/>
                <w:sz w:val="20"/>
                <w:szCs w:val="20"/>
              </w:rPr>
              <w:t>31</w:t>
            </w:r>
            <w:r>
              <w:rPr>
                <w:rFonts w:ascii="宋体" w:hAnsi="宋体" w:cs="宋体" w:eastAsia="宋体" w:hint="default"/>
                <w:spacing w:val="9"/>
                <w:sz w:val="20"/>
                <w:szCs w:val="20"/>
              </w:rPr>
              <w:t> </w:t>
            </w:r>
            <w:r>
              <w:rPr>
                <w:rFonts w:ascii="宋体" w:hAnsi="宋体" w:cs="宋体" w:eastAsia="宋体" w:hint="default"/>
                <w:sz w:val="20"/>
                <w:szCs w:val="20"/>
              </w:rPr>
              <w:t>日，中</w:t>
            </w:r>
            <w:r>
              <w:rPr>
                <w:rFonts w:ascii="宋体" w:hAnsi="宋体" w:cs="宋体" w:eastAsia="宋体" w:hint="default"/>
                <w:w w:val="100"/>
                <w:sz w:val="20"/>
                <w:szCs w:val="20"/>
              </w:rPr>
              <w:t> </w:t>
            </w:r>
            <w:r>
              <w:rPr>
                <w:rFonts w:ascii="宋体" w:hAnsi="宋体" w:cs="宋体" w:eastAsia="宋体" w:hint="default"/>
                <w:sz w:val="20"/>
                <w:szCs w:val="20"/>
              </w:rPr>
              <w:t>科金财子公司自渤海国际信托股份有限公司、西藏</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信托有限公司、华鑫国际信托有限公司、四川信托</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有限公司认购单一信托、劣后级信托计划（以下简</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称“信托计划”），期末累计认购金额</w:t>
            </w:r>
            <w:r>
              <w:rPr>
                <w:rFonts w:ascii="宋体" w:hAnsi="宋体" w:cs="宋体" w:eastAsia="宋体" w:hint="default"/>
                <w:sz w:val="20"/>
                <w:szCs w:val="20"/>
              </w:rPr>
              <w:t>7.51</w:t>
            </w:r>
            <w:r>
              <w:rPr>
                <w:rFonts w:ascii="宋体" w:hAnsi="宋体" w:cs="宋体" w:eastAsia="宋体" w:hint="default"/>
                <w:sz w:val="20"/>
                <w:szCs w:val="20"/>
              </w:rPr>
              <w:t>亿元，</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信托产品余额</w:t>
            </w:r>
            <w:r>
              <w:rPr>
                <w:rFonts w:ascii="宋体" w:hAnsi="宋体" w:cs="宋体" w:eastAsia="宋体" w:hint="default"/>
                <w:sz w:val="20"/>
                <w:szCs w:val="20"/>
              </w:rPr>
              <w:t>8.87</w:t>
            </w:r>
            <w:r>
              <w:rPr>
                <w:rFonts w:ascii="宋体" w:hAnsi="宋体" w:cs="宋体" w:eastAsia="宋体" w:hint="default"/>
                <w:sz w:val="20"/>
                <w:szCs w:val="20"/>
              </w:rPr>
              <w:t>亿元。该信托计划金额重大，需</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确定是否应该合并该信托计划，以及信托计划作为</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金融资产如何在财务报表进行合理列报，上述事项</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均涉及管理层作出评估和判断，因此我们将信托计</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划事项作为关键审计事项进行关注。</w:t>
            </w:r>
          </w:p>
        </w:tc>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both"/>
              <w:rPr>
                <w:rFonts w:ascii="宋体" w:hAnsi="宋体" w:cs="宋体" w:eastAsia="宋体" w:hint="default"/>
                <w:sz w:val="20"/>
                <w:szCs w:val="20"/>
              </w:rPr>
            </w:pPr>
            <w:r>
              <w:rPr>
                <w:rFonts w:ascii="宋体" w:hAnsi="宋体" w:cs="宋体" w:eastAsia="宋体" w:hint="default"/>
                <w:sz w:val="20"/>
                <w:szCs w:val="20"/>
              </w:rPr>
              <w:t>应对此关键事项有关的审计程序包括：</w:t>
            </w:r>
          </w:p>
          <w:p>
            <w:pPr>
              <w:pStyle w:val="TableParagraph"/>
              <w:spacing w:line="285" w:lineRule="auto" w:before="50"/>
              <w:ind w:left="2" w:right="0"/>
              <w:jc w:val="both"/>
              <w:rPr>
                <w:rFonts w:ascii="宋体" w:hAnsi="宋体" w:cs="宋体" w:eastAsia="宋体" w:hint="default"/>
                <w:sz w:val="20"/>
                <w:szCs w:val="20"/>
              </w:rPr>
            </w:pPr>
            <w:r>
              <w:rPr>
                <w:rFonts w:ascii="宋体" w:hAnsi="宋体" w:cs="宋体" w:eastAsia="宋体" w:hint="default"/>
                <w:spacing w:val="2"/>
                <w:sz w:val="20"/>
                <w:szCs w:val="20"/>
              </w:rPr>
              <w:t>（</w:t>
            </w:r>
            <w:r>
              <w:rPr>
                <w:rFonts w:ascii="宋体" w:hAnsi="宋体" w:cs="宋体" w:eastAsia="宋体" w:hint="default"/>
                <w:spacing w:val="2"/>
                <w:sz w:val="20"/>
                <w:szCs w:val="20"/>
              </w:rPr>
              <w:t>1</w:t>
            </w:r>
            <w:r>
              <w:rPr>
                <w:rFonts w:ascii="宋体" w:hAnsi="宋体" w:cs="宋体" w:eastAsia="宋体" w:hint="default"/>
                <w:spacing w:val="2"/>
                <w:sz w:val="20"/>
                <w:szCs w:val="20"/>
              </w:rPr>
              <w:t>）对此投资业务的关键内控设计和执行情况</w:t>
            </w:r>
            <w:r>
              <w:rPr>
                <w:rFonts w:ascii="宋体" w:hAnsi="宋体" w:cs="宋体" w:eastAsia="宋体" w:hint="default"/>
                <w:spacing w:val="-70"/>
                <w:sz w:val="20"/>
                <w:szCs w:val="20"/>
              </w:rPr>
              <w:t> </w:t>
            </w:r>
            <w:r>
              <w:rPr>
                <w:rFonts w:ascii="宋体" w:hAnsi="宋体" w:cs="宋体" w:eastAsia="宋体" w:hint="default"/>
                <w:spacing w:val="-70"/>
                <w:sz w:val="20"/>
                <w:szCs w:val="20"/>
              </w:rPr>
            </w:r>
            <w:r>
              <w:rPr>
                <w:rFonts w:ascii="宋体" w:hAnsi="宋体" w:cs="宋体" w:eastAsia="宋体" w:hint="default"/>
                <w:spacing w:val="-2"/>
                <w:sz w:val="20"/>
                <w:szCs w:val="20"/>
              </w:rPr>
              <w:t>进行了解和测试，评价投资业务的内部控制是否</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有效；</w:t>
            </w:r>
          </w:p>
          <w:p>
            <w:pPr>
              <w:pStyle w:val="TableParagraph"/>
              <w:spacing w:line="285" w:lineRule="auto" w:before="12"/>
              <w:ind w:left="2" w:right="0"/>
              <w:jc w:val="both"/>
              <w:rPr>
                <w:rFonts w:ascii="宋体" w:hAnsi="宋体" w:cs="宋体" w:eastAsia="宋体" w:hint="default"/>
                <w:sz w:val="20"/>
                <w:szCs w:val="20"/>
              </w:rPr>
            </w:pPr>
            <w:r>
              <w:rPr>
                <w:rFonts w:ascii="宋体" w:hAnsi="宋体" w:cs="宋体" w:eastAsia="宋体" w:hint="default"/>
                <w:spacing w:val="3"/>
                <w:sz w:val="20"/>
                <w:szCs w:val="20"/>
              </w:rPr>
              <w:t>（</w:t>
            </w:r>
            <w:r>
              <w:rPr>
                <w:rFonts w:ascii="宋体" w:hAnsi="宋体" w:cs="宋体" w:eastAsia="宋体" w:hint="default"/>
                <w:spacing w:val="3"/>
                <w:sz w:val="20"/>
                <w:szCs w:val="20"/>
              </w:rPr>
              <w:t>2</w:t>
            </w:r>
            <w:r>
              <w:rPr>
                <w:rFonts w:ascii="宋体" w:hAnsi="宋体" w:cs="宋体" w:eastAsia="宋体" w:hint="default"/>
                <w:spacing w:val="3"/>
                <w:sz w:val="20"/>
                <w:szCs w:val="20"/>
              </w:rPr>
              <w:t>）获取并查阅公司管理层投资决策文件，对</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pacing w:val="-2"/>
                <w:sz w:val="20"/>
                <w:szCs w:val="20"/>
              </w:rPr>
              <w:t>管理层进行访谈，了解认购信托计划的目的和动</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因；</w:t>
            </w:r>
          </w:p>
          <w:p>
            <w:pPr>
              <w:pStyle w:val="TableParagraph"/>
              <w:spacing w:line="285" w:lineRule="auto" w:before="12"/>
              <w:ind w:left="2" w:right="5"/>
              <w:jc w:val="both"/>
              <w:rPr>
                <w:rFonts w:ascii="宋体" w:hAnsi="宋体" w:cs="宋体" w:eastAsia="宋体" w:hint="default"/>
                <w:sz w:val="20"/>
                <w:szCs w:val="20"/>
              </w:rPr>
            </w:pPr>
            <w:r>
              <w:rPr>
                <w:rFonts w:ascii="宋体" w:hAnsi="宋体" w:cs="宋体" w:eastAsia="宋体" w:hint="default"/>
                <w:spacing w:val="2"/>
                <w:sz w:val="20"/>
                <w:szCs w:val="20"/>
              </w:rPr>
              <w:t>（</w:t>
            </w:r>
            <w:r>
              <w:rPr>
                <w:rFonts w:ascii="宋体" w:hAnsi="宋体" w:cs="宋体" w:eastAsia="宋体" w:hint="default"/>
                <w:spacing w:val="2"/>
                <w:sz w:val="20"/>
                <w:szCs w:val="20"/>
              </w:rPr>
              <w:t>3</w:t>
            </w:r>
            <w:r>
              <w:rPr>
                <w:rFonts w:ascii="宋体" w:hAnsi="宋体" w:cs="宋体" w:eastAsia="宋体" w:hint="default"/>
                <w:spacing w:val="2"/>
                <w:sz w:val="20"/>
                <w:szCs w:val="20"/>
              </w:rPr>
              <w:t>）审查认购信托计划付款单据等相关文件，</w:t>
            </w:r>
            <w:r>
              <w:rPr>
                <w:rFonts w:ascii="宋体" w:hAnsi="宋体" w:cs="宋体" w:eastAsia="宋体" w:hint="default"/>
                <w:spacing w:val="-70"/>
                <w:sz w:val="20"/>
                <w:szCs w:val="20"/>
              </w:rPr>
              <w:t> </w:t>
            </w:r>
            <w:r>
              <w:rPr>
                <w:rFonts w:ascii="宋体" w:hAnsi="宋体" w:cs="宋体" w:eastAsia="宋体" w:hint="default"/>
                <w:spacing w:val="-70"/>
                <w:sz w:val="20"/>
                <w:szCs w:val="20"/>
              </w:rPr>
            </w:r>
            <w:r>
              <w:rPr>
                <w:rFonts w:ascii="宋体" w:hAnsi="宋体" w:cs="宋体" w:eastAsia="宋体" w:hint="default"/>
                <w:sz w:val="20"/>
                <w:szCs w:val="20"/>
              </w:rPr>
              <w:t>检查相关手续是否完成；</w:t>
            </w:r>
          </w:p>
          <w:p>
            <w:pPr>
              <w:pStyle w:val="TableParagraph"/>
              <w:spacing w:line="240" w:lineRule="auto" w:before="12"/>
              <w:ind w:left="2" w:right="0"/>
              <w:jc w:val="both"/>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4</w:t>
            </w:r>
            <w:r>
              <w:rPr>
                <w:rFonts w:ascii="宋体" w:hAnsi="宋体" w:cs="宋体" w:eastAsia="宋体" w:hint="default"/>
                <w:sz w:val="20"/>
                <w:szCs w:val="20"/>
              </w:rPr>
              <w:t>）实施函证程序，并与回函信息进行核对；</w:t>
            </w:r>
          </w:p>
          <w:p>
            <w:pPr>
              <w:pStyle w:val="TableParagraph"/>
              <w:spacing w:line="285" w:lineRule="auto" w:before="50"/>
              <w:ind w:left="2" w:right="0"/>
              <w:jc w:val="both"/>
              <w:rPr>
                <w:rFonts w:ascii="宋体" w:hAnsi="宋体" w:cs="宋体" w:eastAsia="宋体" w:hint="default"/>
                <w:sz w:val="20"/>
                <w:szCs w:val="20"/>
              </w:rPr>
            </w:pPr>
            <w:r>
              <w:rPr>
                <w:rFonts w:ascii="宋体" w:hAnsi="宋体" w:cs="宋体" w:eastAsia="宋体" w:hint="default"/>
                <w:spacing w:val="2"/>
                <w:sz w:val="20"/>
                <w:szCs w:val="20"/>
              </w:rPr>
              <w:t>（</w:t>
            </w:r>
            <w:r>
              <w:rPr>
                <w:rFonts w:ascii="宋体" w:hAnsi="宋体" w:cs="宋体" w:eastAsia="宋体" w:hint="default"/>
                <w:spacing w:val="2"/>
                <w:sz w:val="20"/>
                <w:szCs w:val="20"/>
              </w:rPr>
              <w:t>5</w:t>
            </w:r>
            <w:r>
              <w:rPr>
                <w:rFonts w:ascii="宋体" w:hAnsi="宋体" w:cs="宋体" w:eastAsia="宋体" w:hint="default"/>
                <w:spacing w:val="2"/>
                <w:sz w:val="20"/>
                <w:szCs w:val="20"/>
              </w:rPr>
              <w:t>）获取并查阅资金计划合同、信托计划说明</w:t>
            </w:r>
            <w:r>
              <w:rPr>
                <w:rFonts w:ascii="宋体" w:hAnsi="宋体" w:cs="宋体" w:eastAsia="宋体" w:hint="default"/>
                <w:spacing w:val="-70"/>
                <w:sz w:val="20"/>
                <w:szCs w:val="20"/>
              </w:rPr>
              <w:t> </w:t>
            </w:r>
            <w:r>
              <w:rPr>
                <w:rFonts w:ascii="宋体" w:hAnsi="宋体" w:cs="宋体" w:eastAsia="宋体" w:hint="default"/>
                <w:spacing w:val="-70"/>
                <w:sz w:val="20"/>
                <w:szCs w:val="20"/>
              </w:rPr>
            </w:r>
            <w:r>
              <w:rPr>
                <w:rFonts w:ascii="宋体" w:hAnsi="宋体" w:cs="宋体" w:eastAsia="宋体" w:hint="default"/>
                <w:spacing w:val="-2"/>
                <w:sz w:val="20"/>
                <w:szCs w:val="20"/>
              </w:rPr>
              <w:t>书，了解信托计划中对信托财产的管理、运用和</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pacing w:val="-2"/>
                <w:sz w:val="20"/>
                <w:szCs w:val="20"/>
              </w:rPr>
              <w:t>处分的决策机制及相应流程，分析信托计划的委</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pacing w:val="-2"/>
                <w:sz w:val="20"/>
                <w:szCs w:val="20"/>
              </w:rPr>
              <w:t>托人和受托人的权利，评估公司对该项信托计划</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pacing w:val="-2"/>
                <w:sz w:val="20"/>
                <w:szCs w:val="20"/>
              </w:rPr>
              <w:t>的权利、可变回报、以及运用权力影响可变回报</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pacing w:val="7"/>
                <w:sz w:val="20"/>
                <w:szCs w:val="20"/>
              </w:rPr>
              <w:t>的能力，判断公司对该项信托计划是否构成控</w:t>
            </w:r>
            <w:r>
              <w:rPr>
                <w:rFonts w:ascii="宋体" w:hAnsi="宋体" w:cs="宋体" w:eastAsia="宋体" w:hint="default"/>
                <w:spacing w:val="-65"/>
                <w:sz w:val="20"/>
                <w:szCs w:val="20"/>
              </w:rPr>
              <w:t> </w:t>
            </w:r>
            <w:r>
              <w:rPr>
                <w:rFonts w:ascii="宋体" w:hAnsi="宋体" w:cs="宋体" w:eastAsia="宋体" w:hint="default"/>
                <w:spacing w:val="-65"/>
                <w:sz w:val="20"/>
                <w:szCs w:val="20"/>
              </w:rPr>
            </w:r>
            <w:r>
              <w:rPr>
                <w:rFonts w:ascii="宋体" w:hAnsi="宋体" w:cs="宋体" w:eastAsia="宋体" w:hint="default"/>
                <w:sz w:val="20"/>
                <w:szCs w:val="20"/>
              </w:rPr>
              <w:t>制；</w:t>
            </w:r>
          </w:p>
          <w:p>
            <w:pPr>
              <w:pStyle w:val="TableParagraph"/>
              <w:spacing w:line="285" w:lineRule="auto" w:before="12"/>
              <w:ind w:left="2" w:right="0"/>
              <w:jc w:val="both"/>
              <w:rPr>
                <w:rFonts w:ascii="宋体" w:hAnsi="宋体" w:cs="宋体" w:eastAsia="宋体" w:hint="default"/>
                <w:sz w:val="20"/>
                <w:szCs w:val="20"/>
              </w:rPr>
            </w:pPr>
            <w:r>
              <w:rPr>
                <w:rFonts w:ascii="宋体" w:hAnsi="宋体" w:cs="宋体" w:eastAsia="宋体" w:hint="default"/>
                <w:spacing w:val="2"/>
                <w:sz w:val="20"/>
                <w:szCs w:val="20"/>
              </w:rPr>
              <w:t>（</w:t>
            </w:r>
            <w:r>
              <w:rPr>
                <w:rFonts w:ascii="宋体" w:hAnsi="宋体" w:cs="宋体" w:eastAsia="宋体" w:hint="default"/>
                <w:spacing w:val="2"/>
                <w:sz w:val="20"/>
                <w:szCs w:val="20"/>
              </w:rPr>
              <w:t>6</w:t>
            </w:r>
            <w:r>
              <w:rPr>
                <w:rFonts w:ascii="宋体" w:hAnsi="宋体" w:cs="宋体" w:eastAsia="宋体" w:hint="default"/>
                <w:spacing w:val="2"/>
                <w:sz w:val="20"/>
                <w:szCs w:val="20"/>
              </w:rPr>
              <w:t>）分析信托计划合同的相关约定，并结合管</w:t>
            </w:r>
            <w:r>
              <w:rPr>
                <w:rFonts w:ascii="宋体" w:hAnsi="宋体" w:cs="宋体" w:eastAsia="宋体" w:hint="default"/>
                <w:spacing w:val="-70"/>
                <w:sz w:val="20"/>
                <w:szCs w:val="20"/>
              </w:rPr>
              <w:t> </w:t>
            </w:r>
            <w:r>
              <w:rPr>
                <w:rFonts w:ascii="宋体" w:hAnsi="宋体" w:cs="宋体" w:eastAsia="宋体" w:hint="default"/>
                <w:spacing w:val="-70"/>
                <w:sz w:val="20"/>
                <w:szCs w:val="20"/>
              </w:rPr>
            </w:r>
            <w:r>
              <w:rPr>
                <w:rFonts w:ascii="宋体" w:hAnsi="宋体" w:cs="宋体" w:eastAsia="宋体" w:hint="default"/>
                <w:spacing w:val="-2"/>
                <w:sz w:val="20"/>
                <w:szCs w:val="20"/>
              </w:rPr>
              <w:t>理层认购信托计划的目的和动因，判断对该项金</w:t>
            </w:r>
          </w:p>
        </w:tc>
      </w:tr>
    </w:tbl>
    <w:p>
      <w:pPr>
        <w:spacing w:after="0" w:line="285" w:lineRule="auto"/>
        <w:jc w:val="both"/>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1"/>
          <w:szCs w:val="11"/>
        </w:rPr>
      </w:pPr>
    </w:p>
    <w:p>
      <w:pPr>
        <w:spacing w:line="376" w:lineRule="exact"/>
        <w:ind w:left="64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432.8pt;height:18.850pt;mso-position-horizontal-relative:char;mso-position-vertical-relative:line" coordorigin="0,0" coordsize="8656,377">
            <v:group style="position:absolute;left:14;top:14;width:4420;height:2" coordorigin="14,14" coordsize="4420,2">
              <v:shape style="position:absolute;left:14;top:14;width:4420;height:2" coordorigin="14,14" coordsize="4420,0" path="m14,14l4434,14e" filled="false" stroked="true" strokeweight=".72pt" strokecolor="#000000">
                <v:path arrowok="t"/>
              </v:shape>
            </v:group>
            <v:group style="position:absolute;left:4449;top:14;width:4192;height:2" coordorigin="4449,14" coordsize="4192,2">
              <v:shape style="position:absolute;left:4449;top:14;width:4192;height:2" coordorigin="4449,14" coordsize="4192,0" path="m4449,14l8641,14e" filled="false" stroked="true" strokeweight=".72pt" strokecolor="#000000">
                <v:path arrowok="t"/>
              </v:shape>
            </v:group>
            <v:group style="position:absolute;left:7;top:7;width:2;height:363" coordorigin="7,7" coordsize="2,363">
              <v:shape style="position:absolute;left:7;top:7;width:2;height:363" coordorigin="7,7" coordsize="0,363" path="m7,7l7,370e" filled="false" stroked="true" strokeweight=".72pt" strokecolor="#000000">
                <v:path arrowok="t"/>
              </v:shape>
            </v:group>
            <v:group style="position:absolute;left:14;top:362;width:4420;height:2" coordorigin="14,362" coordsize="4420,2">
              <v:shape style="position:absolute;left:14;top:362;width:4420;height:2" coordorigin="14,362" coordsize="4420,0" path="m14,362l4434,362e" filled="false" stroked="true" strokeweight=".71999pt" strokecolor="#000000">
                <v:path arrowok="t"/>
              </v:shape>
            </v:group>
            <v:group style="position:absolute;left:4442;top:7;width:2;height:363" coordorigin="4442,7" coordsize="2,363">
              <v:shape style="position:absolute;left:4442;top:7;width:2;height:363" coordorigin="4442,7" coordsize="0,363" path="m4442,7l4442,370e" filled="false" stroked="true" strokeweight=".72pt" strokecolor="#000000">
                <v:path arrowok="t"/>
              </v:shape>
            </v:group>
            <v:group style="position:absolute;left:4449;top:362;width:4192;height:2" coordorigin="4449,362" coordsize="4192,2">
              <v:shape style="position:absolute;left:4449;top:362;width:4192;height:2" coordorigin="4449,362" coordsize="4192,0" path="m4449,362l8641,362e" filled="false" stroked="true" strokeweight=".71999pt" strokecolor="#000000">
                <v:path arrowok="t"/>
              </v:shape>
            </v:group>
            <v:group style="position:absolute;left:8648;top:7;width:2;height:363" coordorigin="8648,7" coordsize="2,363">
              <v:shape style="position:absolute;left:8648;top:7;width:2;height:363" coordorigin="8648,7" coordsize="0,363" path="m8648,7l8648,370e" filled="false" stroked="true" strokeweight=".72003pt" strokecolor="#000000">
                <v:path arrowok="t"/>
              </v:shape>
              <v:shape style="position:absolute;left:4442;top:14;width:4207;height:348" type="#_x0000_t202" filled="false" stroked="false">
                <v:textbox inset="0,0,0,0">
                  <w:txbxContent>
                    <w:p>
                      <w:pPr>
                        <w:spacing w:before="12"/>
                        <w:ind w:left="9" w:right="0" w:firstLine="0"/>
                        <w:jc w:val="left"/>
                        <w:rPr>
                          <w:rFonts w:ascii="宋体" w:hAnsi="宋体" w:cs="宋体" w:eastAsia="宋体" w:hint="default"/>
                          <w:sz w:val="20"/>
                          <w:szCs w:val="20"/>
                        </w:rPr>
                      </w:pPr>
                      <w:r>
                        <w:rPr>
                          <w:rFonts w:ascii="宋体" w:hAnsi="宋体" w:cs="宋体" w:eastAsia="宋体" w:hint="default"/>
                          <w:sz w:val="20"/>
                          <w:szCs w:val="20"/>
                        </w:rPr>
                        <w:t>融资产的分类、计量和列报是否正确；</w:t>
                      </w:r>
                    </w:p>
                  </w:txbxContent>
                </v:textbox>
                <w10:wrap type="none"/>
              </v:shape>
            </v:group>
          </v:group>
        </w:pict>
      </w:r>
      <w:r>
        <w:rPr>
          <w:rFonts w:ascii="Times New Roman" w:hAnsi="Times New Roman" w:cs="Times New Roman" w:eastAsia="Times New Roman" w:hint="default"/>
          <w:position w:val="-7"/>
          <w:sz w:val="20"/>
          <w:szCs w:val="20"/>
        </w:rPr>
      </w:r>
    </w:p>
    <w:p>
      <w:pPr>
        <w:spacing w:line="240" w:lineRule="auto" w:before="6"/>
        <w:rPr>
          <w:rFonts w:ascii="Times New Roman" w:hAnsi="Times New Roman" w:cs="Times New Roman" w:eastAsia="Times New Roman" w:hint="default"/>
          <w:sz w:val="29"/>
          <w:szCs w:val="29"/>
        </w:rPr>
      </w:pPr>
    </w:p>
    <w:p>
      <w:pPr>
        <w:pStyle w:val="BodyText"/>
        <w:spacing w:line="429" w:lineRule="auto" w:before="38"/>
        <w:ind w:left="553" w:right="0"/>
        <w:jc w:val="left"/>
      </w:pPr>
      <w:r>
        <w:rPr/>
        <w:t>（四）其他信息</w:t>
      </w:r>
      <w:r>
        <w:rPr>
          <w:w w:val="100"/>
        </w:rPr>
        <w:t> </w:t>
      </w:r>
      <w:r>
        <w:rPr>
          <w:spacing w:val="-1"/>
        </w:rPr>
        <w:t>中科金财管理层（以下简称管理层）对其他信息负责。其他信息包括中科金财</w:t>
      </w:r>
      <w:r>
        <w:rPr>
          <w:rFonts w:ascii="Times New Roman" w:hAnsi="Times New Roman" w:cs="Times New Roman" w:eastAsia="Times New Roman" w:hint="default"/>
          <w:spacing w:val="-1"/>
        </w:rPr>
        <w:t>2018</w:t>
      </w:r>
      <w:r>
        <w:rPr>
          <w:spacing w:val="-1"/>
        </w:rPr>
        <w:t>年年度报告中涵盖的信</w:t>
      </w:r>
    </w:p>
    <w:p>
      <w:pPr>
        <w:pStyle w:val="BodyText"/>
        <w:spacing w:line="429" w:lineRule="auto" w:before="16"/>
        <w:ind w:left="553" w:right="0" w:hanging="400"/>
        <w:jc w:val="left"/>
      </w:pPr>
      <w:r>
        <w:rPr/>
        <w:t>息，但不包括财务报表和我们的审计报告。</w:t>
      </w:r>
      <w:r>
        <w:rPr>
          <w:w w:val="100"/>
        </w:rPr>
        <w:t> </w:t>
      </w:r>
      <w:r>
        <w:rPr/>
        <w:t>我们对财务报表发表的审计意见不涵盖其他信息，我们也不对其他信息发表任何形式的鉴证结论。</w:t>
      </w:r>
      <w:r>
        <w:rPr>
          <w:w w:val="100"/>
        </w:rPr>
        <w:t> </w:t>
      </w:r>
      <w:r>
        <w:rPr>
          <w:spacing w:val="-1"/>
        </w:rPr>
        <w:t>结合我们对财务报表的审计，我们的责任是阅读其他信息，在此过程中，考虑其他信息是否与财务报表或</w:t>
      </w:r>
    </w:p>
    <w:p>
      <w:pPr>
        <w:pStyle w:val="BodyText"/>
        <w:spacing w:line="429" w:lineRule="auto" w:before="48"/>
        <w:ind w:left="553" w:right="0" w:hanging="400"/>
        <w:jc w:val="left"/>
      </w:pPr>
      <w:r>
        <w:rPr/>
        <w:t>我们在审计过程中了解到的情况存在重大不一致或者似乎存在重大错报。</w:t>
      </w:r>
      <w:r>
        <w:rPr>
          <w:w w:val="100"/>
        </w:rPr>
        <w:t> </w:t>
      </w:r>
      <w:r>
        <w:rPr>
          <w:spacing w:val="-1"/>
        </w:rPr>
        <w:t>基于我们已执行的工作，如果我们确定其他信息存在重大错报，我们应当报告该事实。在这方面，我们无</w:t>
      </w:r>
    </w:p>
    <w:p>
      <w:pPr>
        <w:pStyle w:val="BodyText"/>
        <w:spacing w:line="240" w:lineRule="auto" w:before="48"/>
        <w:ind w:right="0"/>
        <w:jc w:val="left"/>
      </w:pPr>
      <w:r>
        <w:rPr/>
        <w:t>任何事项需要报告。</w:t>
      </w:r>
    </w:p>
    <w:p>
      <w:pPr>
        <w:spacing w:line="240" w:lineRule="auto" w:before="10"/>
        <w:rPr>
          <w:rFonts w:ascii="宋体" w:hAnsi="宋体" w:cs="宋体" w:eastAsia="宋体" w:hint="default"/>
          <w:sz w:val="15"/>
          <w:szCs w:val="15"/>
        </w:rPr>
      </w:pPr>
    </w:p>
    <w:p>
      <w:pPr>
        <w:pStyle w:val="BodyText"/>
        <w:spacing w:line="429" w:lineRule="auto"/>
        <w:ind w:left="553" w:right="0"/>
        <w:jc w:val="left"/>
      </w:pPr>
      <w:r>
        <w:rPr/>
        <w:t>（五）管理层和治理层对财务报表的责任</w:t>
      </w:r>
      <w:r>
        <w:rPr>
          <w:w w:val="100"/>
        </w:rPr>
        <w:t> </w:t>
      </w:r>
      <w:r>
        <w:rPr>
          <w:spacing w:val="-1"/>
        </w:rPr>
        <w:t>管理层负责按照企业会计准则的规定编制财务报表，使其实现公允反映，并设计、执行和维护必要的内部</w:t>
      </w:r>
    </w:p>
    <w:p>
      <w:pPr>
        <w:pStyle w:val="BodyText"/>
        <w:spacing w:line="429" w:lineRule="auto" w:before="48"/>
        <w:ind w:left="553" w:right="0" w:hanging="400"/>
        <w:jc w:val="left"/>
      </w:pPr>
      <w:r>
        <w:rPr/>
        <w:t>控制，以使财务报表不存在由于舞弊或错误导致的重大错报。</w:t>
      </w:r>
      <w:r>
        <w:rPr>
          <w:w w:val="100"/>
        </w:rPr>
        <w:t> </w:t>
      </w:r>
      <w:r>
        <w:rPr>
          <w:spacing w:val="-1"/>
        </w:rPr>
        <w:t>在编制财务报表时，管理层负责评估中科金财的持续经营能力，披露与持续经营相关的事项（如适用），</w:t>
      </w:r>
    </w:p>
    <w:p>
      <w:pPr>
        <w:pStyle w:val="BodyText"/>
        <w:spacing w:line="429" w:lineRule="auto" w:before="48"/>
        <w:ind w:left="553" w:right="1118" w:hanging="400"/>
        <w:jc w:val="left"/>
      </w:pPr>
      <w:r>
        <w:rPr>
          <w:spacing w:val="-1"/>
        </w:rPr>
        <w:t>并运用持续经营假设，除非计划进行清算、终止运营或别无其他现实的选择。</w:t>
      </w:r>
      <w:r>
        <w:rPr>
          <w:spacing w:val="-73"/>
        </w:rPr>
        <w:t> </w:t>
      </w:r>
      <w:r>
        <w:rPr>
          <w:spacing w:val="-73"/>
        </w:rPr>
      </w:r>
      <w:r>
        <w:rPr/>
        <w:t>治理层负责监督中科金财的财务报告过程。</w:t>
      </w:r>
    </w:p>
    <w:p>
      <w:pPr>
        <w:pStyle w:val="BodyText"/>
        <w:spacing w:line="429" w:lineRule="auto" w:before="48"/>
        <w:ind w:left="553" w:right="0"/>
        <w:jc w:val="left"/>
      </w:pPr>
      <w:r>
        <w:rPr/>
        <w:t>（六）注册会计师对财务报表审计的责任</w:t>
      </w:r>
      <w:r>
        <w:rPr>
          <w:w w:val="100"/>
        </w:rPr>
        <w:t> </w:t>
      </w:r>
      <w:r>
        <w:rPr>
          <w:spacing w:val="-1"/>
        </w:rPr>
        <w:t>我们的目标是对财务报表整体是否不存在由于舞弊或错误导致的重大错报获取合理保证，并出具包含审计</w:t>
      </w:r>
    </w:p>
    <w:p>
      <w:pPr>
        <w:pStyle w:val="BodyText"/>
        <w:spacing w:line="429" w:lineRule="auto" w:before="48"/>
        <w:ind w:right="1169"/>
        <w:jc w:val="both"/>
      </w:pPr>
      <w:r>
        <w:rPr>
          <w:spacing w:val="-1"/>
        </w:rPr>
        <w:t>意见的审计报告。合理保证是高水平的保证，但并不能保证按照审计准则执行的审计在某一重大错报存在时总</w:t>
      </w:r>
      <w:r>
        <w:rPr>
          <w:spacing w:val="-63"/>
        </w:rPr>
        <w:t> </w:t>
      </w:r>
      <w:r>
        <w:rPr>
          <w:spacing w:val="-63"/>
        </w:rPr>
      </w:r>
      <w:r>
        <w:rPr>
          <w:spacing w:val="-1"/>
        </w:rPr>
        <w:t>能发现。错报可能由于舞弊或错误导致，如果合理预期错报单独或汇总起来可能影响财务报表使用者依据财务</w:t>
      </w:r>
      <w:r>
        <w:rPr>
          <w:spacing w:val="-63"/>
        </w:rPr>
        <w:t> </w:t>
      </w:r>
      <w:r>
        <w:rPr>
          <w:spacing w:val="-63"/>
        </w:rPr>
      </w:r>
      <w:r>
        <w:rPr/>
        <w:t>报表作出的经济决策，则通常认为错报是重大的。</w:t>
      </w:r>
    </w:p>
    <w:p>
      <w:pPr>
        <w:pStyle w:val="BodyText"/>
        <w:spacing w:line="429" w:lineRule="auto" w:before="48"/>
        <w:ind w:right="1169" w:firstLine="399"/>
        <w:jc w:val="both"/>
      </w:pPr>
      <w:r>
        <w:rPr>
          <w:spacing w:val="-1"/>
        </w:rPr>
        <w:t>在按照审计准则执行审计工作的过程中，我们运用职业判断，并保持职业怀疑。同时，我们也执行以下工</w:t>
      </w:r>
      <w:r>
        <w:rPr>
          <w:w w:val="100"/>
        </w:rPr>
        <w:t> </w:t>
      </w:r>
      <w:r>
        <w:rPr/>
        <w:t>作：</w:t>
      </w:r>
    </w:p>
    <w:p>
      <w:pPr>
        <w:pStyle w:val="BodyText"/>
        <w:spacing w:line="422" w:lineRule="auto" w:before="48"/>
        <w:ind w:right="1131" w:firstLine="399"/>
        <w:jc w:val="both"/>
      </w:pPr>
      <w:r>
        <w:rPr>
          <w:spacing w:val="-2"/>
        </w:rPr>
        <w:t>（</w:t>
      </w:r>
      <w:r>
        <w:rPr>
          <w:rFonts w:ascii="Times New Roman" w:hAnsi="Times New Roman" w:cs="Times New Roman" w:eastAsia="Times New Roman" w:hint="default"/>
          <w:spacing w:val="-2"/>
        </w:rPr>
        <w:t>1</w:t>
      </w:r>
      <w:r>
        <w:rPr>
          <w:spacing w:val="-2"/>
        </w:rPr>
        <w:t>）识别和评估由于舞弊或错误导致的财务报表重大错报风险，设计和实施审计程序以应对这些风险，并</w:t>
      </w:r>
      <w:r>
        <w:rPr>
          <w:w w:val="100"/>
        </w:rPr>
        <w:t> </w:t>
      </w:r>
      <w:r>
        <w:rPr/>
        <w:t>获取充分、适当的审计证据，作为发表审计意见的基础。由于舞弊可能涉及串通、伪造、故意遗漏、虚假陈述</w:t>
      </w:r>
      <w:r>
        <w:rPr>
          <w:w w:val="100"/>
        </w:rPr>
        <w:t> </w:t>
      </w:r>
      <w:r>
        <w:rPr/>
        <w:t>或凌驾于内部控制之上，未能发现由于舞弊导致的重大错报的风险高于未能发现由于错误导致的重大错报的风</w:t>
      </w:r>
      <w:r>
        <w:rPr>
          <w:w w:val="100"/>
        </w:rPr>
        <w:t> </w:t>
      </w:r>
      <w:r>
        <w:rPr/>
        <w:t>险。</w:t>
      </w:r>
    </w:p>
    <w:p>
      <w:pPr>
        <w:pStyle w:val="BodyText"/>
        <w:spacing w:line="240" w:lineRule="auto" w:before="54"/>
        <w:ind w:left="553" w:right="0"/>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spacing w:line="240" w:lineRule="auto" w:before="8"/>
        <w:rPr>
          <w:rFonts w:ascii="宋体" w:hAnsi="宋体" w:cs="宋体" w:eastAsia="宋体" w:hint="default"/>
          <w:sz w:val="14"/>
          <w:szCs w:val="14"/>
        </w:rPr>
      </w:pPr>
    </w:p>
    <w:p>
      <w:pPr>
        <w:pStyle w:val="BodyText"/>
        <w:spacing w:line="240" w:lineRule="auto"/>
        <w:ind w:left="553"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spacing w:line="240" w:lineRule="auto" w:before="8"/>
        <w:rPr>
          <w:rFonts w:ascii="宋体" w:hAnsi="宋体" w:cs="宋体" w:eastAsia="宋体" w:hint="default"/>
          <w:sz w:val="14"/>
          <w:szCs w:val="14"/>
        </w:rPr>
      </w:pPr>
    </w:p>
    <w:p>
      <w:pPr>
        <w:pStyle w:val="BodyText"/>
        <w:spacing w:line="240" w:lineRule="auto"/>
        <w:ind w:left="553" w:right="0"/>
        <w:jc w:val="left"/>
      </w:pPr>
      <w:r>
        <w:rPr/>
        <w:t>（</w:t>
      </w:r>
      <w:r>
        <w:rPr>
          <w:rFonts w:ascii="Times New Roman" w:hAnsi="Times New Roman" w:cs="Times New Roman" w:eastAsia="Times New Roman" w:hint="default"/>
        </w:rPr>
        <w:t>4</w:t>
      </w:r>
      <w:r>
        <w:rPr/>
        <w:t>）对管理层使用持续经营假设的恰当性得出结论。同时，根据获取的审计证据，就可能导致对中科金财</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29" w:lineRule="auto"/>
        <w:ind w:right="1168"/>
        <w:jc w:val="both"/>
      </w:pPr>
      <w:r>
        <w:rPr>
          <w:spacing w:val="-1"/>
        </w:rPr>
        <w:t>持续经营能力产生重大疑虑的事项或情况是否存在重大不确定性得出结论。如果我们得出结论认为存在重大不</w:t>
      </w:r>
      <w:r>
        <w:rPr>
          <w:spacing w:val="-62"/>
        </w:rPr>
        <w:t> </w:t>
      </w:r>
      <w:r>
        <w:rPr>
          <w:spacing w:val="-62"/>
        </w:rPr>
      </w:r>
      <w:r>
        <w:rPr>
          <w:spacing w:val="-1"/>
        </w:rPr>
        <w:t>确定性，审计准则要求我们在审计报告中提请报表使用者注意财务报表中的相关披露；如果披露不充分，我们</w:t>
      </w:r>
      <w:r>
        <w:rPr>
          <w:spacing w:val="-63"/>
        </w:rPr>
        <w:t> </w:t>
      </w:r>
      <w:r>
        <w:rPr>
          <w:spacing w:val="-63"/>
        </w:rPr>
      </w:r>
      <w:r>
        <w:rPr>
          <w:spacing w:val="-1"/>
        </w:rPr>
        <w:t>应当发表非无保留意见。我们的结论基于截至审计报告日可获得的信息。然而，未来的事项或情况可能导致中</w:t>
      </w:r>
      <w:r>
        <w:rPr>
          <w:spacing w:val="-63"/>
        </w:rPr>
        <w:t> </w:t>
      </w:r>
      <w:r>
        <w:rPr>
          <w:spacing w:val="-63"/>
        </w:rPr>
      </w:r>
      <w:r>
        <w:rPr/>
        <w:t>科金财不能持续经营。</w:t>
      </w:r>
    </w:p>
    <w:p>
      <w:pPr>
        <w:pStyle w:val="BodyText"/>
        <w:spacing w:line="240" w:lineRule="auto" w:before="48"/>
        <w:ind w:left="553" w:right="0"/>
        <w:jc w:val="left"/>
      </w:pPr>
      <w:r>
        <w:rPr>
          <w:spacing w:val="-5"/>
        </w:rPr>
        <w:t>（</w:t>
      </w:r>
      <w:r>
        <w:rPr>
          <w:rFonts w:ascii="Times New Roman" w:hAnsi="Times New Roman" w:cs="Times New Roman" w:eastAsia="Times New Roman" w:hint="default"/>
          <w:spacing w:val="-5"/>
        </w:rPr>
        <w:t>5</w:t>
      </w:r>
      <w:r>
        <w:rPr>
          <w:spacing w:val="-5"/>
        </w:rPr>
        <w:t>）评价财务报表的总体列报、结构和内容（包括披露），并评价财务报表是否公允反映相关交易和事项。</w:t>
      </w:r>
    </w:p>
    <w:p>
      <w:pPr>
        <w:spacing w:line="240" w:lineRule="auto" w:before="8"/>
        <w:rPr>
          <w:rFonts w:ascii="宋体" w:hAnsi="宋体" w:cs="宋体" w:eastAsia="宋体" w:hint="default"/>
          <w:sz w:val="14"/>
          <w:szCs w:val="14"/>
        </w:rPr>
      </w:pPr>
    </w:p>
    <w:p>
      <w:pPr>
        <w:pStyle w:val="BodyText"/>
        <w:spacing w:line="405" w:lineRule="auto"/>
        <w:ind w:right="0" w:firstLine="399"/>
        <w:jc w:val="left"/>
      </w:pPr>
      <w:r>
        <w:rPr>
          <w:spacing w:val="-1"/>
        </w:rPr>
        <w:t>（</w:t>
      </w:r>
      <w:r>
        <w:rPr>
          <w:rFonts w:ascii="Times New Roman" w:hAnsi="Times New Roman" w:cs="Times New Roman" w:eastAsia="Times New Roman" w:hint="default"/>
          <w:spacing w:val="-1"/>
        </w:rPr>
        <w:t>6</w:t>
      </w:r>
      <w:r>
        <w:rPr>
          <w:spacing w:val="-1"/>
        </w:rPr>
        <w:t>）就中科金财中实体或业务活动的财务信息获取充分、适当的审计证据，以对财务报表发表审计意见。</w:t>
      </w:r>
      <w:r>
        <w:rPr>
          <w:w w:val="100"/>
        </w:rPr>
        <w:t> </w:t>
      </w:r>
      <w:r>
        <w:rPr/>
        <w:t>我们负责指导、监督和执行集团审计，并对审计意见承担全部责任。</w:t>
      </w:r>
    </w:p>
    <w:p>
      <w:pPr>
        <w:pStyle w:val="BodyText"/>
        <w:spacing w:line="429" w:lineRule="auto" w:before="68"/>
        <w:ind w:right="1168" w:firstLine="399"/>
        <w:jc w:val="both"/>
      </w:pPr>
      <w:r>
        <w:rPr>
          <w:spacing w:val="-1"/>
        </w:rPr>
        <w:t>我们与治理层就计划的审计范围、时间安排和重大审计发现等事项进行沟通，包括沟通我们在审计中识别</w:t>
      </w:r>
      <w:r>
        <w:rPr>
          <w:w w:val="100"/>
        </w:rPr>
        <w:t> </w:t>
      </w:r>
      <w:r>
        <w:rPr/>
        <w:t>出的值得关注的内部控制缺陷。</w:t>
      </w:r>
    </w:p>
    <w:p>
      <w:pPr>
        <w:pStyle w:val="BodyText"/>
        <w:spacing w:line="429" w:lineRule="auto" w:before="48"/>
        <w:ind w:right="1169" w:firstLine="399"/>
        <w:jc w:val="both"/>
      </w:pPr>
      <w:r>
        <w:rPr>
          <w:spacing w:val="-1"/>
        </w:rPr>
        <w:t>我们还就已遵守与独立性相关的职业道德要求向治理层提供声明，并与治理层沟通可能被合理认为影响我</w:t>
      </w:r>
      <w:r>
        <w:rPr>
          <w:w w:val="100"/>
        </w:rPr>
        <w:t> </w:t>
      </w:r>
      <w:r>
        <w:rPr/>
        <w:t>们独立性的所有关系和其他事项，以及相关的防范措施（如适用）。</w:t>
      </w:r>
    </w:p>
    <w:p>
      <w:pPr>
        <w:pStyle w:val="BodyText"/>
        <w:spacing w:line="429" w:lineRule="auto" w:before="48"/>
        <w:ind w:right="1168" w:firstLine="399"/>
        <w:jc w:val="both"/>
      </w:pPr>
      <w:r>
        <w:rPr>
          <w:spacing w:val="-1"/>
        </w:rPr>
        <w:t>从与治理层沟通过的事项中，我们确定哪些事项对本期财务报表审计最为重要，因而构成关键审计事项。</w:t>
      </w:r>
      <w:r>
        <w:rPr>
          <w:w w:val="100"/>
        </w:rPr>
        <w:t> </w:t>
      </w:r>
      <w:r>
        <w:rPr>
          <w:spacing w:val="-1"/>
        </w:rPr>
        <w:t>我们在审计报告中描述这些事项，除非法律法规禁止公开披露这些事项，或在极少数情形下，如果合理预期在</w:t>
      </w:r>
      <w:r>
        <w:rPr>
          <w:spacing w:val="-63"/>
        </w:rPr>
        <w:t> </w:t>
      </w:r>
      <w:r>
        <w:rPr>
          <w:spacing w:val="-63"/>
        </w:rPr>
      </w:r>
      <w:r>
        <w:rPr>
          <w:spacing w:val="-1"/>
        </w:rPr>
        <w:t>审计报告中沟通某事项造成的负面后果超过在公众利益方面产生的益处，我们确定不应在审计报告中沟通该事</w:t>
      </w:r>
      <w:r>
        <w:rPr>
          <w:spacing w:val="-62"/>
        </w:rPr>
        <w:t> </w:t>
      </w:r>
      <w:r>
        <w:rPr>
          <w:spacing w:val="-62"/>
        </w:rPr>
      </w:r>
      <w:r>
        <w:rPr/>
        <w:t>项。</w:t>
      </w:r>
    </w:p>
    <w:p>
      <w:pPr>
        <w:spacing w:line="240" w:lineRule="auto" w:before="4"/>
        <w:rPr>
          <w:rFonts w:ascii="宋体" w:hAnsi="宋体" w:cs="宋体" w:eastAsia="宋体" w:hint="default"/>
          <w:sz w:val="18"/>
          <w:szCs w:val="18"/>
        </w:rPr>
      </w:pPr>
    </w:p>
    <w:p>
      <w:pPr>
        <w:pStyle w:val="Heading2"/>
        <w:spacing w:line="240" w:lineRule="auto"/>
        <w:ind w:right="0"/>
        <w:jc w:val="both"/>
        <w:rPr>
          <w:b w:val="0"/>
          <w:bCs w:val="0"/>
        </w:rPr>
      </w:pPr>
      <w:bookmarkStart w:name="二、财务报表" w:id="157"/>
      <w:bookmarkEnd w:id="157"/>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bookmarkStart w:name="1、合并资产负债表" w:id="158"/>
      <w:bookmarkEnd w:id="158"/>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6"/>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7" w:footer="979" w:top="1060" w:bottom="1160" w:left="980" w:right="0"/>
        </w:sectPr>
      </w:pPr>
    </w:p>
    <w:p>
      <w:pPr>
        <w:pStyle w:val="BodyText"/>
        <w:spacing w:line="240" w:lineRule="auto" w:before="38"/>
        <w:ind w:right="-1"/>
        <w:jc w:val="left"/>
      </w:pPr>
      <w:r>
        <w:rPr>
          <w:spacing w:val="-1"/>
        </w:rPr>
        <w:t>编制单位：北京中科金财科技股份有限公司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13"/>
          <w:szCs w:val="13"/>
        </w:rPr>
      </w:pPr>
    </w:p>
    <w:p>
      <w:pPr>
        <w:spacing w:before="0"/>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955" w:space="122"/>
            <w:col w:w="1639" w:space="3203"/>
            <w:col w:w="201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389,651,012.22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677,014,224.38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137,643,619.43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99,776,164.45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28,821,652.00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8,137,514.49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108,821,967.43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91,638,649.96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19,999,663.24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6,159,904.41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94,884,447.92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64,796,993.48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490,477,654.58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458,110,365.52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1,285,451,694.38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2,097,788,069.28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2,418,108,091.77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3,403,645,721.52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18,248,400.00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19,248,400.00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316,368,248.35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308,678,354.19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19,093,358.06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28,697,969.27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76,282.04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44,061,762.58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77,938,706.58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68,098,288.60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42,594,598.91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285,022,670.05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328,615,904.09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658,393.79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1,557,866.93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17,340,247.26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15,526,828.46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622,523,250.11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322,990,025.18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1,391,414,618.80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1,145,924,935.65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3,809,522,710.57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4,549,570,657.17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317,875,718.84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270,960,365.89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314,422,963.70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272,968,102.26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403,068,221.56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322,657,725.68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17,805,379.13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9,965,860.99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24,464,522.57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19,925,775.84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83,721,184.10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166,220,401.49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11,124,445.50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54,070,484.20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280,137,562.92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550,595,620.43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1,215,428,474.10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1,893,431,415.50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51,410,035.67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94,617,770.41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1,745,711.37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7,634,245.36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53,155,747.04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102,252,015.77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1,268,584,221.14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1,995,683,431.27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337,576,686.00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337,576,686.00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1,773,201,926.11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1,773,201,926.11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2,451.07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1,121.95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68,729,799.54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63,243,798.06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346,231,552.50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343,508,039.25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2,525,742,415.22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2,517,531,571.37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15,196,074.21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36,355,654.53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2,540,938,489.43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2,553,887,225.90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3,809,522,710.57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4,549,570,657.17</w:t>
            </w:r>
          </w:p>
        </w:tc>
      </w:tr>
    </w:tbl>
    <w:p>
      <w:pPr>
        <w:spacing w:line="240" w:lineRule="auto" w:before="3"/>
        <w:rPr>
          <w:rFonts w:ascii="Times New Roman" w:hAnsi="Times New Roman" w:cs="Times New Roman" w:eastAsia="Times New Roman" w:hint="default"/>
          <w:sz w:val="23"/>
          <w:szCs w:val="23"/>
        </w:rPr>
      </w:pPr>
    </w:p>
    <w:p>
      <w:pPr>
        <w:tabs>
          <w:tab w:pos="3510" w:val="left" w:leader="none"/>
          <w:tab w:pos="774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法定代表人：朱烨东</w:t>
        <w:tab/>
        <w:t>主管会计工作负责人：赵学荣</w:t>
        <w:tab/>
        <w:t>会计机构负责人：洪珊</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59"/>
      <w:bookmarkEnd w:id="159"/>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215,626,374.05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347,126,239.47</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126,860,728.04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75,672,257.63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28,821,652.00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8,137,514.49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98,039,076.04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67,534,743.14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18,259,881.70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3,703,117.44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235,424,934.28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524,568,713.44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482,631,518.48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446,266,148.23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792,797,308.43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538,318,627.05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1,871,600,744.98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1,935,655,103.26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1,900,431,159.63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1,892,955,051.50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7,071,621.43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13,753,916.19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34,200,500.27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61,727,772.47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67,203,242.86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41,662,648.01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221,908.61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86,726.74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12,765,834.26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11,472,333.76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22,523,250.11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22,990,025.18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2,049,217,517.17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2,049,448,473.85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3,920,818,262.15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3,985,103,577.11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317,075,718.84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270,938,365.89</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310,998,572.71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267,594,793.44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394,863,562.87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321,539,019.43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14,668,556.67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7,370,664.08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17,598,936.01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15,241,107.86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22,120,106.01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38,623,484.68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11,124,445.50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54,070,484.20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280,137,562.92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1,131,395,937.31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1,201,444,998.30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51,410,035.67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94,617,770.41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1,745,711.37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7,634,245.36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53,155,747.04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102,252,015.77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1,184,551,684.35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1,303,697,014.07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337,576,686.00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337,576,686.00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1,775,741,179.64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1,775,741,179.64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68,729,799.54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63,243,798.06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554,218,912.62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504,844,899.34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2,736,266,577.80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2,681,406,563.04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3,920,818,262.15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3,985,103,577.11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0"/>
        <w:jc w:val="left"/>
        <w:rPr>
          <w:b w:val="0"/>
          <w:bCs w:val="0"/>
        </w:rPr>
      </w:pPr>
      <w:bookmarkStart w:name="3、合并利润表" w:id="160"/>
      <w:bookmarkEnd w:id="160"/>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1,485,625,293.81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1,226,017,671.63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1,485,625,293.81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1,226,017,671.63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1,606,782,639.48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1,558,521,723.13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1,193,705,000.59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872,785,100.34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5,898,552.83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5,260,166.73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58,133,543.71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45,035,159.71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107,574,984.61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114,019,938.42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137,805,965.53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121,734,113.84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25,150,338.72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10,499,115.45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9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25,393,816.52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21,733,678.15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3,738,250.61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14,859,663.40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78,514,253.49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389,188,128.64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9,667,554.29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12,967,825.73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109,670,963.17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74,304,927.09</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11,618,562.08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8,645,464.58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1"/>
              <w:jc w:val="right"/>
              <w:rPr>
                <w:rFonts w:ascii="宋体" w:hAnsi="宋体" w:cs="宋体" w:eastAsia="宋体" w:hint="default"/>
                <w:sz w:val="18"/>
                <w:szCs w:val="18"/>
              </w:rPr>
            </w:pP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-1,071,335.81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-340,290.42</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-2,890,164.02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-245,571,589.10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3,668,758.95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551,747.66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10,725,936.93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114,798.79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-9,947,342.00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-245,134,640.23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3,002,723.59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12,966,372.70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-12,950,065.59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-258,101,012.93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-12,950,065.59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-258,101,012.93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8,209,514.73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-236,661,197.94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-21,159,580.32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-21,439,814.99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1,329.12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1,121.95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1,329.12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1,121.95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1,329.12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1,121.95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1,329.12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1,121.95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-12,948,736.47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-258,099,890.98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8,210,843.85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-236,660,075.99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-21,159,580.32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-21,439,814.99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-0.7</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-0.7</w:t>
            </w:r>
            <w:r>
              <w:rPr>
                <w:rFonts w:ascii="Times New Roman"/>
                <w:sz w:val="18"/>
              </w:rPr>
            </w:r>
          </w:p>
        </w:tc>
      </w:tr>
    </w:tbl>
    <w:p>
      <w:pPr>
        <w:tabs>
          <w:tab w:pos="3664" w:val="left" w:leader="none"/>
          <w:tab w:pos="7895" w:val="left" w:leader="none"/>
        </w:tabs>
        <w:spacing w:line="592" w:lineRule="auto" w:before="51"/>
        <w:ind w:left="154" w:right="1229" w:firstLine="0"/>
        <w:jc w:val="both"/>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法定代表人：朱烨东</w:t>
        <w:tab/>
        <w:t>主管会计工作负责人：赵学荣</w:t>
        <w:tab/>
        <w:t>会计机构负责人：洪珊 </w:t>
      </w:r>
      <w:bookmarkStart w:name="4、母公司利润表" w:id="161"/>
      <w:bookmarkEnd w:id="161"/>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1,412,395,603.53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1,101,689,599.97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1,179,988,419.82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845,792,853.61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4,846,347.24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3,568,573.01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39,489,841.74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32,229,925.88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62,495,551.22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57,267,789.38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95,440,322.76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85,655,420.95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11,278,261.67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14,287,263.25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23,409,638.81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21,028,149.60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15,566,792.65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10,299,944.06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5,173,305.07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712,541.72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8,616,599.95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9,760,668.63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39,994,025.46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54,453,720.50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11,423,958.13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7,693,093.98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-1,073,623.57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-393,341.18</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61,220,555.85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125,996,280.12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3,595,692.82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467,712.66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10,447,144.53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54,369,104.14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126,363,992.78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-490,910.62</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13,095,283.13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54,860,014.76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113,268,709.65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54,860,014.76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113,268,709.65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54,860,014.76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113,268,709.65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合并现金流量表" w:id="162"/>
      <w:bookmarkEnd w:id="162"/>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1,747,073,418.87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1,398,227,962.45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2,959,500.56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4,114,531.75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260,128,607.41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275,084,217.33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2,010,161,526.84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1,677,426,711.53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1,386,611,067.21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1,057,385,345.95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159,864,395.48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148,396,481.56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54,466,081.56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55,859,571.67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437,471,591.29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307,357,121.75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2,038,413,135.54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1,568,998,520.93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-28,251,608.70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108,428,190.60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5,852,864,653.69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5,714,367,763.62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110,100,839.52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90,864,060.65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288,529.06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143,650.00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41,405,771.20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5,963,254,022.27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5,846,781,245.47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32,344,175.39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44,321,255.22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5,453,369,138.08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6,435,263,428.58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22,101,116.23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11,231,600.00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5,485,713,313.47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6,512,917,400.03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477,540,708.80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-666,136,154.56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385,266,649.23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594,729,365.89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4,770,189.90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160,367,043.86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390,036,839.13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755,096,409.75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999,675,994.86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312,851,000.00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57,664,522.55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48,079,013.32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11,810.73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12,757,675.24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1,057,352,328.14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373,687,688.56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-667,315,489.01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381,408,721.19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1,183.88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1,346.36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-218,025,205.03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-176,297,896.41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546,659,633.63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722,957,530.04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328,634,428.60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546,659,633.63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6、母公司现金流量表" w:id="163"/>
      <w:bookmarkEnd w:id="163"/>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39"/>
        <w:gridCol w:w="3318"/>
        <w:gridCol w:w="3300"/>
      </w:tblGrid>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1,648,993,970.55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1,263,473,357.45</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1,931,828.29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1,407,374.65</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274,639,421.19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321,699,556.14</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1,925,565,220.03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1,586,580,288.24</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1,373,608,956.83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1,027,888,473.24</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108,454,874.34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94,916,915.24</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43,096,875.35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33,288,590.92</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330,817,895.85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372,896,460.82</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1,855,978,602.37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1,528,990,440.22</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69,586,617.66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57,589,848.02</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5,039,465,689.63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4,717,219,606.13</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46,709,621.98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59,039,109.90</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1,337,679.06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98,310.00</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5,087,512,990.67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4,776,357,026.03</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25,660,754.11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41,556,699.28</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4,995,928,581.95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5,208,831,437.08</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5,021,589,336.06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5,250,388,136.36</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65,923,654.61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-474,031,110.33</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381,220,214.23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270,938,365.89</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4,770,189.90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160,367,043.86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385,990,404.13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431,305,409.75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606,779,559.86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39,577,265.87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36,746,983.90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11,810.73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12,257,675.24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646,368,636.46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53,004,659.14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-260,378,232.33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378,300,750.61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-124,867,960.06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-38,140,511.70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313,227,949.68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351,368,461.38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188,359,989.62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313,227,949.68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7、合并所有者权益变动表" w:id="164"/>
      <w:bookmarkEnd w:id="164"/>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2"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337,57</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6,686.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1,773,2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01,926.</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1,121.9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63,243,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798.06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343,508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,039.25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36,355,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654.53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87,225.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90</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337,57</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6,686.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1,773,2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01,926.</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1,121.9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63,243,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798.06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343,508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,039.25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36,355,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654.53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87,225.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90</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5,486,0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01.48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2,723,5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13.25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-21,159,</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580.32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-12,948,</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736.47</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8,209,5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14.73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-21,159,</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580.32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-12,948,</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736.47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5,486,0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01.48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-5,486,0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01.48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5,486,0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01.48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-5,486,0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01.48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 w:right="0"/>
              <w:jc w:val="left"/>
              <w:rPr>
                <w:rFonts w:ascii="Times New Roman" w:hAnsi="Times New Roman" w:cs="Times New Roman" w:eastAsia="Times New Roman" w:hint="default"/>
                <w:sz w:val="18"/>
                <w:szCs w:val="18"/>
              </w:rPr>
            </w:pPr>
            <w:r>
              <w:rPr>
                <w:rFonts w:ascii="Times New Roman"/>
                <w:sz w:val="18"/>
              </w:rPr>
              <w:t>337,57</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1,773,2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2,451.0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68,729,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6" w:right="0"/>
              <w:jc w:val="left"/>
              <w:rPr>
                <w:rFonts w:ascii="Times New Roman" w:hAnsi="Times New Roman" w:cs="Times New Roman" w:eastAsia="Times New Roman" w:hint="default"/>
                <w:sz w:val="18"/>
                <w:szCs w:val="18"/>
              </w:rPr>
            </w:pPr>
            <w:r>
              <w:rPr>
                <w:rFonts w:ascii="Times New Roman"/>
                <w:sz w:val="18"/>
              </w:rPr>
              <w:t>346,231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15,196,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5" w:right="0"/>
              <w:jc w:val="left"/>
              <w:rPr>
                <w:rFonts w:ascii="Times New Roman" w:hAnsi="Times New Roman" w:cs="Times New Roman" w:eastAsia="Times New Roman" w:hint="default"/>
                <w:sz w:val="18"/>
                <w:szCs w:val="18"/>
              </w:rPr>
            </w:pPr>
            <w:r>
              <w:rPr>
                <w:rFonts w:ascii="Times New Roman"/>
                <w:sz w:val="18"/>
              </w:rPr>
              <w:t>2,540,9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61"/>
      </w:tblGrid>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0" w:right="0"/>
              <w:jc w:val="left"/>
              <w:rPr>
                <w:rFonts w:ascii="Times New Roman" w:hAnsi="Times New Roman" w:cs="Times New Roman" w:eastAsia="Times New Roman" w:hint="default"/>
                <w:sz w:val="18"/>
                <w:szCs w:val="18"/>
              </w:rPr>
            </w:pPr>
            <w:r>
              <w:rPr>
                <w:rFonts w:ascii="Times New Roman"/>
                <w:sz w:val="18"/>
              </w:rPr>
              <w:t>6,686.</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01,926.</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799.54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Times New Roman" w:hAnsi="Times New Roman" w:cs="Times New Roman" w:eastAsia="Times New Roman" w:hint="default"/>
                <w:sz w:val="18"/>
                <w:szCs w:val="18"/>
              </w:rPr>
            </w:pPr>
            <w:r>
              <w:rPr>
                <w:rFonts w:ascii="Times New Roman"/>
                <w:sz w:val="18"/>
              </w:rPr>
              <w:t>,552.50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074.21</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z w:val="18"/>
              </w:rPr>
              <w:t>38,489.</w:t>
            </w:r>
          </w:p>
          <w:p>
            <w:pPr>
              <w:pStyle w:val="TableParagraph"/>
              <w:spacing w:line="240" w:lineRule="auto" w:before="106"/>
              <w:ind w:right="24"/>
              <w:jc w:val="right"/>
              <w:rPr>
                <w:rFonts w:ascii="Times New Roman" w:hAnsi="Times New Roman" w:cs="Times New Roman" w:eastAsia="Times New Roman" w:hint="default"/>
                <w:sz w:val="18"/>
                <w:szCs w:val="18"/>
              </w:rPr>
            </w:pPr>
            <w:r>
              <w:rPr>
                <w:rFonts w:ascii="Times New Roman"/>
                <w:sz w:val="18"/>
              </w:rPr>
              <w:t>43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337,57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6,686.</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31,516.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51,874,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852.07</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608,374</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,942.46</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58,365,</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879.26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2,829,3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23,876.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16</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337,57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6,686.</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31,516.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51,874,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852.07</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608,374</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,942.46</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58,365,</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879.26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2,829,3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23,876.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16</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70,409.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1,121.9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11,368,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945.99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-264,86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6,903.2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-22,010</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,224.73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-275,43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6,650.2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1,121.9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1,197.9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-21,439</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,814.99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-258,09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9,890.9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r>
        <w:trPr>
          <w:trHeight w:val="704"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23"/>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70,409.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-570,40</w:t>
            </w:r>
          </w:p>
          <w:p>
            <w:pPr>
              <w:pStyle w:val="TableParagraph"/>
              <w:spacing w:line="240" w:lineRule="auto" w:before="106"/>
              <w:ind w:left="304" w:right="0"/>
              <w:jc w:val="left"/>
              <w:rPr>
                <w:rFonts w:ascii="Times New Roman" w:hAnsi="Times New Roman" w:cs="Times New Roman" w:eastAsia="Times New Roman" w:hint="default"/>
                <w:sz w:val="18"/>
                <w:szCs w:val="18"/>
              </w:rPr>
            </w:pPr>
            <w:r>
              <w:rPr>
                <w:rFonts w:ascii="Times New Roman"/>
                <w:sz w:val="18"/>
              </w:rPr>
              <w:t>9.74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6"/>
              <w:ind w:left="310"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70,409.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-570,40</w:t>
            </w:r>
          </w:p>
          <w:p>
            <w:pPr>
              <w:pStyle w:val="TableParagraph"/>
              <w:spacing w:line="240" w:lineRule="auto" w:before="106"/>
              <w:ind w:left="304" w:right="0"/>
              <w:jc w:val="left"/>
              <w:rPr>
                <w:rFonts w:ascii="Times New Roman" w:hAnsi="Times New Roman" w:cs="Times New Roman" w:eastAsia="Times New Roman" w:hint="default"/>
                <w:sz w:val="18"/>
                <w:szCs w:val="18"/>
              </w:rPr>
            </w:pPr>
            <w:r>
              <w:rPr>
                <w:rFonts w:ascii="Times New Roman"/>
                <w:sz w:val="18"/>
              </w:rPr>
              <w:t>9.74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6"/>
              <w:ind w:left="310"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11,326,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870.97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-28,205,</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705.27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-16,878,</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834.30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11,326,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870.97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-11,326,</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870.97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-16,878,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834.30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-16,878,</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834.30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02</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337,57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6,686.</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01,926.</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1,121.9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63,243,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798.06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343,508</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,039.25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36,355,</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654.53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87,225.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母公司所有者权益变动表" w:id="165"/>
      <w:bookmarkEnd w:id="165"/>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18"/>
        <w:gridCol w:w="715"/>
        <w:gridCol w:w="653"/>
        <w:gridCol w:w="665"/>
        <w:gridCol w:w="654"/>
        <w:gridCol w:w="809"/>
        <w:gridCol w:w="797"/>
        <w:gridCol w:w="798"/>
        <w:gridCol w:w="798"/>
        <w:gridCol w:w="796"/>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2"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7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4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0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72" w:type="dxa"/>
            <w:gridSpan w:val="3"/>
            <w:vMerge/>
            <w:tcBorders>
              <w:left w:val="single" w:sz="4" w:space="0" w:color="000000"/>
              <w:bottom w:val="single" w:sz="4" w:space="0" w:color="000000"/>
              <w:right w:val="single" w:sz="4" w:space="0" w:color="000000"/>
            </w:tcBorders>
            <w:shd w:val="clear" w:color="auto" w:fill="D2D2D2"/>
          </w:tcPr>
          <w:p>
            <w:pPr/>
          </w:p>
        </w:tc>
        <w:tc>
          <w:tcPr>
            <w:tcW w:w="8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15"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4"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6"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15"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4" w:type="dxa"/>
            <w:vMerge/>
            <w:tcBorders>
              <w:left w:val="single" w:sz="4" w:space="0" w:color="000000"/>
              <w:bottom w:val="single" w:sz="4" w:space="0" w:color="000000"/>
              <w:right w:val="single" w:sz="4" w:space="0" w:color="000000"/>
            </w:tcBorders>
            <w:shd w:val="clear" w:color="auto" w:fill="D2D2D2"/>
          </w:tcPr>
          <w:p>
            <w:pPr/>
          </w:p>
        </w:tc>
        <w:tc>
          <w:tcPr>
            <w:tcW w:w="80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337,576,</w:t>
            </w:r>
          </w:p>
        </w:tc>
        <w:tc>
          <w:tcPr>
            <w:tcW w:w="6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5" w:right="0"/>
              <w:jc w:val="left"/>
              <w:rPr>
                <w:rFonts w:ascii="Times New Roman" w:hAnsi="Times New Roman" w:cs="Times New Roman" w:eastAsia="Times New Roman" w:hint="default"/>
                <w:sz w:val="18"/>
                <w:szCs w:val="18"/>
              </w:rPr>
            </w:pPr>
            <w:r>
              <w:rPr>
                <w:rFonts w:ascii="Times New Roman"/>
                <w:sz w:val="18"/>
              </w:rPr>
              <w:t>1,775,741</w:t>
            </w:r>
          </w:p>
        </w:tc>
        <w:tc>
          <w:tcPr>
            <w:tcW w:w="797" w:type="dxa"/>
            <w:tcBorders>
              <w:top w:val="single" w:sz="22" w:space="0" w:color="D2D2D2"/>
              <w:left w:val="single" w:sz="4" w:space="0" w:color="000000"/>
              <w:bottom w:val="single" w:sz="4" w:space="0" w:color="000000"/>
              <w:right w:val="single" w:sz="4" w:space="0" w:color="000000"/>
            </w:tcBorders>
          </w:tcPr>
          <w:p>
            <w:pPr/>
          </w:p>
        </w:tc>
        <w:tc>
          <w:tcPr>
            <w:tcW w:w="798" w:type="dxa"/>
            <w:tcBorders>
              <w:top w:val="single" w:sz="22" w:space="0" w:color="D2D2D2"/>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63,243,79</w:t>
            </w:r>
          </w:p>
        </w:tc>
        <w:tc>
          <w:tcPr>
            <w:tcW w:w="676"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88"/>
              <w:ind w:left="59" w:right="0"/>
              <w:jc w:val="left"/>
              <w:rPr>
                <w:rFonts w:ascii="Times New Roman" w:hAnsi="Times New Roman" w:cs="Times New Roman" w:eastAsia="Times New Roman" w:hint="default"/>
                <w:sz w:val="18"/>
                <w:szCs w:val="18"/>
              </w:rPr>
            </w:pPr>
            <w:r>
              <w:rPr>
                <w:rFonts w:ascii="Times New Roman"/>
                <w:sz w:val="18"/>
              </w:rPr>
              <w:t>504,844</w:t>
            </w:r>
          </w:p>
        </w:tc>
        <w:tc>
          <w:tcPr>
            <w:tcW w:w="781"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88"/>
              <w:ind w:left="27" w:right="0"/>
              <w:jc w:val="left"/>
              <w:rPr>
                <w:rFonts w:ascii="Times New Roman" w:hAnsi="Times New Roman" w:cs="Times New Roman" w:eastAsia="Times New Roman" w:hint="default"/>
                <w:sz w:val="18"/>
                <w:szCs w:val="18"/>
              </w:rPr>
            </w:pPr>
            <w:r>
              <w:rPr>
                <w:rFonts w:ascii="Times New Roman"/>
                <w:sz w:val="18"/>
              </w:rPr>
              <w:t>2,681,406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3" w:right="0"/>
              <w:jc w:val="left"/>
              <w:rPr>
                <w:rFonts w:ascii="Times New Roman" w:hAnsi="Times New Roman" w:cs="Times New Roman" w:eastAsia="Times New Roman" w:hint="default"/>
                <w:sz w:val="18"/>
                <w:szCs w:val="18"/>
              </w:rPr>
            </w:pPr>
            <w:r>
              <w:rPr>
                <w:rFonts w:ascii="Times New Roman"/>
                <w:sz w:val="18"/>
              </w:rPr>
              <w:t>686.00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4" w:right="0"/>
              <w:jc w:val="left"/>
              <w:rPr>
                <w:rFonts w:ascii="Times New Roman" w:hAnsi="Times New Roman" w:cs="Times New Roman" w:eastAsia="Times New Roman" w:hint="default"/>
                <w:sz w:val="18"/>
                <w:szCs w:val="18"/>
              </w:rPr>
            </w:pPr>
            <w:r>
              <w:rPr>
                <w:rFonts w:ascii="Times New Roman"/>
                <w:sz w:val="18"/>
              </w:rPr>
              <w:t>,179.64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9" w:right="0"/>
              <w:jc w:val="left"/>
              <w:rPr>
                <w:rFonts w:ascii="Times New Roman" w:hAnsi="Times New Roman" w:cs="Times New Roman" w:eastAsia="Times New Roman" w:hint="default"/>
                <w:sz w:val="18"/>
                <w:szCs w:val="18"/>
              </w:rPr>
            </w:pPr>
            <w:r>
              <w:rPr>
                <w:rFonts w:ascii="Times New Roman"/>
                <w:sz w:val="18"/>
              </w:rPr>
              <w:t>8.06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,899.34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 w:right="0"/>
              <w:jc w:val="left"/>
              <w:rPr>
                <w:rFonts w:ascii="Times New Roman" w:hAnsi="Times New Roman" w:cs="Times New Roman" w:eastAsia="Times New Roman" w:hint="default"/>
                <w:sz w:val="18"/>
                <w:szCs w:val="18"/>
              </w:rPr>
            </w:pPr>
            <w:r>
              <w:rPr>
                <w:rFonts w:ascii="Times New Roman"/>
                <w:sz w:val="18"/>
              </w:rPr>
              <w:t>,563.04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337,576,</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686.00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1,775,741</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,179.64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63,243,79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8.06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504,844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,899.34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2,681,406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,563.04</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5,486,001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49,374,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013.28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54,860,01</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4.76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54,860,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014.76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54,860,01</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4.76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5,486,001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-5,486,0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01.48</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5,486,001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-5,486,0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01.48</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337,576,</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686.00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1,775,741</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,179.64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68,729,79</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9.54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554,218</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,912.62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2,736,266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,577.80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337,576,</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686.00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1,775,741</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,179.64</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51,916,92</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7.09</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419,781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,894.96</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4" w:right="0"/>
              <w:jc w:val="center"/>
              <w:rPr>
                <w:rFonts w:ascii="Times New Roman" w:hAnsi="Times New Roman" w:cs="Times New Roman" w:eastAsia="Times New Roman" w:hint="default"/>
                <w:sz w:val="18"/>
                <w:szCs w:val="18"/>
              </w:rPr>
            </w:pPr>
            <w:r>
              <w:rPr>
                <w:rFonts w:ascii="Times New Roman"/>
                <w:sz w:val="18"/>
              </w:rPr>
              <w:t>2,585,016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,687.69</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337,576,</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686.00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1,775,741</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,179.64</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51,916,92</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7.09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419,781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,894.96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2,585,016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,687.69</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11,326,87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0.97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85,063,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004.38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96,389,87</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5.35</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left"/>
              <w:rPr>
                <w:rFonts w:ascii="Times New Roman" w:hAnsi="Times New Roman" w:cs="Times New Roman" w:eastAsia="Times New Roman" w:hint="default"/>
                <w:sz w:val="18"/>
                <w:szCs w:val="18"/>
              </w:rPr>
            </w:pPr>
            <w:r>
              <w:rPr>
                <w:rFonts w:ascii="Times New Roman"/>
                <w:sz w:val="18"/>
              </w:rPr>
              <w:t>113,268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,709.65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left"/>
              <w:rPr>
                <w:rFonts w:ascii="Times New Roman" w:hAnsi="Times New Roman" w:cs="Times New Roman" w:eastAsia="Times New Roman" w:hint="default"/>
                <w:sz w:val="18"/>
                <w:szCs w:val="18"/>
              </w:rPr>
            </w:pPr>
            <w:r>
              <w:rPr>
                <w:rFonts w:ascii="Times New Roman"/>
                <w:sz w:val="18"/>
              </w:rPr>
              <w:t>113,268,7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09.65</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11,326,87</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0.97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-28,205,</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705.27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-16,878,8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34.30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11,326,87</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0.97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-11,326,</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870.97</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-16,878,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834.30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-16,878,8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34.30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337,576,</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686.00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1,775,741</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,179.64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63,243,79</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8.06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504,844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,899.34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2,681,406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,563.04</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公司基本情况" w:id="166"/>
      <w:bookmarkEnd w:id="166"/>
      <w:r>
        <w:rPr>
          <w:b w:val="0"/>
          <w:bCs w:val="0"/>
        </w:rPr>
      </w:r>
      <w:r>
        <w:rPr/>
        <w:t>三、公司基本情况</w:t>
      </w:r>
      <w:r>
        <w:rPr>
          <w:b w:val="0"/>
          <w:bCs w:val="0"/>
        </w:rPr>
      </w:r>
    </w:p>
    <w:p>
      <w:pPr>
        <w:spacing w:line="240" w:lineRule="auto" w:before="3"/>
        <w:rPr>
          <w:rFonts w:ascii="宋体" w:hAnsi="宋体" w:cs="宋体" w:eastAsia="宋体" w:hint="default"/>
          <w:b/>
          <w:bCs/>
          <w:sz w:val="31"/>
          <w:szCs w:val="31"/>
        </w:rPr>
      </w:pPr>
    </w:p>
    <w:p>
      <w:pPr>
        <w:pStyle w:val="BodyText"/>
        <w:spacing w:line="429" w:lineRule="auto"/>
        <w:ind w:right="1130" w:firstLine="399"/>
        <w:jc w:val="both"/>
      </w:pPr>
      <w:r>
        <w:rPr>
          <w:spacing w:val="-2"/>
        </w:rPr>
        <w:t>北京中科金财科技股份有限公司（以下简称“公司”或“本公司”）系于</w:t>
      </w:r>
      <w:r>
        <w:rPr>
          <w:rFonts w:ascii="宋体" w:hAnsi="宋体" w:cs="宋体" w:eastAsia="宋体" w:hint="default"/>
          <w:spacing w:val="-2"/>
        </w:rPr>
        <w:t>2007</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26</w:t>
      </w:r>
      <w:r>
        <w:rPr>
          <w:spacing w:val="-2"/>
        </w:rPr>
        <w:t>日经北京市工商行政</w:t>
      </w:r>
      <w:r>
        <w:rPr>
          <w:w w:val="100"/>
        </w:rPr>
        <w:t> </w:t>
      </w:r>
      <w:r>
        <w:rPr/>
        <w:t>管</w:t>
      </w:r>
      <w:r>
        <w:rPr>
          <w:spacing w:val="-69"/>
        </w:rPr>
        <w:t> </w:t>
      </w:r>
      <w:r>
        <w:rPr>
          <w:spacing w:val="17"/>
        </w:rPr>
        <w:t>理局批准，</w:t>
      </w:r>
      <w:r>
        <w:rPr>
          <w:spacing w:val="-69"/>
        </w:rPr>
        <w:t> </w:t>
      </w:r>
      <w:r>
        <w:rPr>
          <w:spacing w:val="17"/>
        </w:rPr>
        <w:t>由北京中科</w:t>
      </w:r>
      <w:r>
        <w:rPr>
          <w:spacing w:val="-69"/>
        </w:rPr>
        <w:t> </w:t>
      </w:r>
      <w:r>
        <w:rPr>
          <w:spacing w:val="17"/>
        </w:rPr>
        <w:t>金财科技有</w:t>
      </w:r>
      <w:r>
        <w:rPr>
          <w:spacing w:val="-69"/>
        </w:rPr>
        <w:t> </w:t>
      </w:r>
      <w:r>
        <w:rPr>
          <w:spacing w:val="17"/>
        </w:rPr>
        <w:t>限公司整体</w:t>
      </w:r>
      <w:r>
        <w:rPr>
          <w:spacing w:val="-64"/>
        </w:rPr>
        <w:t> </w:t>
      </w:r>
      <w:r>
        <w:rPr>
          <w:spacing w:val="17"/>
        </w:rPr>
        <w:t>改制的股份</w:t>
      </w:r>
      <w:r>
        <w:rPr>
          <w:spacing w:val="-69"/>
        </w:rPr>
        <w:t> </w:t>
      </w:r>
      <w:r>
        <w:rPr>
          <w:spacing w:val="17"/>
        </w:rPr>
        <w:t>有限公司。</w:t>
      </w:r>
      <w:r>
        <w:rPr>
          <w:spacing w:val="-69"/>
        </w:rPr>
        <w:t> </w:t>
      </w:r>
      <w:r>
        <w:rPr>
          <w:spacing w:val="17"/>
        </w:rPr>
        <w:t>公司的统一</w:t>
      </w:r>
      <w:r>
        <w:rPr>
          <w:spacing w:val="-69"/>
        </w:rPr>
        <w:t> </w:t>
      </w:r>
      <w:r>
        <w:rPr>
          <w:spacing w:val="17"/>
        </w:rPr>
        <w:t>社会信用代</w:t>
      </w:r>
      <w:r>
        <w:rPr>
          <w:spacing w:val="-68"/>
        </w:rPr>
        <w:t> </w:t>
      </w:r>
      <w:r>
        <w:rPr/>
        <w:t>码</w:t>
      </w:r>
      <w:r>
        <w:rPr>
          <w:spacing w:val="-69"/>
        </w:rPr>
        <w:t> </w:t>
      </w:r>
      <w:r>
        <w:rPr/>
        <w:t>：</w:t>
      </w:r>
      <w:r>
        <w:rPr>
          <w:spacing w:val="-91"/>
        </w:rPr>
        <w:t> </w:t>
      </w:r>
      <w:r>
        <w:rPr>
          <w:spacing w:val="-91"/>
        </w:rPr>
      </w:r>
      <w:r>
        <w:rPr>
          <w:rFonts w:ascii="宋体" w:hAnsi="宋体" w:cs="宋体" w:eastAsia="宋体" w:hint="default"/>
        </w:rPr>
        <w:t>91110000757740123M</w:t>
      </w:r>
      <w:r>
        <w:rPr/>
        <w:t>。</w:t>
      </w:r>
      <w:r>
        <w:rPr>
          <w:spacing w:val="-11"/>
        </w:rPr>
        <w:t> </w:t>
      </w:r>
      <w:r>
        <w:rPr>
          <w:rFonts w:ascii="宋体" w:hAnsi="宋体" w:cs="宋体" w:eastAsia="宋体" w:hint="default"/>
        </w:rPr>
        <w:t>2012</w:t>
      </w:r>
      <w:r>
        <w:rPr/>
        <w:t>年</w:t>
      </w:r>
      <w:r>
        <w:rPr>
          <w:rFonts w:ascii="宋体" w:hAnsi="宋体" w:cs="宋体" w:eastAsia="宋体" w:hint="default"/>
        </w:rPr>
        <w:t>2</w:t>
      </w:r>
      <w:r>
        <w:rPr/>
        <w:t>月在深圳证券交易所上市，所属行业为电子类软件和信息技术服务业。</w:t>
      </w:r>
    </w:p>
    <w:p>
      <w:pPr>
        <w:pStyle w:val="BodyText"/>
        <w:spacing w:line="429" w:lineRule="auto" w:before="48"/>
        <w:ind w:right="1030" w:firstLine="399"/>
        <w:jc w:val="left"/>
      </w:pPr>
      <w:r>
        <w:rPr/>
        <w:t>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日，本公司累计发行股本总数</w:t>
      </w:r>
      <w:r>
        <w:rPr>
          <w:rFonts w:ascii="宋体" w:hAnsi="宋体" w:cs="宋体" w:eastAsia="宋体" w:hint="default"/>
        </w:rPr>
        <w:t>337,576,686.00</w:t>
      </w:r>
      <w:r>
        <w:rPr/>
        <w:t>股，注册资本为</w:t>
      </w:r>
      <w:r>
        <w:rPr>
          <w:rFonts w:ascii="宋体" w:hAnsi="宋体" w:cs="宋体" w:eastAsia="宋体" w:hint="default"/>
        </w:rPr>
        <w:t>337,576,686.00</w:t>
      </w:r>
      <w:r>
        <w:rPr/>
        <w:t>元。注册</w:t>
      </w:r>
      <w:r>
        <w:rPr>
          <w:spacing w:val="1"/>
          <w:w w:val="100"/>
        </w:rPr>
        <w:t> </w:t>
      </w:r>
      <w:r>
        <w:rPr/>
        <w:t>地</w:t>
      </w:r>
      <w:r>
        <w:rPr>
          <w:rFonts w:ascii="宋体" w:hAnsi="宋体" w:cs="宋体" w:eastAsia="宋体" w:hint="default"/>
        </w:rPr>
        <w:t>: </w:t>
      </w:r>
      <w:r>
        <w:rPr/>
        <w:t>北京市海淀区学院路 </w:t>
      </w:r>
      <w:r>
        <w:rPr>
          <w:rFonts w:ascii="宋体" w:hAnsi="宋体" w:cs="宋体" w:eastAsia="宋体" w:hint="default"/>
          <w:spacing w:val="-3"/>
        </w:rPr>
        <w:t>39</w:t>
      </w:r>
      <w:r>
        <w:rPr>
          <w:spacing w:val="-3"/>
        </w:rPr>
        <w:t>号唯实大厦</w:t>
      </w:r>
      <w:r>
        <w:rPr>
          <w:rFonts w:ascii="宋体" w:hAnsi="宋体" w:cs="宋体" w:eastAsia="宋体" w:hint="default"/>
          <w:spacing w:val="-3"/>
        </w:rPr>
        <w:t>1006</w:t>
      </w:r>
      <w:r>
        <w:rPr>
          <w:spacing w:val="-3"/>
        </w:rPr>
        <w:t>室，总部地址：北京市海淀区学院路</w:t>
      </w:r>
      <w:r>
        <w:rPr>
          <w:rFonts w:ascii="宋体" w:hAnsi="宋体" w:cs="宋体" w:eastAsia="宋体" w:hint="default"/>
          <w:spacing w:val="-3"/>
        </w:rPr>
        <w:t>39</w:t>
      </w:r>
      <w:r>
        <w:rPr>
          <w:spacing w:val="-3"/>
        </w:rPr>
        <w:t>号唯实大厦</w:t>
      </w:r>
      <w:r>
        <w:rPr>
          <w:rFonts w:ascii="宋体" w:hAnsi="宋体" w:cs="宋体" w:eastAsia="宋体" w:hint="default"/>
          <w:spacing w:val="-3"/>
        </w:rPr>
        <w:t>10</w:t>
      </w:r>
      <w:r>
        <w:rPr>
          <w:spacing w:val="-3"/>
        </w:rPr>
        <w:t>层。本公司主</w:t>
      </w:r>
      <w:r>
        <w:rPr>
          <w:spacing w:val="-50"/>
        </w:rPr>
        <w:t> </w:t>
      </w:r>
      <w:r>
        <w:rPr>
          <w:spacing w:val="-50"/>
        </w:rPr>
      </w:r>
      <w:r>
        <w:rPr>
          <w:spacing w:val="-2"/>
        </w:rPr>
        <w:t>要经营活动为：计算机软件技术开发；计算机系统集成及服务；与计算机技术相关的产品销售及其他衍生业务。</w:t>
      </w:r>
      <w:r>
        <w:rPr>
          <w:spacing w:val="-78"/>
        </w:rPr>
        <w:t> </w:t>
      </w:r>
      <w:r>
        <w:rPr>
          <w:spacing w:val="-78"/>
        </w:rPr>
      </w:r>
      <w:r>
        <w:rPr/>
        <w:t>本公司的实际控制人为沈飒、朱烨东夫妇。</w:t>
      </w:r>
    </w:p>
    <w:p>
      <w:pPr>
        <w:spacing w:after="0" w:line="429"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29" w:lineRule="auto"/>
        <w:ind w:left="553" w:right="0"/>
        <w:jc w:val="left"/>
      </w:pPr>
      <w:r>
        <w:rPr/>
        <w:t>本财务报表业经公司全体董事于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17</w:t>
      </w:r>
      <w:r>
        <w:rPr/>
        <w:t>日批准报出。</w:t>
      </w:r>
      <w:r>
        <w:rPr>
          <w:w w:val="100"/>
        </w:rPr>
        <w:t> </w:t>
      </w:r>
      <w:r>
        <w:rPr/>
        <w:t>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日止，本公司合并财务报表范围内子公司如下：</w:t>
      </w:r>
      <w:r>
        <w:rPr>
          <w:w w:val="100"/>
        </w:rPr>
        <w:t> </w:t>
      </w:r>
      <w:r>
        <w:rPr>
          <w:spacing w:val="-1"/>
        </w:rPr>
        <w:t>子公司名称：天津中科金财科技有限公司、北京中科金财电子商务有限公司、北京中科金财软件技术有限</w:t>
      </w:r>
    </w:p>
    <w:p>
      <w:pPr>
        <w:pStyle w:val="BodyText"/>
        <w:spacing w:line="429" w:lineRule="auto" w:before="48"/>
        <w:ind w:right="1133"/>
        <w:jc w:val="both"/>
        <w:rPr>
          <w:sz w:val="18"/>
          <w:szCs w:val="18"/>
        </w:rPr>
      </w:pPr>
      <w:r>
        <w:rPr/>
        <w:t>公司、北京中科金财投资管理有限公司、中科金财（上海）互联网金融信息服务有限公司、北京国信金泽投资</w:t>
      </w:r>
      <w:r>
        <w:rPr>
          <w:w w:val="100"/>
        </w:rPr>
        <w:t> </w:t>
      </w:r>
      <w:r>
        <w:rPr>
          <w:spacing w:val="-4"/>
        </w:rPr>
        <w:t>中心（有限合伙）、天津壬辰软件开发有限公司、大连鼎运企业管理有限公司、上海中科金财资产管理中心（有</w:t>
      </w:r>
      <w:r>
        <w:rPr>
          <w:spacing w:val="-81"/>
        </w:rPr>
        <w:t> </w:t>
      </w:r>
      <w:r>
        <w:rPr>
          <w:spacing w:val="-81"/>
        </w:rPr>
      </w:r>
      <w:r>
        <w:rPr/>
        <w:t>限合伙）、大连金融资产交易所有限公司、深圳前海中科金财金控投资有限公司、深圳中金财富互联网金融服</w:t>
      </w:r>
      <w:r>
        <w:rPr>
          <w:w w:val="100"/>
        </w:rPr>
        <w:t> </w:t>
      </w:r>
      <w:r>
        <w:rPr/>
        <w:t>务有限公司、霍尔果斯滨河创新软件技术有限公司、霍尔果斯金财科技服务有限公司、华缔资产管理（北京）</w:t>
      </w:r>
      <w:r>
        <w:rPr>
          <w:w w:val="100"/>
        </w:rPr>
        <w:t> </w:t>
      </w:r>
      <w:r>
        <w:rPr/>
        <w:t>有限公司、中科金财保险经纪有限公司、香港</w:t>
      </w:r>
      <w:r>
        <w:rPr>
          <w:sz w:val="18"/>
          <w:szCs w:val="18"/>
        </w:rPr>
        <w:t>中科金财科技有限公司。</w:t>
      </w:r>
    </w:p>
    <w:p>
      <w:pPr>
        <w:pStyle w:val="BodyText"/>
        <w:spacing w:line="240" w:lineRule="auto" w:before="48"/>
        <w:ind w:left="553" w:right="0"/>
        <w:jc w:val="left"/>
      </w:pPr>
      <w:r>
        <w:rPr>
          <w:w w:val="100"/>
        </w:rPr>
        <w:t>本期合</w:t>
      </w:r>
      <w:r>
        <w:rPr>
          <w:spacing w:val="-2"/>
          <w:w w:val="100"/>
        </w:rPr>
        <w:t>并</w:t>
      </w:r>
      <w:r>
        <w:rPr>
          <w:w w:val="100"/>
        </w:rPr>
        <w:t>财</w:t>
      </w:r>
      <w:r>
        <w:rPr>
          <w:spacing w:val="-2"/>
          <w:w w:val="100"/>
        </w:rPr>
        <w:t>务</w:t>
      </w:r>
      <w:r>
        <w:rPr>
          <w:w w:val="100"/>
        </w:rPr>
        <w:t>报表范</w:t>
      </w:r>
      <w:r>
        <w:rPr>
          <w:spacing w:val="-2"/>
          <w:w w:val="100"/>
        </w:rPr>
        <w:t>围</w:t>
      </w:r>
      <w:r>
        <w:rPr>
          <w:w w:val="100"/>
        </w:rPr>
        <w:t>及</w:t>
      </w:r>
      <w:r>
        <w:rPr>
          <w:spacing w:val="-2"/>
          <w:w w:val="100"/>
        </w:rPr>
        <w:t>其</w:t>
      </w:r>
      <w:r>
        <w:rPr>
          <w:w w:val="100"/>
        </w:rPr>
        <w:t>变化情</w:t>
      </w:r>
      <w:r>
        <w:rPr>
          <w:spacing w:val="-2"/>
          <w:w w:val="100"/>
        </w:rPr>
        <w:t>况</w:t>
      </w:r>
      <w:r>
        <w:rPr>
          <w:w w:val="100"/>
        </w:rPr>
        <w:t>详</w:t>
      </w:r>
      <w:r>
        <w:rPr>
          <w:spacing w:val="-2"/>
          <w:w w:val="100"/>
        </w:rPr>
        <w:t>见</w:t>
      </w:r>
      <w:r>
        <w:rPr>
          <w:w w:val="100"/>
        </w:rPr>
        <w:t>本附注</w:t>
      </w:r>
      <w:r>
        <w:rPr>
          <w:spacing w:val="-2"/>
          <w:w w:val="100"/>
        </w:rPr>
        <w:t>“八</w:t>
      </w:r>
      <w:r>
        <w:rPr>
          <w:spacing w:val="-82"/>
          <w:w w:val="100"/>
        </w:rPr>
        <w:t>、</w:t>
      </w:r>
      <w:r>
        <w:rPr>
          <w:w w:val="100"/>
        </w:rPr>
        <w:t>合并范</w:t>
      </w:r>
      <w:r>
        <w:rPr>
          <w:spacing w:val="-2"/>
          <w:w w:val="100"/>
        </w:rPr>
        <w:t>围</w:t>
      </w:r>
      <w:r>
        <w:rPr>
          <w:w w:val="100"/>
        </w:rPr>
        <w:t>的</w:t>
      </w:r>
      <w:r>
        <w:rPr>
          <w:spacing w:val="-2"/>
          <w:w w:val="100"/>
        </w:rPr>
        <w:t>变</w:t>
      </w:r>
      <w:r>
        <w:rPr>
          <w:spacing w:val="-1"/>
          <w:w w:val="100"/>
        </w:rPr>
        <w:t>更</w:t>
      </w:r>
      <w:r>
        <w:rPr>
          <w:w w:val="100"/>
        </w:rPr>
        <w:t>”</w:t>
      </w:r>
      <w:r>
        <w:rPr>
          <w:spacing w:val="-1"/>
        </w:rPr>
        <w:t> </w:t>
      </w:r>
      <w:r>
        <w:rPr>
          <w:w w:val="100"/>
        </w:rPr>
        <w:t>和“</w:t>
      </w:r>
      <w:r>
        <w:rPr>
          <w:spacing w:val="-2"/>
          <w:w w:val="100"/>
        </w:rPr>
        <w:t>九</w:t>
      </w:r>
      <w:r>
        <w:rPr>
          <w:spacing w:val="-82"/>
          <w:w w:val="100"/>
        </w:rPr>
        <w:t>、</w:t>
      </w:r>
      <w:r>
        <w:rPr>
          <w:w w:val="100"/>
        </w:rPr>
        <w:t>在其他</w:t>
      </w:r>
      <w:r>
        <w:rPr>
          <w:spacing w:val="-2"/>
          <w:w w:val="100"/>
        </w:rPr>
        <w:t>主</w:t>
      </w:r>
      <w:r>
        <w:rPr>
          <w:w w:val="100"/>
        </w:rPr>
        <w:t>体</w:t>
      </w:r>
      <w:r>
        <w:rPr>
          <w:spacing w:val="-2"/>
          <w:w w:val="100"/>
        </w:rPr>
        <w:t>中</w:t>
      </w:r>
      <w:r>
        <w:rPr>
          <w:w w:val="100"/>
        </w:rPr>
        <w:t>的权</w:t>
      </w:r>
      <w:r>
        <w:rPr>
          <w:spacing w:val="-1"/>
          <w:w w:val="100"/>
        </w:rPr>
        <w:t>益</w:t>
      </w:r>
      <w:r>
        <w:rPr>
          <w:spacing w:val="-2"/>
          <w:w w:val="100"/>
        </w:rPr>
        <w:t>”</w:t>
      </w:r>
      <w:r>
        <w:rPr>
          <w:w w:val="100"/>
        </w:rPr>
        <w:t>。</w:t>
      </w:r>
    </w:p>
    <w:p>
      <w:pPr>
        <w:spacing w:line="240" w:lineRule="auto" w:before="0"/>
        <w:rPr>
          <w:rFonts w:ascii="宋体" w:hAnsi="宋体" w:cs="宋体" w:eastAsia="宋体" w:hint="default"/>
          <w:sz w:val="20"/>
          <w:szCs w:val="20"/>
        </w:rPr>
      </w:pPr>
    </w:p>
    <w:p>
      <w:pPr>
        <w:pStyle w:val="Heading2"/>
        <w:spacing w:line="240" w:lineRule="auto" w:before="135"/>
        <w:ind w:right="0"/>
        <w:jc w:val="both"/>
        <w:rPr>
          <w:b w:val="0"/>
          <w:bCs w:val="0"/>
        </w:rPr>
      </w:pPr>
      <w:bookmarkStart w:name="四、财务报表的编制基础" w:id="167"/>
      <w:bookmarkEnd w:id="167"/>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编制基础" w:id="168"/>
      <w:bookmarkEnd w:id="168"/>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3"/>
        <w:rPr>
          <w:rFonts w:ascii="宋体" w:hAnsi="宋体" w:cs="宋体" w:eastAsia="宋体" w:hint="default"/>
          <w:b/>
          <w:bCs/>
          <w:sz w:val="31"/>
          <w:szCs w:val="31"/>
        </w:rPr>
      </w:pPr>
    </w:p>
    <w:p>
      <w:pPr>
        <w:pStyle w:val="BodyText"/>
        <w:spacing w:line="429" w:lineRule="auto"/>
        <w:ind w:right="1124" w:firstLine="399"/>
        <w:jc w:val="both"/>
      </w:pPr>
      <w:r>
        <w:rPr/>
        <w:t>公司以持续经营为基础，根据实际发生的交易和事项，按照财政部颁布的《企业会计准则——基本准则》</w:t>
      </w:r>
      <w:r>
        <w:rPr>
          <w:w w:val="100"/>
        </w:rPr>
        <w:t> </w:t>
      </w:r>
      <w:r>
        <w:rPr>
          <w:spacing w:val="3"/>
        </w:rPr>
        <w:t>和各项具体会计准则、企业会计准则应用指南、企业会计准则解释及其他相关规定（以下合称“企业会计准</w:t>
      </w:r>
      <w:r>
        <w:rPr>
          <w:spacing w:val="-33"/>
        </w:rPr>
        <w:t> </w:t>
      </w:r>
      <w:r>
        <w:rPr>
          <w:spacing w:val="-33"/>
        </w:rPr>
      </w:r>
      <w:r>
        <w:rPr>
          <w:spacing w:val="-3"/>
        </w:rPr>
        <w:t>则”），以及中国证券监督管理委员会《公开发行证券的公司信息披露编报规则第</w:t>
      </w:r>
      <w:r>
        <w:rPr>
          <w:rFonts w:ascii="宋体" w:hAnsi="宋体" w:cs="宋体" w:eastAsia="宋体" w:hint="default"/>
          <w:spacing w:val="-3"/>
        </w:rPr>
        <w:t>15</w:t>
      </w:r>
      <w:r>
        <w:rPr>
          <w:rFonts w:ascii="宋体" w:hAnsi="宋体" w:cs="宋体" w:eastAsia="宋体" w:hint="default"/>
          <w:spacing w:val="33"/>
        </w:rPr>
        <w:t> </w:t>
      </w:r>
      <w:r>
        <w:rPr/>
        <w:t>号——财务报告的一般规</w:t>
      </w:r>
      <w:r>
        <w:rPr>
          <w:spacing w:val="-92"/>
        </w:rPr>
        <w:t> </w:t>
      </w:r>
      <w:r>
        <w:rPr>
          <w:spacing w:val="-92"/>
        </w:rPr>
      </w:r>
      <w:r>
        <w:rPr/>
        <w:t>定》的披露规定编制财务报表。</w:t>
      </w:r>
    </w:p>
    <w:p>
      <w:pPr>
        <w:spacing w:line="240" w:lineRule="auto" w:before="0"/>
        <w:rPr>
          <w:rFonts w:ascii="宋体" w:hAnsi="宋体" w:cs="宋体" w:eastAsia="宋体" w:hint="default"/>
          <w:sz w:val="20"/>
          <w:szCs w:val="20"/>
        </w:rPr>
      </w:pPr>
    </w:p>
    <w:p>
      <w:pPr>
        <w:pStyle w:val="Heading3"/>
        <w:spacing w:line="240" w:lineRule="auto"/>
        <w:ind w:right="0"/>
        <w:jc w:val="both"/>
        <w:rPr>
          <w:b w:val="0"/>
          <w:bCs w:val="0"/>
        </w:rPr>
      </w:pPr>
      <w:bookmarkStart w:name="2、持续经营" w:id="169"/>
      <w:bookmarkEnd w:id="169"/>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3"/>
        <w:rPr>
          <w:rFonts w:ascii="宋体" w:hAnsi="宋体" w:cs="宋体" w:eastAsia="宋体" w:hint="default"/>
          <w:b/>
          <w:bCs/>
          <w:sz w:val="31"/>
          <w:szCs w:val="31"/>
        </w:rPr>
      </w:pPr>
    </w:p>
    <w:p>
      <w:pPr>
        <w:pStyle w:val="BodyText"/>
        <w:spacing w:line="240" w:lineRule="auto"/>
        <w:ind w:right="0"/>
        <w:jc w:val="both"/>
      </w:pPr>
      <w:r>
        <w:rPr/>
        <w:t>公司自报告期末起</w:t>
      </w:r>
      <w:r>
        <w:rPr>
          <w:rFonts w:ascii="宋体" w:hAnsi="宋体" w:cs="宋体" w:eastAsia="宋体" w:hint="default"/>
        </w:rPr>
        <w:t>12</w:t>
      </w:r>
      <w:r>
        <w:rPr/>
        <w:t>个月的持续经营能力强，不存在导致对持续经营能力产生重大怀疑的因素。</w:t>
      </w:r>
    </w:p>
    <w:p>
      <w:pPr>
        <w:spacing w:line="240" w:lineRule="auto" w:before="0"/>
        <w:rPr>
          <w:rFonts w:ascii="宋体" w:hAnsi="宋体" w:cs="宋体" w:eastAsia="宋体" w:hint="default"/>
          <w:sz w:val="20"/>
          <w:szCs w:val="20"/>
        </w:rPr>
      </w:pPr>
    </w:p>
    <w:p>
      <w:pPr>
        <w:pStyle w:val="Heading2"/>
        <w:spacing w:line="240" w:lineRule="auto" w:before="135"/>
        <w:ind w:right="0"/>
        <w:jc w:val="both"/>
        <w:rPr>
          <w:b w:val="0"/>
          <w:bCs w:val="0"/>
        </w:rPr>
      </w:pPr>
      <w:bookmarkStart w:name="五、重要会计政策及会计估计" w:id="170"/>
      <w:bookmarkEnd w:id="170"/>
      <w:r>
        <w:rPr>
          <w:b w:val="0"/>
          <w:bCs w:val="0"/>
        </w:rPr>
      </w:r>
      <w:r>
        <w:rPr/>
        <w:t>五、重要会计政策及会计估计</w:t>
      </w:r>
      <w:r>
        <w:rPr>
          <w:b w:val="0"/>
          <w:bCs w:val="0"/>
        </w:rPr>
      </w:r>
    </w:p>
    <w:p>
      <w:pPr>
        <w:spacing w:line="240" w:lineRule="auto" w:before="4"/>
        <w:rPr>
          <w:rFonts w:ascii="宋体" w:hAnsi="宋体" w:cs="宋体" w:eastAsia="宋体" w:hint="default"/>
          <w:b/>
          <w:bCs/>
          <w:sz w:val="25"/>
          <w:szCs w:val="25"/>
        </w:rPr>
      </w:pPr>
    </w:p>
    <w:p>
      <w:pPr>
        <w:pStyle w:val="BodyText"/>
        <w:spacing w:line="324" w:lineRule="auto"/>
        <w:ind w:right="7209"/>
        <w:jc w:val="left"/>
      </w:pPr>
      <w:r>
        <w:rPr>
          <w:spacing w:val="-1"/>
        </w:rPr>
        <w:t>公司是否需要遵守特殊行业的披露要求</w:t>
      </w:r>
      <w:r>
        <w:rPr>
          <w:spacing w:val="-87"/>
        </w:rPr>
        <w:t> </w:t>
      </w:r>
      <w:r>
        <w:rPr>
          <w:spacing w:val="-87"/>
        </w:rPr>
      </w:r>
      <w:r>
        <w:rPr/>
        <w:t>是</w:t>
      </w:r>
    </w:p>
    <w:p>
      <w:pPr>
        <w:pStyle w:val="BodyText"/>
        <w:spacing w:line="321" w:lineRule="auto" w:before="20"/>
        <w:ind w:right="7966"/>
        <w:jc w:val="left"/>
      </w:pPr>
      <w:r>
        <w:rPr/>
        <w:t>软件与信息技术服务业</w:t>
      </w:r>
      <w:r>
        <w:rPr>
          <w:w w:val="100"/>
        </w:rPr>
        <w:t> </w:t>
      </w:r>
      <w:r>
        <w:rPr>
          <w:spacing w:val="-1"/>
        </w:rPr>
        <w:t>具体会计政策和会计估计提示：</w:t>
      </w:r>
    </w:p>
    <w:p>
      <w:pPr>
        <w:pStyle w:val="BodyText"/>
        <w:spacing w:line="429" w:lineRule="auto" w:before="100"/>
        <w:ind w:right="1169" w:firstLine="399"/>
        <w:jc w:val="both"/>
      </w:pPr>
      <w:r>
        <w:rPr>
          <w:spacing w:val="-1"/>
        </w:rPr>
        <w:t>根据生产经营特点，依据企业会计准则的相关规定，本公司及子公司制定了收入确认等具体会计政策和会</w:t>
      </w:r>
      <w:r>
        <w:rPr>
          <w:w w:val="100"/>
        </w:rPr>
        <w:t> </w:t>
      </w:r>
      <w:r>
        <w:rPr/>
        <w:t>计估计，以下披露内容已涵盖了本公司根据实际生产经营特点制定的具体会计政策和会计估计。</w:t>
      </w:r>
    </w:p>
    <w:p>
      <w:pPr>
        <w:spacing w:line="240" w:lineRule="auto" w:before="1"/>
        <w:rPr>
          <w:rFonts w:ascii="宋体" w:hAnsi="宋体" w:cs="宋体" w:eastAsia="宋体" w:hint="default"/>
          <w:sz w:val="20"/>
          <w:szCs w:val="20"/>
        </w:rPr>
      </w:pPr>
    </w:p>
    <w:p>
      <w:pPr>
        <w:pStyle w:val="Heading3"/>
        <w:spacing w:line="240" w:lineRule="auto"/>
        <w:ind w:right="0"/>
        <w:jc w:val="both"/>
        <w:rPr>
          <w:b w:val="0"/>
          <w:bCs w:val="0"/>
        </w:rPr>
      </w:pPr>
      <w:bookmarkStart w:name="1、遵循企业会计准则的声明" w:id="171"/>
      <w:bookmarkEnd w:id="171"/>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3"/>
        <w:rPr>
          <w:rFonts w:ascii="宋体" w:hAnsi="宋体" w:cs="宋体" w:eastAsia="宋体" w:hint="default"/>
          <w:b/>
          <w:bCs/>
          <w:sz w:val="31"/>
          <w:szCs w:val="31"/>
        </w:rPr>
      </w:pPr>
    </w:p>
    <w:p>
      <w:pPr>
        <w:pStyle w:val="BodyText"/>
        <w:spacing w:line="240" w:lineRule="auto"/>
        <w:ind w:right="0"/>
        <w:jc w:val="both"/>
      </w:pPr>
      <w:r>
        <w:rPr/>
        <w:t>公司所编制的财务报表符合企业会计准则的要求，真实、完整地反映了报告期公司的财务状况、经营成果、现</w:t>
      </w:r>
    </w:p>
    <w:p>
      <w:pPr>
        <w:spacing w:after="0" w:line="24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ind w:right="0"/>
        <w:jc w:val="left"/>
      </w:pPr>
      <w:r>
        <w:rPr/>
        <w:t>金流量等有关信息。</w:t>
      </w:r>
    </w:p>
    <w:p>
      <w:pPr>
        <w:spacing w:line="240" w:lineRule="auto" w:before="0"/>
        <w:rPr>
          <w:rFonts w:ascii="宋体" w:hAnsi="宋体" w:cs="宋体" w:eastAsia="宋体" w:hint="default"/>
          <w:sz w:val="20"/>
          <w:szCs w:val="20"/>
        </w:rPr>
      </w:pPr>
    </w:p>
    <w:p>
      <w:pPr>
        <w:spacing w:line="602" w:lineRule="auto" w:before="158"/>
        <w:ind w:left="154" w:right="6214" w:firstLine="0"/>
        <w:jc w:val="left"/>
        <w:rPr>
          <w:rFonts w:ascii="宋体" w:hAnsi="宋体" w:cs="宋体" w:eastAsia="宋体" w:hint="default"/>
          <w:sz w:val="21"/>
          <w:szCs w:val="21"/>
        </w:rPr>
      </w:pPr>
      <w:bookmarkStart w:name="2、会计期间" w:id="172"/>
      <w:bookmarkEnd w:id="17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pacing w:val="-1"/>
          <w:sz w:val="20"/>
          <w:szCs w:val="20"/>
        </w:rPr>
        <w:t>自公历</w:t>
      </w:r>
      <w:r>
        <w:rPr>
          <w:rFonts w:ascii="宋体" w:hAnsi="宋体" w:cs="宋体" w:eastAsia="宋体" w:hint="default"/>
          <w:spacing w:val="-1"/>
          <w:sz w:val="20"/>
          <w:szCs w:val="20"/>
        </w:rPr>
        <w:t>1</w:t>
      </w:r>
      <w:r>
        <w:rPr>
          <w:rFonts w:ascii="宋体" w:hAnsi="宋体" w:cs="宋体" w:eastAsia="宋体" w:hint="default"/>
          <w:spacing w:val="-1"/>
          <w:sz w:val="20"/>
          <w:szCs w:val="20"/>
        </w:rPr>
        <w:t>月</w:t>
      </w:r>
      <w:r>
        <w:rPr>
          <w:rFonts w:ascii="宋体" w:hAnsi="宋体" w:cs="宋体" w:eastAsia="宋体" w:hint="default"/>
          <w:spacing w:val="-1"/>
          <w:sz w:val="20"/>
          <w:szCs w:val="20"/>
        </w:rPr>
        <w:t>1</w:t>
      </w:r>
      <w:r>
        <w:rPr>
          <w:rFonts w:ascii="宋体" w:hAnsi="宋体" w:cs="宋体" w:eastAsia="宋体" w:hint="default"/>
          <w:spacing w:val="-1"/>
          <w:sz w:val="20"/>
          <w:szCs w:val="20"/>
        </w:rPr>
        <w:t>日至</w:t>
      </w:r>
      <w:r>
        <w:rPr>
          <w:rFonts w:ascii="宋体" w:hAnsi="宋体" w:cs="宋体" w:eastAsia="宋体" w:hint="default"/>
          <w:spacing w:val="-1"/>
          <w:sz w:val="20"/>
          <w:szCs w:val="20"/>
        </w:rPr>
        <w:t>12</w:t>
      </w:r>
      <w:r>
        <w:rPr>
          <w:rFonts w:ascii="宋体" w:hAnsi="宋体" w:cs="宋体" w:eastAsia="宋体" w:hint="default"/>
          <w:spacing w:val="-1"/>
          <w:sz w:val="20"/>
          <w:szCs w:val="20"/>
        </w:rPr>
        <w:t>月</w:t>
      </w:r>
      <w:r>
        <w:rPr>
          <w:rFonts w:ascii="宋体" w:hAnsi="宋体" w:cs="宋体" w:eastAsia="宋体" w:hint="default"/>
          <w:spacing w:val="-1"/>
          <w:sz w:val="20"/>
          <w:szCs w:val="20"/>
        </w:rPr>
        <w:t>31</w:t>
      </w:r>
      <w:r>
        <w:rPr>
          <w:rFonts w:ascii="宋体" w:hAnsi="宋体" w:cs="宋体" w:eastAsia="宋体" w:hint="default"/>
          <w:spacing w:val="-1"/>
          <w:sz w:val="20"/>
          <w:szCs w:val="20"/>
        </w:rPr>
        <w:t>日止为一个会计年度。</w:t>
      </w:r>
      <w:r>
        <w:rPr>
          <w:rFonts w:ascii="宋体" w:hAnsi="宋体" w:cs="宋体" w:eastAsia="宋体" w:hint="default"/>
          <w:spacing w:val="-84"/>
          <w:sz w:val="20"/>
          <w:szCs w:val="20"/>
        </w:rPr>
        <w:t> </w:t>
      </w:r>
      <w:r>
        <w:rPr>
          <w:rFonts w:ascii="宋体" w:hAnsi="宋体" w:cs="宋体" w:eastAsia="宋体" w:hint="default"/>
          <w:spacing w:val="-84"/>
          <w:sz w:val="20"/>
          <w:szCs w:val="20"/>
        </w:rPr>
      </w:r>
      <w:bookmarkStart w:name="3、营业周期" w:id="173"/>
      <w:bookmarkEnd w:id="173"/>
      <w:r>
        <w:rPr>
          <w:rFonts w:ascii="宋体" w:hAnsi="宋体" w:cs="宋体" w:eastAsia="宋体" w:hint="default"/>
          <w:spacing w:val="-84"/>
          <w:sz w:val="20"/>
          <w:szCs w:val="20"/>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240" w:lineRule="auto" w:before="57"/>
        <w:ind w:right="0"/>
        <w:jc w:val="left"/>
      </w:pPr>
      <w:r>
        <w:rPr/>
        <w:t>本公司营业周期为</w:t>
      </w:r>
      <w:r>
        <w:rPr>
          <w:rFonts w:ascii="宋体" w:hAnsi="宋体" w:cs="宋体" w:eastAsia="宋体" w:hint="default"/>
        </w:rPr>
        <w:t>12</w:t>
      </w:r>
      <w:r>
        <w:rPr/>
        <w:t>个月。</w:t>
      </w:r>
    </w:p>
    <w:p>
      <w:pPr>
        <w:spacing w:line="240" w:lineRule="auto" w:before="0"/>
        <w:rPr>
          <w:rFonts w:ascii="宋体" w:hAnsi="宋体" w:cs="宋体" w:eastAsia="宋体" w:hint="default"/>
          <w:sz w:val="20"/>
          <w:szCs w:val="20"/>
        </w:rPr>
      </w:pPr>
    </w:p>
    <w:p>
      <w:pPr>
        <w:pStyle w:val="Heading3"/>
        <w:spacing w:line="240" w:lineRule="auto" w:before="158"/>
        <w:ind w:right="0"/>
        <w:jc w:val="left"/>
        <w:rPr>
          <w:b w:val="0"/>
          <w:bCs w:val="0"/>
        </w:rPr>
      </w:pPr>
      <w:bookmarkStart w:name="4、记账本位币" w:id="174"/>
      <w:bookmarkEnd w:id="174"/>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3"/>
        <w:rPr>
          <w:rFonts w:ascii="宋体" w:hAnsi="宋体" w:cs="宋体" w:eastAsia="宋体" w:hint="default"/>
          <w:b/>
          <w:bCs/>
          <w:sz w:val="31"/>
          <w:szCs w:val="31"/>
        </w:rPr>
      </w:pPr>
    </w:p>
    <w:p>
      <w:pPr>
        <w:pStyle w:val="BodyText"/>
        <w:spacing w:line="240" w:lineRule="auto"/>
        <w:ind w:right="0"/>
        <w:jc w:val="left"/>
      </w:pPr>
      <w:r>
        <w:rPr/>
        <w:t>本公司采用人民币为记账本位币。</w:t>
      </w:r>
    </w:p>
    <w:p>
      <w:pPr>
        <w:spacing w:line="240" w:lineRule="auto" w:before="0"/>
        <w:rPr>
          <w:rFonts w:ascii="宋体" w:hAnsi="宋体" w:cs="宋体" w:eastAsia="宋体" w:hint="default"/>
          <w:sz w:val="20"/>
          <w:szCs w:val="20"/>
        </w:rPr>
      </w:pPr>
    </w:p>
    <w:p>
      <w:pPr>
        <w:pStyle w:val="Heading3"/>
        <w:spacing w:line="240" w:lineRule="auto" w:before="158"/>
        <w:ind w:right="0"/>
        <w:jc w:val="left"/>
        <w:rPr>
          <w:b w:val="0"/>
          <w:bCs w:val="0"/>
        </w:rPr>
      </w:pPr>
      <w:bookmarkStart w:name="5、同一控制下和非同一控制下企业合并的会计处理方法" w:id="175"/>
      <w:bookmarkEnd w:id="175"/>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3"/>
        <w:rPr>
          <w:rFonts w:ascii="宋体" w:hAnsi="宋体" w:cs="宋体" w:eastAsia="宋体" w:hint="default"/>
          <w:b/>
          <w:bCs/>
          <w:sz w:val="31"/>
          <w:szCs w:val="31"/>
        </w:rPr>
      </w:pPr>
    </w:p>
    <w:p>
      <w:pPr>
        <w:pStyle w:val="BodyText"/>
        <w:spacing w:line="429" w:lineRule="auto"/>
        <w:ind w:right="1168" w:firstLine="399"/>
        <w:jc w:val="both"/>
      </w:pPr>
      <w:r>
        <w:rPr>
          <w:spacing w:val="-1"/>
        </w:rPr>
        <w:t>同一控制下企业合并：本公司在企业合并中取得的资产和负债，按照合并日被合并方资产、负债（包括最</w:t>
      </w:r>
      <w:r>
        <w:rPr>
          <w:w w:val="100"/>
        </w:rPr>
        <w:t> </w:t>
      </w:r>
      <w:r>
        <w:rPr>
          <w:spacing w:val="-1"/>
        </w:rPr>
        <w:t>终控制方收购被合并方而形成的商誉）在最终控制方合并财务报表中的账面价值计量。在合并中取得的净资产</w:t>
      </w:r>
      <w:r>
        <w:rPr>
          <w:spacing w:val="-63"/>
        </w:rPr>
        <w:t> </w:t>
      </w:r>
      <w:r>
        <w:rPr>
          <w:spacing w:val="-63"/>
        </w:rPr>
      </w:r>
      <w:r>
        <w:rPr>
          <w:spacing w:val="-1"/>
        </w:rPr>
        <w:t>账面价值与支付的合并对价账面价值（或发行股份面值总额）的差额，调整资本公积中的股本溢价，资本公积</w:t>
      </w:r>
      <w:r>
        <w:rPr>
          <w:spacing w:val="-63"/>
        </w:rPr>
        <w:t> </w:t>
      </w:r>
      <w:r>
        <w:rPr>
          <w:spacing w:val="-63"/>
        </w:rPr>
      </w:r>
      <w:r>
        <w:rPr/>
        <w:t>中的股本溢价不足冲减的，调整留存收益。</w:t>
      </w:r>
    </w:p>
    <w:p>
      <w:pPr>
        <w:pStyle w:val="BodyText"/>
        <w:spacing w:line="429" w:lineRule="auto" w:before="48"/>
        <w:ind w:right="1169" w:firstLine="399"/>
        <w:jc w:val="both"/>
      </w:pPr>
      <w:r>
        <w:rPr>
          <w:spacing w:val="-1"/>
        </w:rPr>
        <w:t>非同一控制下企业合并：本公司在购买日对作为企业合并对价付出的资产、发生或承担的负债按照公允价</w:t>
      </w:r>
      <w:r>
        <w:rPr>
          <w:w w:val="100"/>
        </w:rPr>
        <w:t> </w:t>
      </w:r>
      <w:r>
        <w:rPr>
          <w:spacing w:val="-1"/>
        </w:rPr>
        <w:t>值计量，公允价值与其账面价值的差额，计入当期损益。本公司对合并成本大于合并中取得的被购买方可辨认</w:t>
      </w:r>
      <w:r>
        <w:rPr>
          <w:spacing w:val="-63"/>
        </w:rPr>
        <w:t> </w:t>
      </w:r>
      <w:r>
        <w:rPr>
          <w:spacing w:val="-63"/>
        </w:rPr>
      </w:r>
      <w:r>
        <w:rPr>
          <w:spacing w:val="-1"/>
        </w:rPr>
        <w:t>净资产公允价值份额的差额，确认为商誉；合并成本小于合并中取得的被购买方可辨认净资产公允价值份额的</w:t>
      </w:r>
      <w:r>
        <w:rPr>
          <w:spacing w:val="-63"/>
        </w:rPr>
        <w:t> </w:t>
      </w:r>
      <w:r>
        <w:rPr>
          <w:spacing w:val="-63"/>
        </w:rPr>
      </w:r>
      <w:r>
        <w:rPr/>
        <w:t>差额，经复核后，计入当期损益。</w:t>
      </w:r>
    </w:p>
    <w:p>
      <w:pPr>
        <w:pStyle w:val="BodyText"/>
        <w:spacing w:line="429" w:lineRule="auto" w:before="48"/>
        <w:ind w:right="0" w:firstLine="399"/>
        <w:jc w:val="left"/>
      </w:pPr>
      <w:r>
        <w:rPr>
          <w:spacing w:val="-2"/>
        </w:rPr>
        <w:t>为企业合并发生的审计、法律服务、评估咨询等中介费用以及其他直接相关费用，于发生时计入当期损益；</w:t>
      </w:r>
      <w:r>
        <w:rPr>
          <w:w w:val="100"/>
        </w:rPr>
        <w:t> </w:t>
      </w:r>
      <w:r>
        <w:rPr/>
        <w:t>为企业合并而发行权益性证券的交易费用，冲减权益。</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6、合并财务报表的编制方法" w:id="176"/>
      <w:bookmarkEnd w:id="176"/>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3"/>
        <w:rPr>
          <w:rFonts w:ascii="宋体" w:hAnsi="宋体" w:cs="宋体" w:eastAsia="宋体" w:hint="default"/>
          <w:b/>
          <w:bCs/>
          <w:sz w:val="31"/>
          <w:szCs w:val="31"/>
        </w:rPr>
      </w:pPr>
    </w:p>
    <w:p>
      <w:pPr>
        <w:pStyle w:val="BodyText"/>
        <w:spacing w:line="429" w:lineRule="auto"/>
        <w:ind w:left="553" w:right="1118"/>
        <w:jc w:val="left"/>
      </w:pPr>
      <w:r>
        <w:rPr>
          <w:rFonts w:ascii="宋体" w:hAnsi="宋体" w:cs="宋体" w:eastAsia="宋体" w:hint="default"/>
        </w:rPr>
        <w:t>(1)</w:t>
      </w:r>
      <w:r>
        <w:rPr/>
        <w:t>合并范围</w:t>
      </w:r>
      <w:r>
        <w:rPr>
          <w:w w:val="100"/>
        </w:rPr>
        <w:t> </w:t>
      </w:r>
      <w:r>
        <w:rPr>
          <w:spacing w:val="-1"/>
        </w:rPr>
        <w:t>本公司合并财务报表的合并范围以控制为基础确定，所有子公司（包括本公司所控制的被投资方可分割的</w:t>
      </w:r>
    </w:p>
    <w:p>
      <w:pPr>
        <w:pStyle w:val="BodyText"/>
        <w:spacing w:line="429" w:lineRule="auto" w:before="48"/>
        <w:ind w:left="553" w:right="8166" w:hanging="400"/>
        <w:jc w:val="left"/>
      </w:pPr>
      <w:r>
        <w:rPr>
          <w:spacing w:val="-1"/>
        </w:rPr>
        <w:t>部分）均纳入合并财务报表。</w:t>
      </w:r>
      <w:r>
        <w:rPr>
          <w:spacing w:val="-90"/>
        </w:rPr>
        <w:t> </w:t>
      </w:r>
      <w:r>
        <w:rPr>
          <w:spacing w:val="-90"/>
        </w:rPr>
      </w:r>
      <w:r>
        <w:rPr>
          <w:rFonts w:ascii="宋体" w:hAnsi="宋体" w:cs="宋体" w:eastAsia="宋体" w:hint="default"/>
        </w:rPr>
        <w:t>(2)</w:t>
      </w:r>
      <w:r>
        <w:rPr/>
        <w:t>合并程序</w:t>
      </w:r>
    </w:p>
    <w:p>
      <w:pPr>
        <w:pStyle w:val="BodyText"/>
        <w:spacing w:line="429" w:lineRule="auto" w:before="48"/>
        <w:ind w:right="1169" w:firstLine="399"/>
        <w:jc w:val="both"/>
      </w:pPr>
      <w:r>
        <w:rPr>
          <w:spacing w:val="-1"/>
        </w:rPr>
        <w:t>本公司以自身和各子公司的财务报表为基础，根据其他有关资料，编制合并财务报表。本公司编制合并财</w:t>
      </w:r>
      <w:r>
        <w:rPr>
          <w:w w:val="100"/>
        </w:rPr>
        <w:t> </w:t>
      </w:r>
      <w:r>
        <w:rPr>
          <w:spacing w:val="-1"/>
        </w:rPr>
        <w:t>务报表，将整个企业集团视为一个会计主体，依据相关企业会计准则的确认、计量和列报要求，按照统一的会</w:t>
      </w:r>
    </w:p>
    <w:p>
      <w:pPr>
        <w:spacing w:after="0" w:line="429"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29" w:lineRule="auto"/>
        <w:ind w:left="553" w:right="0" w:hanging="400"/>
        <w:jc w:val="left"/>
      </w:pPr>
      <w:r>
        <w:rPr/>
        <w:t>计政策，反映本企业集团整体财务状况、经营成果和现金流量。</w:t>
      </w:r>
      <w:r>
        <w:rPr>
          <w:w w:val="100"/>
        </w:rPr>
        <w:t> </w:t>
      </w:r>
      <w:r>
        <w:rPr>
          <w:spacing w:val="-1"/>
        </w:rPr>
        <w:t>所有纳入合并财务报表合并范围的子公司所采用的会计政策、会计期间与本公司一致，如子公司采用的会</w:t>
      </w:r>
    </w:p>
    <w:p>
      <w:pPr>
        <w:pStyle w:val="BodyText"/>
        <w:spacing w:line="429" w:lineRule="auto" w:before="48"/>
        <w:ind w:right="0"/>
        <w:jc w:val="left"/>
      </w:pPr>
      <w:r>
        <w:rPr/>
        <w:t>计政策、会计期间与本公司不一致的，在编制合并财务报表时，按本公司的会计政策、会计期间进行必要的调</w:t>
      </w:r>
      <w:r>
        <w:rPr>
          <w:w w:val="100"/>
        </w:rPr>
        <w:t> </w:t>
      </w:r>
      <w:r>
        <w:rPr>
          <w:spacing w:val="-2"/>
        </w:rPr>
        <w:t>整。对于非同一控制下企业合并取得的子公司，以购买日可辨认净资产公允价值为基础对其财务报表进行调整。</w:t>
      </w:r>
    </w:p>
    <w:p>
      <w:pPr>
        <w:pStyle w:val="BodyText"/>
        <w:spacing w:line="429" w:lineRule="auto" w:before="48"/>
        <w:ind w:right="1169" w:firstLine="399"/>
        <w:jc w:val="both"/>
      </w:pPr>
      <w:r>
        <w:rPr>
          <w:spacing w:val="-1"/>
        </w:rPr>
        <w:t>对于同一控制下企业合并取得的子公司，以其资产、负债（包括最终控制方收购该子公司而形成的商誉）</w:t>
      </w:r>
      <w:r>
        <w:rPr>
          <w:w w:val="100"/>
        </w:rPr>
        <w:t> </w:t>
      </w:r>
      <w:r>
        <w:rPr/>
        <w:t>在最终控制方财务报表中的账面价值为基础对其财务报表进行调整。</w:t>
      </w:r>
    </w:p>
    <w:p>
      <w:pPr>
        <w:pStyle w:val="BodyText"/>
        <w:spacing w:line="429" w:lineRule="auto" w:before="48"/>
        <w:ind w:right="1168" w:firstLine="399"/>
        <w:jc w:val="both"/>
      </w:pPr>
      <w:r>
        <w:rPr>
          <w:spacing w:val="-1"/>
        </w:rPr>
        <w:t>子公司所有者权益、当期净损益和当期综合收益中属于少数股东的份额分别在合并资产负债表中所有者权</w:t>
      </w:r>
      <w:r>
        <w:rPr>
          <w:w w:val="100"/>
        </w:rPr>
        <w:t> </w:t>
      </w:r>
      <w:r>
        <w:rPr>
          <w:spacing w:val="-1"/>
        </w:rPr>
        <w:t>益项目下、合并利润表中净利润项目下和综合收益总额项目下单独列示。子公司少数股东分担的当期亏损超过</w:t>
      </w:r>
      <w:r>
        <w:rPr>
          <w:spacing w:val="-63"/>
        </w:rPr>
        <w:t> </w:t>
      </w:r>
      <w:r>
        <w:rPr>
          <w:spacing w:val="-63"/>
        </w:rPr>
      </w:r>
      <w:r>
        <w:rPr/>
        <w:t>了少数股东在该子公司期初所有者权益中所享有份额而形成的余额，冲减少数股东权益。</w:t>
      </w:r>
    </w:p>
    <w:p>
      <w:pPr>
        <w:pStyle w:val="BodyText"/>
        <w:spacing w:line="429" w:lineRule="auto" w:before="48"/>
        <w:ind w:left="553" w:right="0"/>
        <w:jc w:val="left"/>
      </w:pPr>
      <w:r>
        <w:rPr/>
        <w:t>①增加子公司或业务</w:t>
      </w:r>
      <w:r>
        <w:rPr>
          <w:w w:val="100"/>
        </w:rPr>
        <w:t> </w:t>
      </w:r>
      <w:r>
        <w:rPr>
          <w:spacing w:val="-1"/>
        </w:rPr>
        <w:t>在报告期内，若因同一控制下企业合并增加子公司或业务的，则调整合并资产负债表的期初数；将子公司</w:t>
      </w:r>
    </w:p>
    <w:p>
      <w:pPr>
        <w:pStyle w:val="BodyText"/>
        <w:spacing w:line="429" w:lineRule="auto" w:before="48"/>
        <w:ind w:right="1168"/>
        <w:jc w:val="both"/>
      </w:pPr>
      <w:r>
        <w:rPr>
          <w:spacing w:val="-1"/>
        </w:rPr>
        <w:t>或业务合并当期期初至报告期末的收入、费用、利润纳入合并利润表；将子公司或业务合并当期期初至报告期</w:t>
      </w:r>
      <w:r>
        <w:rPr>
          <w:spacing w:val="-63"/>
        </w:rPr>
        <w:t> </w:t>
      </w:r>
      <w:r>
        <w:rPr>
          <w:spacing w:val="-63"/>
        </w:rPr>
      </w:r>
      <w:r>
        <w:rPr>
          <w:spacing w:val="-1"/>
        </w:rPr>
        <w:t>末的现金流量纳入合并现金流量表，同时对比较报表的相关项目进行调整，视同合并后的报告主体自最终控制</w:t>
      </w:r>
      <w:r>
        <w:rPr>
          <w:spacing w:val="-62"/>
        </w:rPr>
        <w:t> </w:t>
      </w:r>
      <w:r>
        <w:rPr>
          <w:spacing w:val="-62"/>
        </w:rPr>
      </w:r>
      <w:r>
        <w:rPr/>
        <w:t>方开始控制时点起一直存在。</w:t>
      </w:r>
    </w:p>
    <w:p>
      <w:pPr>
        <w:pStyle w:val="BodyText"/>
        <w:spacing w:line="429" w:lineRule="auto" w:before="48"/>
        <w:ind w:right="1169" w:firstLine="399"/>
        <w:jc w:val="both"/>
      </w:pPr>
      <w:r>
        <w:rPr>
          <w:spacing w:val="-1"/>
        </w:rPr>
        <w:t>因追加投资等原因能够对同一控制下的被投资方实施控制的，视同参与合并的各方在最终控制方开始控制</w:t>
      </w:r>
      <w:r>
        <w:rPr>
          <w:w w:val="100"/>
        </w:rPr>
        <w:t> </w:t>
      </w:r>
      <w:r>
        <w:rPr>
          <w:spacing w:val="-1"/>
        </w:rPr>
        <w:t>时即以目前的状态存在进行调整。在取得被合并方控制权之前持有的股权投资，在取得原股权之日与合并方和</w:t>
      </w:r>
      <w:r>
        <w:rPr>
          <w:spacing w:val="-63"/>
        </w:rPr>
        <w:t> </w:t>
      </w:r>
      <w:r>
        <w:rPr>
          <w:spacing w:val="-63"/>
        </w:rPr>
      </w:r>
      <w:r>
        <w:rPr>
          <w:spacing w:val="-1"/>
        </w:rPr>
        <w:t>被合并方同处于同一控制之日孰晚日起至合并日之间已确认有关损益、其他综合收益以及其他净资产变动，分</w:t>
      </w:r>
      <w:r>
        <w:rPr>
          <w:spacing w:val="-63"/>
        </w:rPr>
        <w:t> </w:t>
      </w:r>
      <w:r>
        <w:rPr>
          <w:spacing w:val="-63"/>
        </w:rPr>
      </w:r>
      <w:r>
        <w:rPr/>
        <w:t>别冲减比较报表期间的期初留存收益或当期损益。</w:t>
      </w:r>
    </w:p>
    <w:p>
      <w:pPr>
        <w:pStyle w:val="BodyText"/>
        <w:spacing w:line="429" w:lineRule="auto" w:before="48"/>
        <w:ind w:right="1168" w:firstLine="399"/>
        <w:jc w:val="both"/>
      </w:pPr>
      <w:r>
        <w:rPr>
          <w:spacing w:val="-1"/>
        </w:rPr>
        <w:t>在报告期内，若因非同一控制下企业合并增加子公司或业务的，则不调整合并资产负债表期初数；将该子</w:t>
      </w:r>
      <w:r>
        <w:rPr>
          <w:w w:val="100"/>
        </w:rPr>
        <w:t> </w:t>
      </w:r>
      <w:r>
        <w:rPr>
          <w:spacing w:val="-1"/>
        </w:rPr>
        <w:t>公司或业务自购买日至报告期末的收入、费用、利润纳入合并利润表；该子公司或业务自购买日至报告期末的</w:t>
      </w:r>
      <w:r>
        <w:rPr>
          <w:spacing w:val="-63"/>
        </w:rPr>
        <w:t> </w:t>
      </w:r>
      <w:r>
        <w:rPr>
          <w:spacing w:val="-63"/>
        </w:rPr>
      </w:r>
      <w:r>
        <w:rPr/>
        <w:t>现金流量纳入合并现金流量表。</w:t>
      </w:r>
    </w:p>
    <w:p>
      <w:pPr>
        <w:pStyle w:val="BodyText"/>
        <w:spacing w:line="429" w:lineRule="auto" w:before="48"/>
        <w:ind w:right="1169" w:firstLine="399"/>
        <w:jc w:val="both"/>
      </w:pPr>
      <w:r>
        <w:rPr>
          <w:spacing w:val="-1"/>
        </w:rPr>
        <w:t>因追加投资等原因能够对非同一控制下的被投资方实施控制的，对于购买日之前持有的被购买方的股权，</w:t>
      </w:r>
      <w:r>
        <w:rPr>
          <w:w w:val="100"/>
        </w:rPr>
        <w:t> </w:t>
      </w:r>
      <w:r>
        <w:rPr>
          <w:spacing w:val="-1"/>
        </w:rPr>
        <w:t>本公司按照该股权在购买日的公允价值进行重新计量，公允价值与其账面价值的差额计入当期投资收益。购买</w:t>
      </w:r>
      <w:r>
        <w:rPr>
          <w:spacing w:val="-63"/>
        </w:rPr>
        <w:t> </w:t>
      </w:r>
      <w:r>
        <w:rPr>
          <w:spacing w:val="-63"/>
        </w:rPr>
      </w:r>
      <w:r>
        <w:rPr>
          <w:spacing w:val="-1"/>
        </w:rPr>
        <w:t>日之前持有的被购买方的股权涉及权益法核算下的其他综合收益以及除净损益、其他综合收益和利润分配之外</w:t>
      </w:r>
      <w:r>
        <w:rPr>
          <w:spacing w:val="-63"/>
        </w:rPr>
        <w:t> </w:t>
      </w:r>
      <w:r>
        <w:rPr>
          <w:spacing w:val="-63"/>
        </w:rPr>
      </w:r>
      <w:r>
        <w:rPr>
          <w:spacing w:val="-1"/>
        </w:rPr>
        <w:t>的其他所有者权益变动的，与其相关的其他综合收益、其他所有者权益变动转为购买日所属当期投资收益，由</w:t>
      </w:r>
      <w:r>
        <w:rPr>
          <w:spacing w:val="-63"/>
        </w:rPr>
        <w:t> </w:t>
      </w:r>
      <w:r>
        <w:rPr>
          <w:spacing w:val="-63"/>
        </w:rPr>
      </w:r>
      <w:r>
        <w:rPr/>
        <w:t>于被投资方重新计量设定受益计划净负债或净资产变动而产生的其他综合收益除外。</w:t>
      </w:r>
    </w:p>
    <w:p>
      <w:pPr>
        <w:pStyle w:val="BodyText"/>
        <w:spacing w:line="429" w:lineRule="auto" w:before="48"/>
        <w:ind w:left="553" w:right="8553"/>
        <w:jc w:val="left"/>
      </w:pPr>
      <w:r>
        <w:rPr/>
        <w:t>②处置子公司或业务</w:t>
      </w:r>
      <w:r>
        <w:rPr>
          <w:w w:val="100"/>
        </w:rPr>
        <w:t> </w:t>
      </w:r>
      <w:r>
        <w:rPr>
          <w:rFonts w:ascii="宋体" w:hAnsi="宋体" w:cs="宋体" w:eastAsia="宋体" w:hint="default"/>
        </w:rPr>
        <w:t>a.</w:t>
      </w:r>
      <w:r>
        <w:rPr/>
        <w:t>一般处理方法</w:t>
      </w:r>
    </w:p>
    <w:p>
      <w:pPr>
        <w:pStyle w:val="BodyText"/>
        <w:spacing w:line="429" w:lineRule="auto" w:before="48"/>
        <w:ind w:right="1169" w:firstLine="399"/>
        <w:jc w:val="both"/>
      </w:pPr>
      <w:r>
        <w:rPr>
          <w:spacing w:val="-1"/>
        </w:rPr>
        <w:t>在报告期内，本公司处置子公司或业务，则该子公司或业务期初至处置日的收入、费用、利润纳入合并利</w:t>
      </w:r>
      <w:r>
        <w:rPr>
          <w:w w:val="100"/>
        </w:rPr>
        <w:t> </w:t>
      </w:r>
      <w:r>
        <w:rPr/>
        <w:t>润表；该子公司或业务期初至处置日的现金流量纳入合并现金流量表。</w:t>
      </w:r>
    </w:p>
    <w:p>
      <w:pPr>
        <w:spacing w:after="0" w:line="429"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29" w:lineRule="auto"/>
        <w:ind w:right="1169" w:firstLine="399"/>
        <w:jc w:val="both"/>
      </w:pPr>
      <w:r>
        <w:rPr>
          <w:spacing w:val="-1"/>
        </w:rPr>
        <w:t>因处置部分股权投资或其他原因丧失了对被投资方控制权时，对于处置后的剩余股权投资，本公司按照其</w:t>
      </w:r>
      <w:r>
        <w:rPr>
          <w:w w:val="100"/>
        </w:rPr>
        <w:t> </w:t>
      </w:r>
      <w:r>
        <w:rPr>
          <w:spacing w:val="-1"/>
        </w:rPr>
        <w:t>在丧失控制权日的公允价值进行重新计量。处置股权取得的对价与剩余股权公允价值之和，减去按原持股比例</w:t>
      </w:r>
      <w:r>
        <w:rPr>
          <w:spacing w:val="-63"/>
        </w:rPr>
        <w:t> </w:t>
      </w:r>
      <w:r>
        <w:rPr>
          <w:spacing w:val="-63"/>
        </w:rPr>
      </w:r>
      <w:r>
        <w:rPr>
          <w:spacing w:val="-1"/>
        </w:rPr>
        <w:t>计算应享有原有子公司自购买日或合并日开始持续计算的净资产的份额与商誉之和的差额，计入丧失控制权当</w:t>
      </w:r>
      <w:r>
        <w:rPr>
          <w:spacing w:val="-63"/>
        </w:rPr>
        <w:t> </w:t>
      </w:r>
      <w:r>
        <w:rPr>
          <w:spacing w:val="-63"/>
        </w:rPr>
      </w:r>
      <w:r>
        <w:rPr>
          <w:spacing w:val="-1"/>
        </w:rPr>
        <w:t>期的投资收益。与原有子公司股权投资相关的其他综合收益或除净损益、其他综合收益及利润分配之外的其他</w:t>
      </w:r>
      <w:r>
        <w:rPr>
          <w:spacing w:val="-63"/>
        </w:rPr>
        <w:t> </w:t>
      </w:r>
      <w:r>
        <w:rPr>
          <w:spacing w:val="-63"/>
        </w:rPr>
      </w:r>
      <w:r>
        <w:rPr>
          <w:spacing w:val="-1"/>
        </w:rPr>
        <w:t>所有者权益变动，在丧失控制权时转为当期投资收益，由于被投资方重新计量设定受益计划净负债或净资产变</w:t>
      </w:r>
      <w:r>
        <w:rPr>
          <w:spacing w:val="-63"/>
        </w:rPr>
        <w:t> </w:t>
      </w:r>
      <w:r>
        <w:rPr>
          <w:spacing w:val="-63"/>
        </w:rPr>
      </w:r>
      <w:r>
        <w:rPr/>
        <w:t>动而产生的其他综合收益除外。</w:t>
      </w:r>
    </w:p>
    <w:p>
      <w:pPr>
        <w:pStyle w:val="BodyText"/>
        <w:spacing w:line="429" w:lineRule="auto" w:before="48"/>
        <w:ind w:left="553" w:right="0"/>
        <w:jc w:val="left"/>
      </w:pPr>
      <w:r>
        <w:rPr>
          <w:spacing w:val="-1"/>
        </w:rPr>
        <w:t>因其他投资方对子公司增资而导致本公司持股比例下降从而丧失控制权的，按照上述原则进行会计处理。</w:t>
      </w:r>
      <w:r>
        <w:rPr>
          <w:spacing w:val="-64"/>
        </w:rPr>
        <w:t> </w:t>
      </w:r>
      <w:r>
        <w:rPr>
          <w:spacing w:val="-64"/>
        </w:rPr>
      </w:r>
      <w:r>
        <w:rPr>
          <w:rFonts w:ascii="宋体" w:hAnsi="宋体" w:cs="宋体" w:eastAsia="宋体" w:hint="default"/>
        </w:rPr>
        <w:t>b.</w:t>
      </w:r>
      <w:r>
        <w:rPr/>
        <w:t>分步处置子公司</w:t>
      </w:r>
      <w:r>
        <w:rPr>
          <w:w w:val="100"/>
        </w:rPr>
        <w:t> </w:t>
      </w:r>
      <w:r>
        <w:rPr>
          <w:spacing w:val="-1"/>
        </w:rPr>
        <w:t>通过多次交易分步处置对子公司股权投资直至丧失控制权的，处置对子公司股权投资的各项交易的条款、</w:t>
      </w:r>
    </w:p>
    <w:p>
      <w:pPr>
        <w:pStyle w:val="BodyText"/>
        <w:spacing w:line="429" w:lineRule="auto" w:before="48"/>
        <w:ind w:left="553" w:right="1173" w:hanging="400"/>
        <w:jc w:val="left"/>
      </w:pPr>
      <w:r>
        <w:rPr/>
        <w:t>条件以及经济影响符合以下一种或多种情况，通常表明应将多次交易事项作为一揽子交易进行会计处理：</w:t>
      </w:r>
      <w:r>
        <w:rPr>
          <w:w w:val="100"/>
        </w:rPr>
        <w:t> </w:t>
      </w:r>
      <w:r>
        <w:rPr/>
        <w:t>ⅰ．这些交易是同时或者在考虑了彼此影响的情况下订立的；</w:t>
      </w:r>
      <w:r>
        <w:rPr>
          <w:w w:val="100"/>
        </w:rPr>
        <w:t> </w:t>
      </w:r>
      <w:r>
        <w:rPr/>
        <w:t>ⅱ．这些交易整体才能达成一项完整的商业结果；</w:t>
      </w:r>
      <w:r>
        <w:rPr>
          <w:w w:val="100"/>
        </w:rPr>
        <w:t> </w:t>
      </w:r>
      <w:r>
        <w:rPr/>
        <w:t>ⅲ．一项交易的发生取决于其他至少一项交易的发生；</w:t>
      </w:r>
      <w:r>
        <w:rPr>
          <w:w w:val="100"/>
        </w:rPr>
        <w:t> </w:t>
      </w:r>
      <w:r>
        <w:rPr/>
        <w:t>ⅳ．一项交易单独看是不经济的，但是和其他交易一并考虑时是经济的。</w:t>
      </w:r>
      <w:r>
        <w:rPr>
          <w:w w:val="100"/>
        </w:rPr>
        <w:t> </w:t>
      </w:r>
      <w:r>
        <w:rPr>
          <w:spacing w:val="-1"/>
        </w:rPr>
        <w:t>处置对子公司股权投资直至丧失控制权的各项交易属于一揽子交易的，本公司将各项交易作为一项处置子</w:t>
      </w:r>
    </w:p>
    <w:p>
      <w:pPr>
        <w:pStyle w:val="BodyText"/>
        <w:spacing w:line="429" w:lineRule="auto" w:before="48"/>
        <w:ind w:right="1169"/>
        <w:jc w:val="both"/>
      </w:pPr>
      <w:r>
        <w:rPr>
          <w:spacing w:val="-1"/>
        </w:rPr>
        <w:t>公司并丧失控制权的交易进行会计处理；但是，在丧失控制权之前每一次处置价款与处置投资对应的享有该子</w:t>
      </w:r>
      <w:r>
        <w:rPr>
          <w:spacing w:val="-63"/>
        </w:rPr>
        <w:t> </w:t>
      </w:r>
      <w:r>
        <w:rPr>
          <w:spacing w:val="-63"/>
        </w:rPr>
      </w:r>
      <w:r>
        <w:rPr>
          <w:spacing w:val="-1"/>
        </w:rPr>
        <w:t>公司净资产份额的差额，在合并财务报表中确认为其他综合收益，在丧失控制权时一并转入丧失控制权当期的</w:t>
      </w:r>
      <w:r>
        <w:rPr>
          <w:spacing w:val="-63"/>
        </w:rPr>
        <w:t> </w:t>
      </w:r>
      <w:r>
        <w:rPr>
          <w:spacing w:val="-63"/>
        </w:rPr>
      </w:r>
      <w:r>
        <w:rPr/>
        <w:t>损益。</w:t>
      </w:r>
    </w:p>
    <w:p>
      <w:pPr>
        <w:pStyle w:val="BodyText"/>
        <w:spacing w:line="429" w:lineRule="auto" w:before="48"/>
        <w:ind w:right="1169" w:firstLine="399"/>
        <w:jc w:val="both"/>
      </w:pPr>
      <w:r>
        <w:rPr>
          <w:spacing w:val="-1"/>
        </w:rPr>
        <w:t>处置对子公司股权投资直至丧失控制权的各项交易不属于一揽子交易的，在丧失控制权之前，按不丧失控</w:t>
      </w:r>
      <w:r>
        <w:rPr>
          <w:w w:val="100"/>
        </w:rPr>
        <w:t> </w:t>
      </w:r>
      <w:r>
        <w:rPr>
          <w:spacing w:val="-1"/>
        </w:rPr>
        <w:t>制权的情况下部分处置对子公司的股权投资的相关政策进行会计处理；在丧失控制权时，按处置子公司一般处</w:t>
      </w:r>
      <w:r>
        <w:rPr>
          <w:spacing w:val="-63"/>
        </w:rPr>
        <w:t> </w:t>
      </w:r>
      <w:r>
        <w:rPr>
          <w:spacing w:val="-63"/>
        </w:rPr>
      </w:r>
      <w:r>
        <w:rPr/>
        <w:t>理方法进行会计处理。</w:t>
      </w:r>
    </w:p>
    <w:p>
      <w:pPr>
        <w:pStyle w:val="BodyText"/>
        <w:spacing w:line="429" w:lineRule="auto" w:before="48"/>
        <w:ind w:left="553" w:right="0"/>
        <w:jc w:val="left"/>
      </w:pPr>
      <w:r>
        <w:rPr/>
        <w:t>③购买子公司少数股权</w:t>
      </w:r>
      <w:r>
        <w:rPr>
          <w:w w:val="100"/>
        </w:rPr>
        <w:t> </w:t>
      </w:r>
      <w:r>
        <w:rPr>
          <w:spacing w:val="-2"/>
        </w:rPr>
        <w:t>本公司因购买少数股权新取得的长期股权投资与按照新增持股比例计算应享有子公司自购买日（或合并日）</w:t>
      </w:r>
    </w:p>
    <w:p>
      <w:pPr>
        <w:pStyle w:val="BodyText"/>
        <w:spacing w:line="429" w:lineRule="auto" w:before="48"/>
        <w:ind w:right="1169"/>
        <w:jc w:val="both"/>
      </w:pPr>
      <w:r>
        <w:rPr>
          <w:spacing w:val="-1"/>
        </w:rPr>
        <w:t>开始持续计算的净资产份额之间的差额，调整合并资产负债表中的资本公积中的股本溢价，资本公积中的股本</w:t>
      </w:r>
      <w:r>
        <w:rPr>
          <w:spacing w:val="-63"/>
        </w:rPr>
        <w:t> </w:t>
      </w:r>
      <w:r>
        <w:rPr>
          <w:spacing w:val="-63"/>
        </w:rPr>
      </w:r>
      <w:r>
        <w:rPr/>
        <w:t>溢价不足冲减的，调整留存收益。</w:t>
      </w:r>
    </w:p>
    <w:p>
      <w:pPr>
        <w:pStyle w:val="BodyText"/>
        <w:spacing w:line="429" w:lineRule="auto" w:before="48"/>
        <w:ind w:left="553" w:right="0"/>
        <w:jc w:val="left"/>
      </w:pPr>
      <w:r>
        <w:rPr/>
        <w:t>④不丧失控制权的情况下部分处置对子公司的股权投资</w:t>
      </w:r>
      <w:r>
        <w:rPr>
          <w:w w:val="100"/>
        </w:rPr>
        <w:t> </w:t>
      </w:r>
      <w:r>
        <w:rPr>
          <w:spacing w:val="-1"/>
        </w:rPr>
        <w:t>在不丧失控制权的情况下因部分处置对子公司的长期股权投资而取得的处置价款与处置长期股权投资相对</w:t>
      </w:r>
    </w:p>
    <w:p>
      <w:pPr>
        <w:pStyle w:val="BodyText"/>
        <w:spacing w:line="429" w:lineRule="auto" w:before="48"/>
        <w:ind w:right="1169"/>
        <w:jc w:val="both"/>
      </w:pPr>
      <w:r>
        <w:rPr>
          <w:spacing w:val="-1"/>
        </w:rPr>
        <w:t>应享有子公司自购买日或合并日开始持续计算的净资产份额之间的差额，调整合并资产负债表中的资本公积中</w:t>
      </w:r>
      <w:r>
        <w:rPr>
          <w:spacing w:val="-63"/>
        </w:rPr>
        <w:t> </w:t>
      </w:r>
      <w:r>
        <w:rPr>
          <w:spacing w:val="-63"/>
        </w:rPr>
      </w:r>
      <w:r>
        <w:rPr/>
        <w:t>的股本溢价，资本公积中的股本溢价不足冲减的，调整留存收益。</w:t>
      </w:r>
    </w:p>
    <w:p>
      <w:pPr>
        <w:spacing w:after="0" w:line="429"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553" w:right="0" w:hanging="400"/>
        <w:jc w:val="left"/>
        <w:rPr>
          <w:b w:val="0"/>
          <w:bCs w:val="0"/>
        </w:rPr>
      </w:pPr>
      <w:bookmarkStart w:name="7、合营安排分类及共同经营会计处理方法" w:id="177"/>
      <w:bookmarkEnd w:id="177"/>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3"/>
        <w:rPr>
          <w:rFonts w:ascii="宋体" w:hAnsi="宋体" w:cs="宋体" w:eastAsia="宋体" w:hint="default"/>
          <w:b/>
          <w:bCs/>
          <w:sz w:val="31"/>
          <w:szCs w:val="31"/>
        </w:rPr>
      </w:pPr>
    </w:p>
    <w:p>
      <w:pPr>
        <w:pStyle w:val="BodyText"/>
        <w:spacing w:line="429" w:lineRule="auto"/>
        <w:ind w:left="553" w:right="0"/>
        <w:jc w:val="left"/>
      </w:pPr>
      <w:r>
        <w:rPr/>
        <w:t>合营安排分为共同经营和合营企业。</w:t>
      </w:r>
      <w:r>
        <w:rPr>
          <w:w w:val="100"/>
        </w:rPr>
        <w:t> </w:t>
      </w:r>
      <w:r>
        <w:rPr/>
        <w:t>当本公司是合营安排的合营方，享有该安排相关资产且承担该安排相关负债时，为共同经营。</w:t>
      </w:r>
      <w:r>
        <w:rPr>
          <w:w w:val="100"/>
        </w:rPr>
        <w:t> </w:t>
      </w:r>
      <w:r>
        <w:rPr>
          <w:spacing w:val="-1"/>
        </w:rPr>
        <w:t>本公司确认与共同经营中利益份额相关的下列项目，并按照相关企业会计准则的规定进行会计处理：</w:t>
      </w:r>
    </w:p>
    <w:p>
      <w:pPr>
        <w:pStyle w:val="BodyText"/>
        <w:spacing w:line="240" w:lineRule="auto" w:before="48"/>
        <w:ind w:left="553" w:right="0"/>
        <w:jc w:val="left"/>
      </w:pPr>
      <w:r>
        <w:rPr/>
        <w:t>（</w:t>
      </w:r>
      <w:r>
        <w:rPr>
          <w:rFonts w:ascii="宋体" w:hAnsi="宋体" w:cs="宋体" w:eastAsia="宋体" w:hint="default"/>
        </w:rPr>
        <w:t>1</w:t>
      </w:r>
      <w:r>
        <w:rPr/>
        <w:t>）确认本公司单独所持有的资产，以及按本公司份额确认共同持有的资产；</w:t>
      </w:r>
    </w:p>
    <w:p>
      <w:pPr>
        <w:spacing w:line="240" w:lineRule="auto" w:before="10"/>
        <w:rPr>
          <w:rFonts w:ascii="宋体" w:hAnsi="宋体" w:cs="宋体" w:eastAsia="宋体" w:hint="default"/>
          <w:sz w:val="15"/>
          <w:szCs w:val="15"/>
        </w:rPr>
      </w:pPr>
    </w:p>
    <w:p>
      <w:pPr>
        <w:pStyle w:val="BodyText"/>
        <w:spacing w:line="240" w:lineRule="auto"/>
        <w:ind w:left="553" w:right="0"/>
        <w:jc w:val="left"/>
      </w:pPr>
      <w:r>
        <w:rPr/>
        <w:t>（</w:t>
      </w:r>
      <w:r>
        <w:rPr>
          <w:rFonts w:ascii="宋体" w:hAnsi="宋体" w:cs="宋体" w:eastAsia="宋体" w:hint="default"/>
        </w:rPr>
        <w:t>2</w:t>
      </w:r>
      <w:r>
        <w:rPr/>
        <w:t>）确认本公司单独所承担的负债，以及按本公司份额确认共同承担的负债；</w:t>
      </w:r>
    </w:p>
    <w:p>
      <w:pPr>
        <w:spacing w:line="240" w:lineRule="auto" w:before="10"/>
        <w:rPr>
          <w:rFonts w:ascii="宋体" w:hAnsi="宋体" w:cs="宋体" w:eastAsia="宋体" w:hint="default"/>
          <w:sz w:val="15"/>
          <w:szCs w:val="15"/>
        </w:rPr>
      </w:pPr>
    </w:p>
    <w:p>
      <w:pPr>
        <w:pStyle w:val="BodyText"/>
        <w:spacing w:line="240" w:lineRule="auto"/>
        <w:ind w:left="553" w:right="0"/>
        <w:jc w:val="left"/>
      </w:pPr>
      <w:r>
        <w:rPr/>
        <w:t>（</w:t>
      </w:r>
      <w:r>
        <w:rPr>
          <w:rFonts w:ascii="宋体" w:hAnsi="宋体" w:cs="宋体" w:eastAsia="宋体" w:hint="default"/>
        </w:rPr>
        <w:t>3</w:t>
      </w:r>
      <w:r>
        <w:rPr/>
        <w:t>）确认出售本公司享有的共同经营产出份额所产生的收入；</w:t>
      </w:r>
    </w:p>
    <w:p>
      <w:pPr>
        <w:spacing w:line="240" w:lineRule="auto" w:before="10"/>
        <w:rPr>
          <w:rFonts w:ascii="宋体" w:hAnsi="宋体" w:cs="宋体" w:eastAsia="宋体" w:hint="default"/>
          <w:sz w:val="15"/>
          <w:szCs w:val="15"/>
        </w:rPr>
      </w:pPr>
    </w:p>
    <w:p>
      <w:pPr>
        <w:pStyle w:val="BodyText"/>
        <w:spacing w:line="240" w:lineRule="auto"/>
        <w:ind w:left="553" w:right="0"/>
        <w:jc w:val="left"/>
      </w:pPr>
      <w:r>
        <w:rPr/>
        <w:t>（</w:t>
      </w:r>
      <w:r>
        <w:rPr>
          <w:rFonts w:ascii="宋体" w:hAnsi="宋体" w:cs="宋体" w:eastAsia="宋体" w:hint="default"/>
        </w:rPr>
        <w:t>4</w:t>
      </w:r>
      <w:r>
        <w:rPr/>
        <w:t>）按本公司份额确认共同经营因出售产出所产生的收入；</w:t>
      </w:r>
    </w:p>
    <w:p>
      <w:pPr>
        <w:spacing w:line="240" w:lineRule="auto" w:before="10"/>
        <w:rPr>
          <w:rFonts w:ascii="宋体" w:hAnsi="宋体" w:cs="宋体" w:eastAsia="宋体" w:hint="default"/>
          <w:sz w:val="15"/>
          <w:szCs w:val="15"/>
        </w:rPr>
      </w:pPr>
    </w:p>
    <w:p>
      <w:pPr>
        <w:pStyle w:val="BodyText"/>
        <w:spacing w:line="429" w:lineRule="auto"/>
        <w:ind w:left="553" w:right="0"/>
        <w:jc w:val="left"/>
      </w:pPr>
      <w:r>
        <w:rPr>
          <w:spacing w:val="-1"/>
        </w:rPr>
        <w:t>（</w:t>
      </w:r>
      <w:r>
        <w:rPr>
          <w:rFonts w:ascii="宋体" w:hAnsi="宋体" w:cs="宋体" w:eastAsia="宋体" w:hint="default"/>
          <w:spacing w:val="-1"/>
        </w:rPr>
        <w:t>5</w:t>
      </w:r>
      <w:r>
        <w:rPr>
          <w:spacing w:val="-1"/>
        </w:rPr>
        <w:t>）确认单独所发生的费用，以及按本公司份额确认共同经营发生的费用。</w:t>
      </w:r>
      <w:r>
        <w:rPr>
          <w:spacing w:val="-73"/>
        </w:rPr>
        <w:t> </w:t>
      </w:r>
      <w:r>
        <w:rPr>
          <w:spacing w:val="-73"/>
        </w:rPr>
      </w:r>
      <w:r>
        <w:rPr/>
        <w:t>本公司对合营企业投资的会计政策见本附注“五、</w:t>
      </w:r>
      <w:r>
        <w:rPr>
          <w:rFonts w:ascii="宋体" w:hAnsi="宋体" w:cs="宋体" w:eastAsia="宋体" w:hint="default"/>
        </w:rPr>
        <w:t>14</w:t>
      </w:r>
      <w:r>
        <w:rPr/>
        <w:t>、长期股权投资”。</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8、现金及现金等价物的确定标准" w:id="178"/>
      <w:bookmarkEnd w:id="178"/>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3"/>
        <w:rPr>
          <w:rFonts w:ascii="宋体" w:hAnsi="宋体" w:cs="宋体" w:eastAsia="宋体" w:hint="default"/>
          <w:b/>
          <w:bCs/>
          <w:sz w:val="31"/>
          <w:szCs w:val="31"/>
        </w:rPr>
      </w:pPr>
    </w:p>
    <w:p>
      <w:pPr>
        <w:pStyle w:val="BodyText"/>
        <w:spacing w:line="429" w:lineRule="auto"/>
        <w:ind w:right="1131" w:firstLine="399"/>
        <w:jc w:val="both"/>
      </w:pPr>
      <w:r>
        <w:rPr>
          <w:spacing w:val="-5"/>
        </w:rPr>
        <w:t>在编制现金流量表时，将本公司库存现金以及可以随时用于支付的存款确认为现金。将同时具备期限短（从</w:t>
      </w:r>
      <w:r>
        <w:rPr>
          <w:w w:val="100"/>
        </w:rPr>
        <w:t> </w:t>
      </w:r>
      <w:r>
        <w:rPr/>
        <w:t>购买日起三个月内到期）、流动性强、易于转换为已知现金、价值变动风险很小四个条件的投资，确定为现金</w:t>
      </w:r>
      <w:r>
        <w:rPr>
          <w:w w:val="100"/>
        </w:rPr>
        <w:t> </w:t>
      </w:r>
      <w:r>
        <w:rPr/>
        <w:t>等价物。</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9、外币业务和外币报表折算" w:id="179"/>
      <w:bookmarkEnd w:id="179"/>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3"/>
        <w:rPr>
          <w:rFonts w:ascii="宋体" w:hAnsi="宋体" w:cs="宋体" w:eastAsia="宋体" w:hint="default"/>
          <w:b/>
          <w:bCs/>
          <w:sz w:val="31"/>
          <w:szCs w:val="31"/>
        </w:rPr>
      </w:pPr>
    </w:p>
    <w:p>
      <w:pPr>
        <w:pStyle w:val="BodyText"/>
        <w:spacing w:line="429" w:lineRule="auto"/>
        <w:ind w:left="553" w:right="3147"/>
        <w:jc w:val="left"/>
      </w:pPr>
      <w:r>
        <w:rPr/>
        <w:t>（</w:t>
      </w:r>
      <w:r>
        <w:rPr>
          <w:rFonts w:ascii="宋体" w:hAnsi="宋体" w:cs="宋体" w:eastAsia="宋体" w:hint="default"/>
        </w:rPr>
        <w:t>1</w:t>
      </w:r>
      <w:r>
        <w:rPr/>
        <w:t>）外币业务</w:t>
      </w:r>
      <w:r>
        <w:rPr>
          <w:w w:val="100"/>
        </w:rPr>
        <w:t> </w:t>
      </w:r>
      <w:r>
        <w:rPr>
          <w:spacing w:val="-1"/>
        </w:rPr>
        <w:t>外币业务采用交易发生日的即期汇率作为折算汇率将外币金额折合成人民币记账。</w:t>
      </w:r>
    </w:p>
    <w:p>
      <w:pPr>
        <w:pStyle w:val="BodyText"/>
        <w:spacing w:line="429" w:lineRule="auto" w:before="48"/>
        <w:ind w:right="0" w:firstLine="399"/>
        <w:jc w:val="left"/>
      </w:pPr>
      <w:r>
        <w:rPr/>
        <w:t>资产负债表日外币货币性项目余额按资产负债表日即期汇率折算，由此产生的汇兑差额，除属于与购建符</w:t>
      </w:r>
      <w:r>
        <w:rPr>
          <w:w w:val="100"/>
        </w:rPr>
        <w:t> </w:t>
      </w:r>
      <w:r>
        <w:rPr>
          <w:spacing w:val="-2"/>
        </w:rPr>
        <w:t>合资本化条件的资产相关的外币专门借款产生的汇兑差额按照借款费用资本化的原则处理外，均计入当期损益。</w:t>
      </w:r>
    </w:p>
    <w:p>
      <w:pPr>
        <w:pStyle w:val="BodyText"/>
        <w:spacing w:line="429" w:lineRule="auto" w:before="48"/>
        <w:ind w:left="553" w:right="0"/>
        <w:jc w:val="left"/>
      </w:pPr>
      <w:r>
        <w:rPr/>
        <w:t>（</w:t>
      </w:r>
      <w:r>
        <w:rPr>
          <w:rFonts w:ascii="宋体" w:hAnsi="宋体" w:cs="宋体" w:eastAsia="宋体" w:hint="default"/>
        </w:rPr>
        <w:t>2</w:t>
      </w:r>
      <w:r>
        <w:rPr/>
        <w:t>）外币财务报表的折算</w:t>
      </w:r>
      <w:r>
        <w:rPr>
          <w:w w:val="100"/>
        </w:rPr>
        <w:t> </w:t>
      </w:r>
      <w:r>
        <w:rPr>
          <w:spacing w:val="-1"/>
        </w:rPr>
        <w:t>资产负债表中的资产和负债项目，采用资产负债表日的即期汇率折算；所有者权益项目除“未分配利润”</w:t>
      </w:r>
    </w:p>
    <w:p>
      <w:pPr>
        <w:pStyle w:val="BodyText"/>
        <w:spacing w:line="429" w:lineRule="auto" w:before="48"/>
        <w:ind w:left="553" w:right="0" w:hanging="400"/>
        <w:jc w:val="left"/>
      </w:pPr>
      <w:r>
        <w:rPr>
          <w:spacing w:val="-2"/>
        </w:rPr>
        <w:t>项目外，其他项目采用发生时的即期汇率折算。利润表中的收入和费用项目，采用交易发生日的即期汇率折算。</w:t>
      </w:r>
      <w:r>
        <w:rPr>
          <w:spacing w:val="-77"/>
        </w:rPr>
        <w:t> </w:t>
      </w:r>
      <w:r>
        <w:rPr>
          <w:spacing w:val="-77"/>
        </w:rPr>
      </w:r>
      <w:r>
        <w:rPr/>
        <w:t>处置境外经营时，将与该境外经营相关的外币财务报表折算差额，自所有者权益项目转入处置当期损益。</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10、金融工具" w:id="180"/>
      <w:bookmarkEnd w:id="180"/>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3"/>
        <w:rPr>
          <w:rFonts w:ascii="宋体" w:hAnsi="宋体" w:cs="宋体" w:eastAsia="宋体" w:hint="default"/>
          <w:b/>
          <w:bCs/>
          <w:sz w:val="31"/>
          <w:szCs w:val="31"/>
        </w:rPr>
      </w:pPr>
    </w:p>
    <w:p>
      <w:pPr>
        <w:pStyle w:val="BodyText"/>
        <w:spacing w:line="240" w:lineRule="auto"/>
        <w:ind w:left="553" w:right="0"/>
        <w:jc w:val="left"/>
      </w:pPr>
      <w:r>
        <w:rPr/>
        <w:t>金融工具包括金融资产、金融负债和权益工具。</w:t>
      </w:r>
    </w:p>
    <w:p>
      <w:pPr>
        <w:spacing w:line="240" w:lineRule="auto" w:before="10"/>
        <w:rPr>
          <w:rFonts w:ascii="宋体" w:hAnsi="宋体" w:cs="宋体" w:eastAsia="宋体" w:hint="default"/>
          <w:sz w:val="15"/>
          <w:szCs w:val="15"/>
        </w:rPr>
      </w:pPr>
    </w:p>
    <w:p>
      <w:pPr>
        <w:pStyle w:val="BodyText"/>
        <w:spacing w:line="240" w:lineRule="auto"/>
        <w:ind w:left="553" w:right="0"/>
        <w:jc w:val="left"/>
      </w:pPr>
      <w:r>
        <w:rPr/>
        <w:t>（</w:t>
      </w:r>
      <w:r>
        <w:rPr>
          <w:rFonts w:ascii="宋体" w:hAnsi="宋体" w:cs="宋体" w:eastAsia="宋体" w:hint="default"/>
        </w:rPr>
        <w:t>1</w:t>
      </w:r>
      <w:r>
        <w:rPr/>
        <w:t>）金融工具的分类</w:t>
      </w:r>
    </w:p>
    <w:p>
      <w:pPr>
        <w:spacing w:after="0" w:line="240" w:lineRule="auto"/>
        <w:jc w:val="left"/>
        <w:sectPr>
          <w:footerReference w:type="default" r:id="rId15"/>
          <w:pgSz w:w="11910" w:h="16840"/>
          <w:pgMar w:footer="979" w:header="747"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29" w:lineRule="auto"/>
        <w:ind w:right="0" w:firstLine="399"/>
        <w:jc w:val="left"/>
      </w:pPr>
      <w:r>
        <w:rPr>
          <w:spacing w:val="-2"/>
        </w:rPr>
        <w:t>金融资产和金融负债于初始确认时分类为：以公允价值计量且其变动计入当期损益的金融资产或金融负债，</w:t>
      </w:r>
      <w:r>
        <w:rPr>
          <w:w w:val="100"/>
        </w:rPr>
        <w:t> </w:t>
      </w:r>
      <w:r>
        <w:rPr/>
        <w:t>包括交易性金融资产或金融负债和直接指定为以公允价值计量且其变动计入当期损益的金融资产或金融负债；</w:t>
      </w:r>
      <w:r>
        <w:rPr>
          <w:w w:val="100"/>
        </w:rPr>
        <w:t> </w:t>
      </w:r>
      <w:r>
        <w:rPr/>
        <w:t>持有至到期投资；应收款项；可供出售金融资产；其他金融负债等。</w:t>
      </w:r>
    </w:p>
    <w:p>
      <w:pPr>
        <w:pStyle w:val="BodyText"/>
        <w:spacing w:line="240" w:lineRule="auto" w:before="48"/>
        <w:ind w:left="553" w:right="0"/>
        <w:jc w:val="left"/>
      </w:pPr>
      <w:r>
        <w:rPr/>
        <w:t>（</w:t>
      </w:r>
      <w:r>
        <w:rPr>
          <w:rFonts w:ascii="宋体" w:hAnsi="宋体" w:cs="宋体" w:eastAsia="宋体" w:hint="default"/>
        </w:rPr>
        <w:t>2</w:t>
      </w:r>
      <w:r>
        <w:rPr/>
        <w:t>）金融工具的确认依据和计量方法</w:t>
      </w:r>
    </w:p>
    <w:p>
      <w:pPr>
        <w:spacing w:line="240" w:lineRule="auto" w:before="10"/>
        <w:rPr>
          <w:rFonts w:ascii="宋体" w:hAnsi="宋体" w:cs="宋体" w:eastAsia="宋体" w:hint="default"/>
          <w:sz w:val="15"/>
          <w:szCs w:val="15"/>
        </w:rPr>
      </w:pPr>
    </w:p>
    <w:p>
      <w:pPr>
        <w:pStyle w:val="BodyText"/>
        <w:spacing w:line="429" w:lineRule="auto"/>
        <w:ind w:left="553" w:right="0"/>
        <w:jc w:val="left"/>
      </w:pPr>
      <w:r>
        <w:rPr/>
        <w:t>①以公允价值计量且其变动计入当期损益的金融资产（金融负债）</w:t>
      </w:r>
      <w:r>
        <w:rPr>
          <w:w w:val="100"/>
        </w:rPr>
        <w:t> </w:t>
      </w:r>
      <w:r>
        <w:rPr>
          <w:spacing w:val="-1"/>
        </w:rPr>
        <w:t>取得时以公允价值（扣除已宣告但尚未发放的现金股利或已到付息期但尚未领取的债券利息）作为初始确</w:t>
      </w:r>
    </w:p>
    <w:p>
      <w:pPr>
        <w:pStyle w:val="BodyText"/>
        <w:spacing w:line="429" w:lineRule="auto" w:before="48"/>
        <w:ind w:left="553" w:right="0" w:hanging="400"/>
        <w:jc w:val="left"/>
      </w:pPr>
      <w:r>
        <w:rPr/>
        <w:t>认金额，相关的交易费用计入当期损益。</w:t>
      </w:r>
      <w:r>
        <w:rPr>
          <w:w w:val="100"/>
        </w:rPr>
        <w:t> </w:t>
      </w:r>
      <w:r>
        <w:rPr/>
        <w:t>持有期间将取得的利息或现金股利确认为投资收益，期末将公允价值变动计入当期损益。</w:t>
      </w:r>
      <w:r>
        <w:rPr>
          <w:w w:val="100"/>
        </w:rPr>
        <w:t> </w:t>
      </w:r>
      <w:r>
        <w:rPr>
          <w:spacing w:val="-1"/>
        </w:rPr>
        <w:t>处置时，其公允价值与初始入账金额之间的差额确认为投资收益，同时调整公允价值变动损益。</w:t>
      </w:r>
    </w:p>
    <w:p>
      <w:pPr>
        <w:pStyle w:val="BodyText"/>
        <w:spacing w:line="429" w:lineRule="auto" w:before="48"/>
        <w:ind w:left="553" w:right="0"/>
        <w:jc w:val="left"/>
      </w:pPr>
      <w:r>
        <w:rPr/>
        <w:t>②持有至到期投资</w:t>
      </w:r>
      <w:r>
        <w:rPr>
          <w:w w:val="100"/>
        </w:rPr>
        <w:t> </w:t>
      </w:r>
      <w:r>
        <w:rPr/>
        <w:t>取得时按公允价值（扣除已到付息期但尚未领取的债券利息）和相关交易费用之和作为初始确认金额。</w:t>
      </w:r>
      <w:r>
        <w:rPr>
          <w:w w:val="100"/>
        </w:rPr>
        <w:t> </w:t>
      </w:r>
      <w:r>
        <w:rPr>
          <w:spacing w:val="-1"/>
        </w:rPr>
        <w:t>持有期间按照摊余成本和实际利率计算确认利息收入，计入投资收益。实际利率在取得时确定，在该预期</w:t>
      </w:r>
    </w:p>
    <w:p>
      <w:pPr>
        <w:pStyle w:val="BodyText"/>
        <w:spacing w:line="429" w:lineRule="auto" w:before="48"/>
        <w:ind w:left="553" w:right="3147" w:hanging="400"/>
        <w:jc w:val="left"/>
      </w:pPr>
      <w:r>
        <w:rPr/>
        <w:t>存续期间或适用的更短期间内保持不变。</w:t>
      </w:r>
      <w:r>
        <w:rPr>
          <w:w w:val="100"/>
        </w:rPr>
        <w:t> </w:t>
      </w:r>
      <w:r>
        <w:rPr>
          <w:spacing w:val="-1"/>
        </w:rPr>
        <w:t>处置时，将所取得价款与该投资账面价值之间的差额计入投资收益。</w:t>
      </w:r>
    </w:p>
    <w:p>
      <w:pPr>
        <w:pStyle w:val="BodyText"/>
        <w:spacing w:line="429" w:lineRule="auto" w:before="48"/>
        <w:ind w:left="553" w:right="1118"/>
        <w:jc w:val="left"/>
      </w:pPr>
      <w:r>
        <w:rPr/>
        <w:t>③应收款项</w:t>
      </w:r>
      <w:r>
        <w:rPr>
          <w:w w:val="100"/>
        </w:rPr>
        <w:t> </w:t>
      </w:r>
      <w:r>
        <w:rPr>
          <w:spacing w:val="-1"/>
        </w:rPr>
        <w:t>公司对外销售商品或提供劳务形成的应收债权，以及公司持有的其他企业的不包括在活跃市场上有报价的</w:t>
      </w:r>
    </w:p>
    <w:p>
      <w:pPr>
        <w:pStyle w:val="BodyText"/>
        <w:spacing w:line="429" w:lineRule="auto" w:before="48"/>
        <w:ind w:right="0"/>
        <w:jc w:val="left"/>
      </w:pPr>
      <w:r>
        <w:rPr>
          <w:spacing w:val="-1"/>
        </w:rPr>
        <w:t>债务工具的债权，包括应收账款、其他应收款等，以向购货方应收的合同或协议价款作为初始确认金额；具有</w:t>
      </w:r>
      <w:r>
        <w:rPr>
          <w:spacing w:val="-63"/>
        </w:rPr>
        <w:t> </w:t>
      </w:r>
      <w:r>
        <w:rPr>
          <w:spacing w:val="-63"/>
        </w:rPr>
      </w:r>
      <w:r>
        <w:rPr/>
        <w:t>融资性质的，按其现值进行初始确认。</w:t>
      </w:r>
    </w:p>
    <w:p>
      <w:pPr>
        <w:pStyle w:val="BodyText"/>
        <w:spacing w:line="240" w:lineRule="auto" w:before="48"/>
        <w:ind w:left="553" w:right="0"/>
        <w:jc w:val="left"/>
      </w:pPr>
      <w:r>
        <w:rPr/>
        <w:t>收回或处置时，将取得的价款与该应收款项账面价值之间的差额计入当期损益。</w:t>
      </w:r>
    </w:p>
    <w:p>
      <w:pPr>
        <w:spacing w:line="240" w:lineRule="auto" w:before="10"/>
        <w:rPr>
          <w:rFonts w:ascii="宋体" w:hAnsi="宋体" w:cs="宋体" w:eastAsia="宋体" w:hint="default"/>
          <w:sz w:val="15"/>
          <w:szCs w:val="15"/>
        </w:rPr>
      </w:pPr>
    </w:p>
    <w:p>
      <w:pPr>
        <w:pStyle w:val="BodyText"/>
        <w:spacing w:line="429" w:lineRule="auto"/>
        <w:ind w:left="553" w:right="0"/>
        <w:jc w:val="left"/>
      </w:pPr>
      <w:r>
        <w:rPr/>
        <w:t>④可供出售金融资产</w:t>
      </w:r>
      <w:r>
        <w:rPr>
          <w:w w:val="100"/>
        </w:rPr>
        <w:t> </w:t>
      </w:r>
      <w:r>
        <w:rPr>
          <w:spacing w:val="-1"/>
        </w:rPr>
        <w:t>取得时按公允价值（扣除已宣告但尚未发放的现金股利或已到付息期但尚未领取的债券利息）和相关交易</w:t>
      </w:r>
    </w:p>
    <w:p>
      <w:pPr>
        <w:pStyle w:val="BodyText"/>
        <w:spacing w:line="429" w:lineRule="auto" w:before="48"/>
        <w:ind w:left="553" w:right="0" w:hanging="400"/>
        <w:jc w:val="left"/>
      </w:pPr>
      <w:r>
        <w:rPr/>
        <w:t>费用之和作为初始确认金额。</w:t>
      </w:r>
      <w:r>
        <w:rPr>
          <w:w w:val="100"/>
        </w:rPr>
        <w:t> </w:t>
      </w:r>
      <w:r>
        <w:rPr>
          <w:spacing w:val="-1"/>
        </w:rPr>
        <w:t>持有期间将取得的利息或现金股利确认为投资收益。期末以公允价值计量且将公允价值变动计入其他综合</w:t>
      </w:r>
    </w:p>
    <w:p>
      <w:pPr>
        <w:pStyle w:val="BodyText"/>
        <w:spacing w:line="429" w:lineRule="auto" w:before="48"/>
        <w:ind w:right="0"/>
        <w:jc w:val="left"/>
      </w:pPr>
      <w:r>
        <w:rPr>
          <w:spacing w:val="-1"/>
        </w:rPr>
        <w:t>收益。但是，在活跃市场中没有报价且其公允价值不能可靠计量的权益工具投资，以及与该权益工具挂钩并须</w:t>
      </w:r>
      <w:r>
        <w:rPr>
          <w:spacing w:val="-63"/>
        </w:rPr>
        <w:t> </w:t>
      </w:r>
      <w:r>
        <w:rPr>
          <w:spacing w:val="-63"/>
        </w:rPr>
      </w:r>
      <w:r>
        <w:rPr/>
        <w:t>通过交付该权益工具结算的衍生金融资产，按照成本计量。</w:t>
      </w:r>
    </w:p>
    <w:p>
      <w:pPr>
        <w:pStyle w:val="BodyText"/>
        <w:spacing w:line="429" w:lineRule="auto" w:before="48"/>
        <w:ind w:right="0" w:firstLine="399"/>
        <w:jc w:val="left"/>
      </w:pPr>
      <w:r>
        <w:rPr>
          <w:spacing w:val="-1"/>
        </w:rPr>
        <w:t>处置时，将取得的价款与该金融资产账面价值之间的差额，计入投资损益；同时，将原直接计入其他综合</w:t>
      </w:r>
      <w:r>
        <w:rPr>
          <w:w w:val="100"/>
        </w:rPr>
        <w:t> </w:t>
      </w:r>
      <w:r>
        <w:rPr/>
        <w:t>收益的公允价值变动累计额对应处置部分的金额转出，计入当期损益。</w:t>
      </w:r>
    </w:p>
    <w:p>
      <w:pPr>
        <w:pStyle w:val="BodyText"/>
        <w:spacing w:line="429" w:lineRule="auto" w:before="48"/>
        <w:ind w:left="553" w:right="2474"/>
        <w:jc w:val="left"/>
      </w:pPr>
      <w:r>
        <w:rPr/>
        <w:t>⑤其他金融负债</w:t>
      </w:r>
      <w:r>
        <w:rPr>
          <w:w w:val="100"/>
        </w:rPr>
        <w:t> </w:t>
      </w:r>
      <w:r>
        <w:rPr>
          <w:spacing w:val="-1"/>
        </w:rPr>
        <w:t>按其公允价值和相关交易费用之和作为初始确认金额。采用摊余成本进行后续计量。</w:t>
      </w:r>
    </w:p>
    <w:p>
      <w:pPr>
        <w:pStyle w:val="BodyText"/>
        <w:spacing w:line="240" w:lineRule="auto" w:before="48"/>
        <w:ind w:left="553" w:right="0"/>
        <w:jc w:val="left"/>
      </w:pPr>
      <w:r>
        <w:rPr/>
        <w:t>（</w:t>
      </w:r>
      <w:r>
        <w:rPr>
          <w:rFonts w:ascii="宋体" w:hAnsi="宋体" w:cs="宋体" w:eastAsia="宋体" w:hint="default"/>
        </w:rPr>
        <w:t>3</w:t>
      </w:r>
      <w:r>
        <w:rPr/>
        <w:t>）金融资产转移的确认依据和计量方法</w:t>
      </w:r>
    </w:p>
    <w:p>
      <w:pPr>
        <w:spacing w:after="0" w:line="240" w:lineRule="auto"/>
        <w:jc w:val="left"/>
        <w:sectPr>
          <w:footerReference w:type="default" r:id="rId16"/>
          <w:pgSz w:w="11910" w:h="16840"/>
          <w:pgMar w:footer="979" w:header="747" w:top="1060" w:bottom="1160" w:left="980" w:right="0"/>
          <w:pgNumType w:start="10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29" w:lineRule="auto"/>
        <w:ind w:right="1169" w:firstLine="399"/>
        <w:jc w:val="both"/>
      </w:pPr>
      <w:r>
        <w:rPr>
          <w:spacing w:val="-1"/>
        </w:rPr>
        <w:t>公司发生金融资产转移时，如已将金融资产所有权上几乎所有的风险和报酬转移给转入方，则终止确认该</w:t>
      </w:r>
      <w:r>
        <w:rPr>
          <w:w w:val="100"/>
        </w:rPr>
        <w:t> </w:t>
      </w:r>
      <w:r>
        <w:rPr/>
        <w:t>金融资产；如保留了金融资产所有权上几乎所有的风险和报酬的，则不终止确认该金融资产。</w:t>
      </w:r>
    </w:p>
    <w:p>
      <w:pPr>
        <w:pStyle w:val="BodyText"/>
        <w:spacing w:line="429" w:lineRule="auto" w:before="48"/>
        <w:ind w:right="1168" w:firstLine="399"/>
        <w:jc w:val="both"/>
      </w:pPr>
      <w:r>
        <w:rPr>
          <w:spacing w:val="-1"/>
        </w:rPr>
        <w:t>在判断金融资产转移是否满足上述金融资产终止确认条件时，采用实质重于形式的原则。公司将金融资产</w:t>
      </w:r>
      <w:r>
        <w:rPr>
          <w:w w:val="100"/>
        </w:rPr>
        <w:t> </w:t>
      </w:r>
      <w:r>
        <w:rPr>
          <w:spacing w:val="-1"/>
        </w:rPr>
        <w:t>转移区分为金融资产整体转移和部分转移。金融资产整体转移满足终止确认条件的，将下列两项金额的差额计</w:t>
      </w:r>
      <w:r>
        <w:rPr>
          <w:spacing w:val="-61"/>
        </w:rPr>
        <w:t> </w:t>
      </w:r>
      <w:r>
        <w:rPr>
          <w:spacing w:val="-61"/>
        </w:rPr>
      </w:r>
      <w:r>
        <w:rPr/>
        <w:t>入当期损益：</w:t>
      </w:r>
    </w:p>
    <w:p>
      <w:pPr>
        <w:pStyle w:val="BodyText"/>
        <w:spacing w:line="240" w:lineRule="auto" w:before="48"/>
        <w:ind w:left="553" w:right="0"/>
        <w:jc w:val="left"/>
      </w:pPr>
      <w:r>
        <w:rPr/>
        <w:t>①所转移金融资产的账面价值；</w:t>
      </w:r>
    </w:p>
    <w:p>
      <w:pPr>
        <w:spacing w:line="240" w:lineRule="auto" w:before="10"/>
        <w:rPr>
          <w:rFonts w:ascii="宋体" w:hAnsi="宋体" w:cs="宋体" w:eastAsia="宋体" w:hint="default"/>
          <w:sz w:val="15"/>
          <w:szCs w:val="15"/>
        </w:rPr>
      </w:pPr>
    </w:p>
    <w:p>
      <w:pPr>
        <w:pStyle w:val="BodyText"/>
        <w:spacing w:line="429" w:lineRule="auto"/>
        <w:ind w:right="1169" w:firstLine="399"/>
        <w:jc w:val="both"/>
      </w:pPr>
      <w:r>
        <w:rPr>
          <w:spacing w:val="-1"/>
        </w:rPr>
        <w:t>②因转移而收到的对价，与原直接计入所有者权益的公允价值变动累计额（涉及转移的金融资产为可供出</w:t>
      </w:r>
      <w:r>
        <w:rPr>
          <w:w w:val="100"/>
        </w:rPr>
        <w:t> </w:t>
      </w:r>
      <w:r>
        <w:rPr/>
        <w:t>售金融资产的情形）之和。</w:t>
      </w:r>
    </w:p>
    <w:p>
      <w:pPr>
        <w:pStyle w:val="BodyText"/>
        <w:spacing w:line="429" w:lineRule="auto" w:before="48"/>
        <w:ind w:right="1169" w:firstLine="399"/>
        <w:jc w:val="both"/>
      </w:pPr>
      <w:r>
        <w:rPr>
          <w:spacing w:val="-1"/>
        </w:rPr>
        <w:t>金融资产部分转移满足终止确认条件的，将所转移金融资产整体的账面价值，在终止确认部分和未终止确</w:t>
      </w:r>
      <w:r>
        <w:rPr>
          <w:w w:val="100"/>
        </w:rPr>
        <w:t> </w:t>
      </w:r>
      <w:r>
        <w:rPr/>
        <w:t>认部分之间，按照各自的相对公允价值进行分摊，并将下列两项金额的差额计入当期损益：</w:t>
      </w:r>
    </w:p>
    <w:p>
      <w:pPr>
        <w:pStyle w:val="BodyText"/>
        <w:spacing w:line="240" w:lineRule="auto" w:before="48"/>
        <w:ind w:left="553" w:right="0"/>
        <w:jc w:val="left"/>
      </w:pPr>
      <w:r>
        <w:rPr/>
        <w:t>①终止确认部分的账面价值；</w:t>
      </w:r>
    </w:p>
    <w:p>
      <w:pPr>
        <w:spacing w:line="240" w:lineRule="auto" w:before="10"/>
        <w:rPr>
          <w:rFonts w:ascii="宋体" w:hAnsi="宋体" w:cs="宋体" w:eastAsia="宋体" w:hint="default"/>
          <w:sz w:val="15"/>
          <w:szCs w:val="15"/>
        </w:rPr>
      </w:pPr>
    </w:p>
    <w:p>
      <w:pPr>
        <w:pStyle w:val="BodyText"/>
        <w:spacing w:line="429" w:lineRule="auto"/>
        <w:ind w:right="1169" w:firstLine="399"/>
        <w:jc w:val="both"/>
      </w:pPr>
      <w:r>
        <w:rPr>
          <w:spacing w:val="-1"/>
        </w:rPr>
        <w:t>②终止确认部分的对价，与原直接计入所有者权益的公允价值变动累计额中对应终止确认部分的金额（涉</w:t>
      </w:r>
      <w:r>
        <w:rPr>
          <w:w w:val="100"/>
        </w:rPr>
        <w:t> </w:t>
      </w:r>
      <w:r>
        <w:rPr/>
        <w:t>及转移的金融资产为可供出售金融资产的情形）之和。</w:t>
      </w:r>
    </w:p>
    <w:p>
      <w:pPr>
        <w:pStyle w:val="BodyText"/>
        <w:spacing w:line="240" w:lineRule="auto" w:before="48"/>
        <w:ind w:left="553" w:right="0"/>
        <w:jc w:val="left"/>
      </w:pPr>
      <w:r>
        <w:rPr/>
        <w:t>金融资产转移不满足终止确认条件的，继续确认该金融资产，所收到的对价确认为一项金融负债。</w:t>
      </w:r>
    </w:p>
    <w:p>
      <w:pPr>
        <w:spacing w:line="240" w:lineRule="auto" w:before="10"/>
        <w:rPr>
          <w:rFonts w:ascii="宋体" w:hAnsi="宋体" w:cs="宋体" w:eastAsia="宋体" w:hint="default"/>
          <w:sz w:val="15"/>
          <w:szCs w:val="15"/>
        </w:rPr>
      </w:pPr>
    </w:p>
    <w:p>
      <w:pPr>
        <w:pStyle w:val="BodyText"/>
        <w:spacing w:line="429" w:lineRule="auto"/>
        <w:ind w:left="553" w:right="0"/>
        <w:jc w:val="left"/>
      </w:pPr>
      <w:r>
        <w:rPr/>
        <w:t>（</w:t>
      </w:r>
      <w:r>
        <w:rPr>
          <w:rFonts w:ascii="宋体" w:hAnsi="宋体" w:cs="宋体" w:eastAsia="宋体" w:hint="default"/>
        </w:rPr>
        <w:t>4</w:t>
      </w:r>
      <w:r>
        <w:rPr/>
        <w:t>）金融负债终止确认条件</w:t>
      </w:r>
      <w:r>
        <w:rPr>
          <w:w w:val="100"/>
        </w:rPr>
        <w:t> </w:t>
      </w:r>
      <w:r>
        <w:rPr>
          <w:spacing w:val="-1"/>
        </w:rPr>
        <w:t>金融负债的现时义务全部或部分已经解除的，则终止确认该金融负债或其一部分；本公司若与债权人签定</w:t>
      </w:r>
    </w:p>
    <w:p>
      <w:pPr>
        <w:pStyle w:val="BodyText"/>
        <w:spacing w:line="429" w:lineRule="auto" w:before="48"/>
        <w:ind w:right="1169"/>
        <w:jc w:val="both"/>
      </w:pPr>
      <w:r>
        <w:rPr>
          <w:spacing w:val="-1"/>
        </w:rPr>
        <w:t>协议，以承担新金融负债方式替换现存金融负债，且新金融负债与现存金融负债的合同条款实质上不同的，则</w:t>
      </w:r>
      <w:r>
        <w:rPr>
          <w:spacing w:val="-63"/>
        </w:rPr>
        <w:t> </w:t>
      </w:r>
      <w:r>
        <w:rPr>
          <w:spacing w:val="-63"/>
        </w:rPr>
      </w:r>
      <w:r>
        <w:rPr/>
        <w:t>终止确认现存金融负债，并同时确认新金融负债。</w:t>
      </w:r>
    </w:p>
    <w:p>
      <w:pPr>
        <w:pStyle w:val="BodyText"/>
        <w:spacing w:line="429" w:lineRule="auto" w:before="48"/>
        <w:ind w:right="1169" w:firstLine="399"/>
        <w:jc w:val="both"/>
      </w:pPr>
      <w:r>
        <w:rPr>
          <w:spacing w:val="-1"/>
        </w:rPr>
        <w:t>对现存金融负债全部或部分合同条款作出实质性修改的，则终止确认现存金融负债或其一部分，同时将修</w:t>
      </w:r>
      <w:r>
        <w:rPr>
          <w:w w:val="100"/>
        </w:rPr>
        <w:t> </w:t>
      </w:r>
      <w:r>
        <w:rPr/>
        <w:t>改条款后的金融负债确认为一项新金融负债。</w:t>
      </w:r>
    </w:p>
    <w:p>
      <w:pPr>
        <w:pStyle w:val="BodyText"/>
        <w:spacing w:line="429" w:lineRule="auto" w:before="48"/>
        <w:ind w:right="1168" w:firstLine="399"/>
        <w:jc w:val="both"/>
      </w:pPr>
      <w:r>
        <w:rPr>
          <w:spacing w:val="-1"/>
        </w:rPr>
        <w:t>金融负债全部或部分终止确认时，终止确认的金融负债账面价值与支付对价（包括转出的非现金资产或承</w:t>
      </w:r>
      <w:r>
        <w:rPr>
          <w:w w:val="100"/>
        </w:rPr>
        <w:t> </w:t>
      </w:r>
      <w:r>
        <w:rPr/>
        <w:t>担的新金融负债）之间的差额，计入当期损益。</w:t>
      </w:r>
    </w:p>
    <w:p>
      <w:pPr>
        <w:pStyle w:val="BodyText"/>
        <w:spacing w:line="429" w:lineRule="auto" w:before="48"/>
        <w:ind w:right="1169" w:firstLine="399"/>
        <w:jc w:val="both"/>
      </w:pPr>
      <w:r>
        <w:rPr>
          <w:spacing w:val="-1"/>
        </w:rPr>
        <w:t>本公司若回购部分金融负债的，在回购日按照继续确认部分与终止确认部分的相对公允价值，将该金融负</w:t>
      </w:r>
      <w:r>
        <w:rPr>
          <w:w w:val="100"/>
        </w:rPr>
        <w:t> </w:t>
      </w:r>
      <w:r>
        <w:rPr>
          <w:spacing w:val="-1"/>
        </w:rPr>
        <w:t>债整体的账面价值进行分配。分配给终止确认部分的账面价值与支付的对价（包括转出的非现金资产或承担的</w:t>
      </w:r>
      <w:r>
        <w:rPr>
          <w:spacing w:val="-63"/>
        </w:rPr>
        <w:t> </w:t>
      </w:r>
      <w:r>
        <w:rPr>
          <w:spacing w:val="-63"/>
        </w:rPr>
      </w:r>
      <w:r>
        <w:rPr/>
        <w:t>新金融负债）之间的差额，计入当期损益。</w:t>
      </w:r>
    </w:p>
    <w:p>
      <w:pPr>
        <w:pStyle w:val="BodyText"/>
        <w:spacing w:line="429" w:lineRule="auto" w:before="48"/>
        <w:ind w:left="553" w:right="0"/>
        <w:jc w:val="left"/>
      </w:pPr>
      <w:r>
        <w:rPr/>
        <w:t>（</w:t>
      </w:r>
      <w:r>
        <w:rPr>
          <w:rFonts w:ascii="宋体" w:hAnsi="宋体" w:cs="宋体" w:eastAsia="宋体" w:hint="default"/>
        </w:rPr>
        <w:t>5</w:t>
      </w:r>
      <w:r>
        <w:rPr/>
        <w:t>）金融资产和金融负债的公允价值的确定方法</w:t>
      </w:r>
      <w:r>
        <w:rPr>
          <w:w w:val="100"/>
        </w:rPr>
        <w:t> </w:t>
      </w:r>
      <w:r>
        <w:rPr>
          <w:spacing w:val="-1"/>
        </w:rPr>
        <w:t>存在活跃市场的金融工具，以活跃市场中的报价确定其公允价值。不存在活跃市场的金融工具，采用估值</w:t>
      </w:r>
    </w:p>
    <w:p>
      <w:pPr>
        <w:pStyle w:val="BodyText"/>
        <w:spacing w:line="429" w:lineRule="auto" w:before="48"/>
        <w:ind w:right="1168"/>
        <w:jc w:val="both"/>
      </w:pPr>
      <w:r>
        <w:rPr>
          <w:spacing w:val="-1"/>
        </w:rPr>
        <w:t>技术确定其公允价值。在估值时，本公司采用在当前情况下适用并且有足够可利用数据和其他信息支持的估值</w:t>
      </w:r>
      <w:r>
        <w:rPr>
          <w:spacing w:val="-63"/>
        </w:rPr>
        <w:t> </w:t>
      </w:r>
      <w:r>
        <w:rPr>
          <w:spacing w:val="-63"/>
        </w:rPr>
      </w:r>
      <w:r>
        <w:rPr>
          <w:spacing w:val="-1"/>
        </w:rPr>
        <w:t>技术，选择与市场参与者在相关资产或负债的交易中所考虑的资产或负债特征相一致的输入值，并优先使用相</w:t>
      </w:r>
      <w:r>
        <w:rPr>
          <w:spacing w:val="-63"/>
        </w:rPr>
        <w:t> </w:t>
      </w:r>
      <w:r>
        <w:rPr>
          <w:spacing w:val="-63"/>
        </w:rPr>
      </w:r>
      <w:r>
        <w:rPr/>
        <w:t>关可观察输入值。只有在相关可观察输入值无法取得或取得不切实可行的情况下，才使用不可观察输入值。</w:t>
      </w:r>
    </w:p>
    <w:p>
      <w:pPr>
        <w:spacing w:after="0" w:line="429"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29" w:lineRule="auto"/>
        <w:ind w:left="553" w:right="0"/>
        <w:jc w:val="left"/>
      </w:pPr>
      <w:r>
        <w:rPr>
          <w:rFonts w:ascii="宋体" w:hAnsi="宋体" w:cs="宋体" w:eastAsia="宋体" w:hint="default"/>
        </w:rPr>
        <w:t>(6)</w:t>
      </w:r>
      <w:r>
        <w:rPr/>
        <w:t>金融资产（不含应收款项）减值的测试方法及会计处理方法</w:t>
      </w:r>
      <w:r>
        <w:rPr>
          <w:w w:val="100"/>
        </w:rPr>
        <w:t> </w:t>
      </w:r>
      <w:r>
        <w:rPr>
          <w:spacing w:val="-1"/>
        </w:rPr>
        <w:t>除以公允价值计量且其变动计入当期损益的金融资产外，本公司于资产负债表日对金融资产的账面价值进</w:t>
      </w:r>
    </w:p>
    <w:p>
      <w:pPr>
        <w:pStyle w:val="BodyText"/>
        <w:spacing w:line="240" w:lineRule="auto" w:before="48"/>
        <w:ind w:right="0"/>
        <w:jc w:val="left"/>
      </w:pPr>
      <w:r>
        <w:rPr/>
        <w:t>行检查，如果有客观证据表明某项金融资产发生减值的，计提减值准备。</w:t>
      </w:r>
    </w:p>
    <w:p>
      <w:pPr>
        <w:spacing w:line="240" w:lineRule="auto" w:before="10"/>
        <w:rPr>
          <w:rFonts w:ascii="宋体" w:hAnsi="宋体" w:cs="宋体" w:eastAsia="宋体" w:hint="default"/>
          <w:sz w:val="15"/>
          <w:szCs w:val="15"/>
        </w:rPr>
      </w:pPr>
    </w:p>
    <w:p>
      <w:pPr>
        <w:pStyle w:val="BodyText"/>
        <w:spacing w:line="429" w:lineRule="auto"/>
        <w:ind w:left="553" w:right="0"/>
        <w:jc w:val="left"/>
      </w:pPr>
      <w:r>
        <w:rPr/>
        <w:t>①可供出售金融资产的减值准备：</w:t>
      </w:r>
      <w:r>
        <w:rPr>
          <w:w w:val="100"/>
        </w:rPr>
        <w:t> </w:t>
      </w:r>
      <w:r>
        <w:rPr>
          <w:spacing w:val="-1"/>
        </w:rPr>
        <w:t>期末如果可供出售金融资产的公允价值发生严重下降，或在综合考虑各种相关因素后，预期这种下降趋势</w:t>
      </w:r>
    </w:p>
    <w:p>
      <w:pPr>
        <w:pStyle w:val="BodyText"/>
        <w:spacing w:line="429" w:lineRule="auto" w:before="48"/>
        <w:ind w:right="0"/>
        <w:jc w:val="left"/>
      </w:pPr>
      <w:r>
        <w:rPr>
          <w:spacing w:val="-1"/>
        </w:rPr>
        <w:t>属于非暂时性的，就认定其已发生减值，将原直接计入所有者权益的公允价值下降形成的累计损失一并转出，</w:t>
      </w:r>
      <w:r>
        <w:rPr>
          <w:spacing w:val="-63"/>
        </w:rPr>
        <w:t> </w:t>
      </w:r>
      <w:r>
        <w:rPr>
          <w:spacing w:val="-63"/>
        </w:rPr>
      </w:r>
      <w:r>
        <w:rPr/>
        <w:t>确认减值损失。</w:t>
      </w:r>
    </w:p>
    <w:p>
      <w:pPr>
        <w:pStyle w:val="BodyText"/>
        <w:spacing w:line="429" w:lineRule="auto" w:before="48"/>
        <w:ind w:right="0" w:firstLine="399"/>
        <w:jc w:val="left"/>
      </w:pPr>
      <w:r>
        <w:rPr>
          <w:spacing w:val="-1"/>
        </w:rPr>
        <w:t>对于已确认减值损失的可供出售债务工具，在随后的会计期间公允价值已上升且客观上与确认原减值损失</w:t>
      </w:r>
      <w:r>
        <w:rPr>
          <w:w w:val="100"/>
        </w:rPr>
        <w:t> </w:t>
      </w:r>
      <w:r>
        <w:rPr/>
        <w:t>确认后发生的事项有关的，原确认的减值损失予以转回，计入当期损益。</w:t>
      </w:r>
    </w:p>
    <w:p>
      <w:pPr>
        <w:pStyle w:val="BodyText"/>
        <w:spacing w:line="240" w:lineRule="auto" w:before="48"/>
        <w:ind w:left="553" w:right="0"/>
        <w:jc w:val="left"/>
      </w:pPr>
      <w:r>
        <w:rPr/>
        <w:t>可供出售权益工具投资发生的减值损失，不通过损益转回。</w:t>
      </w:r>
    </w:p>
    <w:p>
      <w:pPr>
        <w:spacing w:line="240" w:lineRule="auto" w:before="10"/>
        <w:rPr>
          <w:rFonts w:ascii="宋体" w:hAnsi="宋体" w:cs="宋体" w:eastAsia="宋体" w:hint="default"/>
          <w:sz w:val="15"/>
          <w:szCs w:val="15"/>
        </w:rPr>
      </w:pPr>
    </w:p>
    <w:p>
      <w:pPr>
        <w:pStyle w:val="BodyText"/>
        <w:spacing w:line="429" w:lineRule="auto"/>
        <w:ind w:left="553" w:right="3147"/>
        <w:jc w:val="left"/>
      </w:pPr>
      <w:r>
        <w:rPr/>
        <w:t>②持有至到期投资的减值准备：</w:t>
      </w:r>
      <w:r>
        <w:rPr>
          <w:w w:val="100"/>
        </w:rPr>
        <w:t> </w:t>
      </w:r>
      <w:r>
        <w:rPr>
          <w:spacing w:val="-1"/>
        </w:rPr>
        <w:t>持有至到期投资减值损失的计量比照应收款项减值损失计量方法处理。</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11、应收票据及应收账款" w:id="181"/>
      <w:bookmarkEnd w:id="181"/>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82"/>
      <w:bookmarkEnd w:id="182"/>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9"/>
          <w:szCs w:val="29"/>
        </w:rPr>
      </w:pPr>
    </w:p>
    <w:p>
      <w:pPr>
        <w:spacing w:before="44"/>
        <w:ind w:left="0" w:right="1139" w:firstLine="0"/>
        <w:jc w:val="right"/>
        <w:rPr>
          <w:rFonts w:ascii="宋体" w:hAnsi="宋体" w:cs="宋体" w:eastAsia="宋体" w:hint="default"/>
          <w:sz w:val="18"/>
          <w:szCs w:val="18"/>
        </w:rPr>
      </w:pPr>
      <w:r>
        <w:rPr/>
        <w:pict>
          <v:shape style="position:absolute;margin-left:56.459999pt;margin-top:-67.808273pt;width:479.2pt;height:87.5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应收账款余额前五名的款项。</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期末对于单项金额重大的应收款项单独进行减值测试。如有 客观证据表明其已发生了减值，按预计未来现金流量现值低 于其账面价值的差额计提坏账准备，计入当期损益。单独测 </w:t>
                        </w:r>
                        <w:r>
                          <w:rPr>
                            <w:rFonts w:ascii="宋体" w:hAnsi="宋体" w:cs="宋体" w:eastAsia="宋体" w:hint="default"/>
                            <w:spacing w:val="-2"/>
                            <w:sz w:val="18"/>
                            <w:szCs w:val="18"/>
                          </w:rPr>
                          <w:t>试未发生减值的应收款项，将其归入相应组合计提坏账准备</w:t>
                        </w:r>
                      </w:p>
                    </w:tc>
                  </w:tr>
                </w:tbl>
                <w:p>
                  <w:pPr/>
                </w:p>
              </w:txbxContent>
            </v:textbox>
            <w10:wrap type="none"/>
          </v:shape>
        </w:pict>
      </w:r>
      <w:r>
        <w:rPr>
          <w:rFonts w:ascii="宋体" w:hAnsi="宋体" w:cs="宋体" w:eastAsia="宋体" w:hint="default"/>
          <w:sz w:val="18"/>
          <w:szCs w:val="18"/>
        </w:rPr>
        <w:t>。</w:t>
      </w:r>
    </w:p>
    <w:p>
      <w:pPr>
        <w:spacing w:line="240" w:lineRule="auto" w:before="12"/>
        <w:rPr>
          <w:rFonts w:ascii="宋体" w:hAnsi="宋体" w:cs="宋体" w:eastAsia="宋体" w:hint="default"/>
          <w:sz w:val="27"/>
          <w:szCs w:val="27"/>
        </w:rPr>
      </w:pPr>
    </w:p>
    <w:p>
      <w:pPr>
        <w:pStyle w:val="Heading3"/>
        <w:spacing w:line="240" w:lineRule="auto" w:before="35"/>
        <w:ind w:right="0"/>
        <w:jc w:val="left"/>
        <w:rPr>
          <w:b w:val="0"/>
          <w:bCs w:val="0"/>
        </w:rPr>
      </w:pPr>
      <w:bookmarkStart w:name="（2）按信用风险特征组合计提坏账准备的应收款项" w:id="183"/>
      <w:bookmarkEnd w:id="183"/>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组合 </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：除组合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以外的单项金额非重大的且不单独计提坏 账</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715"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0"/>
              <w:jc w:val="left"/>
              <w:rPr>
                <w:rFonts w:ascii="宋体" w:hAnsi="宋体" w:cs="宋体" w:eastAsia="宋体" w:hint="default"/>
                <w:sz w:val="18"/>
                <w:szCs w:val="18"/>
              </w:rPr>
            </w:pPr>
            <w:r>
              <w:rPr>
                <w:rFonts w:ascii="宋体" w:hAnsi="宋体" w:cs="宋体" w:eastAsia="宋体" w:hint="default"/>
                <w:sz w:val="18"/>
                <w:szCs w:val="18"/>
              </w:rPr>
              <w:t>组合 </w:t>
            </w:r>
            <w:r>
              <w:rPr>
                <w:rFonts w:ascii="Times New Roman" w:hAnsi="Times New Roman" w:cs="Times New Roman" w:eastAsia="Times New Roman" w:hint="default"/>
                <w:sz w:val="18"/>
                <w:szCs w:val="18"/>
              </w:rPr>
              <w:t>2</w:t>
            </w:r>
            <w:r>
              <w:rPr>
                <w:rFonts w:ascii="宋体" w:hAnsi="宋体" w:cs="宋体" w:eastAsia="宋体" w:hint="default"/>
                <w:sz w:val="18"/>
                <w:szCs w:val="18"/>
              </w:rPr>
              <w:t>：公司与下属子公司、下属子公司之间的应收款项及 按性质发生坏账的可能性非常小的应收款项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4" w:right="75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组合 </w:t>
            </w:r>
            <w:r>
              <w:rPr>
                <w:rFonts w:ascii="Times New Roman" w:hAnsi="Times New Roman" w:cs="Times New Roman" w:eastAsia="Times New Roman" w:hint="default"/>
                <w:sz w:val="18"/>
                <w:szCs w:val="18"/>
              </w:rPr>
              <w:t>2</w:t>
            </w:r>
            <w:r>
              <w:rPr>
                <w:rFonts w:ascii="宋体" w:hAnsi="宋体" w:cs="宋体" w:eastAsia="宋体" w:hint="default"/>
                <w:sz w:val="18"/>
                <w:szCs w:val="18"/>
              </w:rPr>
              <w:t>：公司与下属子公司、下属子公 司之间的应收款项及按性质发生坏账的 可能性非常小的应收款项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单项金额不重大但单独计提坏账准备的应收款项" w:id="184"/>
      <w:bookmarkEnd w:id="184"/>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9"/>
              <w:jc w:val="left"/>
              <w:rPr>
                <w:rFonts w:ascii="宋体" w:hAnsi="宋体" w:cs="宋体" w:eastAsia="宋体" w:hint="default"/>
                <w:sz w:val="18"/>
                <w:szCs w:val="18"/>
              </w:rPr>
            </w:pPr>
            <w:r>
              <w:rPr>
                <w:rFonts w:ascii="宋体" w:hAnsi="宋体" w:cs="宋体" w:eastAsia="宋体" w:hint="default"/>
                <w:sz w:val="18"/>
                <w:szCs w:val="18"/>
              </w:rPr>
              <w:t>单项金额不重大且按照组合计提坏账准备不能反映其风险特 征的应收款项。</w:t>
            </w:r>
          </w:p>
        </w:tc>
      </w:tr>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9"/>
              <w:jc w:val="left"/>
              <w:rPr>
                <w:rFonts w:ascii="宋体" w:hAnsi="宋体" w:cs="宋体" w:eastAsia="宋体" w:hint="default"/>
                <w:sz w:val="18"/>
                <w:szCs w:val="18"/>
              </w:rPr>
            </w:pPr>
            <w:r>
              <w:rPr>
                <w:rFonts w:ascii="宋体" w:hAnsi="宋体" w:cs="宋体" w:eastAsia="宋体" w:hint="default"/>
                <w:sz w:val="18"/>
                <w:szCs w:val="18"/>
              </w:rPr>
              <w:t>如有客观证据表明其已发生了减值，按预计未来现金流量现 值低于其账面价值的差额计提坏账准备，计入当期损益。</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12、存货" w:id="185"/>
      <w:bookmarkEnd w:id="185"/>
      <w:r>
        <w:rPr>
          <w:b w:val="0"/>
          <w:bCs w:val="0"/>
        </w:rPr>
      </w:r>
      <w:r>
        <w:rPr>
          <w:rFonts w:ascii="Times New Roman" w:hAnsi="Times New Roman" w:cs="Times New Roman" w:eastAsia="Times New Roman" w:hint="default"/>
        </w:rPr>
        <w:t>12</w:t>
      </w:r>
      <w:r>
        <w:rPr/>
        <w:t>、存货</w:t>
      </w:r>
      <w:r>
        <w:rPr>
          <w:b w:val="0"/>
          <w:bCs w:val="0"/>
        </w:rPr>
      </w:r>
    </w:p>
    <w:p>
      <w:pPr>
        <w:spacing w:line="240" w:lineRule="auto" w:before="5"/>
        <w:rPr>
          <w:rFonts w:ascii="宋体" w:hAnsi="宋体" w:cs="宋体" w:eastAsia="宋体" w:hint="default"/>
          <w:b/>
          <w:bCs/>
          <w:sz w:val="25"/>
          <w:szCs w:val="25"/>
        </w:rPr>
      </w:pPr>
    </w:p>
    <w:p>
      <w:pPr>
        <w:pStyle w:val="BodyText"/>
        <w:spacing w:line="321" w:lineRule="auto"/>
        <w:ind w:right="7209"/>
        <w:jc w:val="left"/>
      </w:pPr>
      <w:r>
        <w:rPr>
          <w:spacing w:val="-1"/>
        </w:rPr>
        <w:t>公司是否需要遵守特殊行业的披露要求</w:t>
      </w:r>
      <w:r>
        <w:rPr>
          <w:spacing w:val="-87"/>
        </w:rPr>
        <w:t> </w:t>
      </w:r>
      <w:r>
        <w:rPr>
          <w:spacing w:val="-87"/>
        </w:rPr>
      </w:r>
      <w:r>
        <w:rPr/>
        <w:t>是</w:t>
      </w:r>
    </w:p>
    <w:p>
      <w:pPr>
        <w:pStyle w:val="BodyText"/>
        <w:spacing w:line="393" w:lineRule="auto" w:before="22"/>
        <w:ind w:left="553" w:right="8753" w:hanging="400"/>
        <w:jc w:val="left"/>
      </w:pPr>
      <w:r>
        <w:rPr/>
        <w:t>软件与信息技术服务业</w:t>
      </w:r>
      <w:r>
        <w:rPr>
          <w:w w:val="100"/>
        </w:rPr>
        <w:t> </w:t>
      </w:r>
      <w:r>
        <w:rPr>
          <w:rFonts w:ascii="宋体" w:hAnsi="宋体" w:cs="宋体" w:eastAsia="宋体" w:hint="default"/>
        </w:rPr>
        <w:t>(1)</w:t>
      </w:r>
      <w:r>
        <w:rPr/>
        <w:t>存货的分类</w:t>
      </w:r>
    </w:p>
    <w:p>
      <w:pPr>
        <w:pStyle w:val="BodyText"/>
        <w:spacing w:line="429" w:lineRule="auto" w:before="78"/>
        <w:ind w:left="553" w:right="3147"/>
        <w:jc w:val="left"/>
      </w:pPr>
      <w:r>
        <w:rPr>
          <w:spacing w:val="-1"/>
        </w:rPr>
        <w:t>存货分类为：原材料、库存商品、发出商品、周转材料、委托加工物资等。</w:t>
      </w:r>
      <w:r>
        <w:rPr>
          <w:spacing w:val="-74"/>
        </w:rPr>
        <w:t> </w:t>
      </w:r>
      <w:r>
        <w:rPr>
          <w:spacing w:val="-74"/>
        </w:rPr>
      </w:r>
      <w:r>
        <w:rPr>
          <w:rFonts w:ascii="宋体" w:hAnsi="宋体" w:cs="宋体" w:eastAsia="宋体" w:hint="default"/>
        </w:rPr>
        <w:t>(2)</w:t>
      </w:r>
      <w:r>
        <w:rPr/>
        <w:t>发出存货的计价方法</w:t>
      </w:r>
    </w:p>
    <w:p>
      <w:pPr>
        <w:pStyle w:val="BodyText"/>
        <w:spacing w:line="429" w:lineRule="auto" w:before="48"/>
        <w:ind w:left="553" w:right="4938"/>
        <w:jc w:val="left"/>
      </w:pPr>
      <w:r>
        <w:rPr/>
        <w:t>存货发出时采用个别计价法计价。</w:t>
      </w:r>
      <w:r>
        <w:rPr>
          <w:w w:val="100"/>
        </w:rPr>
        <w:t> </w:t>
      </w:r>
      <w:r>
        <w:rPr>
          <w:rFonts w:ascii="宋体" w:hAnsi="宋体" w:cs="宋体" w:eastAsia="宋体" w:hint="default"/>
          <w:spacing w:val="-1"/>
        </w:rPr>
        <w:t>(3)</w:t>
      </w:r>
      <w:r>
        <w:rPr>
          <w:spacing w:val="-1"/>
        </w:rPr>
        <w:t>不同类别存货可变现净值的确定依据</w:t>
      </w:r>
    </w:p>
    <w:p>
      <w:pPr>
        <w:pStyle w:val="BodyText"/>
        <w:spacing w:line="429" w:lineRule="auto" w:before="48"/>
        <w:ind w:right="1168" w:firstLine="399"/>
        <w:jc w:val="right"/>
      </w:pPr>
      <w:r>
        <w:rPr>
          <w:spacing w:val="-1"/>
        </w:rPr>
        <w:t>产成品、库存商品和用于出售的材料等直接用于出售的商品存货，在正常生产经营过程中，以该存货的估</w:t>
      </w:r>
      <w:r>
        <w:rPr>
          <w:w w:val="100"/>
        </w:rPr>
        <w:t> </w:t>
      </w:r>
      <w:r>
        <w:rPr>
          <w:spacing w:val="-1"/>
        </w:rPr>
        <w:t>计售价减去估计的销售费用和相关税费后的金额，确定其可变现净值；需要经过加工的材料存货，在正常生产</w:t>
      </w:r>
      <w:r>
        <w:rPr>
          <w:spacing w:val="-82"/>
        </w:rPr>
        <w:t> </w:t>
      </w:r>
      <w:r>
        <w:rPr>
          <w:spacing w:val="-82"/>
        </w:rPr>
      </w:r>
      <w:r>
        <w:rPr>
          <w:spacing w:val="-1"/>
        </w:rPr>
        <w:t>经营过程中，以所生产的产成品的估计售价减去至完工时估计将要发生的成本、估计的销售费用和相关税费后</w:t>
      </w:r>
      <w:r>
        <w:rPr>
          <w:spacing w:val="-82"/>
        </w:rPr>
        <w:t> </w:t>
      </w:r>
      <w:r>
        <w:rPr>
          <w:spacing w:val="-82"/>
        </w:rPr>
      </w:r>
      <w:r>
        <w:rPr>
          <w:spacing w:val="-1"/>
        </w:rPr>
        <w:t>的金额，确定其可变现净值；为执行销售合同或者劳务合同而持有的存货，其可变现净值以合同价格为基础计</w:t>
      </w:r>
      <w:r>
        <w:rPr>
          <w:spacing w:val="-82"/>
        </w:rPr>
        <w:t> </w:t>
      </w:r>
      <w:r>
        <w:rPr>
          <w:spacing w:val="-82"/>
        </w:rPr>
      </w:r>
      <w:r>
        <w:rPr>
          <w:spacing w:val="-1"/>
        </w:rPr>
        <w:t>算，若持有存货的数量多于销售合同订购数量的，超出部分的存货的可变现净值以一般销售价格为基础计算。</w:t>
      </w:r>
      <w:r>
        <w:rPr>
          <w:spacing w:val="-82"/>
        </w:rPr>
        <w:t> </w:t>
      </w:r>
      <w:r>
        <w:rPr>
          <w:spacing w:val="-82"/>
        </w:rPr>
      </w:r>
      <w:r>
        <w:rPr>
          <w:spacing w:val="-1"/>
        </w:rPr>
        <w:t>期末按照单个存货项目计提存货跌价准备；但对于数量繁多、单价较低的存货，按照存货类别计提存货跌</w:t>
      </w:r>
    </w:p>
    <w:p>
      <w:pPr>
        <w:spacing w:after="0" w:line="429"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29" w:lineRule="auto"/>
        <w:ind w:right="1169"/>
        <w:jc w:val="both"/>
      </w:pPr>
      <w:r>
        <w:rPr>
          <w:spacing w:val="-1"/>
        </w:rPr>
        <w:t>价准备；与在同一地区生产和销售的产品系列相关、具有相同或类似最终用途或目的，且难以与其他项目分开</w:t>
      </w:r>
      <w:r>
        <w:rPr>
          <w:spacing w:val="-63"/>
        </w:rPr>
        <w:t> </w:t>
      </w:r>
      <w:r>
        <w:rPr>
          <w:spacing w:val="-63"/>
        </w:rPr>
      </w:r>
      <w:r>
        <w:rPr/>
        <w:t>计量的存货，则合并计提存货跌价准备。</w:t>
      </w:r>
    </w:p>
    <w:p>
      <w:pPr>
        <w:pStyle w:val="BodyText"/>
        <w:spacing w:line="429" w:lineRule="auto" w:before="48"/>
        <w:ind w:right="1118" w:firstLine="399"/>
        <w:jc w:val="left"/>
      </w:pPr>
      <w:r>
        <w:rPr>
          <w:spacing w:val="-1"/>
        </w:rPr>
        <w:t>除有明确证据表明资产负债表日市场价格异常外，存货项目的可变现净值以资产负债表日市场价格为基础</w:t>
      </w:r>
      <w:r>
        <w:rPr>
          <w:w w:val="100"/>
        </w:rPr>
        <w:t> </w:t>
      </w:r>
      <w:r>
        <w:rPr/>
        <w:t>确定。</w:t>
      </w:r>
    </w:p>
    <w:p>
      <w:pPr>
        <w:pStyle w:val="BodyText"/>
        <w:spacing w:line="429" w:lineRule="auto" w:before="48"/>
        <w:ind w:left="553" w:right="3147"/>
        <w:jc w:val="left"/>
      </w:pPr>
      <w:r>
        <w:rPr>
          <w:spacing w:val="-1"/>
        </w:rPr>
        <w:t>本期期末存货项目的可变现净值以资产负债表日市场价格为基础确定。</w:t>
      </w:r>
      <w:r>
        <w:rPr>
          <w:spacing w:val="-77"/>
        </w:rPr>
        <w:t> </w:t>
      </w:r>
      <w:r>
        <w:rPr>
          <w:spacing w:val="-77"/>
        </w:rPr>
      </w:r>
      <w:r>
        <w:rPr>
          <w:rFonts w:ascii="宋体" w:hAnsi="宋体" w:cs="宋体" w:eastAsia="宋体" w:hint="default"/>
        </w:rPr>
        <w:t>(4)</w:t>
      </w:r>
      <w:r>
        <w:rPr/>
        <w:t>存货的盘存制度</w:t>
      </w:r>
    </w:p>
    <w:p>
      <w:pPr>
        <w:pStyle w:val="BodyText"/>
        <w:spacing w:line="429" w:lineRule="auto" w:before="48"/>
        <w:ind w:left="553" w:right="7209"/>
        <w:jc w:val="left"/>
      </w:pPr>
      <w:r>
        <w:rPr/>
        <w:t>采用永续盘存制。</w:t>
      </w:r>
      <w:r>
        <w:rPr>
          <w:w w:val="100"/>
        </w:rPr>
        <w:t> </w:t>
      </w:r>
      <w:r>
        <w:rPr>
          <w:rFonts w:ascii="宋体" w:hAnsi="宋体" w:cs="宋体" w:eastAsia="宋体" w:hint="default"/>
          <w:spacing w:val="-1"/>
        </w:rPr>
        <w:t>(5)</w:t>
      </w:r>
      <w:r>
        <w:rPr>
          <w:spacing w:val="-1"/>
        </w:rPr>
        <w:t>低值易耗品和包装物的摊销方法</w:t>
      </w:r>
    </w:p>
    <w:p>
      <w:pPr>
        <w:pStyle w:val="BodyText"/>
        <w:spacing w:line="240" w:lineRule="auto" w:before="48"/>
        <w:ind w:left="553" w:right="0"/>
        <w:jc w:val="left"/>
      </w:pPr>
      <w:r>
        <w:rPr/>
        <w:t>①低值易耗品采用一次转销法；</w:t>
      </w:r>
    </w:p>
    <w:p>
      <w:pPr>
        <w:spacing w:line="240" w:lineRule="auto" w:before="10"/>
        <w:rPr>
          <w:rFonts w:ascii="宋体" w:hAnsi="宋体" w:cs="宋体" w:eastAsia="宋体" w:hint="default"/>
          <w:sz w:val="15"/>
          <w:szCs w:val="15"/>
        </w:rPr>
      </w:pPr>
    </w:p>
    <w:p>
      <w:pPr>
        <w:pStyle w:val="BodyText"/>
        <w:spacing w:line="240" w:lineRule="auto"/>
        <w:ind w:left="553" w:right="0"/>
        <w:jc w:val="left"/>
      </w:pPr>
      <w:r>
        <w:rPr/>
        <w:t>②包装物采用一次转销法。</w:t>
      </w:r>
    </w:p>
    <w:p>
      <w:pPr>
        <w:spacing w:line="240" w:lineRule="auto" w:before="0"/>
        <w:rPr>
          <w:rFonts w:ascii="宋体" w:hAnsi="宋体" w:cs="宋体" w:eastAsia="宋体" w:hint="default"/>
          <w:sz w:val="20"/>
          <w:szCs w:val="20"/>
        </w:rPr>
      </w:pPr>
    </w:p>
    <w:p>
      <w:pPr>
        <w:pStyle w:val="Heading3"/>
        <w:spacing w:line="240" w:lineRule="auto" w:before="158"/>
        <w:ind w:right="0"/>
        <w:jc w:val="both"/>
        <w:rPr>
          <w:b w:val="0"/>
          <w:bCs w:val="0"/>
        </w:rPr>
      </w:pPr>
      <w:bookmarkStart w:name="13、持有待售资产" w:id="186"/>
      <w:bookmarkEnd w:id="186"/>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3"/>
        <w:rPr>
          <w:rFonts w:ascii="宋体" w:hAnsi="宋体" w:cs="宋体" w:eastAsia="宋体" w:hint="default"/>
          <w:b/>
          <w:bCs/>
          <w:sz w:val="31"/>
          <w:szCs w:val="31"/>
        </w:rPr>
      </w:pPr>
    </w:p>
    <w:p>
      <w:pPr>
        <w:pStyle w:val="BodyText"/>
        <w:spacing w:line="240" w:lineRule="auto"/>
        <w:ind w:left="553" w:right="0"/>
        <w:jc w:val="left"/>
      </w:pPr>
      <w:r>
        <w:rPr/>
        <w:t>本公司将同时满足下列条件的非流动资产或处置组划分为持有待售类别：</w:t>
      </w:r>
    </w:p>
    <w:p>
      <w:pPr>
        <w:spacing w:line="240" w:lineRule="auto" w:before="10"/>
        <w:rPr>
          <w:rFonts w:ascii="宋体" w:hAnsi="宋体" w:cs="宋体" w:eastAsia="宋体" w:hint="default"/>
          <w:sz w:val="15"/>
          <w:szCs w:val="15"/>
        </w:rPr>
      </w:pPr>
    </w:p>
    <w:p>
      <w:pPr>
        <w:pStyle w:val="BodyText"/>
        <w:spacing w:line="240" w:lineRule="auto"/>
        <w:ind w:left="553" w:right="0"/>
        <w:jc w:val="left"/>
      </w:pPr>
      <w:r>
        <w:rPr/>
        <w:t>（</w:t>
      </w:r>
      <w:r>
        <w:rPr>
          <w:rFonts w:ascii="宋体" w:hAnsi="宋体" w:cs="宋体" w:eastAsia="宋体" w:hint="default"/>
        </w:rPr>
        <w:t>1</w:t>
      </w:r>
      <w:r>
        <w:rPr/>
        <w:t>）根据类似交易中出售此类资产或处置组的惯例，在当前状况下即可立即出售；</w:t>
      </w:r>
    </w:p>
    <w:p>
      <w:pPr>
        <w:spacing w:line="240" w:lineRule="auto" w:before="10"/>
        <w:rPr>
          <w:rFonts w:ascii="宋体" w:hAnsi="宋体" w:cs="宋体" w:eastAsia="宋体" w:hint="default"/>
          <w:sz w:val="15"/>
          <w:szCs w:val="15"/>
        </w:rPr>
      </w:pPr>
    </w:p>
    <w:p>
      <w:pPr>
        <w:pStyle w:val="BodyText"/>
        <w:spacing w:line="429" w:lineRule="auto"/>
        <w:ind w:right="0" w:firstLine="399"/>
        <w:jc w:val="left"/>
      </w:pPr>
      <w:r>
        <w:rPr>
          <w:spacing w:val="-2"/>
        </w:rPr>
        <w:t>（</w:t>
      </w:r>
      <w:r>
        <w:rPr>
          <w:rFonts w:ascii="宋体" w:hAnsi="宋体" w:cs="宋体" w:eastAsia="宋体" w:hint="default"/>
          <w:spacing w:val="-2"/>
        </w:rPr>
        <w:t>2</w:t>
      </w:r>
      <w:r>
        <w:rPr>
          <w:spacing w:val="-2"/>
        </w:rPr>
        <w:t>）出售极可能发生，即本公司已经就一项出售计划作出决议且获得确定的购买承诺，预计出售将在一年</w:t>
      </w:r>
      <w:r>
        <w:rPr>
          <w:w w:val="100"/>
        </w:rPr>
        <w:t> </w:t>
      </w:r>
      <w:r>
        <w:rPr/>
        <w:t>内完成。有关规定要求本公司相关权力机构或者监管部门批准后方可出售的，已经获得批准。</w:t>
      </w:r>
    </w:p>
    <w:p>
      <w:pPr>
        <w:spacing w:line="240" w:lineRule="auto" w:before="0"/>
        <w:rPr>
          <w:rFonts w:ascii="宋体" w:hAnsi="宋体" w:cs="宋体" w:eastAsia="宋体" w:hint="default"/>
          <w:sz w:val="20"/>
          <w:szCs w:val="20"/>
        </w:rPr>
      </w:pPr>
    </w:p>
    <w:p>
      <w:pPr>
        <w:pStyle w:val="Heading3"/>
        <w:spacing w:line="240" w:lineRule="auto"/>
        <w:ind w:right="0"/>
        <w:jc w:val="both"/>
        <w:rPr>
          <w:b w:val="0"/>
          <w:bCs w:val="0"/>
        </w:rPr>
      </w:pPr>
      <w:bookmarkStart w:name="14、长期股权投资" w:id="187"/>
      <w:bookmarkEnd w:id="187"/>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3"/>
        <w:rPr>
          <w:rFonts w:ascii="宋体" w:hAnsi="宋体" w:cs="宋体" w:eastAsia="宋体" w:hint="default"/>
          <w:b/>
          <w:bCs/>
          <w:sz w:val="31"/>
          <w:szCs w:val="31"/>
        </w:rPr>
      </w:pPr>
    </w:p>
    <w:p>
      <w:pPr>
        <w:pStyle w:val="BodyText"/>
        <w:spacing w:line="429" w:lineRule="auto"/>
        <w:ind w:left="553" w:right="0"/>
        <w:jc w:val="left"/>
      </w:pPr>
      <w:r>
        <w:rPr>
          <w:rFonts w:ascii="宋体" w:hAnsi="宋体" w:cs="宋体" w:eastAsia="宋体" w:hint="default"/>
        </w:rPr>
        <w:t>(1)</w:t>
      </w:r>
      <w:r>
        <w:rPr/>
        <w:t>共同控制、重大影响的判断标准</w:t>
      </w:r>
      <w:r>
        <w:rPr>
          <w:w w:val="100"/>
        </w:rPr>
        <w:t> </w:t>
      </w:r>
      <w:r>
        <w:rPr>
          <w:spacing w:val="-1"/>
        </w:rPr>
        <w:t>共同控制，是指按照相关约定对某项安排所共有的控制，并且该安排的相关活动必须经过分享控制权的参</w:t>
      </w:r>
    </w:p>
    <w:p>
      <w:pPr>
        <w:pStyle w:val="BodyText"/>
        <w:spacing w:line="429" w:lineRule="auto" w:before="48"/>
        <w:ind w:right="1169"/>
        <w:jc w:val="both"/>
      </w:pPr>
      <w:r>
        <w:rPr>
          <w:spacing w:val="-1"/>
        </w:rPr>
        <w:t>与方一致同意后才能决策。本公司与其他合营方一同对被投资单位实施共同控制且对被投资单位净资产享有权</w:t>
      </w:r>
      <w:r>
        <w:rPr>
          <w:spacing w:val="-63"/>
        </w:rPr>
        <w:t> </w:t>
      </w:r>
      <w:r>
        <w:rPr>
          <w:spacing w:val="-63"/>
        </w:rPr>
      </w:r>
      <w:r>
        <w:rPr/>
        <w:t>利的，被投资单位为本公司的合营企业。</w:t>
      </w:r>
    </w:p>
    <w:p>
      <w:pPr>
        <w:pStyle w:val="BodyText"/>
        <w:spacing w:line="429" w:lineRule="auto" w:before="48"/>
        <w:ind w:right="0" w:firstLine="399"/>
        <w:jc w:val="left"/>
      </w:pPr>
      <w:r>
        <w:rPr>
          <w:spacing w:val="-1"/>
        </w:rPr>
        <w:t>重大影响，是指对一个企业的财务和经营决策有参与决策的权力，但并不能够控制或者与其他方一起共同</w:t>
      </w:r>
      <w:r>
        <w:rPr>
          <w:w w:val="100"/>
        </w:rPr>
        <w:t> </w:t>
      </w:r>
      <w:r>
        <w:rPr/>
        <w:t>控制这些政策的制定。本公司能够对被投资单位施加重大影响的，被投资单位为本公司联营企业。</w:t>
      </w:r>
    </w:p>
    <w:p>
      <w:pPr>
        <w:pStyle w:val="BodyText"/>
        <w:spacing w:line="240" w:lineRule="auto" w:before="48"/>
        <w:ind w:left="553" w:right="0"/>
        <w:jc w:val="left"/>
      </w:pPr>
      <w:r>
        <w:rPr>
          <w:rFonts w:ascii="宋体" w:hAnsi="宋体" w:cs="宋体" w:eastAsia="宋体" w:hint="default"/>
        </w:rPr>
        <w:t>(2)</w:t>
      </w:r>
      <w:r>
        <w:rPr/>
        <w:t>初始投资成本的确定</w:t>
      </w:r>
    </w:p>
    <w:p>
      <w:pPr>
        <w:spacing w:line="240" w:lineRule="auto" w:before="10"/>
        <w:rPr>
          <w:rFonts w:ascii="宋体" w:hAnsi="宋体" w:cs="宋体" w:eastAsia="宋体" w:hint="default"/>
          <w:sz w:val="15"/>
          <w:szCs w:val="15"/>
        </w:rPr>
      </w:pPr>
    </w:p>
    <w:p>
      <w:pPr>
        <w:pStyle w:val="BodyText"/>
        <w:spacing w:line="429" w:lineRule="auto"/>
        <w:ind w:left="553" w:right="0"/>
        <w:jc w:val="left"/>
      </w:pPr>
      <w:r>
        <w:rPr/>
        <w:t>①企业合并形成的长期股权投资</w:t>
      </w:r>
      <w:r>
        <w:rPr>
          <w:w w:val="100"/>
        </w:rPr>
        <w:t> </w:t>
      </w:r>
      <w:r>
        <w:rPr>
          <w:spacing w:val="-1"/>
        </w:rPr>
        <w:t>同一控制下的企业合并：公司以支付现金、转让非现金资产或承担债务方式以及以发行权益性证券作为合</w:t>
      </w:r>
    </w:p>
    <w:p>
      <w:pPr>
        <w:pStyle w:val="BodyText"/>
        <w:spacing w:line="429" w:lineRule="auto" w:before="48"/>
        <w:ind w:right="1169"/>
        <w:jc w:val="both"/>
      </w:pPr>
      <w:r>
        <w:rPr>
          <w:spacing w:val="-1"/>
        </w:rPr>
        <w:t>并对价的，在合并日按照取得被合并方所有者权益在最终控制方合并财务报表中的账面价值的份额作为长期股</w:t>
      </w:r>
      <w:r>
        <w:rPr>
          <w:spacing w:val="-63"/>
        </w:rPr>
        <w:t> </w:t>
      </w:r>
      <w:r>
        <w:rPr>
          <w:spacing w:val="-63"/>
        </w:rPr>
      </w:r>
      <w:r>
        <w:rPr>
          <w:spacing w:val="-1"/>
        </w:rPr>
        <w:t>权投资的初始投资成本。因追加投资等原因能够对同一控制下的被投资单位实施控制的，在合并日根据合并后</w:t>
      </w:r>
      <w:r>
        <w:rPr>
          <w:spacing w:val="-63"/>
        </w:rPr>
        <w:t> </w:t>
      </w:r>
      <w:r>
        <w:rPr>
          <w:spacing w:val="-63"/>
        </w:rPr>
      </w:r>
      <w:r>
        <w:rPr>
          <w:spacing w:val="-1"/>
        </w:rPr>
        <w:t>应享有被合并方净资产在最终控制方合并财务报表中的账面价值的份额，确定长期股权投资的初始投资成本。</w:t>
      </w:r>
    </w:p>
    <w:p>
      <w:pPr>
        <w:spacing w:after="0" w:line="429"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29" w:lineRule="auto"/>
        <w:ind w:right="1168" w:firstLine="399"/>
        <w:jc w:val="both"/>
      </w:pPr>
      <w:r>
        <w:rPr>
          <w:spacing w:val="-1"/>
        </w:rPr>
        <w:t>合并日长期股权投资的初始投资成本，与达到合并前的长期股权投资账面价值加上合并日进一步取得股份</w:t>
      </w:r>
      <w:r>
        <w:rPr>
          <w:w w:val="100"/>
        </w:rPr>
        <w:t> </w:t>
      </w:r>
      <w:r>
        <w:rPr/>
        <w:t>新支付对价的账面价值之和的差额，调整股本溢价，股本溢价不足冲减的，冲减留存收益。</w:t>
      </w:r>
    </w:p>
    <w:p>
      <w:pPr>
        <w:pStyle w:val="BodyText"/>
        <w:spacing w:line="429" w:lineRule="auto" w:before="48"/>
        <w:ind w:right="1169" w:firstLine="399"/>
        <w:jc w:val="both"/>
      </w:pPr>
      <w:r>
        <w:rPr>
          <w:spacing w:val="-1"/>
        </w:rPr>
        <w:t>非同一控制下的企业合并：公司按照购买日确定的合并成本作为长期股权投资的初始投资成本。因追加投</w:t>
      </w:r>
      <w:r>
        <w:rPr>
          <w:w w:val="100"/>
        </w:rPr>
        <w:t> </w:t>
      </w:r>
      <w:r>
        <w:rPr>
          <w:spacing w:val="-1"/>
        </w:rPr>
        <w:t>资等原因能够对非同一控制下的被投资单位实施控制的，按照原持有的股权投资账面价值加上新增投资成本之</w:t>
      </w:r>
      <w:r>
        <w:rPr>
          <w:spacing w:val="-63"/>
        </w:rPr>
        <w:t> </w:t>
      </w:r>
      <w:r>
        <w:rPr>
          <w:spacing w:val="-63"/>
        </w:rPr>
      </w:r>
      <w:r>
        <w:rPr/>
        <w:t>和，作为改按成本法核算的初始投资成本。</w:t>
      </w:r>
    </w:p>
    <w:p>
      <w:pPr>
        <w:pStyle w:val="BodyText"/>
        <w:spacing w:line="429" w:lineRule="auto" w:before="48"/>
        <w:ind w:left="553" w:right="1118"/>
        <w:jc w:val="left"/>
      </w:pPr>
      <w:r>
        <w:rPr/>
        <w:t>②其他方式取得的长期股权投资</w:t>
      </w:r>
      <w:r>
        <w:rPr>
          <w:w w:val="100"/>
        </w:rPr>
        <w:t> </w:t>
      </w:r>
      <w:r>
        <w:rPr/>
        <w:t>以支付现金方式取得的长期股权投资，按照实际支付的购买价款作为初始投资成本。</w:t>
      </w:r>
      <w:r>
        <w:rPr>
          <w:w w:val="100"/>
        </w:rPr>
        <w:t> </w:t>
      </w:r>
      <w:r>
        <w:rPr/>
        <w:t>以发行权益性证券取得的长期股权投资，按照发行权益性证券的公允价值作为初始投资成本。</w:t>
      </w:r>
      <w:r>
        <w:rPr>
          <w:w w:val="100"/>
        </w:rPr>
        <w:t> </w:t>
      </w:r>
      <w:r>
        <w:rPr>
          <w:spacing w:val="-1"/>
        </w:rPr>
        <w:t>在非货币性资产交换具备商业实质和换入资产或换出资产的公允价值能够可靠计量的前提下，非货币性资</w:t>
      </w:r>
    </w:p>
    <w:p>
      <w:pPr>
        <w:pStyle w:val="BodyText"/>
        <w:spacing w:line="429" w:lineRule="auto" w:before="48"/>
        <w:ind w:right="1169"/>
        <w:jc w:val="both"/>
      </w:pPr>
      <w:r>
        <w:rPr>
          <w:spacing w:val="-1"/>
        </w:rPr>
        <w:t>产交换换入的长期股权投资以换出资产的公允价值和应支付的相关税费确定其初始投资成本，除非有确凿证据</w:t>
      </w:r>
      <w:r>
        <w:rPr>
          <w:spacing w:val="-63"/>
        </w:rPr>
        <w:t> </w:t>
      </w:r>
      <w:r>
        <w:rPr>
          <w:spacing w:val="-63"/>
        </w:rPr>
      </w:r>
      <w:r>
        <w:rPr>
          <w:spacing w:val="-1"/>
        </w:rPr>
        <w:t>表明换入资产的公允价值更加可靠；不满足上述前提的非货币性资产交换，以换出资产的账面价值和应支付的</w:t>
      </w:r>
      <w:r>
        <w:rPr>
          <w:spacing w:val="-63"/>
        </w:rPr>
        <w:t> </w:t>
      </w:r>
      <w:r>
        <w:rPr>
          <w:spacing w:val="-63"/>
        </w:rPr>
      </w:r>
      <w:r>
        <w:rPr/>
        <w:t>相关税费作为换入长期股权投资的初始投资成本。</w:t>
      </w:r>
    </w:p>
    <w:p>
      <w:pPr>
        <w:pStyle w:val="BodyText"/>
        <w:spacing w:line="429" w:lineRule="auto" w:before="48"/>
        <w:ind w:left="553" w:right="1118"/>
        <w:jc w:val="left"/>
      </w:pPr>
      <w:r>
        <w:rPr>
          <w:spacing w:val="-1"/>
        </w:rPr>
        <w:t>通过债务重组取得的长期股权投资，其初始投资成本按照公允价值为基础确定。</w:t>
      </w:r>
      <w:r>
        <w:rPr>
          <w:spacing w:val="-73"/>
        </w:rPr>
        <w:t> </w:t>
      </w:r>
      <w:r>
        <w:rPr>
          <w:spacing w:val="-73"/>
        </w:rPr>
      </w:r>
      <w:r>
        <w:rPr>
          <w:rFonts w:ascii="宋体" w:hAnsi="宋体" w:cs="宋体" w:eastAsia="宋体" w:hint="default"/>
        </w:rPr>
        <w:t>(3)</w:t>
      </w:r>
      <w:r>
        <w:rPr/>
        <w:t>后续计量及损益确认方法</w:t>
      </w:r>
    </w:p>
    <w:p>
      <w:pPr>
        <w:pStyle w:val="BodyText"/>
        <w:spacing w:line="429" w:lineRule="auto" w:before="48"/>
        <w:ind w:left="553" w:right="0"/>
        <w:jc w:val="left"/>
      </w:pPr>
      <w:r>
        <w:rPr/>
        <w:t>①成本法核算的长期股权投资</w:t>
      </w:r>
      <w:r>
        <w:rPr>
          <w:w w:val="100"/>
        </w:rPr>
        <w:t> </w:t>
      </w:r>
      <w:r>
        <w:rPr>
          <w:spacing w:val="-1"/>
        </w:rPr>
        <w:t>公司对子公司的长期股权投资，采用成本法核算。除取得投资时实际支付的价款或对价中包含的已宣告但</w:t>
      </w:r>
    </w:p>
    <w:p>
      <w:pPr>
        <w:pStyle w:val="BodyText"/>
        <w:spacing w:line="240" w:lineRule="auto" w:before="48"/>
        <w:ind w:right="0"/>
        <w:jc w:val="both"/>
      </w:pPr>
      <w:r>
        <w:rPr/>
        <w:t>尚未发放的现金股利或利润外，公司按照享有被投资单位宣告发放的现金股利或利润确认当期投资收益。</w:t>
      </w:r>
    </w:p>
    <w:p>
      <w:pPr>
        <w:spacing w:line="240" w:lineRule="auto" w:before="10"/>
        <w:rPr>
          <w:rFonts w:ascii="宋体" w:hAnsi="宋体" w:cs="宋体" w:eastAsia="宋体" w:hint="default"/>
          <w:sz w:val="15"/>
          <w:szCs w:val="15"/>
        </w:rPr>
      </w:pPr>
    </w:p>
    <w:p>
      <w:pPr>
        <w:pStyle w:val="BodyText"/>
        <w:spacing w:line="429" w:lineRule="auto"/>
        <w:ind w:left="553" w:right="0"/>
        <w:jc w:val="left"/>
      </w:pPr>
      <w:r>
        <w:rPr/>
        <w:t>②权益法核算的长期股权投资</w:t>
      </w:r>
      <w:r>
        <w:rPr>
          <w:w w:val="100"/>
        </w:rPr>
        <w:t> </w:t>
      </w:r>
      <w:r>
        <w:rPr>
          <w:spacing w:val="-1"/>
        </w:rPr>
        <w:t>对联营企业和合营企业的长期股权投资，采用权益法核算。初始投资成本大于投资时应享有被投资单位可</w:t>
      </w:r>
    </w:p>
    <w:p>
      <w:pPr>
        <w:pStyle w:val="BodyText"/>
        <w:spacing w:line="429" w:lineRule="auto" w:before="48"/>
        <w:ind w:right="1169"/>
        <w:jc w:val="both"/>
      </w:pPr>
      <w:r>
        <w:rPr>
          <w:spacing w:val="-1"/>
        </w:rPr>
        <w:t>辨认净资产公允价值份额的差额，不调整长期股权投资的初始投资成本；初始投资成本小于投资时应享有被投</w:t>
      </w:r>
      <w:r>
        <w:rPr>
          <w:spacing w:val="-63"/>
        </w:rPr>
        <w:t> </w:t>
      </w:r>
      <w:r>
        <w:rPr>
          <w:spacing w:val="-63"/>
        </w:rPr>
      </w:r>
      <w:r>
        <w:rPr/>
        <w:t>资单位可辨认净资产公允价值份额的差额，计入当期损益。</w:t>
      </w:r>
    </w:p>
    <w:p>
      <w:pPr>
        <w:pStyle w:val="BodyText"/>
        <w:spacing w:line="429" w:lineRule="auto" w:before="48"/>
        <w:ind w:right="1168" w:firstLine="399"/>
        <w:jc w:val="both"/>
      </w:pPr>
      <w:r>
        <w:rPr>
          <w:spacing w:val="-1"/>
        </w:rPr>
        <w:t>公司按照应享有或应分担的被投资单位实现的净损益和其他综合收益的份额，分别确认投资收益和其他综</w:t>
      </w:r>
      <w:r>
        <w:rPr>
          <w:w w:val="100"/>
        </w:rPr>
        <w:t> </w:t>
      </w:r>
      <w:r>
        <w:rPr>
          <w:spacing w:val="-1"/>
        </w:rPr>
        <w:t>合收益，同时调整长期股权投资的账面价值；按照被投资单位宣告分派的利润或现金股利计算应享有的部分，</w:t>
      </w:r>
      <w:r>
        <w:rPr>
          <w:spacing w:val="-63"/>
        </w:rPr>
        <w:t> </w:t>
      </w:r>
      <w:r>
        <w:rPr>
          <w:spacing w:val="-63"/>
        </w:rPr>
      </w:r>
      <w:r>
        <w:rPr>
          <w:spacing w:val="-1"/>
        </w:rPr>
        <w:t>相应减少长期股权投资的账面价值；对于被投资单位除净损益、其他综合收益和利润分配以外所有者权益的其</w:t>
      </w:r>
      <w:r>
        <w:rPr>
          <w:spacing w:val="-63"/>
        </w:rPr>
        <w:t> </w:t>
      </w:r>
      <w:r>
        <w:rPr>
          <w:spacing w:val="-63"/>
        </w:rPr>
      </w:r>
      <w:r>
        <w:rPr/>
        <w:t>他变动，调整长期股权投资的账面价值并计入所有者权益。</w:t>
      </w:r>
    </w:p>
    <w:p>
      <w:pPr>
        <w:pStyle w:val="BodyText"/>
        <w:spacing w:line="429" w:lineRule="auto" w:before="48"/>
        <w:ind w:right="1168" w:firstLine="399"/>
        <w:jc w:val="both"/>
      </w:pPr>
      <w:r>
        <w:rPr>
          <w:spacing w:val="-1"/>
        </w:rPr>
        <w:t>在确认应享有被投资单位净损益的份额时，以取得投资时被投资单位可辨认净资产的公允价值为基础，并</w:t>
      </w:r>
      <w:r>
        <w:rPr>
          <w:w w:val="100"/>
        </w:rPr>
        <w:t> </w:t>
      </w:r>
      <w:r>
        <w:rPr>
          <w:spacing w:val="-1"/>
        </w:rPr>
        <w:t>按照公司的会计政策及会计期间，对被投资单位的净利润进行调整后确认。在持有投资期间，被投资单位编制</w:t>
      </w:r>
      <w:r>
        <w:rPr>
          <w:spacing w:val="-63"/>
        </w:rPr>
        <w:t> </w:t>
      </w:r>
      <w:r>
        <w:rPr>
          <w:spacing w:val="-63"/>
        </w:rPr>
      </w:r>
      <w:r>
        <w:rPr>
          <w:spacing w:val="-1"/>
        </w:rPr>
        <w:t>合并财务报表的，以合并财务报表中的净利润、其他综合收益和其他所有者权益变动中归属于被投资单位的金</w:t>
      </w:r>
      <w:r>
        <w:rPr>
          <w:spacing w:val="-63"/>
        </w:rPr>
        <w:t> </w:t>
      </w:r>
      <w:r>
        <w:rPr>
          <w:spacing w:val="-63"/>
        </w:rPr>
      </w:r>
      <w:r>
        <w:rPr/>
        <w:t>额为基础进行核算。</w:t>
      </w:r>
    </w:p>
    <w:p>
      <w:pPr>
        <w:pStyle w:val="BodyText"/>
        <w:spacing w:line="240" w:lineRule="auto" w:before="48"/>
        <w:ind w:left="553" w:right="0"/>
        <w:jc w:val="left"/>
      </w:pPr>
      <w:r>
        <w:rPr/>
        <w:t>公司与联营企业、合营企业之间发生的未实现内部交易损益按照应享有的比例计算归属于公司的部分，予</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29" w:lineRule="auto"/>
        <w:ind w:right="1168"/>
        <w:jc w:val="both"/>
      </w:pPr>
      <w:r>
        <w:rPr>
          <w:spacing w:val="-1"/>
        </w:rPr>
        <w:t>以抵销，在此基础上确认投资收益。与被投资单位发生的未实现内部交易损失，属于资产减值损失的，全额确</w:t>
      </w:r>
      <w:r>
        <w:rPr>
          <w:spacing w:val="-63"/>
        </w:rPr>
        <w:t> </w:t>
      </w:r>
      <w:r>
        <w:rPr>
          <w:spacing w:val="-63"/>
        </w:rPr>
      </w:r>
      <w:r>
        <w:rPr>
          <w:spacing w:val="-1"/>
        </w:rPr>
        <w:t>认。公司与联营企业、合营企业之间发生投出或出售资产的交易，该资产构成业务的，按照本附注“五、</w:t>
      </w:r>
      <w:r>
        <w:rPr>
          <w:rFonts w:ascii="宋体" w:hAnsi="宋体" w:cs="宋体" w:eastAsia="宋体" w:hint="default"/>
          <w:spacing w:val="-1"/>
        </w:rPr>
        <w:t>5.</w:t>
      </w:r>
      <w:r>
        <w:rPr>
          <w:spacing w:val="-1"/>
        </w:rPr>
        <w:t>同</w:t>
      </w:r>
      <w:r>
        <w:rPr>
          <w:spacing w:val="-62"/>
        </w:rPr>
        <w:t> </w:t>
      </w:r>
      <w:r>
        <w:rPr>
          <w:spacing w:val="-1"/>
        </w:rPr>
        <w:t>一控制下和非同一控制下企业合并的会计处理方法”和“五、</w:t>
      </w:r>
      <w:r>
        <w:rPr>
          <w:rFonts w:ascii="宋体" w:hAnsi="宋体" w:cs="宋体" w:eastAsia="宋体" w:hint="default"/>
          <w:spacing w:val="-1"/>
        </w:rPr>
        <w:t>6.</w:t>
      </w:r>
      <w:r>
        <w:rPr>
          <w:spacing w:val="-1"/>
        </w:rPr>
        <w:t>合并财务报表的编制方法”中披露的相关政策</w:t>
      </w:r>
      <w:r>
        <w:rPr>
          <w:spacing w:val="-62"/>
        </w:rPr>
        <w:t> </w:t>
      </w:r>
      <w:r>
        <w:rPr>
          <w:spacing w:val="-62"/>
        </w:rPr>
      </w:r>
      <w:r>
        <w:rPr/>
        <w:t>进行会计处理。</w:t>
      </w:r>
    </w:p>
    <w:p>
      <w:pPr>
        <w:pStyle w:val="BodyText"/>
        <w:spacing w:line="429" w:lineRule="auto" w:before="48"/>
        <w:ind w:right="1168" w:firstLine="399"/>
        <w:jc w:val="both"/>
      </w:pPr>
      <w:r>
        <w:rPr>
          <w:spacing w:val="-1"/>
        </w:rPr>
        <w:t>在公司确认应分担被投资单位发生的亏损时，按照以下顺序进行处理：首先，冲减长期股权投资的账面价</w:t>
      </w:r>
      <w:r>
        <w:rPr>
          <w:w w:val="100"/>
        </w:rPr>
        <w:t> </w:t>
      </w:r>
      <w:r>
        <w:rPr>
          <w:spacing w:val="-1"/>
        </w:rPr>
        <w:t>值。其次，长期股权投资的账面价值不足以冲减的，以其他实质上构成对被投资单位净投资的长期权益账面价</w:t>
      </w:r>
      <w:r>
        <w:rPr>
          <w:spacing w:val="-63"/>
        </w:rPr>
        <w:t> </w:t>
      </w:r>
      <w:r>
        <w:rPr>
          <w:spacing w:val="-63"/>
        </w:rPr>
      </w:r>
      <w:r>
        <w:rPr>
          <w:spacing w:val="-1"/>
        </w:rPr>
        <w:t>值为限继续确认投资损失，冲减长期应收项目等的账面价值。最后，经过上述处理，按照投资合同或协议约定</w:t>
      </w:r>
      <w:r>
        <w:rPr>
          <w:spacing w:val="-63"/>
        </w:rPr>
        <w:t> </w:t>
      </w:r>
      <w:r>
        <w:rPr>
          <w:spacing w:val="-63"/>
        </w:rPr>
      </w:r>
      <w:r>
        <w:rPr/>
        <w:t>企业仍承担额外义务的，按预计承担的义务确认预计负债，计入当期投资损失。</w:t>
      </w:r>
    </w:p>
    <w:p>
      <w:pPr>
        <w:pStyle w:val="BodyText"/>
        <w:spacing w:line="429" w:lineRule="auto" w:before="48"/>
        <w:ind w:left="553" w:right="3147"/>
        <w:jc w:val="left"/>
      </w:pPr>
      <w:r>
        <w:rPr/>
        <w:t>③长期股权投资的处置</w:t>
      </w:r>
      <w:r>
        <w:rPr>
          <w:w w:val="100"/>
        </w:rPr>
        <w:t> </w:t>
      </w:r>
      <w:r>
        <w:rPr>
          <w:spacing w:val="-1"/>
        </w:rPr>
        <w:t>处置长期股权投资，其账面价值与实际取得价款的差额，计入当期损益。</w:t>
      </w:r>
    </w:p>
    <w:p>
      <w:pPr>
        <w:pStyle w:val="BodyText"/>
        <w:spacing w:line="429" w:lineRule="auto" w:before="48"/>
        <w:ind w:right="1168" w:firstLine="399"/>
        <w:jc w:val="both"/>
      </w:pPr>
      <w:r>
        <w:rPr>
          <w:spacing w:val="-1"/>
        </w:rPr>
        <w:t>采用权益法核算的长期股权投资，在处置该项投资时，采用与被投资单位直接处置相关资产或负债相同的</w:t>
      </w:r>
      <w:r>
        <w:rPr>
          <w:w w:val="100"/>
        </w:rPr>
        <w:t> </w:t>
      </w:r>
      <w:r>
        <w:rPr>
          <w:spacing w:val="-1"/>
        </w:rPr>
        <w:t>基础，按相应比例对原计入其他综合收益的部分进行会计处理。因被投资单位除净损益、其他综合收益和利润</w:t>
      </w:r>
      <w:r>
        <w:rPr>
          <w:spacing w:val="-63"/>
        </w:rPr>
        <w:t> </w:t>
      </w:r>
      <w:r>
        <w:rPr>
          <w:spacing w:val="-63"/>
        </w:rPr>
      </w:r>
      <w:r>
        <w:rPr>
          <w:spacing w:val="-1"/>
        </w:rPr>
        <w:t>分配以外的其他所有者权益变动而确认的所有者权益，按比例结转入当期损益，由于被投资方重新计量设定受</w:t>
      </w:r>
      <w:r>
        <w:rPr>
          <w:spacing w:val="-63"/>
        </w:rPr>
        <w:t> </w:t>
      </w:r>
      <w:r>
        <w:rPr>
          <w:spacing w:val="-63"/>
        </w:rPr>
      </w:r>
      <w:r>
        <w:rPr/>
        <w:t>益计划净负债或净资产变动而产生的其他综合收益除外。</w:t>
      </w:r>
    </w:p>
    <w:p>
      <w:pPr>
        <w:pStyle w:val="BodyText"/>
        <w:spacing w:line="429" w:lineRule="auto" w:before="48"/>
        <w:ind w:right="1168" w:firstLine="399"/>
        <w:jc w:val="right"/>
      </w:pPr>
      <w:r>
        <w:rPr>
          <w:spacing w:val="-1"/>
        </w:rPr>
        <w:t>因处置部分股权投资等原因丧失了对被投资单位的共同控制或重大影响的，处置后的剩余股权改按金融工</w:t>
      </w:r>
      <w:r>
        <w:rPr>
          <w:w w:val="100"/>
        </w:rPr>
        <w:t> </w:t>
      </w:r>
      <w:r>
        <w:rPr>
          <w:spacing w:val="-1"/>
        </w:rPr>
        <w:t>具确认和计量准则核算，其在丧失共同控制或重大影响之日的公允价值与账面价值之间的差额计入当期损益。</w:t>
      </w:r>
      <w:r>
        <w:rPr>
          <w:spacing w:val="-82"/>
        </w:rPr>
        <w:t> </w:t>
      </w:r>
      <w:r>
        <w:rPr>
          <w:spacing w:val="-82"/>
        </w:rPr>
      </w:r>
      <w:r>
        <w:rPr>
          <w:spacing w:val="-1"/>
        </w:rPr>
        <w:t>原股权投资因采用权益法核算而确认的其他综合收益，在终止采用权益法核算时采用与被投资单位直接处</w:t>
      </w:r>
      <w:r>
        <w:rPr>
          <w:w w:val="100"/>
        </w:rPr>
        <w:t> </w:t>
      </w:r>
      <w:r>
        <w:rPr>
          <w:spacing w:val="-1"/>
        </w:rPr>
        <w:t>置相关资产或负债相同的基础进行会计处理。因被投资方除净损益、其他综合收益和利润分配以外的其他所有</w:t>
      </w:r>
    </w:p>
    <w:p>
      <w:pPr>
        <w:pStyle w:val="BodyText"/>
        <w:spacing w:line="429" w:lineRule="auto" w:before="48"/>
        <w:ind w:left="553" w:right="0" w:hanging="400"/>
        <w:jc w:val="left"/>
      </w:pPr>
      <w:r>
        <w:rPr/>
        <w:t>者权益变动而确认的所有者权益，在终止采用权益法核算时全部转入当期损益。</w:t>
      </w:r>
      <w:r>
        <w:rPr>
          <w:w w:val="100"/>
        </w:rPr>
        <w:t> </w:t>
      </w:r>
      <w:r>
        <w:rPr>
          <w:spacing w:val="-1"/>
        </w:rPr>
        <w:t>因处置部分股权投资、因其他投资方对子公司增资而导致本公司持股比例下降等原因丧失了对被投资单位</w:t>
      </w:r>
    </w:p>
    <w:p>
      <w:pPr>
        <w:pStyle w:val="BodyText"/>
        <w:spacing w:line="429" w:lineRule="auto" w:before="48"/>
        <w:ind w:right="0"/>
        <w:jc w:val="left"/>
      </w:pPr>
      <w:r>
        <w:rPr>
          <w:spacing w:val="-2"/>
        </w:rPr>
        <w:t>控制权的，在编制个别财务报表时，剩余股权能够对被投资单位实施共同控制或重大影响的，改按权益法核算，</w:t>
      </w:r>
      <w:r>
        <w:rPr>
          <w:spacing w:val="-78"/>
        </w:rPr>
        <w:t> </w:t>
      </w:r>
      <w:r>
        <w:rPr>
          <w:spacing w:val="-78"/>
        </w:rPr>
      </w:r>
      <w:r>
        <w:rPr/>
        <w:t>并对该剩余股权视同自取得时即采用权益法核算进行调整；剩余股权不能对被投资单位实施共同控制或施加重</w:t>
      </w:r>
      <w:r>
        <w:rPr>
          <w:w w:val="100"/>
        </w:rPr>
        <w:t> </w:t>
      </w:r>
      <w:r>
        <w:rPr/>
        <w:t>大影响的，改按金融工具确认和计量准则的有关规定进行会计处理，其在丧失控制之日的公允价值与账面价值</w:t>
      </w:r>
      <w:r>
        <w:rPr>
          <w:w w:val="100"/>
        </w:rPr>
        <w:t> </w:t>
      </w:r>
      <w:r>
        <w:rPr/>
        <w:t>间的差额计入当期损益。</w:t>
      </w:r>
    </w:p>
    <w:p>
      <w:pPr>
        <w:pStyle w:val="BodyText"/>
        <w:spacing w:line="429" w:lineRule="auto" w:before="48"/>
        <w:ind w:right="1169" w:firstLine="399"/>
        <w:jc w:val="both"/>
      </w:pPr>
      <w:r>
        <w:rPr>
          <w:spacing w:val="-1"/>
        </w:rPr>
        <w:t>处置的股权是因追加投资等原因通过企业合并取得的，在编制个别财务报表时，处置后的剩余股权采用成</w:t>
      </w:r>
      <w:r>
        <w:rPr>
          <w:w w:val="100"/>
        </w:rPr>
        <w:t> </w:t>
      </w:r>
      <w:r>
        <w:rPr>
          <w:spacing w:val="-1"/>
        </w:rPr>
        <w:t>本法或权益法核算的，购买日之前持有的股权投资因采用权益法核算而确认的其他综合收益和其他所有者权益</w:t>
      </w:r>
      <w:r>
        <w:rPr>
          <w:spacing w:val="-63"/>
        </w:rPr>
        <w:t> </w:t>
      </w:r>
      <w:r>
        <w:rPr>
          <w:spacing w:val="-63"/>
        </w:rPr>
      </w:r>
      <w:r>
        <w:rPr>
          <w:spacing w:val="-1"/>
        </w:rPr>
        <w:t>按比例结转；处置后的剩余股权改按金融工具确认和计量准则进行会计处理的，其他综合收益和其他所有者权</w:t>
      </w:r>
      <w:r>
        <w:rPr>
          <w:spacing w:val="-63"/>
        </w:rPr>
        <w:t> </w:t>
      </w:r>
      <w:r>
        <w:rPr>
          <w:spacing w:val="-63"/>
        </w:rPr>
      </w:r>
      <w:r>
        <w:rPr/>
        <w:t>益全部结转。</w:t>
      </w:r>
    </w:p>
    <w:p>
      <w:pPr>
        <w:spacing w:after="0" w:line="429"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5、固定资产" w:id="188"/>
      <w:bookmarkEnd w:id="188"/>
      <w:r>
        <w:rPr>
          <w:b w:val="0"/>
          <w:bCs w:val="0"/>
        </w:rPr>
      </w:r>
      <w:r>
        <w:rPr>
          <w:rFonts w:ascii="Times New Roman" w:hAnsi="Times New Roman" w:cs="Times New Roman" w:eastAsia="Times New Roman" w:hint="default"/>
        </w:rPr>
        <w:t>15</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89"/>
      <w:bookmarkEnd w:id="189"/>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3"/>
        <w:rPr>
          <w:rFonts w:ascii="宋体" w:hAnsi="宋体" w:cs="宋体" w:eastAsia="宋体" w:hint="default"/>
          <w:b/>
          <w:bCs/>
          <w:sz w:val="31"/>
          <w:szCs w:val="31"/>
        </w:rPr>
      </w:pPr>
    </w:p>
    <w:p>
      <w:pPr>
        <w:pStyle w:val="BodyText"/>
        <w:spacing w:line="429" w:lineRule="auto"/>
        <w:ind w:right="0" w:firstLine="399"/>
        <w:jc w:val="left"/>
      </w:pPr>
      <w:r>
        <w:rPr>
          <w:spacing w:val="-2"/>
        </w:rPr>
        <w:t>固定资产指为生产商品、提供劳务、出租或经营管理而持有，并且使用寿命超过一个会计年度的有形资产。</w:t>
      </w:r>
      <w:r>
        <w:rPr>
          <w:w w:val="100"/>
        </w:rPr>
        <w:t> </w:t>
      </w:r>
      <w:r>
        <w:rPr/>
        <w:t>固定资产在同时满足下列条件时予以确认：①与该固定资产有关的经济利益很可能流入企业；②该固定资产的</w:t>
      </w:r>
      <w:r>
        <w:rPr>
          <w:w w:val="100"/>
        </w:rPr>
        <w:t> </w:t>
      </w:r>
      <w:r>
        <w:rPr/>
        <w:t>成本能够可靠地计量。</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2）折旧方法" w:id="190"/>
      <w:bookmarkEnd w:id="190"/>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bl>
    <w:p>
      <w:pPr>
        <w:pStyle w:val="BodyText"/>
        <w:spacing w:line="429" w:lineRule="auto" w:before="72"/>
        <w:ind w:right="1168" w:firstLine="399"/>
        <w:jc w:val="both"/>
      </w:pPr>
      <w:r>
        <w:rPr>
          <w:spacing w:val="-1"/>
        </w:rPr>
        <w:t>固定资产折旧采用年限平均法分类计提，根据固定资产类别、预计使用寿命和预计净残值率确定折旧率。</w:t>
      </w:r>
      <w:r>
        <w:rPr>
          <w:w w:val="100"/>
        </w:rPr>
        <w:t> </w:t>
      </w:r>
      <w:r>
        <w:rPr>
          <w:spacing w:val="-1"/>
        </w:rPr>
        <w:t>如固定资产各组成部分的使用寿命不同或者以不同方式为企业提供经济利益，则选择不同折旧率或折旧方法，</w:t>
      </w:r>
      <w:r>
        <w:rPr>
          <w:spacing w:val="-62"/>
        </w:rPr>
        <w:t> </w:t>
      </w:r>
      <w:r>
        <w:rPr>
          <w:spacing w:val="-62"/>
        </w:rPr>
      </w:r>
      <w:r>
        <w:rPr/>
        <w:t>分别计提折旧。</w:t>
      </w:r>
    </w:p>
    <w:p>
      <w:pPr>
        <w:spacing w:line="240" w:lineRule="auto" w:before="1"/>
        <w:rPr>
          <w:rFonts w:ascii="宋体" w:hAnsi="宋体" w:cs="宋体" w:eastAsia="宋体" w:hint="default"/>
          <w:sz w:val="20"/>
          <w:szCs w:val="20"/>
        </w:rPr>
      </w:pPr>
    </w:p>
    <w:p>
      <w:pPr>
        <w:pStyle w:val="Heading3"/>
        <w:spacing w:line="240" w:lineRule="auto"/>
        <w:ind w:right="0"/>
        <w:jc w:val="both"/>
        <w:rPr>
          <w:b w:val="0"/>
          <w:bCs w:val="0"/>
        </w:rPr>
      </w:pPr>
      <w:bookmarkStart w:name="（3）融资租入固定资产的认定依据、计价和折旧方法" w:id="191"/>
      <w:bookmarkEnd w:id="191"/>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3"/>
        <w:rPr>
          <w:rFonts w:ascii="宋体" w:hAnsi="宋体" w:cs="宋体" w:eastAsia="宋体" w:hint="default"/>
          <w:b/>
          <w:bCs/>
          <w:sz w:val="31"/>
          <w:szCs w:val="31"/>
        </w:rPr>
      </w:pPr>
    </w:p>
    <w:p>
      <w:pPr>
        <w:pStyle w:val="BodyText"/>
        <w:spacing w:line="429" w:lineRule="auto"/>
        <w:ind w:right="1169" w:firstLine="399"/>
        <w:jc w:val="both"/>
      </w:pPr>
      <w:r>
        <w:rPr>
          <w:spacing w:val="-1"/>
        </w:rPr>
        <w:t>融资租赁方式租入的固定资产，能合理确定租赁期届满时将会取得租赁资产所有权的，在租赁资产尚可使</w:t>
      </w:r>
      <w:r>
        <w:rPr>
          <w:w w:val="100"/>
        </w:rPr>
        <w:t> </w:t>
      </w:r>
      <w:r>
        <w:rPr>
          <w:spacing w:val="-1"/>
        </w:rPr>
        <w:t>用年限内计提折旧；无法合理确定租赁期届满时能够取得租赁资产所有权的，在租赁期与租赁资产尚可使用年</w:t>
      </w:r>
      <w:r>
        <w:rPr>
          <w:spacing w:val="-63"/>
        </w:rPr>
        <w:t> </w:t>
      </w:r>
      <w:r>
        <w:rPr>
          <w:spacing w:val="-63"/>
        </w:rPr>
      </w:r>
      <w:r>
        <w:rPr/>
        <w:t>限两者中较短的期间内计提折旧。</w:t>
      </w:r>
    </w:p>
    <w:p>
      <w:pPr>
        <w:spacing w:line="240" w:lineRule="auto" w:before="0"/>
        <w:rPr>
          <w:rFonts w:ascii="宋体" w:hAnsi="宋体" w:cs="宋体" w:eastAsia="宋体" w:hint="default"/>
          <w:sz w:val="20"/>
          <w:szCs w:val="20"/>
        </w:rPr>
      </w:pPr>
    </w:p>
    <w:p>
      <w:pPr>
        <w:pStyle w:val="Heading3"/>
        <w:spacing w:line="240" w:lineRule="auto"/>
        <w:ind w:right="0"/>
        <w:jc w:val="both"/>
        <w:rPr>
          <w:b w:val="0"/>
          <w:bCs w:val="0"/>
        </w:rPr>
      </w:pPr>
      <w:bookmarkStart w:name="16、在建工程" w:id="192"/>
      <w:bookmarkEnd w:id="192"/>
      <w:r>
        <w:rPr>
          <w:b w:val="0"/>
          <w:bCs w:val="0"/>
        </w:rPr>
      </w:r>
      <w:r>
        <w:rPr>
          <w:rFonts w:ascii="Times New Roman" w:hAnsi="Times New Roman" w:cs="Times New Roman" w:eastAsia="Times New Roman" w:hint="default"/>
        </w:rPr>
        <w:t>16</w:t>
      </w:r>
      <w:r>
        <w:rPr/>
        <w:t>、在建工程</w:t>
      </w:r>
      <w:r>
        <w:rPr>
          <w:b w:val="0"/>
          <w:bCs w:val="0"/>
        </w:rPr>
      </w:r>
    </w:p>
    <w:p>
      <w:pPr>
        <w:spacing w:line="240" w:lineRule="auto" w:before="5"/>
        <w:rPr>
          <w:rFonts w:ascii="宋体" w:hAnsi="宋体" w:cs="宋体" w:eastAsia="宋体" w:hint="default"/>
          <w:b/>
          <w:bCs/>
          <w:sz w:val="25"/>
          <w:szCs w:val="25"/>
        </w:rPr>
      </w:pPr>
    </w:p>
    <w:p>
      <w:pPr>
        <w:pStyle w:val="BodyText"/>
        <w:spacing w:line="321" w:lineRule="auto"/>
        <w:ind w:right="7209"/>
        <w:jc w:val="left"/>
      </w:pPr>
      <w:r>
        <w:rPr>
          <w:spacing w:val="-1"/>
        </w:rPr>
        <w:t>公司是否需要遵守特殊行业的披露要求</w:t>
      </w:r>
      <w:r>
        <w:rPr>
          <w:spacing w:val="-87"/>
        </w:rPr>
        <w:t> </w:t>
      </w:r>
      <w:r>
        <w:rPr>
          <w:spacing w:val="-87"/>
        </w:rPr>
      </w:r>
      <w:r>
        <w:rPr/>
        <w:t>是</w:t>
      </w:r>
    </w:p>
    <w:p>
      <w:pPr>
        <w:pStyle w:val="BodyText"/>
        <w:spacing w:line="393" w:lineRule="auto" w:before="22"/>
        <w:ind w:left="553" w:right="0" w:hanging="400"/>
        <w:jc w:val="left"/>
      </w:pPr>
      <w:r>
        <w:rPr/>
        <w:t>软件与信息技术服务业</w:t>
      </w:r>
      <w:r>
        <w:rPr>
          <w:w w:val="100"/>
        </w:rPr>
        <w:t> </w:t>
      </w:r>
      <w:r>
        <w:rPr>
          <w:spacing w:val="-1"/>
        </w:rPr>
        <w:t>在建工程项目按建造该项资产达到预定可使用状态前所发生的必要支出，作为固定资产的入账价值。所建</w:t>
      </w:r>
    </w:p>
    <w:p>
      <w:pPr>
        <w:pStyle w:val="BodyText"/>
        <w:spacing w:line="429" w:lineRule="auto" w:before="78"/>
        <w:ind w:right="1168"/>
        <w:jc w:val="both"/>
      </w:pPr>
      <w:r>
        <w:rPr>
          <w:spacing w:val="-1"/>
        </w:rPr>
        <w:t>造的固定资产在工程已达到预定可使用状态，但尚未办理竣工决算的，自达到预定可使用状态之日起，根据工</w:t>
      </w:r>
      <w:r>
        <w:rPr>
          <w:spacing w:val="-63"/>
        </w:rPr>
        <w:t> </w:t>
      </w:r>
      <w:r>
        <w:rPr>
          <w:spacing w:val="-63"/>
        </w:rPr>
      </w:r>
      <w:r>
        <w:rPr>
          <w:spacing w:val="-1"/>
        </w:rPr>
        <w:t>程预算、造价或者工程实际成本等，按估计的价值转入固定资产，并按本公司固定资产折旧政策计提固定资产</w:t>
      </w:r>
      <w:r>
        <w:rPr>
          <w:spacing w:val="-63"/>
        </w:rPr>
        <w:t> </w:t>
      </w:r>
      <w:r>
        <w:rPr>
          <w:spacing w:val="-63"/>
        </w:rPr>
      </w:r>
      <w:r>
        <w:rPr/>
        <w:t>的折旧，待办理竣工决算后，再按实际成本调整原来的暂估价值，但不调整原已计提的折旧额。</w:t>
      </w:r>
    </w:p>
    <w:p>
      <w:pPr>
        <w:spacing w:after="0" w:line="429"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7、借款费用" w:id="193"/>
      <w:bookmarkEnd w:id="193"/>
      <w:r>
        <w:rPr>
          <w:b w:val="0"/>
          <w:bCs w:val="0"/>
        </w:rPr>
      </w:r>
      <w:r>
        <w:rPr>
          <w:rFonts w:ascii="Times New Roman" w:hAnsi="Times New Roman" w:cs="Times New Roman" w:eastAsia="Times New Roman" w:hint="default"/>
        </w:rPr>
        <w:t>17</w:t>
      </w:r>
      <w:r>
        <w:rPr/>
        <w:t>、借款费用</w:t>
      </w:r>
      <w:r>
        <w:rPr>
          <w:b w:val="0"/>
          <w:bCs w:val="0"/>
        </w:rPr>
      </w:r>
    </w:p>
    <w:p>
      <w:pPr>
        <w:spacing w:line="240" w:lineRule="auto" w:before="3"/>
        <w:rPr>
          <w:rFonts w:ascii="宋体" w:hAnsi="宋体" w:cs="宋体" w:eastAsia="宋体" w:hint="default"/>
          <w:b/>
          <w:bCs/>
          <w:sz w:val="31"/>
          <w:szCs w:val="31"/>
        </w:rPr>
      </w:pPr>
    </w:p>
    <w:p>
      <w:pPr>
        <w:pStyle w:val="BodyText"/>
        <w:spacing w:line="429" w:lineRule="auto"/>
        <w:ind w:left="553" w:right="0"/>
        <w:jc w:val="left"/>
      </w:pPr>
      <w:r>
        <w:rPr/>
        <w:t>（</w:t>
      </w:r>
      <w:r>
        <w:rPr>
          <w:rFonts w:ascii="宋体" w:hAnsi="宋体" w:cs="宋体" w:eastAsia="宋体" w:hint="default"/>
        </w:rPr>
        <w:t>1</w:t>
      </w:r>
      <w:r>
        <w:rPr/>
        <w:t>）借款费用资本化的确认原则</w:t>
      </w:r>
      <w:r>
        <w:rPr>
          <w:w w:val="100"/>
        </w:rPr>
        <w:t> </w:t>
      </w:r>
      <w:r>
        <w:rPr/>
        <w:t>借款费用，包括借款利息、折价或者溢价的摊销、辅助费用以及因外币借款而发生的汇兑差额等。</w:t>
      </w:r>
      <w:r>
        <w:rPr>
          <w:w w:val="100"/>
        </w:rPr>
        <w:t> </w:t>
      </w:r>
      <w:r>
        <w:rPr>
          <w:spacing w:val="-1"/>
        </w:rPr>
        <w:t>公司发生的借款费用，可直接归属于符合资本化条件的资产的购建或者生产的，予以资本化，计入相关资</w:t>
      </w:r>
    </w:p>
    <w:p>
      <w:pPr>
        <w:pStyle w:val="BodyText"/>
        <w:spacing w:line="429" w:lineRule="auto" w:before="48"/>
        <w:ind w:left="553" w:right="0" w:hanging="400"/>
        <w:jc w:val="left"/>
      </w:pPr>
      <w:r>
        <w:rPr/>
        <w:t>产成本；其他借款费用，在发生时根据其发生额确认为费用，计入当期损益。</w:t>
      </w:r>
      <w:r>
        <w:rPr>
          <w:w w:val="100"/>
        </w:rPr>
        <w:t> </w:t>
      </w:r>
      <w:r>
        <w:rPr>
          <w:spacing w:val="-1"/>
        </w:rPr>
        <w:t>符合资本化条件的资产，是指需要经过相当长时间的购建或者生产活动才能达到预定可使用或者可销售状</w:t>
      </w:r>
    </w:p>
    <w:p>
      <w:pPr>
        <w:pStyle w:val="BodyText"/>
        <w:spacing w:line="429" w:lineRule="auto" w:before="48"/>
        <w:ind w:left="553" w:right="4938" w:hanging="400"/>
        <w:jc w:val="left"/>
      </w:pPr>
      <w:r>
        <w:rPr/>
        <w:t>态的固定资产、投资性房地产和存货等资产。</w:t>
      </w:r>
      <w:r>
        <w:rPr>
          <w:w w:val="100"/>
        </w:rPr>
        <w:t> </w:t>
      </w:r>
      <w:r>
        <w:rPr>
          <w:spacing w:val="-1"/>
        </w:rPr>
        <w:t>借款费用同时满足下列条件时开始资本化：</w:t>
      </w:r>
    </w:p>
    <w:p>
      <w:pPr>
        <w:pStyle w:val="BodyText"/>
        <w:spacing w:line="429" w:lineRule="auto" w:before="48"/>
        <w:ind w:right="0" w:firstLine="399"/>
        <w:jc w:val="left"/>
      </w:pPr>
      <w:r>
        <w:rPr>
          <w:spacing w:val="-1"/>
        </w:rPr>
        <w:t>①资产支出已经发生，资产支出包括为购建或者生产符合资本化条件的资产而以支付现金、转移非现金资</w:t>
      </w:r>
      <w:r>
        <w:rPr>
          <w:w w:val="100"/>
        </w:rPr>
        <w:t> </w:t>
      </w:r>
      <w:r>
        <w:rPr/>
        <w:t>产或者承担带息债务形式发生的支出；</w:t>
      </w:r>
    </w:p>
    <w:p>
      <w:pPr>
        <w:pStyle w:val="BodyText"/>
        <w:spacing w:line="240" w:lineRule="auto" w:before="48"/>
        <w:ind w:left="553" w:right="0"/>
        <w:jc w:val="left"/>
      </w:pPr>
      <w:r>
        <w:rPr/>
        <w:t>②借款费用已经发生；</w:t>
      </w:r>
    </w:p>
    <w:p>
      <w:pPr>
        <w:spacing w:line="240" w:lineRule="auto" w:before="10"/>
        <w:rPr>
          <w:rFonts w:ascii="宋体" w:hAnsi="宋体" w:cs="宋体" w:eastAsia="宋体" w:hint="default"/>
          <w:sz w:val="15"/>
          <w:szCs w:val="15"/>
        </w:rPr>
      </w:pPr>
    </w:p>
    <w:p>
      <w:pPr>
        <w:pStyle w:val="BodyText"/>
        <w:spacing w:line="240" w:lineRule="auto"/>
        <w:ind w:left="553" w:right="0"/>
        <w:jc w:val="left"/>
      </w:pPr>
      <w:r>
        <w:rPr/>
        <w:t>③为使资产达到预定可使用或者可销售状态所必要的购建或者生产活动已经开始。</w:t>
      </w:r>
    </w:p>
    <w:p>
      <w:pPr>
        <w:spacing w:line="240" w:lineRule="auto" w:before="10"/>
        <w:rPr>
          <w:rFonts w:ascii="宋体" w:hAnsi="宋体" w:cs="宋体" w:eastAsia="宋体" w:hint="default"/>
          <w:sz w:val="15"/>
          <w:szCs w:val="15"/>
        </w:rPr>
      </w:pPr>
    </w:p>
    <w:p>
      <w:pPr>
        <w:pStyle w:val="BodyText"/>
        <w:spacing w:line="429" w:lineRule="auto"/>
        <w:ind w:left="553" w:right="0"/>
        <w:jc w:val="left"/>
      </w:pPr>
      <w:r>
        <w:rPr/>
        <w:t>（</w:t>
      </w:r>
      <w:r>
        <w:rPr>
          <w:rFonts w:ascii="宋体" w:hAnsi="宋体" w:cs="宋体" w:eastAsia="宋体" w:hint="default"/>
        </w:rPr>
        <w:t>2</w:t>
      </w:r>
      <w:r>
        <w:rPr/>
        <w:t>）借款费用资本化期间</w:t>
      </w:r>
      <w:r>
        <w:rPr>
          <w:w w:val="100"/>
        </w:rPr>
        <w:t> </w:t>
      </w:r>
      <w:r>
        <w:rPr>
          <w:spacing w:val="-1"/>
        </w:rPr>
        <w:t>资本化期间，指从借款费用开始资本化时点到停止资本化时点的期间，借款费用暂停资本化的期间不包括</w:t>
      </w:r>
    </w:p>
    <w:p>
      <w:pPr>
        <w:pStyle w:val="BodyText"/>
        <w:spacing w:line="240" w:lineRule="auto" w:before="48"/>
        <w:ind w:right="0"/>
        <w:jc w:val="left"/>
      </w:pPr>
      <w:r>
        <w:rPr/>
        <w:t>在内。</w:t>
      </w:r>
    </w:p>
    <w:p>
      <w:pPr>
        <w:spacing w:line="240" w:lineRule="auto" w:before="10"/>
        <w:rPr>
          <w:rFonts w:ascii="宋体" w:hAnsi="宋体" w:cs="宋体" w:eastAsia="宋体" w:hint="default"/>
          <w:sz w:val="15"/>
          <w:szCs w:val="15"/>
        </w:rPr>
      </w:pPr>
    </w:p>
    <w:p>
      <w:pPr>
        <w:pStyle w:val="BodyText"/>
        <w:spacing w:line="429" w:lineRule="auto"/>
        <w:ind w:left="553" w:right="0"/>
        <w:jc w:val="left"/>
      </w:pPr>
      <w:r>
        <w:rPr/>
        <w:t>当购建或者生产符合资本化条件的资产达到预定可使用或者可销售状态时，借款费用停止资本化。</w:t>
      </w:r>
      <w:r>
        <w:rPr>
          <w:w w:val="100"/>
        </w:rPr>
        <w:t> </w:t>
      </w:r>
      <w:r>
        <w:rPr>
          <w:spacing w:val="-1"/>
        </w:rPr>
        <w:t>当购建或者生产符合资本化条件的资产中部分项目分别完工且可单独使用时，该部分资产借款费用停止资</w:t>
      </w:r>
    </w:p>
    <w:p>
      <w:pPr>
        <w:pStyle w:val="BodyText"/>
        <w:spacing w:line="240" w:lineRule="auto" w:before="48"/>
        <w:ind w:right="0"/>
        <w:jc w:val="left"/>
      </w:pPr>
      <w:r>
        <w:rPr/>
        <w:t>本化。</w:t>
      </w:r>
    </w:p>
    <w:p>
      <w:pPr>
        <w:spacing w:line="240" w:lineRule="auto" w:before="10"/>
        <w:rPr>
          <w:rFonts w:ascii="宋体" w:hAnsi="宋体" w:cs="宋体" w:eastAsia="宋体" w:hint="default"/>
          <w:sz w:val="15"/>
          <w:szCs w:val="15"/>
        </w:rPr>
      </w:pPr>
    </w:p>
    <w:p>
      <w:pPr>
        <w:pStyle w:val="BodyText"/>
        <w:spacing w:line="429" w:lineRule="auto"/>
        <w:ind w:right="0" w:firstLine="399"/>
        <w:jc w:val="left"/>
      </w:pPr>
      <w:r>
        <w:rPr>
          <w:spacing w:val="-1"/>
        </w:rPr>
        <w:t>购建或者生产的资产的各部分分别完工，但必须等到整体完工后才可使用或可对外销售的，在该资产整体</w:t>
      </w:r>
      <w:r>
        <w:rPr>
          <w:w w:val="100"/>
        </w:rPr>
        <w:t> </w:t>
      </w:r>
      <w:r>
        <w:rPr/>
        <w:t>完工时停止借款费用资本化。</w:t>
      </w:r>
    </w:p>
    <w:p>
      <w:pPr>
        <w:pStyle w:val="BodyText"/>
        <w:spacing w:line="429" w:lineRule="auto" w:before="48"/>
        <w:ind w:left="553" w:right="0"/>
        <w:jc w:val="left"/>
      </w:pPr>
      <w:r>
        <w:rPr/>
        <w:t>（</w:t>
      </w:r>
      <w:r>
        <w:rPr>
          <w:rFonts w:ascii="宋体" w:hAnsi="宋体" w:cs="宋体" w:eastAsia="宋体" w:hint="default"/>
        </w:rPr>
        <w:t>3</w:t>
      </w:r>
      <w:r>
        <w:rPr/>
        <w:t>）暂停资本化期间</w:t>
      </w:r>
      <w:r>
        <w:rPr>
          <w:w w:val="100"/>
        </w:rPr>
        <w:t> </w:t>
      </w:r>
      <w:r>
        <w:rPr>
          <w:spacing w:val="-2"/>
        </w:rPr>
        <w:t>符合资本化条件的资产在购建或生产过程中发生的非正常中断、且中断时间连续超过</w:t>
      </w:r>
      <w:r>
        <w:rPr>
          <w:rFonts w:ascii="宋体" w:hAnsi="宋体" w:cs="宋体" w:eastAsia="宋体" w:hint="default"/>
          <w:spacing w:val="-2"/>
        </w:rPr>
        <w:t>3</w:t>
      </w:r>
      <w:r>
        <w:rPr>
          <w:spacing w:val="-2"/>
        </w:rPr>
        <w:t>个月的，则借款费用</w:t>
      </w:r>
    </w:p>
    <w:p>
      <w:pPr>
        <w:pStyle w:val="BodyText"/>
        <w:spacing w:line="429" w:lineRule="auto" w:before="48"/>
        <w:ind w:right="1168"/>
        <w:jc w:val="both"/>
      </w:pPr>
      <w:r>
        <w:rPr>
          <w:spacing w:val="-1"/>
        </w:rPr>
        <w:t>暂停资本化；该项中断如是所购建或生产的符合资本化条件的资产达到预定可使用状态或者可销售状态必要的</w:t>
      </w:r>
      <w:r>
        <w:rPr>
          <w:spacing w:val="-63"/>
        </w:rPr>
        <w:t> </w:t>
      </w:r>
      <w:r>
        <w:rPr>
          <w:spacing w:val="-63"/>
        </w:rPr>
      </w:r>
      <w:r>
        <w:rPr>
          <w:spacing w:val="-1"/>
        </w:rPr>
        <w:t>程序，则借款费用继续资本化。在中断期间发生的借款费用确认为当期损益，直至资产的购建或者生产活动重</w:t>
      </w:r>
      <w:r>
        <w:rPr>
          <w:spacing w:val="-63"/>
        </w:rPr>
        <w:t> </w:t>
      </w:r>
      <w:r>
        <w:rPr>
          <w:spacing w:val="-63"/>
        </w:rPr>
      </w:r>
      <w:r>
        <w:rPr/>
        <w:t>新开始后借款费用继续资本化。</w:t>
      </w:r>
    </w:p>
    <w:p>
      <w:pPr>
        <w:pStyle w:val="BodyText"/>
        <w:spacing w:line="429" w:lineRule="auto" w:before="48"/>
        <w:ind w:left="553" w:right="0"/>
        <w:jc w:val="left"/>
      </w:pPr>
      <w:r>
        <w:rPr/>
        <w:t>（</w:t>
      </w:r>
      <w:r>
        <w:rPr>
          <w:rFonts w:ascii="宋体" w:hAnsi="宋体" w:cs="宋体" w:eastAsia="宋体" w:hint="default"/>
        </w:rPr>
        <w:t>4</w:t>
      </w:r>
      <w:r>
        <w:rPr/>
        <w:t>）借款费用资本化率、资本化金额的计算方法</w:t>
      </w:r>
      <w:r>
        <w:rPr>
          <w:w w:val="100"/>
        </w:rPr>
        <w:t> </w:t>
      </w:r>
      <w:r>
        <w:rPr>
          <w:spacing w:val="-1"/>
        </w:rPr>
        <w:t>对于为购建或者生产符合资本化条件的资产而借入的专门借款，以专门借款当期实际发生的借款费用，减</w:t>
      </w:r>
    </w:p>
    <w:p>
      <w:pPr>
        <w:pStyle w:val="BodyText"/>
        <w:spacing w:line="429" w:lineRule="auto" w:before="48"/>
        <w:ind w:right="1169"/>
        <w:jc w:val="both"/>
      </w:pPr>
      <w:r>
        <w:rPr>
          <w:spacing w:val="-1"/>
        </w:rPr>
        <w:t>去尚未动用的借款资金存入银行取得的利息收入或进行暂时性投资取得的投资收益后的金额，来确定借款费用</w:t>
      </w:r>
      <w:r>
        <w:rPr>
          <w:spacing w:val="-63"/>
        </w:rPr>
        <w:t> </w:t>
      </w:r>
      <w:r>
        <w:rPr>
          <w:spacing w:val="-63"/>
        </w:rPr>
      </w:r>
      <w:r>
        <w:rPr/>
        <w:t>的资本化金额。</w:t>
      </w:r>
    </w:p>
    <w:p>
      <w:pPr>
        <w:spacing w:after="0" w:line="429"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29" w:lineRule="auto"/>
        <w:ind w:right="1168" w:firstLine="399"/>
        <w:jc w:val="both"/>
      </w:pPr>
      <w:r>
        <w:rPr>
          <w:spacing w:val="-1"/>
        </w:rPr>
        <w:t>对于为购建或者生产符合资本化条件的资产而占用的一般借款，根据累计资产支出超过专门借款部分的资</w:t>
      </w:r>
      <w:r>
        <w:rPr>
          <w:w w:val="100"/>
        </w:rPr>
        <w:t> </w:t>
      </w:r>
      <w:r>
        <w:rPr>
          <w:spacing w:val="-1"/>
        </w:rPr>
        <w:t>产支出加权平均数乘以所占用一般借款的资本化率，计算确定一般借款应予资本化的借款费用金额。资本化率</w:t>
      </w:r>
      <w:r>
        <w:rPr>
          <w:spacing w:val="-63"/>
        </w:rPr>
        <w:t> </w:t>
      </w:r>
      <w:r>
        <w:rPr>
          <w:spacing w:val="-63"/>
        </w:rPr>
      </w:r>
      <w:r>
        <w:rPr/>
        <w:t>根据一般借款加权平均利率计算确定。</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18、无形资产" w:id="194"/>
      <w:bookmarkEnd w:id="194"/>
      <w:r>
        <w:rPr>
          <w:b w:val="0"/>
          <w:bCs w:val="0"/>
        </w:rPr>
      </w:r>
      <w:r>
        <w:rPr>
          <w:rFonts w:ascii="Times New Roman" w:hAnsi="Times New Roman" w:cs="Times New Roman" w:eastAsia="Times New Roman" w:hint="default"/>
        </w:rPr>
        <w:t>18</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195"/>
      <w:bookmarkEnd w:id="195"/>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3"/>
        <w:rPr>
          <w:rFonts w:ascii="宋体" w:hAnsi="宋体" w:cs="宋体" w:eastAsia="宋体" w:hint="default"/>
          <w:b/>
          <w:bCs/>
          <w:sz w:val="31"/>
          <w:szCs w:val="31"/>
        </w:rPr>
      </w:pPr>
    </w:p>
    <w:p>
      <w:pPr>
        <w:pStyle w:val="BodyText"/>
        <w:spacing w:line="429" w:lineRule="auto"/>
        <w:ind w:left="553" w:right="4938"/>
        <w:jc w:val="left"/>
      </w:pPr>
      <w:r>
        <w:rPr/>
        <w:t>①无形资产的计价方法</w:t>
      </w:r>
      <w:r>
        <w:rPr>
          <w:w w:val="100"/>
        </w:rPr>
        <w:t> </w:t>
      </w:r>
      <w:r>
        <w:rPr>
          <w:rFonts w:ascii="宋体" w:hAnsi="宋体" w:cs="宋体" w:eastAsia="宋体" w:hint="default"/>
          <w:spacing w:val="-1"/>
        </w:rPr>
        <w:t>a.</w:t>
      </w:r>
      <w:r>
        <w:rPr>
          <w:spacing w:val="-1"/>
        </w:rPr>
        <w:t>公司取得无形资产时按成本进行初始计量；</w:t>
      </w:r>
    </w:p>
    <w:p>
      <w:pPr>
        <w:pStyle w:val="BodyText"/>
        <w:spacing w:line="429" w:lineRule="auto" w:before="48"/>
        <w:ind w:right="1169" w:firstLine="399"/>
        <w:jc w:val="both"/>
      </w:pPr>
      <w:r>
        <w:rPr>
          <w:spacing w:val="-1"/>
        </w:rPr>
        <w:t>外购无形资产的成本，包括购买价款、相关税费以及直接归属于使该项资产达到预定用途所发生的其他支</w:t>
      </w:r>
      <w:r>
        <w:rPr>
          <w:w w:val="100"/>
        </w:rPr>
        <w:t> </w:t>
      </w:r>
      <w:r>
        <w:rPr>
          <w:spacing w:val="-1"/>
        </w:rPr>
        <w:t>出。购买无形资产的价款超过正常信用条件延期支付，实质上具有融资性质的，无形资产的成本以购买价款的</w:t>
      </w:r>
      <w:r>
        <w:rPr>
          <w:spacing w:val="-63"/>
        </w:rPr>
        <w:t> </w:t>
      </w:r>
      <w:r>
        <w:rPr>
          <w:spacing w:val="-63"/>
        </w:rPr>
      </w:r>
      <w:r>
        <w:rPr/>
        <w:t>现值为基础确定。</w:t>
      </w:r>
    </w:p>
    <w:p>
      <w:pPr>
        <w:pStyle w:val="BodyText"/>
        <w:spacing w:line="429" w:lineRule="auto" w:before="48"/>
        <w:ind w:right="1168" w:firstLine="399"/>
        <w:jc w:val="both"/>
      </w:pPr>
      <w:r>
        <w:rPr>
          <w:spacing w:val="-1"/>
        </w:rPr>
        <w:t>债务重组取得债务人用以抵债的无形资产，以该无形资产的公允价值为基础确定其入账价值，并将重组债</w:t>
      </w:r>
      <w:r>
        <w:rPr>
          <w:w w:val="100"/>
        </w:rPr>
        <w:t> </w:t>
      </w:r>
      <w:r>
        <w:rPr/>
        <w:t>务的账面价值与该用以抵债的无形资产公允价值之间的差额，计入当期损益。</w:t>
      </w:r>
    </w:p>
    <w:p>
      <w:pPr>
        <w:pStyle w:val="BodyText"/>
        <w:spacing w:line="429" w:lineRule="auto" w:before="48"/>
        <w:ind w:right="1169" w:firstLine="399"/>
        <w:jc w:val="both"/>
      </w:pPr>
      <w:r>
        <w:rPr>
          <w:spacing w:val="-1"/>
        </w:rPr>
        <w:t>在非货币性资产交换具备商业实质且换入资产或换出资产的公允价值能够可靠计量的前提下，非货币性资</w:t>
      </w:r>
      <w:r>
        <w:rPr>
          <w:w w:val="100"/>
        </w:rPr>
        <w:t> </w:t>
      </w:r>
      <w:r>
        <w:rPr>
          <w:spacing w:val="-1"/>
        </w:rPr>
        <w:t>产交换换入的无形资产以换出资产的公允价值为基础确定其入账价值，除非有确凿证据表明换入资产的公允价</w:t>
      </w:r>
      <w:r>
        <w:rPr>
          <w:spacing w:val="-63"/>
        </w:rPr>
        <w:t> </w:t>
      </w:r>
      <w:r>
        <w:rPr>
          <w:spacing w:val="-63"/>
        </w:rPr>
      </w:r>
      <w:r>
        <w:rPr>
          <w:spacing w:val="-1"/>
        </w:rPr>
        <w:t>值更加可靠；不满足上述前提的非货币性资产交换，以换出资产的账面价值和应支付的相关税费作为换入无形</w:t>
      </w:r>
      <w:r>
        <w:rPr>
          <w:spacing w:val="-63"/>
        </w:rPr>
        <w:t> </w:t>
      </w:r>
      <w:r>
        <w:rPr>
          <w:spacing w:val="-63"/>
        </w:rPr>
      </w:r>
      <w:r>
        <w:rPr/>
        <w:t>资产的成本，不确认损益。</w:t>
      </w:r>
    </w:p>
    <w:p>
      <w:pPr>
        <w:pStyle w:val="BodyText"/>
        <w:spacing w:line="429" w:lineRule="auto" w:before="48"/>
        <w:ind w:left="553" w:right="6214"/>
        <w:jc w:val="left"/>
      </w:pPr>
      <w:r>
        <w:rPr>
          <w:rFonts w:ascii="宋体" w:hAnsi="宋体" w:cs="宋体" w:eastAsia="宋体" w:hint="default"/>
        </w:rPr>
        <w:t>b.</w:t>
      </w:r>
      <w:r>
        <w:rPr/>
        <w:t>后续计量</w:t>
      </w:r>
      <w:r>
        <w:rPr>
          <w:w w:val="100"/>
        </w:rPr>
        <w:t> </w:t>
      </w:r>
      <w:r>
        <w:rPr>
          <w:spacing w:val="-1"/>
        </w:rPr>
        <w:t>在取得无形资产时分析判断其使用寿命。</w:t>
      </w:r>
    </w:p>
    <w:p>
      <w:pPr>
        <w:pStyle w:val="BodyText"/>
        <w:spacing w:line="429" w:lineRule="auto" w:before="48"/>
        <w:ind w:right="1168" w:firstLine="399"/>
        <w:jc w:val="both"/>
      </w:pPr>
      <w:r>
        <w:rPr>
          <w:spacing w:val="-1"/>
        </w:rPr>
        <w:t>对于使用寿命有限的无形资产，在为企业带来经济利益的期限内按直线法摊销；无法预见无形资产为企业</w:t>
      </w:r>
      <w:r>
        <w:rPr>
          <w:w w:val="100"/>
        </w:rPr>
        <w:t> </w:t>
      </w:r>
      <w:r>
        <w:rPr/>
        <w:t>带来经济利益期限的，视为使用寿命不确定的无形资产，不予摊销。</w:t>
      </w:r>
    </w:p>
    <w:p>
      <w:pPr>
        <w:pStyle w:val="BodyText"/>
        <w:spacing w:line="240" w:lineRule="auto" w:before="48"/>
        <w:ind w:left="553" w:right="0"/>
        <w:jc w:val="left"/>
      </w:pPr>
      <w:r>
        <w:rPr/>
        <w:t>②使用寿命有限的无形资产的使用寿命估计情况：</w:t>
      </w:r>
    </w:p>
    <w:p>
      <w:pPr>
        <w:spacing w:line="240" w:lineRule="auto" w:before="3"/>
        <w:rPr>
          <w:rFonts w:ascii="宋体" w:hAnsi="宋体" w:cs="宋体" w:eastAsia="宋体" w:hint="default"/>
          <w:sz w:val="10"/>
          <w:szCs w:val="10"/>
        </w:rPr>
      </w:pPr>
    </w:p>
    <w:tbl>
      <w:tblPr>
        <w:tblW w:w="0" w:type="auto"/>
        <w:jc w:val="left"/>
        <w:tblInd w:w="753" w:type="dxa"/>
        <w:tblLayout w:type="fixed"/>
        <w:tblCellMar>
          <w:top w:w="0" w:type="dxa"/>
          <w:left w:w="0" w:type="dxa"/>
          <w:bottom w:w="0" w:type="dxa"/>
          <w:right w:w="0" w:type="dxa"/>
        </w:tblCellMar>
        <w:tblLook w:val="01E0"/>
      </w:tblPr>
      <w:tblGrid>
        <w:gridCol w:w="3055"/>
        <w:gridCol w:w="1913"/>
        <w:gridCol w:w="2846"/>
      </w:tblGrid>
      <w:tr>
        <w:trPr>
          <w:trHeight w:val="347" w:hRule="exact"/>
        </w:trPr>
        <w:tc>
          <w:tcPr>
            <w:tcW w:w="3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预计使用寿命</w:t>
            </w:r>
          </w:p>
        </w:tc>
        <w:tc>
          <w:tcPr>
            <w:tcW w:w="2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依据</w:t>
            </w:r>
          </w:p>
        </w:tc>
      </w:tr>
      <w:tr>
        <w:trPr>
          <w:trHeight w:val="347" w:hRule="exact"/>
        </w:trPr>
        <w:tc>
          <w:tcPr>
            <w:tcW w:w="3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软件</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w:t>
            </w:r>
          </w:p>
        </w:tc>
        <w:tc>
          <w:tcPr>
            <w:tcW w:w="2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预计受益年限</w:t>
            </w:r>
          </w:p>
        </w:tc>
      </w:tr>
      <w:tr>
        <w:trPr>
          <w:trHeight w:val="348" w:hRule="exact"/>
        </w:trPr>
        <w:tc>
          <w:tcPr>
            <w:tcW w:w="3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50</w:t>
            </w:r>
            <w:r>
              <w:rPr>
                <w:rFonts w:ascii="宋体" w:hAnsi="宋体" w:cs="宋体" w:eastAsia="宋体" w:hint="default"/>
                <w:sz w:val="20"/>
                <w:szCs w:val="20"/>
              </w:rPr>
              <w:t>年</w:t>
            </w:r>
          </w:p>
        </w:tc>
        <w:tc>
          <w:tcPr>
            <w:tcW w:w="2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土地使用权证</w:t>
            </w:r>
          </w:p>
        </w:tc>
      </w:tr>
      <w:tr>
        <w:trPr>
          <w:trHeight w:val="347" w:hRule="exact"/>
        </w:trPr>
        <w:tc>
          <w:tcPr>
            <w:tcW w:w="3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专利权</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宋体" w:hAnsi="宋体" w:cs="宋体" w:eastAsia="宋体" w:hint="default"/>
                <w:sz w:val="20"/>
                <w:szCs w:val="20"/>
              </w:rPr>
              <w:t>年</w:t>
            </w:r>
          </w:p>
        </w:tc>
        <w:tc>
          <w:tcPr>
            <w:tcW w:w="2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专利权有效期限</w:t>
            </w:r>
          </w:p>
        </w:tc>
      </w:tr>
      <w:tr>
        <w:trPr>
          <w:trHeight w:val="347" w:hRule="exact"/>
        </w:trPr>
        <w:tc>
          <w:tcPr>
            <w:tcW w:w="3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非专利技术</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宋体" w:hAnsi="宋体" w:cs="宋体" w:eastAsia="宋体" w:hint="default"/>
                <w:sz w:val="20"/>
                <w:szCs w:val="20"/>
              </w:rPr>
              <w:t>年</w:t>
            </w:r>
          </w:p>
        </w:tc>
        <w:tc>
          <w:tcPr>
            <w:tcW w:w="2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预计受益年限</w:t>
            </w:r>
          </w:p>
        </w:tc>
      </w:tr>
    </w:tbl>
    <w:p>
      <w:pPr>
        <w:pStyle w:val="BodyText"/>
        <w:spacing w:line="429" w:lineRule="auto" w:before="72"/>
        <w:ind w:left="553" w:right="0"/>
        <w:jc w:val="left"/>
      </w:pPr>
      <w:r>
        <w:rPr>
          <w:spacing w:val="-1"/>
        </w:rPr>
        <w:t>每年度终了，对使用寿命有限的无形资产的使用寿命及摊销方法进行复核。</w:t>
      </w:r>
      <w:r>
        <w:rPr>
          <w:spacing w:val="-74"/>
        </w:rPr>
        <w:t> </w:t>
      </w:r>
      <w:r>
        <w:rPr>
          <w:spacing w:val="-74"/>
        </w:rPr>
      </w:r>
      <w:r>
        <w:rPr/>
        <w:t>经复核，本年期末无形资产的使用寿命及摊销方法与以前估计未有不同。</w:t>
      </w:r>
    </w:p>
    <w:p>
      <w:pPr>
        <w:pStyle w:val="BodyText"/>
        <w:spacing w:line="429" w:lineRule="auto" w:before="48"/>
        <w:ind w:left="553" w:right="0"/>
        <w:jc w:val="left"/>
      </w:pPr>
      <w:r>
        <w:rPr>
          <w:spacing w:val="-1"/>
        </w:rPr>
        <w:t>③使用寿命不确定的无形资产的判断依据以及对其使用寿命进行复核的程序</w:t>
      </w:r>
      <w:r>
        <w:rPr>
          <w:spacing w:val="-74"/>
        </w:rPr>
        <w:t> </w:t>
      </w:r>
      <w:r>
        <w:rPr>
          <w:spacing w:val="-74"/>
        </w:rPr>
      </w:r>
      <w:r>
        <w:rPr/>
        <w:t>截至资产负债表日</w:t>
      </w:r>
      <w:r>
        <w:rPr>
          <w:rFonts w:ascii="宋体" w:hAnsi="宋体" w:cs="宋体" w:eastAsia="宋体" w:hint="default"/>
        </w:rPr>
        <w:t>,</w:t>
      </w:r>
      <w:r>
        <w:rPr/>
        <w:t>公司无使用寿命不确定的无形资产。</w:t>
      </w:r>
    </w:p>
    <w:p>
      <w:pPr>
        <w:spacing w:after="0" w:line="429"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内部研究开发支出会计政策" w:id="196"/>
      <w:bookmarkEnd w:id="196"/>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3"/>
        <w:rPr>
          <w:rFonts w:ascii="宋体" w:hAnsi="宋体" w:cs="宋体" w:eastAsia="宋体" w:hint="default"/>
          <w:b/>
          <w:bCs/>
          <w:sz w:val="31"/>
          <w:szCs w:val="31"/>
        </w:rPr>
      </w:pPr>
    </w:p>
    <w:p>
      <w:pPr>
        <w:pStyle w:val="BodyText"/>
        <w:spacing w:line="429" w:lineRule="auto"/>
        <w:ind w:left="553" w:right="0"/>
        <w:jc w:val="left"/>
      </w:pPr>
      <w:r>
        <w:rPr/>
        <w:t>①划分研究阶段和开发阶段的具体标准</w:t>
      </w:r>
      <w:r>
        <w:rPr>
          <w:w w:val="100"/>
        </w:rPr>
        <w:t> </w:t>
      </w:r>
      <w:r>
        <w:rPr>
          <w:spacing w:val="-2"/>
        </w:rPr>
        <w:t>公司制定了研发项目管理制度，明确每个研发项目均需要经过项目调研、立项申请、立项评审、项目启动、</w:t>
      </w:r>
    </w:p>
    <w:p>
      <w:pPr>
        <w:pStyle w:val="BodyText"/>
        <w:spacing w:line="429" w:lineRule="auto" w:before="48"/>
        <w:ind w:left="553" w:right="4938" w:hanging="400"/>
        <w:jc w:val="left"/>
      </w:pPr>
      <w:r>
        <w:rPr>
          <w:spacing w:val="-1"/>
        </w:rPr>
        <w:t>项目过程管理、项目阶段评估和项目验收阶段。</w:t>
      </w:r>
      <w:r>
        <w:rPr>
          <w:spacing w:val="-83"/>
        </w:rPr>
        <w:t> </w:t>
      </w:r>
      <w:r>
        <w:rPr>
          <w:spacing w:val="-83"/>
        </w:rPr>
      </w:r>
      <w:r>
        <w:rPr/>
        <w:t>研发费用的会计处理方式为：</w:t>
      </w:r>
    </w:p>
    <w:p>
      <w:pPr>
        <w:pStyle w:val="BodyText"/>
        <w:spacing w:line="429" w:lineRule="auto" w:before="48"/>
        <w:ind w:right="0" w:firstLine="399"/>
        <w:jc w:val="left"/>
      </w:pPr>
      <w:r>
        <w:rPr>
          <w:spacing w:val="-1"/>
        </w:rPr>
        <w:t>将研究阶段和不符合资本化条件的开发阶段的费用计入“研发支出—费用化”科目进行核算，月底一次性</w:t>
      </w:r>
      <w:r>
        <w:rPr>
          <w:w w:val="100"/>
        </w:rPr>
        <w:t> </w:t>
      </w:r>
      <w:r>
        <w:rPr/>
        <w:t>费用化，结转计入当期损益；</w:t>
      </w:r>
    </w:p>
    <w:p>
      <w:pPr>
        <w:pStyle w:val="BodyText"/>
        <w:spacing w:line="429" w:lineRule="auto" w:before="48"/>
        <w:ind w:left="553" w:right="0"/>
        <w:jc w:val="left"/>
      </w:pPr>
      <w:r>
        <w:rPr>
          <w:spacing w:val="-1"/>
        </w:rPr>
        <w:t>将符合资本化条件的开发阶段的费用计入“研发支出—资本化”科目进行归集核算，具体操作过程如下：</w:t>
      </w:r>
      <w:r>
        <w:rPr>
          <w:spacing w:val="-63"/>
        </w:rPr>
        <w:t> </w:t>
      </w:r>
      <w:r>
        <w:rPr>
          <w:spacing w:val="-63"/>
        </w:rPr>
      </w:r>
      <w:r>
        <w:rPr>
          <w:rFonts w:ascii="宋体" w:hAnsi="宋体" w:cs="宋体" w:eastAsia="宋体" w:hint="default"/>
        </w:rPr>
        <w:t>a.</w:t>
      </w:r>
      <w:r>
        <w:rPr/>
        <w:t>研发费用资本化开始时点：</w:t>
      </w:r>
      <w:r>
        <w:rPr>
          <w:w w:val="100"/>
        </w:rPr>
        <w:t> </w:t>
      </w:r>
      <w:r>
        <w:rPr>
          <w:spacing w:val="-1"/>
        </w:rPr>
        <w:t>在形成《项目可行性研究报告》后由公司组织项目评审组对项目的技术可行性、方案可行性、研发产品未</w:t>
      </w:r>
    </w:p>
    <w:p>
      <w:pPr>
        <w:pStyle w:val="BodyText"/>
        <w:spacing w:line="429" w:lineRule="auto" w:before="48"/>
        <w:ind w:right="1030"/>
        <w:jc w:val="left"/>
      </w:pPr>
      <w:r>
        <w:rPr>
          <w:spacing w:val="-2"/>
        </w:rPr>
        <w:t>来市场情况、投资收益、投资风险、预算的合理性和项目资金的落实情况进行评审。通过评审形成立项通知书，</w:t>
      </w:r>
      <w:r>
        <w:rPr>
          <w:spacing w:val="-77"/>
        </w:rPr>
        <w:t> </w:t>
      </w:r>
      <w:r>
        <w:rPr>
          <w:spacing w:val="-77"/>
        </w:rPr>
      </w:r>
      <w:r>
        <w:rPr/>
        <w:t>此时为研发费用资本化开始时点。项目资本化开始后产生的相关费用在“研发支出—资本化”科目进行归集核</w:t>
      </w:r>
      <w:r>
        <w:rPr>
          <w:w w:val="100"/>
        </w:rPr>
        <w:t> </w:t>
      </w:r>
      <w:r>
        <w:rPr/>
        <w:t>算。</w:t>
      </w:r>
    </w:p>
    <w:p>
      <w:pPr>
        <w:pStyle w:val="BodyText"/>
        <w:spacing w:line="429" w:lineRule="auto" w:before="48"/>
        <w:ind w:left="553" w:right="0"/>
        <w:jc w:val="left"/>
      </w:pPr>
      <w:r>
        <w:rPr>
          <w:rFonts w:ascii="宋体" w:hAnsi="宋体" w:cs="宋体" w:eastAsia="宋体" w:hint="default"/>
        </w:rPr>
        <w:t>b.</w:t>
      </w:r>
      <w:r>
        <w:rPr/>
        <w:t>研发项目成果结转</w:t>
      </w:r>
      <w:r>
        <w:rPr>
          <w:w w:val="100"/>
        </w:rPr>
        <w:t> </w:t>
      </w:r>
      <w:r>
        <w:rPr>
          <w:spacing w:val="-1"/>
        </w:rPr>
        <w:t>研发项目达到研发目标后，项目开发组、相关专家、业务部门及财务管理部、审计部等组成研发项目验收</w:t>
      </w:r>
    </w:p>
    <w:p>
      <w:pPr>
        <w:pStyle w:val="BodyText"/>
        <w:spacing w:line="429" w:lineRule="auto" w:before="48"/>
        <w:ind w:right="0"/>
        <w:jc w:val="left"/>
      </w:pPr>
      <w:r>
        <w:rPr>
          <w:spacing w:val="-1"/>
        </w:rPr>
        <w:t>组，对项目成果进行验收，形成《验收报告》和《结项报告》。对研发成果申请专利或计算机软件著作权，取</w:t>
      </w:r>
      <w:r>
        <w:rPr>
          <w:spacing w:val="-62"/>
        </w:rPr>
        <w:t> </w:t>
      </w:r>
      <w:r>
        <w:rPr>
          <w:spacing w:val="-62"/>
        </w:rPr>
      </w:r>
      <w:r>
        <w:rPr/>
        <w:t>得著作权登记证书当月，将“研发支出—资本化”归集的费用转入无形资产进行核算。</w:t>
      </w:r>
    </w:p>
    <w:p>
      <w:pPr>
        <w:pStyle w:val="BodyText"/>
        <w:spacing w:line="429" w:lineRule="auto" w:before="48"/>
        <w:ind w:left="553" w:right="1118"/>
        <w:jc w:val="left"/>
      </w:pPr>
      <w:r>
        <w:rPr/>
        <w:t>②开发阶段支出资本化的具体条件</w:t>
      </w:r>
      <w:r>
        <w:rPr>
          <w:w w:val="100"/>
        </w:rPr>
        <w:t> </w:t>
      </w:r>
      <w:r>
        <w:rPr/>
        <w:t>内部研究开发项目开发阶段的支出，同时满足下列条件时确认为无形资产：</w:t>
      </w:r>
      <w:r>
        <w:rPr>
          <w:w w:val="100"/>
        </w:rPr>
        <w:t> </w:t>
      </w:r>
      <w:r>
        <w:rPr>
          <w:rFonts w:ascii="宋体" w:hAnsi="宋体" w:cs="宋体" w:eastAsia="宋体" w:hint="default"/>
        </w:rPr>
        <w:t>a.</w:t>
      </w:r>
      <w:r>
        <w:rPr/>
        <w:t>完成该无形资产以使其能够使用或出售在技术上具有可行性；</w:t>
      </w:r>
      <w:r>
        <w:rPr>
          <w:w w:val="100"/>
        </w:rPr>
        <w:t> </w:t>
      </w:r>
      <w:r>
        <w:rPr>
          <w:rFonts w:ascii="宋体" w:hAnsi="宋体" w:cs="宋体" w:eastAsia="宋体" w:hint="default"/>
        </w:rPr>
        <w:t>b.</w:t>
      </w:r>
      <w:r>
        <w:rPr/>
        <w:t>具有完成该无形资产并使用或出售的意图；</w:t>
      </w:r>
      <w:r>
        <w:rPr>
          <w:w w:val="100"/>
        </w:rPr>
        <w:t> </w:t>
      </w:r>
      <w:r>
        <w:rPr>
          <w:rFonts w:ascii="宋体" w:hAnsi="宋体" w:cs="宋体" w:eastAsia="宋体" w:hint="default"/>
          <w:spacing w:val="-1"/>
        </w:rPr>
        <w:t>c.</w:t>
      </w:r>
      <w:r>
        <w:rPr>
          <w:spacing w:val="-1"/>
        </w:rPr>
        <w:t>无形资产产生经济利益的方式，包括能够证明运用该无形资产生产的产品存在市场或无形资产自身存在</w:t>
      </w:r>
    </w:p>
    <w:p>
      <w:pPr>
        <w:pStyle w:val="BodyText"/>
        <w:spacing w:line="429" w:lineRule="auto" w:before="48"/>
        <w:ind w:left="553" w:right="0" w:hanging="400"/>
        <w:jc w:val="left"/>
      </w:pPr>
      <w:r>
        <w:rPr/>
        <w:t>市场，无形资产将在内部使用的，能够证明其有用性；</w:t>
      </w:r>
      <w:r>
        <w:rPr>
          <w:w w:val="100"/>
        </w:rPr>
        <w:t> </w:t>
      </w:r>
      <w:r>
        <w:rPr>
          <w:rFonts w:ascii="宋体" w:hAnsi="宋体" w:cs="宋体" w:eastAsia="宋体" w:hint="default"/>
          <w:spacing w:val="-2"/>
        </w:rPr>
        <w:t>d.</w:t>
      </w:r>
      <w:r>
        <w:rPr>
          <w:spacing w:val="-2"/>
        </w:rPr>
        <w:t>有足够的技术、财务资源和其他资源支持，以完成该无形资产的开发，并有能力使用或出售该无形资产；</w:t>
      </w:r>
      <w:r>
        <w:rPr>
          <w:w w:val="100"/>
        </w:rPr>
        <w:t> </w:t>
      </w:r>
      <w:r>
        <w:rPr>
          <w:rFonts w:ascii="宋体" w:hAnsi="宋体" w:cs="宋体" w:eastAsia="宋体" w:hint="default"/>
        </w:rPr>
        <w:t>e.</w:t>
      </w:r>
      <w:r>
        <w:rPr/>
        <w:t>归属于该无形资产开发阶段的支出能够可靠地计量。</w:t>
      </w:r>
      <w:r>
        <w:rPr>
          <w:w w:val="100"/>
        </w:rPr>
        <w:t> </w:t>
      </w:r>
      <w:r>
        <w:rPr/>
        <w:t>开发阶段的支出，若不满足上列条件的，于发生时计入当期损益。</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19、长期资产减值" w:id="197"/>
      <w:bookmarkEnd w:id="197"/>
      <w:r>
        <w:rPr>
          <w:b w:val="0"/>
          <w:bCs w:val="0"/>
        </w:rPr>
      </w:r>
      <w:r>
        <w:rPr>
          <w:rFonts w:ascii="Times New Roman" w:hAnsi="Times New Roman" w:cs="Times New Roman" w:eastAsia="Times New Roman" w:hint="default"/>
        </w:rPr>
        <w:t>19</w:t>
      </w:r>
      <w:r>
        <w:rPr/>
        <w:t>、长期资产减值</w:t>
      </w:r>
      <w:r>
        <w:rPr>
          <w:b w:val="0"/>
          <w:bCs w:val="0"/>
        </w:rPr>
      </w:r>
    </w:p>
    <w:p>
      <w:pPr>
        <w:spacing w:line="240" w:lineRule="auto" w:before="3"/>
        <w:rPr>
          <w:rFonts w:ascii="宋体" w:hAnsi="宋体" w:cs="宋体" w:eastAsia="宋体" w:hint="default"/>
          <w:b/>
          <w:bCs/>
          <w:sz w:val="31"/>
          <w:szCs w:val="31"/>
        </w:rPr>
      </w:pPr>
    </w:p>
    <w:p>
      <w:pPr>
        <w:pStyle w:val="BodyText"/>
        <w:spacing w:line="240" w:lineRule="auto"/>
        <w:ind w:left="553" w:right="0"/>
        <w:jc w:val="left"/>
      </w:pPr>
      <w:r>
        <w:rPr/>
        <w:t>长期股权投资、采用成本模式计量的投资性房地产、固定资产、在建工程、使用寿命有限的无形资产等长</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29" w:lineRule="auto"/>
        <w:ind w:right="1168"/>
        <w:jc w:val="both"/>
      </w:pPr>
      <w:r>
        <w:rPr>
          <w:spacing w:val="-1"/>
        </w:rPr>
        <w:t>期资产，于资产负债表日存在减值迹象的，进行减值测试。减值测试结果表明资产的可收回金额低于其账面价</w:t>
      </w:r>
      <w:r>
        <w:rPr>
          <w:spacing w:val="-63"/>
        </w:rPr>
        <w:t> </w:t>
      </w:r>
      <w:r>
        <w:rPr>
          <w:spacing w:val="-63"/>
        </w:rPr>
      </w:r>
      <w:r>
        <w:rPr>
          <w:spacing w:val="-1"/>
        </w:rPr>
        <w:t>值的，按其差额计提减值准备并计入减值损失。可收回金额为资产的公允价值减去处置费用后的净额与资产预</w:t>
      </w:r>
      <w:r>
        <w:rPr>
          <w:spacing w:val="-63"/>
        </w:rPr>
        <w:t> </w:t>
      </w:r>
      <w:r>
        <w:rPr>
          <w:spacing w:val="-63"/>
        </w:rPr>
      </w:r>
      <w:r>
        <w:rPr>
          <w:spacing w:val="-1"/>
        </w:rPr>
        <w:t>计未来现金流量的现值两者之间的较高者。资产减值准备按单项资产为基础计算并确认，如果难以对单项资产</w:t>
      </w:r>
      <w:r>
        <w:rPr>
          <w:spacing w:val="-63"/>
        </w:rPr>
        <w:t> </w:t>
      </w:r>
      <w:r>
        <w:rPr>
          <w:spacing w:val="-63"/>
        </w:rPr>
      </w:r>
      <w:r>
        <w:rPr>
          <w:spacing w:val="-1"/>
        </w:rPr>
        <w:t>的可收回金额进行估计的，以该资产所属的资产组确定资产组的可收回金额。资产组是能够独立产生现金流入</w:t>
      </w:r>
      <w:r>
        <w:rPr>
          <w:spacing w:val="-63"/>
        </w:rPr>
        <w:t> </w:t>
      </w:r>
      <w:r>
        <w:rPr>
          <w:spacing w:val="-63"/>
        </w:rPr>
      </w:r>
      <w:r>
        <w:rPr/>
        <w:t>的最小资产组合。</w:t>
      </w:r>
    </w:p>
    <w:p>
      <w:pPr>
        <w:pStyle w:val="BodyText"/>
        <w:spacing w:line="429" w:lineRule="auto" w:before="48"/>
        <w:ind w:left="553" w:right="0"/>
        <w:jc w:val="left"/>
      </w:pPr>
      <w:r>
        <w:rPr/>
        <w:t>商誉和使用寿命不确定的无形资产至少在每年年度终了进行减值测试。</w:t>
      </w:r>
      <w:r>
        <w:rPr>
          <w:w w:val="100"/>
        </w:rPr>
        <w:t> </w:t>
      </w:r>
      <w:r>
        <w:rPr>
          <w:spacing w:val="-1"/>
        </w:rPr>
        <w:t>本公司进行商誉减值测试，对于因企业合并形成的商誉的账面价值，自购买日起按照合理的方法分摊至相</w:t>
      </w:r>
    </w:p>
    <w:p>
      <w:pPr>
        <w:pStyle w:val="BodyText"/>
        <w:spacing w:line="429" w:lineRule="auto" w:before="48"/>
        <w:ind w:right="1168"/>
        <w:jc w:val="both"/>
      </w:pPr>
      <w:r>
        <w:rPr>
          <w:spacing w:val="-1"/>
        </w:rPr>
        <w:t>关的资产组；难以分摊至相关的资产组的，将其分摊至相关的资产组组合。在将商誉的账面价值分摊至相关的</w:t>
      </w:r>
      <w:r>
        <w:rPr>
          <w:spacing w:val="-63"/>
        </w:rPr>
        <w:t> </w:t>
      </w:r>
      <w:r>
        <w:rPr>
          <w:spacing w:val="-63"/>
        </w:rPr>
      </w:r>
      <w:r>
        <w:rPr>
          <w:spacing w:val="-1"/>
        </w:rPr>
        <w:t>资产组或者资产组组合时，按照各资产组或者资产组组合的公允价值占相关资产组或者资产组组合公允价值总</w:t>
      </w:r>
      <w:r>
        <w:rPr>
          <w:spacing w:val="-63"/>
        </w:rPr>
        <w:t> </w:t>
      </w:r>
      <w:r>
        <w:rPr>
          <w:spacing w:val="-63"/>
        </w:rPr>
      </w:r>
      <w:r>
        <w:rPr>
          <w:spacing w:val="-1"/>
        </w:rPr>
        <w:t>额的比例进行分摊。公允价值难以可靠计量的，按照各资产组或者资产组组合的账面价值占相关资产组或者资</w:t>
      </w:r>
      <w:r>
        <w:rPr>
          <w:spacing w:val="-63"/>
        </w:rPr>
        <w:t> </w:t>
      </w:r>
      <w:r>
        <w:rPr>
          <w:spacing w:val="-63"/>
        </w:rPr>
      </w:r>
      <w:r>
        <w:rPr/>
        <w:t>产组组合账面价值总额的比例进行分摊。</w:t>
      </w:r>
    </w:p>
    <w:p>
      <w:pPr>
        <w:pStyle w:val="BodyText"/>
        <w:spacing w:line="429" w:lineRule="auto" w:before="48"/>
        <w:ind w:right="1131" w:firstLine="399"/>
        <w:jc w:val="both"/>
      </w:pPr>
      <w:r>
        <w:rPr/>
        <w:t>在对包含商誉的相关资产组或者资产组组合进行减值测试时，如与商誉相关的资产组或者资产组组合存在</w:t>
      </w:r>
      <w:r>
        <w:rPr>
          <w:w w:val="100"/>
        </w:rPr>
        <w:t> </w:t>
      </w:r>
      <w:r>
        <w:rPr/>
        <w:t>减值迹象的，先对不包含商誉的资产组或者资产组组合进行减值测试，计算可收回金额，并与相关账面价值相</w:t>
      </w:r>
      <w:r>
        <w:rPr>
          <w:w w:val="100"/>
        </w:rPr>
        <w:t> </w:t>
      </w:r>
      <w:r>
        <w:rPr/>
        <w:t>比较，确认相应的减值损失。再对包含商誉的资产组或者资产组组合进行减值测试，比较这些相关资产组或者</w:t>
      </w:r>
      <w:r>
        <w:rPr>
          <w:w w:val="100"/>
        </w:rPr>
        <w:t> </w:t>
      </w:r>
      <w:r>
        <w:rPr/>
        <w:t>资产组组合的账面价值（包括所分摊的商誉的账面价值部分）与其可收回金额，如相关资产组或者资产组组合</w:t>
      </w:r>
      <w:r>
        <w:rPr>
          <w:w w:val="100"/>
        </w:rPr>
        <w:t> </w:t>
      </w:r>
      <w:r>
        <w:rPr>
          <w:spacing w:val="-2"/>
        </w:rPr>
        <w:t>的可收回金额低于其账面价值的，确认商誉的减值损失。</w:t>
      </w:r>
      <w:r>
        <w:rPr/>
        <w:t> </w:t>
      </w:r>
      <w:r>
        <w:rPr>
          <w:spacing w:val="-2"/>
        </w:rPr>
        <w:t>上述资产减值损失一经确认，在以后会计期间不予转</w:t>
      </w:r>
      <w:r>
        <w:rPr>
          <w:spacing w:val="-78"/>
        </w:rPr>
        <w:t> </w:t>
      </w:r>
      <w:r>
        <w:rPr>
          <w:spacing w:val="-78"/>
        </w:rPr>
      </w:r>
      <w:r>
        <w:rPr/>
        <w:t>回。</w:t>
      </w:r>
    </w:p>
    <w:p>
      <w:pPr>
        <w:spacing w:line="240" w:lineRule="auto" w:before="0"/>
        <w:rPr>
          <w:rFonts w:ascii="宋体" w:hAnsi="宋体" w:cs="宋体" w:eastAsia="宋体" w:hint="default"/>
          <w:sz w:val="20"/>
          <w:szCs w:val="20"/>
        </w:rPr>
      </w:pPr>
    </w:p>
    <w:p>
      <w:pPr>
        <w:pStyle w:val="Heading3"/>
        <w:spacing w:line="240" w:lineRule="auto"/>
        <w:ind w:right="0"/>
        <w:jc w:val="both"/>
        <w:rPr>
          <w:b w:val="0"/>
          <w:bCs w:val="0"/>
        </w:rPr>
      </w:pPr>
      <w:bookmarkStart w:name="20、长期待摊费用" w:id="198"/>
      <w:bookmarkEnd w:id="198"/>
      <w:r>
        <w:rPr>
          <w:b w:val="0"/>
          <w:bCs w:val="0"/>
        </w:rPr>
      </w:r>
      <w:r>
        <w:rPr>
          <w:rFonts w:ascii="Times New Roman" w:hAnsi="Times New Roman" w:cs="Times New Roman" w:eastAsia="Times New Roman" w:hint="default"/>
        </w:rPr>
        <w:t>20</w:t>
      </w:r>
      <w:r>
        <w:rPr/>
        <w:t>、长期待摊费用</w:t>
      </w:r>
      <w:r>
        <w:rPr>
          <w:b w:val="0"/>
          <w:bCs w:val="0"/>
        </w:rPr>
      </w:r>
    </w:p>
    <w:p>
      <w:pPr>
        <w:spacing w:line="240" w:lineRule="auto" w:before="3"/>
        <w:rPr>
          <w:rFonts w:ascii="宋体" w:hAnsi="宋体" w:cs="宋体" w:eastAsia="宋体" w:hint="default"/>
          <w:b/>
          <w:bCs/>
          <w:sz w:val="31"/>
          <w:szCs w:val="31"/>
        </w:rPr>
      </w:pPr>
    </w:p>
    <w:p>
      <w:pPr>
        <w:pStyle w:val="BodyText"/>
        <w:spacing w:line="429" w:lineRule="auto"/>
        <w:ind w:right="1169" w:firstLine="399"/>
        <w:jc w:val="both"/>
      </w:pPr>
      <w:r>
        <w:rPr>
          <w:spacing w:val="-1"/>
        </w:rPr>
        <w:t>长期待摊费用为已经发生但应由本期和以后各期负担的分摊期限在一年以上的各项费用。本公司长期待摊</w:t>
      </w:r>
      <w:r>
        <w:rPr>
          <w:w w:val="100"/>
        </w:rPr>
        <w:t> </w:t>
      </w:r>
      <w:r>
        <w:rPr/>
        <w:t>费用包括装修费。</w:t>
      </w:r>
    </w:p>
    <w:p>
      <w:pPr>
        <w:pStyle w:val="BodyText"/>
        <w:spacing w:line="429" w:lineRule="auto" w:before="48"/>
        <w:ind w:left="553" w:right="7368"/>
        <w:jc w:val="left"/>
      </w:pPr>
      <w:r>
        <w:rPr/>
        <w:t>（</w:t>
      </w:r>
      <w:r>
        <w:rPr>
          <w:rFonts w:ascii="宋体" w:hAnsi="宋体" w:cs="宋体" w:eastAsia="宋体" w:hint="default"/>
        </w:rPr>
        <w:t>1</w:t>
      </w:r>
      <w:r>
        <w:rPr/>
        <w:t>）摊销方法</w:t>
      </w:r>
      <w:r>
        <w:rPr>
          <w:w w:val="100"/>
        </w:rPr>
        <w:t> </w:t>
      </w:r>
      <w:r>
        <w:rPr>
          <w:spacing w:val="-1"/>
        </w:rPr>
        <w:t>长期待摊费用在受益期内平均摊销</w:t>
      </w:r>
    </w:p>
    <w:p>
      <w:pPr>
        <w:pStyle w:val="BodyText"/>
        <w:spacing w:line="429" w:lineRule="auto" w:before="48"/>
        <w:ind w:left="553" w:right="3147"/>
        <w:jc w:val="left"/>
      </w:pPr>
      <w:r>
        <w:rPr/>
        <w:t>（</w:t>
      </w:r>
      <w:r>
        <w:rPr>
          <w:rFonts w:ascii="宋体" w:hAnsi="宋体" w:cs="宋体" w:eastAsia="宋体" w:hint="default"/>
        </w:rPr>
        <w:t>2</w:t>
      </w:r>
      <w:r>
        <w:rPr/>
        <w:t>）摊销年限</w:t>
      </w:r>
      <w:r>
        <w:rPr>
          <w:w w:val="100"/>
        </w:rPr>
        <w:t> </w:t>
      </w:r>
      <w:r>
        <w:rPr>
          <w:spacing w:val="-1"/>
        </w:rPr>
        <w:t>装修费按照预计可使用年限和剩余租赁期限孰短原则确认摊销年限。</w:t>
      </w:r>
    </w:p>
    <w:p>
      <w:pPr>
        <w:spacing w:line="240" w:lineRule="auto" w:before="0"/>
        <w:rPr>
          <w:rFonts w:ascii="宋体" w:hAnsi="宋体" w:cs="宋体" w:eastAsia="宋体" w:hint="default"/>
          <w:sz w:val="20"/>
          <w:szCs w:val="20"/>
        </w:rPr>
      </w:pPr>
    </w:p>
    <w:p>
      <w:pPr>
        <w:pStyle w:val="Heading3"/>
        <w:spacing w:line="240" w:lineRule="auto"/>
        <w:ind w:right="0"/>
        <w:jc w:val="both"/>
        <w:rPr>
          <w:b w:val="0"/>
          <w:bCs w:val="0"/>
        </w:rPr>
      </w:pPr>
      <w:bookmarkStart w:name="21、职工薪酬" w:id="199"/>
      <w:bookmarkEnd w:id="199"/>
      <w:r>
        <w:rPr>
          <w:b w:val="0"/>
          <w:bCs w:val="0"/>
        </w:rPr>
      </w:r>
      <w:r>
        <w:rPr>
          <w:rFonts w:ascii="Times New Roman" w:hAnsi="Times New Roman" w:cs="Times New Roman" w:eastAsia="Times New Roman" w:hint="default"/>
        </w:rPr>
        <w:t>21</w:t>
      </w:r>
      <w:r>
        <w:rPr/>
        <w:t>、职工薪酬</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短期薪酬的会计处理方法" w:id="200"/>
      <w:bookmarkEnd w:id="200"/>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3"/>
        <w:rPr>
          <w:rFonts w:ascii="宋体" w:hAnsi="宋体" w:cs="宋体" w:eastAsia="宋体" w:hint="default"/>
          <w:b/>
          <w:bCs/>
          <w:sz w:val="31"/>
          <w:szCs w:val="31"/>
        </w:rPr>
      </w:pPr>
    </w:p>
    <w:p>
      <w:pPr>
        <w:pStyle w:val="BodyText"/>
        <w:spacing w:line="240" w:lineRule="auto"/>
        <w:ind w:left="553" w:right="0"/>
        <w:jc w:val="left"/>
      </w:pPr>
      <w:r>
        <w:rPr/>
        <w:t>本公司在职工为本公司提供服务的会计期间，将实际发生的短期薪酬确认为负债，并计入当期损益或相关</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ind w:right="0"/>
        <w:jc w:val="left"/>
      </w:pPr>
      <w:r>
        <w:rPr/>
        <w:t>资产成本。</w:t>
      </w:r>
    </w:p>
    <w:p>
      <w:pPr>
        <w:spacing w:line="240" w:lineRule="auto" w:before="10"/>
        <w:rPr>
          <w:rFonts w:ascii="宋体" w:hAnsi="宋体" w:cs="宋体" w:eastAsia="宋体" w:hint="default"/>
          <w:sz w:val="15"/>
          <w:szCs w:val="15"/>
        </w:rPr>
      </w:pPr>
    </w:p>
    <w:p>
      <w:pPr>
        <w:pStyle w:val="BodyText"/>
        <w:spacing w:line="429" w:lineRule="auto"/>
        <w:ind w:right="0" w:firstLine="399"/>
        <w:jc w:val="left"/>
      </w:pPr>
      <w:r>
        <w:rPr>
          <w:spacing w:val="-1"/>
        </w:rPr>
        <w:t>本公司为职工缴纳的社会保险费和住房公积金，以及按规定提取的工会经费和职工教育经费，在职工为本</w:t>
      </w:r>
      <w:r>
        <w:rPr>
          <w:w w:val="100"/>
        </w:rPr>
        <w:t> </w:t>
      </w:r>
      <w:r>
        <w:rPr/>
        <w:t>公司提供服务的会计期间，根据规定的计提基础和计提比例计算确定相应的职工薪酬金额。</w:t>
      </w:r>
    </w:p>
    <w:p>
      <w:pPr>
        <w:pStyle w:val="BodyText"/>
        <w:spacing w:line="240" w:lineRule="auto" w:before="48"/>
        <w:ind w:left="553" w:right="0"/>
        <w:jc w:val="left"/>
      </w:pPr>
      <w:r>
        <w:rPr/>
        <w:t>职工福利费为非货币性福利的，如能够可靠计量的，按照公允价值计量。</w:t>
      </w:r>
    </w:p>
    <w:p>
      <w:pPr>
        <w:spacing w:line="240" w:lineRule="auto" w:before="0"/>
        <w:rPr>
          <w:rFonts w:ascii="宋体" w:hAnsi="宋体" w:cs="宋体" w:eastAsia="宋体" w:hint="default"/>
          <w:sz w:val="20"/>
          <w:szCs w:val="20"/>
        </w:rPr>
      </w:pPr>
    </w:p>
    <w:p>
      <w:pPr>
        <w:pStyle w:val="Heading3"/>
        <w:spacing w:line="240" w:lineRule="auto" w:before="158"/>
        <w:ind w:right="0"/>
        <w:jc w:val="left"/>
        <w:rPr>
          <w:b w:val="0"/>
          <w:bCs w:val="0"/>
        </w:rPr>
      </w:pPr>
      <w:bookmarkStart w:name="（2）离职后福利的会计处理方法" w:id="201"/>
      <w:bookmarkEnd w:id="201"/>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3"/>
        <w:rPr>
          <w:rFonts w:ascii="宋体" w:hAnsi="宋体" w:cs="宋体" w:eastAsia="宋体" w:hint="default"/>
          <w:b/>
          <w:bCs/>
          <w:sz w:val="31"/>
          <w:szCs w:val="31"/>
        </w:rPr>
      </w:pPr>
    </w:p>
    <w:p>
      <w:pPr>
        <w:pStyle w:val="BodyText"/>
        <w:spacing w:line="429" w:lineRule="auto"/>
        <w:ind w:right="0" w:firstLine="399"/>
        <w:jc w:val="left"/>
      </w:pPr>
      <w:r>
        <w:rPr>
          <w:spacing w:val="-2"/>
        </w:rPr>
        <w:t>本公司按当地政府的相关规定为职工缴纳基本养老保险和失业保险，在职工为本公司提供服务的会计期间，</w:t>
      </w:r>
      <w:r>
        <w:rPr>
          <w:w w:val="100"/>
        </w:rPr>
        <w:t> </w:t>
      </w:r>
      <w:r>
        <w:rPr/>
        <w:t>按以当地规定的缴纳基数和比例计算应缴纳金额，确认为负债，并计入当期损益或相关资产成本。</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3）辞退福利的会计处理方法" w:id="202"/>
      <w:bookmarkEnd w:id="202"/>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3"/>
        <w:rPr>
          <w:rFonts w:ascii="宋体" w:hAnsi="宋体" w:cs="宋体" w:eastAsia="宋体" w:hint="default"/>
          <w:b/>
          <w:bCs/>
          <w:sz w:val="31"/>
          <w:szCs w:val="31"/>
        </w:rPr>
      </w:pPr>
    </w:p>
    <w:p>
      <w:pPr>
        <w:pStyle w:val="BodyText"/>
        <w:spacing w:line="429" w:lineRule="auto"/>
        <w:ind w:right="0" w:firstLine="399"/>
        <w:jc w:val="left"/>
      </w:pPr>
      <w:r>
        <w:rPr>
          <w:spacing w:val="-1"/>
        </w:rPr>
        <w:t>本公司在不能单方面撤回因解除劳动关系计划或裁减建议所提供的辞退福利时，或确认与涉及支付辞退福</w:t>
      </w:r>
      <w:r>
        <w:rPr>
          <w:w w:val="100"/>
        </w:rPr>
        <w:t> </w:t>
      </w:r>
      <w:r>
        <w:rPr/>
        <w:t>利的重组相关的成本或费用时（两者孰早），确认辞退福利产生的职工薪酬负债，并计入当期损益。</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22、预计负债" w:id="203"/>
      <w:bookmarkEnd w:id="203"/>
      <w:r>
        <w:rPr>
          <w:b w:val="0"/>
          <w:bCs w:val="0"/>
        </w:rPr>
      </w:r>
      <w:r>
        <w:rPr>
          <w:rFonts w:ascii="Times New Roman" w:hAnsi="Times New Roman" w:cs="Times New Roman" w:eastAsia="Times New Roman" w:hint="default"/>
        </w:rPr>
        <w:t>22</w:t>
      </w:r>
      <w:r>
        <w:rPr/>
        <w:t>、预计负债</w:t>
      </w:r>
      <w:r>
        <w:rPr>
          <w:b w:val="0"/>
          <w:bCs w:val="0"/>
        </w:rPr>
      </w:r>
    </w:p>
    <w:p>
      <w:pPr>
        <w:spacing w:line="240" w:lineRule="auto" w:before="3"/>
        <w:rPr>
          <w:rFonts w:ascii="宋体" w:hAnsi="宋体" w:cs="宋体" w:eastAsia="宋体" w:hint="default"/>
          <w:b/>
          <w:bCs/>
          <w:sz w:val="31"/>
          <w:szCs w:val="31"/>
        </w:rPr>
      </w:pPr>
    </w:p>
    <w:p>
      <w:pPr>
        <w:pStyle w:val="BodyText"/>
        <w:spacing w:line="429" w:lineRule="auto"/>
        <w:ind w:left="553" w:right="0"/>
        <w:jc w:val="left"/>
      </w:pPr>
      <w:r>
        <w:rPr/>
        <w:t>（</w:t>
      </w:r>
      <w:r>
        <w:rPr>
          <w:rFonts w:ascii="宋体" w:hAnsi="宋体" w:cs="宋体" w:eastAsia="宋体" w:hint="default"/>
        </w:rPr>
        <w:t>1</w:t>
      </w:r>
      <w:r>
        <w:rPr/>
        <w:t>）预计负债的确认标准</w:t>
      </w:r>
      <w:r>
        <w:rPr>
          <w:w w:val="100"/>
        </w:rPr>
        <w:t> </w:t>
      </w:r>
      <w:r>
        <w:rPr>
          <w:spacing w:val="-1"/>
        </w:rPr>
        <w:t>与诉讼、债务担保、亏损合同、重组事项等或有事项相关的义务同时满足下列条件时，本公司确认为预计</w:t>
      </w:r>
    </w:p>
    <w:p>
      <w:pPr>
        <w:pStyle w:val="BodyText"/>
        <w:spacing w:line="240" w:lineRule="auto" w:before="48"/>
        <w:ind w:right="0"/>
        <w:jc w:val="left"/>
      </w:pPr>
      <w:r>
        <w:rPr/>
        <w:t>负债：</w:t>
      </w:r>
    </w:p>
    <w:p>
      <w:pPr>
        <w:spacing w:line="240" w:lineRule="auto" w:before="10"/>
        <w:rPr>
          <w:rFonts w:ascii="宋体" w:hAnsi="宋体" w:cs="宋体" w:eastAsia="宋体" w:hint="default"/>
          <w:sz w:val="15"/>
          <w:szCs w:val="15"/>
        </w:rPr>
      </w:pPr>
    </w:p>
    <w:p>
      <w:pPr>
        <w:pStyle w:val="BodyText"/>
        <w:spacing w:line="240" w:lineRule="auto"/>
        <w:ind w:left="553" w:right="0"/>
        <w:jc w:val="left"/>
      </w:pPr>
      <w:r>
        <w:rPr/>
        <w:t>①该义务是本公司承担的现时义务；</w:t>
      </w:r>
    </w:p>
    <w:p>
      <w:pPr>
        <w:spacing w:line="240" w:lineRule="auto" w:before="10"/>
        <w:rPr>
          <w:rFonts w:ascii="宋体" w:hAnsi="宋体" w:cs="宋体" w:eastAsia="宋体" w:hint="default"/>
          <w:sz w:val="15"/>
          <w:szCs w:val="15"/>
        </w:rPr>
      </w:pPr>
    </w:p>
    <w:p>
      <w:pPr>
        <w:pStyle w:val="BodyText"/>
        <w:spacing w:line="240" w:lineRule="auto"/>
        <w:ind w:left="553" w:right="0"/>
        <w:jc w:val="left"/>
      </w:pPr>
      <w:r>
        <w:rPr/>
        <w:t>②履行该义务很可能导致经济利益流出本公司；</w:t>
      </w:r>
    </w:p>
    <w:p>
      <w:pPr>
        <w:spacing w:line="240" w:lineRule="auto" w:before="10"/>
        <w:rPr>
          <w:rFonts w:ascii="宋体" w:hAnsi="宋体" w:cs="宋体" w:eastAsia="宋体" w:hint="default"/>
          <w:sz w:val="15"/>
          <w:szCs w:val="15"/>
        </w:rPr>
      </w:pPr>
    </w:p>
    <w:p>
      <w:pPr>
        <w:pStyle w:val="BodyText"/>
        <w:spacing w:line="240" w:lineRule="auto"/>
        <w:ind w:left="553" w:right="0"/>
        <w:jc w:val="left"/>
      </w:pPr>
      <w:r>
        <w:rPr/>
        <w:t>③该义务的金额能够可靠地计量。</w:t>
      </w:r>
    </w:p>
    <w:p>
      <w:pPr>
        <w:spacing w:line="240" w:lineRule="auto" w:before="10"/>
        <w:rPr>
          <w:rFonts w:ascii="宋体" w:hAnsi="宋体" w:cs="宋体" w:eastAsia="宋体" w:hint="default"/>
          <w:sz w:val="15"/>
          <w:szCs w:val="15"/>
        </w:rPr>
      </w:pPr>
    </w:p>
    <w:p>
      <w:pPr>
        <w:pStyle w:val="BodyText"/>
        <w:spacing w:line="429" w:lineRule="auto"/>
        <w:ind w:left="553" w:right="1118"/>
        <w:jc w:val="left"/>
      </w:pPr>
      <w:r>
        <w:rPr/>
        <w:t>（</w:t>
      </w:r>
      <w:r>
        <w:rPr>
          <w:rFonts w:ascii="宋体" w:hAnsi="宋体" w:cs="宋体" w:eastAsia="宋体" w:hint="default"/>
        </w:rPr>
        <w:t>2</w:t>
      </w:r>
      <w:r>
        <w:rPr/>
        <w:t>）各类预计负债的计量方法</w:t>
      </w:r>
      <w:r>
        <w:rPr>
          <w:w w:val="100"/>
        </w:rPr>
        <w:t> </w:t>
      </w:r>
      <w:r>
        <w:rPr/>
        <w:t>本公司预计负债按履行相关现时义务所需的支出的最佳估计数进行初始计量。</w:t>
      </w:r>
      <w:r>
        <w:rPr>
          <w:w w:val="100"/>
        </w:rPr>
        <w:t> </w:t>
      </w:r>
      <w:r>
        <w:rPr>
          <w:spacing w:val="-1"/>
        </w:rPr>
        <w:t>本公司在确定最佳估计数时，综合考虑与或有事项有关的风险、不确定性和货币时间价值等因素。对于货</w:t>
      </w:r>
    </w:p>
    <w:p>
      <w:pPr>
        <w:pStyle w:val="BodyText"/>
        <w:spacing w:line="429" w:lineRule="auto" w:before="48"/>
        <w:ind w:left="553" w:right="1118" w:hanging="400"/>
        <w:jc w:val="left"/>
      </w:pPr>
      <w:r>
        <w:rPr/>
        <w:t>币时间价值影响重大的，通过对相关未来现金流出进行折现后确定最佳估计数。</w:t>
      </w:r>
      <w:r>
        <w:rPr>
          <w:w w:val="100"/>
        </w:rPr>
        <w:t> </w:t>
      </w:r>
      <w:r>
        <w:rPr/>
        <w:t>最佳估计数分别以下情况处理：</w:t>
      </w:r>
      <w:r>
        <w:rPr>
          <w:w w:val="100"/>
        </w:rPr>
        <w:t> </w:t>
      </w:r>
      <w:r>
        <w:rPr>
          <w:spacing w:val="-1"/>
        </w:rPr>
        <w:t>所需支出存在一个连续范围（或区间），且该范围内各种结果发生的可能性相同的，则最佳估计数按照该</w:t>
      </w:r>
    </w:p>
    <w:p>
      <w:pPr>
        <w:pStyle w:val="BodyText"/>
        <w:spacing w:line="429" w:lineRule="auto" w:before="48"/>
        <w:ind w:left="553" w:right="0" w:hanging="400"/>
        <w:jc w:val="left"/>
      </w:pPr>
      <w:r>
        <w:rPr/>
        <w:t>范围的中间值即上下限金额的平均数确定。</w:t>
      </w:r>
      <w:r>
        <w:rPr>
          <w:w w:val="100"/>
        </w:rPr>
        <w:t> </w:t>
      </w:r>
      <w:r>
        <w:rPr>
          <w:spacing w:val="-1"/>
        </w:rPr>
        <w:t>所需支出不存在一个连续范围（或区间），或虽然存在一个连续范围但该范围内各种结果发生的可能性不</w:t>
      </w:r>
    </w:p>
    <w:p>
      <w:pPr>
        <w:pStyle w:val="BodyText"/>
        <w:spacing w:line="429" w:lineRule="auto" w:before="48"/>
        <w:ind w:right="0"/>
        <w:jc w:val="left"/>
      </w:pPr>
      <w:r>
        <w:rPr>
          <w:spacing w:val="-1"/>
        </w:rPr>
        <w:t>相同的，如或有事项涉及单个项目的，则最佳估计数按照最可能发生金额确定；如或有事项涉及多个项目的，</w:t>
      </w:r>
      <w:r>
        <w:rPr>
          <w:spacing w:val="-63"/>
        </w:rPr>
        <w:t> </w:t>
      </w:r>
      <w:r>
        <w:rPr>
          <w:spacing w:val="-63"/>
        </w:rPr>
      </w:r>
      <w:r>
        <w:rPr/>
        <w:t>则最佳估计数按各种可能结果及相关概率计算确定。</w:t>
      </w:r>
    </w:p>
    <w:p>
      <w:pPr>
        <w:spacing w:after="0" w:line="429"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29" w:lineRule="auto"/>
        <w:ind w:right="1169" w:firstLine="399"/>
        <w:jc w:val="both"/>
      </w:pPr>
      <w:r>
        <w:rPr>
          <w:spacing w:val="-1"/>
        </w:rPr>
        <w:t>本公司清偿预计负债所需支出全部或部分预期由第三方补偿的，补偿金额在基本确定能够收到时，作为资</w:t>
      </w:r>
      <w:r>
        <w:rPr>
          <w:w w:val="100"/>
        </w:rPr>
        <w:t> </w:t>
      </w:r>
      <w:r>
        <w:rPr/>
        <w:t>产单独确认，确认的补偿金额不超过预计负债的账面价值。</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23、股份支付" w:id="204"/>
      <w:bookmarkEnd w:id="204"/>
      <w:r>
        <w:rPr>
          <w:b w:val="0"/>
          <w:bCs w:val="0"/>
        </w:rPr>
      </w:r>
      <w:r>
        <w:rPr>
          <w:rFonts w:ascii="Times New Roman" w:hAnsi="Times New Roman" w:cs="Times New Roman" w:eastAsia="Times New Roman" w:hint="default"/>
        </w:rPr>
        <w:t>23</w:t>
      </w:r>
      <w:r>
        <w:rPr/>
        <w:t>、股份支付</w:t>
      </w:r>
      <w:r>
        <w:rPr>
          <w:b w:val="0"/>
          <w:bCs w:val="0"/>
        </w:rPr>
      </w:r>
    </w:p>
    <w:p>
      <w:pPr>
        <w:spacing w:line="240" w:lineRule="auto" w:before="3"/>
        <w:rPr>
          <w:rFonts w:ascii="宋体" w:hAnsi="宋体" w:cs="宋体" w:eastAsia="宋体" w:hint="default"/>
          <w:b/>
          <w:bCs/>
          <w:sz w:val="31"/>
          <w:szCs w:val="31"/>
        </w:rPr>
      </w:pPr>
    </w:p>
    <w:p>
      <w:pPr>
        <w:pStyle w:val="BodyText"/>
        <w:spacing w:line="429" w:lineRule="auto"/>
        <w:ind w:right="1168" w:firstLine="399"/>
        <w:jc w:val="both"/>
      </w:pPr>
      <w:r>
        <w:rPr>
          <w:spacing w:val="-1"/>
        </w:rPr>
        <w:t>本公司的股份支付是为了获取职工</w:t>
      </w:r>
      <w:r>
        <w:rPr>
          <w:rFonts w:ascii="宋体" w:hAnsi="宋体" w:cs="宋体" w:eastAsia="宋体" w:hint="default"/>
          <w:spacing w:val="-1"/>
        </w:rPr>
        <w:t>[</w:t>
      </w:r>
      <w:r>
        <w:rPr>
          <w:spacing w:val="-1"/>
        </w:rPr>
        <w:t>或其他方</w:t>
      </w:r>
      <w:r>
        <w:rPr>
          <w:rFonts w:ascii="宋体" w:hAnsi="宋体" w:cs="宋体" w:eastAsia="宋体" w:hint="default"/>
          <w:spacing w:val="-1"/>
        </w:rPr>
        <w:t>]</w:t>
      </w:r>
      <w:r>
        <w:rPr>
          <w:spacing w:val="-1"/>
        </w:rPr>
        <w:t>提供服务而授予权益工具或者承担以权益工具为基础确定的</w:t>
      </w:r>
      <w:r>
        <w:rPr>
          <w:w w:val="100"/>
        </w:rPr>
        <w:t> </w:t>
      </w:r>
      <w:r>
        <w:rPr/>
        <w:t>负债的交易。本公司的股份支付为以权益结算的股份支付。</w:t>
      </w:r>
    </w:p>
    <w:p>
      <w:pPr>
        <w:pStyle w:val="BodyText"/>
        <w:spacing w:line="429" w:lineRule="auto" w:before="48"/>
        <w:ind w:right="1168" w:firstLine="399"/>
        <w:jc w:val="both"/>
      </w:pPr>
      <w:r>
        <w:rPr>
          <w:spacing w:val="-1"/>
        </w:rPr>
        <w:t>以权益结算的股份支付换取职工提供服务的，以授予职工权益工具的公允价值计量。本公司以限制性股票</w:t>
      </w:r>
      <w:r>
        <w:rPr>
          <w:w w:val="100"/>
        </w:rPr>
        <w:t> </w:t>
      </w:r>
      <w:r>
        <w:rPr>
          <w:spacing w:val="-1"/>
        </w:rPr>
        <w:t>进行股份支付的，职工出资认购股票，股票在达到解锁条件并解锁前不得上市流通或转让；如果最终股权激励</w:t>
      </w:r>
      <w:r>
        <w:rPr>
          <w:spacing w:val="-61"/>
        </w:rPr>
        <w:t> </w:t>
      </w:r>
      <w:r>
        <w:rPr>
          <w:spacing w:val="-61"/>
        </w:rPr>
      </w:r>
      <w:r>
        <w:rPr>
          <w:spacing w:val="-1"/>
        </w:rPr>
        <w:t>计划规定的解锁条件未能达到，则本公司按照事先约定的价格回购股票。本公司取得职工认购限制性股票支付</w:t>
      </w:r>
      <w:r>
        <w:rPr>
          <w:spacing w:val="-63"/>
        </w:rPr>
        <w:t> </w:t>
      </w:r>
      <w:r>
        <w:rPr>
          <w:spacing w:val="-63"/>
        </w:rPr>
      </w:r>
      <w:r>
        <w:rPr>
          <w:spacing w:val="-1"/>
        </w:rPr>
        <w:t>的款项时，按照取得的认股款确认股本和资本公积（股本溢价），同时就回购义务全额确认一项负债并确认库</w:t>
      </w:r>
      <w:r>
        <w:rPr>
          <w:spacing w:val="-63"/>
        </w:rPr>
        <w:t> </w:t>
      </w:r>
      <w:r>
        <w:rPr>
          <w:spacing w:val="-63"/>
        </w:rPr>
      </w:r>
      <w:r>
        <w:rPr>
          <w:spacing w:val="-1"/>
        </w:rPr>
        <w:t>存股。在等待期内每个资产负债表日，本公司根据最新取得的可行权职工人数变动、是否达到规定业绩条件等</w:t>
      </w:r>
      <w:r>
        <w:rPr>
          <w:spacing w:val="-63"/>
        </w:rPr>
        <w:t> </w:t>
      </w:r>
      <w:r>
        <w:rPr>
          <w:spacing w:val="-63"/>
        </w:rPr>
      </w:r>
      <w:r>
        <w:rPr>
          <w:spacing w:val="-1"/>
        </w:rPr>
        <w:t>后续信息对可行权权益工具数量作出最佳估计，以此为基础，按照授予日的公允价值，将当期取得的服务计入</w:t>
      </w:r>
      <w:r>
        <w:rPr>
          <w:spacing w:val="-63"/>
        </w:rPr>
        <w:t> </w:t>
      </w:r>
      <w:r>
        <w:rPr>
          <w:spacing w:val="-63"/>
        </w:rPr>
      </w:r>
      <w:r>
        <w:rPr>
          <w:spacing w:val="-1"/>
        </w:rPr>
        <w:t>相关成本或费用，相应增加资本公积。在可行权日之后不再对已确认的相关成本或费用和所有者权益总额进行</w:t>
      </w:r>
      <w:r>
        <w:rPr>
          <w:spacing w:val="-63"/>
        </w:rPr>
        <w:t> </w:t>
      </w:r>
      <w:r>
        <w:rPr>
          <w:spacing w:val="-63"/>
        </w:rPr>
      </w:r>
      <w:r>
        <w:rPr/>
        <w:t>调整。但授予后立即可行权的，在授予日按照公允价值计入相关成本或费用，相应增加资本公积。</w:t>
      </w:r>
    </w:p>
    <w:p>
      <w:pPr>
        <w:pStyle w:val="BodyText"/>
        <w:spacing w:line="429" w:lineRule="auto" w:before="48"/>
        <w:ind w:right="1169" w:firstLine="399"/>
        <w:jc w:val="both"/>
      </w:pPr>
      <w:r>
        <w:rPr>
          <w:spacing w:val="-1"/>
        </w:rPr>
        <w:t>对于最终未能行权的股份支付，不确认成本或费用，除非行权条件是市场条件或非可行权条件，此时无论</w:t>
      </w:r>
      <w:r>
        <w:rPr>
          <w:w w:val="100"/>
        </w:rPr>
        <w:t> </w:t>
      </w:r>
      <w:r>
        <w:rPr/>
        <w:t>是否满足市场条件或非可行权条件，只要满足所有可行权条件中的非市场条件，即视为可行权。</w:t>
      </w:r>
    </w:p>
    <w:p>
      <w:pPr>
        <w:pStyle w:val="BodyText"/>
        <w:spacing w:line="429" w:lineRule="auto" w:before="48"/>
        <w:ind w:right="1169" w:firstLine="399"/>
        <w:jc w:val="both"/>
      </w:pPr>
      <w:r>
        <w:rPr>
          <w:spacing w:val="-1"/>
        </w:rPr>
        <w:t>如果修改了以权益结算的股份支付的条款，至少按照未修改条款的情况确认取得的服务。此外，任何增加</w:t>
      </w:r>
      <w:r>
        <w:rPr>
          <w:w w:val="100"/>
        </w:rPr>
        <w:t> </w:t>
      </w:r>
      <w:r>
        <w:rPr/>
        <w:t>所授予权益工具公允价值的修改，或在修改日对职工有利的变更，均确认取得服务的增加。</w:t>
      </w:r>
    </w:p>
    <w:p>
      <w:pPr>
        <w:pStyle w:val="BodyText"/>
        <w:spacing w:line="429" w:lineRule="auto" w:before="48"/>
        <w:ind w:right="1169" w:firstLine="399"/>
        <w:jc w:val="both"/>
      </w:pPr>
      <w:r>
        <w:rPr>
          <w:spacing w:val="-1"/>
        </w:rPr>
        <w:t>如果取消了以权益结算的股份支付，则于取消日作为加速行权处理，立即确认尚未确认的金额。职工或其</w:t>
      </w:r>
      <w:r>
        <w:rPr>
          <w:w w:val="100"/>
        </w:rPr>
        <w:t> </w:t>
      </w:r>
      <w:r>
        <w:rPr>
          <w:spacing w:val="-1"/>
        </w:rPr>
        <w:t>他方能够选择满足非可行权条件但在等待期内未满足的，作为取消以权益结算的股份支付处理。但是，如果授</w:t>
      </w:r>
      <w:r>
        <w:rPr>
          <w:spacing w:val="-63"/>
        </w:rPr>
        <w:t> </w:t>
      </w:r>
      <w:r>
        <w:rPr>
          <w:spacing w:val="-63"/>
        </w:rPr>
      </w:r>
      <w:r>
        <w:rPr>
          <w:spacing w:val="-1"/>
        </w:rPr>
        <w:t>予新的权益工具，并在新权益工具授予日认定所授予的新权益工具是用于替代被取消的权益工具的，则以与处</w:t>
      </w:r>
      <w:r>
        <w:rPr>
          <w:spacing w:val="-63"/>
        </w:rPr>
        <w:t> </w:t>
      </w:r>
      <w:r>
        <w:rPr>
          <w:spacing w:val="-63"/>
        </w:rPr>
      </w:r>
      <w:r>
        <w:rPr/>
        <w:t>理原权益工具条款和条件修改相同的方式，对所授予的替代权益工具进行处理。</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24、收入" w:id="205"/>
      <w:bookmarkEnd w:id="205"/>
      <w:r>
        <w:rPr>
          <w:b w:val="0"/>
          <w:bCs w:val="0"/>
        </w:rPr>
      </w:r>
      <w:r>
        <w:rPr>
          <w:rFonts w:ascii="Times New Roman" w:hAnsi="Times New Roman" w:cs="Times New Roman" w:eastAsia="Times New Roman" w:hint="default"/>
        </w:rPr>
        <w:t>24</w:t>
      </w:r>
      <w:r>
        <w:rPr/>
        <w:t>、收入</w:t>
      </w:r>
      <w:r>
        <w:rPr>
          <w:b w:val="0"/>
          <w:bCs w:val="0"/>
        </w:rPr>
      </w:r>
    </w:p>
    <w:p>
      <w:pPr>
        <w:spacing w:line="240" w:lineRule="auto" w:before="5"/>
        <w:rPr>
          <w:rFonts w:ascii="宋体" w:hAnsi="宋体" w:cs="宋体" w:eastAsia="宋体" w:hint="default"/>
          <w:b/>
          <w:bCs/>
          <w:sz w:val="25"/>
          <w:szCs w:val="25"/>
        </w:rPr>
      </w:pPr>
    </w:p>
    <w:p>
      <w:pPr>
        <w:pStyle w:val="BodyText"/>
        <w:spacing w:line="321" w:lineRule="auto"/>
        <w:ind w:right="7209"/>
        <w:jc w:val="left"/>
      </w:pPr>
      <w:r>
        <w:rPr>
          <w:spacing w:val="-1"/>
        </w:rPr>
        <w:t>公司是否需要遵守特殊行业的披露要求</w:t>
      </w:r>
      <w:r>
        <w:rPr>
          <w:spacing w:val="-87"/>
        </w:rPr>
        <w:t> </w:t>
      </w:r>
      <w:r>
        <w:rPr>
          <w:spacing w:val="-87"/>
        </w:rPr>
      </w:r>
      <w:r>
        <w:rPr/>
        <w:t>是</w:t>
      </w:r>
    </w:p>
    <w:p>
      <w:pPr>
        <w:pStyle w:val="BodyText"/>
        <w:spacing w:line="240" w:lineRule="auto" w:before="23"/>
        <w:ind w:right="0"/>
        <w:jc w:val="left"/>
      </w:pPr>
      <w:r>
        <w:rPr/>
        <w:t>软件与信息技术服务业</w:t>
      </w:r>
    </w:p>
    <w:p>
      <w:pPr>
        <w:pStyle w:val="BodyText"/>
        <w:spacing w:line="271" w:lineRule="auto" w:before="88"/>
        <w:ind w:right="1127"/>
        <w:jc w:val="left"/>
      </w:pPr>
      <w:r>
        <w:rPr>
          <w:spacing w:val="-3"/>
        </w:rPr>
        <w:t>公司需遵守《深圳证券交易所行业信息披露指引第</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号</w:t>
      </w:r>
      <w:r>
        <w:rPr>
          <w:rFonts w:ascii="Times New Roman" w:hAnsi="Times New Roman" w:cs="Times New Roman" w:eastAsia="Times New Roman" w:hint="default"/>
        </w:rPr>
        <w:t>——</w:t>
      </w:r>
      <w:r>
        <w:rPr/>
        <w:t>上市公司从事软件与信息技术服务业务》的披露要</w:t>
      </w:r>
      <w:r>
        <w:rPr>
          <w:w w:val="100"/>
        </w:rPr>
        <w:t> </w:t>
      </w:r>
      <w:r>
        <w:rPr/>
        <w:t>求</w:t>
      </w:r>
    </w:p>
    <w:p>
      <w:pPr>
        <w:pStyle w:val="BodyText"/>
        <w:spacing w:line="240" w:lineRule="auto" w:before="140"/>
        <w:ind w:left="553" w:right="0"/>
        <w:jc w:val="left"/>
      </w:pPr>
      <w:r>
        <w:rPr>
          <w:rFonts w:ascii="宋体" w:hAnsi="宋体" w:cs="宋体" w:eastAsia="宋体" w:hint="default"/>
        </w:rPr>
        <w:t>(1)</w:t>
      </w:r>
      <w:r>
        <w:rPr/>
        <w:t>销售商品收入确认和计量的原则</w:t>
      </w:r>
    </w:p>
    <w:p>
      <w:pPr>
        <w:spacing w:line="240" w:lineRule="auto" w:before="10"/>
        <w:rPr>
          <w:rFonts w:ascii="宋体" w:hAnsi="宋体" w:cs="宋体" w:eastAsia="宋体" w:hint="default"/>
          <w:sz w:val="15"/>
          <w:szCs w:val="15"/>
        </w:rPr>
      </w:pPr>
    </w:p>
    <w:p>
      <w:pPr>
        <w:pStyle w:val="BodyText"/>
        <w:spacing w:line="240" w:lineRule="auto"/>
        <w:ind w:left="553" w:right="0"/>
        <w:jc w:val="left"/>
      </w:pPr>
      <w:r>
        <w:rPr/>
        <w:t>①本公司已将商品所有权上的主要风险和报酬转移给购货方；</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ind w:left="553" w:right="0"/>
        <w:jc w:val="left"/>
      </w:pPr>
      <w:r>
        <w:rPr/>
        <w:t>②本公司既没有保留通常与所有权相联系的继续管理权，也没有对已售出的商品实施有效控制；</w:t>
      </w:r>
    </w:p>
    <w:p>
      <w:pPr>
        <w:spacing w:line="240" w:lineRule="auto" w:before="10"/>
        <w:rPr>
          <w:rFonts w:ascii="宋体" w:hAnsi="宋体" w:cs="宋体" w:eastAsia="宋体" w:hint="default"/>
          <w:sz w:val="15"/>
          <w:szCs w:val="15"/>
        </w:rPr>
      </w:pPr>
    </w:p>
    <w:p>
      <w:pPr>
        <w:pStyle w:val="BodyText"/>
        <w:spacing w:line="240" w:lineRule="auto"/>
        <w:ind w:left="553" w:right="0"/>
        <w:jc w:val="left"/>
      </w:pPr>
      <w:r>
        <w:rPr/>
        <w:t>③收入的金额能够可靠地计量；</w:t>
      </w:r>
    </w:p>
    <w:p>
      <w:pPr>
        <w:spacing w:line="240" w:lineRule="auto" w:before="10"/>
        <w:rPr>
          <w:rFonts w:ascii="宋体" w:hAnsi="宋体" w:cs="宋体" w:eastAsia="宋体" w:hint="default"/>
          <w:sz w:val="15"/>
          <w:szCs w:val="15"/>
        </w:rPr>
      </w:pPr>
    </w:p>
    <w:p>
      <w:pPr>
        <w:pStyle w:val="BodyText"/>
        <w:spacing w:line="240" w:lineRule="auto"/>
        <w:ind w:left="553" w:right="0"/>
        <w:jc w:val="left"/>
      </w:pPr>
      <w:r>
        <w:rPr/>
        <w:t>④相关的经济利益很可能流入本公司；</w:t>
      </w:r>
    </w:p>
    <w:p>
      <w:pPr>
        <w:spacing w:line="240" w:lineRule="auto" w:before="10"/>
        <w:rPr>
          <w:rFonts w:ascii="宋体" w:hAnsi="宋体" w:cs="宋体" w:eastAsia="宋体" w:hint="default"/>
          <w:sz w:val="15"/>
          <w:szCs w:val="15"/>
        </w:rPr>
      </w:pPr>
    </w:p>
    <w:p>
      <w:pPr>
        <w:pStyle w:val="BodyText"/>
        <w:spacing w:line="429" w:lineRule="auto"/>
        <w:ind w:left="553" w:right="4938"/>
        <w:jc w:val="left"/>
      </w:pPr>
      <w:r>
        <w:rPr>
          <w:spacing w:val="-1"/>
        </w:rPr>
        <w:t>⑤相关的、已发生或将发生的成本能够可靠地计量。</w:t>
      </w:r>
      <w:r>
        <w:rPr>
          <w:spacing w:val="-82"/>
        </w:rPr>
        <w:t> </w:t>
      </w:r>
      <w:r>
        <w:rPr>
          <w:spacing w:val="-82"/>
        </w:rPr>
      </w:r>
      <w:r>
        <w:rPr>
          <w:rFonts w:ascii="宋体" w:hAnsi="宋体" w:cs="宋体" w:eastAsia="宋体" w:hint="default"/>
        </w:rPr>
        <w:t>(2)</w:t>
      </w:r>
      <w:r>
        <w:rPr/>
        <w:t>确认让渡资产使用权收入确认和计量的原则</w:t>
      </w:r>
    </w:p>
    <w:p>
      <w:pPr>
        <w:pStyle w:val="BodyText"/>
        <w:spacing w:line="429" w:lineRule="auto" w:before="48"/>
        <w:ind w:right="1118" w:firstLine="399"/>
        <w:jc w:val="left"/>
      </w:pPr>
      <w:r>
        <w:rPr>
          <w:spacing w:val="-1"/>
        </w:rPr>
        <w:t>与交易相关的经济利益很可能流入企业，收入的金额能够可靠地计量时。分别下列情况确定让渡资产使用</w:t>
      </w:r>
      <w:r>
        <w:rPr>
          <w:w w:val="100"/>
        </w:rPr>
        <w:t> </w:t>
      </w:r>
      <w:r>
        <w:rPr/>
        <w:t>权收入金额：</w:t>
      </w:r>
    </w:p>
    <w:p>
      <w:pPr>
        <w:pStyle w:val="BodyText"/>
        <w:spacing w:line="240" w:lineRule="auto" w:before="48"/>
        <w:ind w:left="553" w:right="0"/>
        <w:jc w:val="left"/>
      </w:pPr>
      <w:r>
        <w:rPr/>
        <w:t>①利息收入金额，按照他人使用本企业货币资金的时间和实际利率计算确定。</w:t>
      </w:r>
    </w:p>
    <w:p>
      <w:pPr>
        <w:spacing w:line="240" w:lineRule="auto" w:before="10"/>
        <w:rPr>
          <w:rFonts w:ascii="宋体" w:hAnsi="宋体" w:cs="宋体" w:eastAsia="宋体" w:hint="default"/>
          <w:sz w:val="15"/>
          <w:szCs w:val="15"/>
        </w:rPr>
      </w:pPr>
    </w:p>
    <w:p>
      <w:pPr>
        <w:pStyle w:val="BodyText"/>
        <w:spacing w:line="429" w:lineRule="auto"/>
        <w:ind w:left="553" w:right="0"/>
        <w:jc w:val="left"/>
      </w:pPr>
      <w:r>
        <w:rPr/>
        <w:t>②使用费收入金额，按照有关合同或协议约定的收费时间和方法计算确定。</w:t>
      </w:r>
      <w:r>
        <w:rPr>
          <w:w w:val="100"/>
        </w:rPr>
        <w:t> </w:t>
      </w:r>
      <w:r>
        <w:rPr>
          <w:rFonts w:ascii="宋体" w:hAnsi="宋体" w:cs="宋体" w:eastAsia="宋体" w:hint="default"/>
        </w:rPr>
        <w:t>(3)</w:t>
      </w:r>
      <w:r>
        <w:rPr/>
        <w:t>按完工百分比法确认提供劳务的收入和建造合同收入的确认和计量的原则</w:t>
      </w:r>
      <w:r>
        <w:rPr>
          <w:w w:val="100"/>
        </w:rPr>
        <w:t> </w:t>
      </w:r>
      <w:r>
        <w:rPr>
          <w:spacing w:val="-1"/>
        </w:rPr>
        <w:t>在资产负债表日提供劳务交易的结果能够可靠估计的，采用完工百分比法确认提供劳务收入。提供劳务交</w:t>
      </w:r>
    </w:p>
    <w:p>
      <w:pPr>
        <w:pStyle w:val="BodyText"/>
        <w:spacing w:line="429" w:lineRule="auto" w:before="48"/>
        <w:ind w:left="553" w:right="0" w:hanging="400"/>
        <w:jc w:val="left"/>
      </w:pPr>
      <w:r>
        <w:rPr/>
        <w:t>易的完工进度，依据已完工作的测量确定。</w:t>
      </w:r>
      <w:r>
        <w:rPr>
          <w:w w:val="100"/>
        </w:rPr>
        <w:t> </w:t>
      </w:r>
      <w:r>
        <w:rPr>
          <w:spacing w:val="-2"/>
        </w:rPr>
        <w:t>按照已收或应收的合同或协议价款确定提供劳务收入总额，但已收或应收的合同或协议价款不公允的除外。</w:t>
      </w:r>
      <w:r>
        <w:rPr>
          <w:w w:val="100"/>
        </w:rPr>
        <w:t> </w:t>
      </w:r>
      <w:r>
        <w:rPr/>
        <w:t>资产负债表日按照提供劳务收入总额乘以完工进度扣除以前会计期间累计已确认提供劳务收入后的金额，</w:t>
      </w:r>
    </w:p>
    <w:p>
      <w:pPr>
        <w:pStyle w:val="BodyText"/>
        <w:spacing w:line="429" w:lineRule="auto" w:before="48"/>
        <w:ind w:right="0"/>
        <w:jc w:val="left"/>
      </w:pPr>
      <w:r>
        <w:rPr>
          <w:spacing w:val="-1"/>
        </w:rPr>
        <w:t>确认当期提供劳务收入；同时，按照提供劳务估计总成本乘以完工进度扣除以前会计期间累计已确认劳务成本</w:t>
      </w:r>
      <w:r>
        <w:rPr>
          <w:spacing w:val="-63"/>
        </w:rPr>
        <w:t> </w:t>
      </w:r>
      <w:r>
        <w:rPr>
          <w:spacing w:val="-63"/>
        </w:rPr>
      </w:r>
      <w:r>
        <w:rPr/>
        <w:t>后的金额，结转当期劳务成本。</w:t>
      </w:r>
    </w:p>
    <w:p>
      <w:pPr>
        <w:pStyle w:val="BodyText"/>
        <w:spacing w:line="240" w:lineRule="auto" w:before="48"/>
        <w:ind w:left="553" w:right="0"/>
        <w:jc w:val="left"/>
      </w:pPr>
      <w:r>
        <w:rPr/>
        <w:t>在资产负债表日提供劳务交易结果不能够可靠估计的，分别下列情况处理：</w:t>
      </w:r>
    </w:p>
    <w:p>
      <w:pPr>
        <w:spacing w:line="240" w:lineRule="auto" w:before="10"/>
        <w:rPr>
          <w:rFonts w:ascii="宋体" w:hAnsi="宋体" w:cs="宋体" w:eastAsia="宋体" w:hint="default"/>
          <w:sz w:val="15"/>
          <w:szCs w:val="15"/>
        </w:rPr>
      </w:pPr>
    </w:p>
    <w:p>
      <w:pPr>
        <w:pStyle w:val="BodyText"/>
        <w:spacing w:line="429" w:lineRule="auto"/>
        <w:ind w:right="0" w:firstLine="399"/>
        <w:jc w:val="left"/>
      </w:pPr>
      <w:r>
        <w:rPr>
          <w:spacing w:val="-1"/>
        </w:rPr>
        <w:t>①已经发生的劳务成本预计能够得到补偿的，按照已经发生的劳务成本金额确认提供劳务收入，并按相同</w:t>
      </w:r>
      <w:r>
        <w:rPr>
          <w:w w:val="100"/>
        </w:rPr>
        <w:t> </w:t>
      </w:r>
      <w:r>
        <w:rPr/>
        <w:t>金额结转劳务成本。</w:t>
      </w:r>
    </w:p>
    <w:p>
      <w:pPr>
        <w:pStyle w:val="BodyText"/>
        <w:spacing w:line="429" w:lineRule="auto" w:before="48"/>
        <w:ind w:right="1118" w:firstLine="399"/>
        <w:jc w:val="left"/>
      </w:pPr>
      <w:r>
        <w:rPr>
          <w:spacing w:val="-1"/>
        </w:rPr>
        <w:t>②已经发生的劳务成本预计不能够得到补偿的，将已经发生的劳务成本计入当期损益，不确认提供劳务收</w:t>
      </w:r>
      <w:r>
        <w:rPr>
          <w:w w:val="100"/>
        </w:rPr>
        <w:t> </w:t>
      </w:r>
      <w:r>
        <w:rPr/>
        <w:t>入。</w:t>
      </w:r>
    </w:p>
    <w:p>
      <w:pPr>
        <w:pStyle w:val="BodyText"/>
        <w:spacing w:line="429" w:lineRule="auto" w:before="48"/>
        <w:ind w:left="553" w:right="0"/>
        <w:jc w:val="left"/>
      </w:pPr>
      <w:r>
        <w:rPr>
          <w:rFonts w:ascii="宋体" w:hAnsi="宋体" w:cs="宋体" w:eastAsia="宋体" w:hint="default"/>
        </w:rPr>
        <w:t>(4)</w:t>
      </w:r>
      <w:r>
        <w:rPr/>
        <w:t>本公司收入确认的具体原则：</w:t>
      </w:r>
      <w:r>
        <w:rPr>
          <w:w w:val="100"/>
        </w:rPr>
        <w:t> </w:t>
      </w:r>
      <w:r>
        <w:rPr>
          <w:spacing w:val="-1"/>
        </w:rPr>
        <w:t>公司主营业务为应用软件开发、技术服务及相关的计算机信息系统集成服务。包括集成服务、技术服务和</w:t>
      </w:r>
    </w:p>
    <w:p>
      <w:pPr>
        <w:pStyle w:val="BodyText"/>
        <w:spacing w:line="240" w:lineRule="auto" w:before="48"/>
        <w:ind w:right="0"/>
        <w:jc w:val="left"/>
      </w:pPr>
      <w:r>
        <w:rPr/>
        <w:t>软件产品销售，各类业务销售收入确认的具体方法如下：</w:t>
      </w:r>
    </w:p>
    <w:p>
      <w:pPr>
        <w:spacing w:line="240" w:lineRule="auto" w:before="10"/>
        <w:rPr>
          <w:rFonts w:ascii="宋体" w:hAnsi="宋体" w:cs="宋体" w:eastAsia="宋体" w:hint="default"/>
          <w:sz w:val="15"/>
          <w:szCs w:val="15"/>
        </w:rPr>
      </w:pPr>
    </w:p>
    <w:p>
      <w:pPr>
        <w:pStyle w:val="BodyText"/>
        <w:spacing w:line="240" w:lineRule="auto"/>
        <w:ind w:left="553" w:right="0"/>
        <w:jc w:val="left"/>
      </w:pPr>
      <w:r>
        <w:rPr/>
        <w:t>①集成服务收入：按合同约定在产品交付购货方，并经客户验收合格后确认收入。</w:t>
      </w:r>
    </w:p>
    <w:p>
      <w:pPr>
        <w:spacing w:line="240" w:lineRule="auto" w:before="10"/>
        <w:rPr>
          <w:rFonts w:ascii="宋体" w:hAnsi="宋体" w:cs="宋体" w:eastAsia="宋体" w:hint="default"/>
          <w:sz w:val="15"/>
          <w:szCs w:val="15"/>
        </w:rPr>
      </w:pPr>
    </w:p>
    <w:p>
      <w:pPr>
        <w:pStyle w:val="BodyText"/>
        <w:spacing w:line="429" w:lineRule="auto"/>
        <w:ind w:right="0" w:firstLine="399"/>
        <w:jc w:val="left"/>
      </w:pPr>
      <w:r>
        <w:rPr>
          <w:spacing w:val="-1"/>
        </w:rPr>
        <w:t>②技术服务收入：技术咨询、技术服务、技术培训按合同约定提供服务完成并经客户验收合格后，或服务</w:t>
      </w:r>
      <w:r>
        <w:rPr>
          <w:w w:val="100"/>
        </w:rPr>
        <w:t> </w:t>
      </w:r>
      <w:r>
        <w:rPr/>
        <w:t>期满后确认收入。技术开发收入按合同约定开发进度，并经客户阶段验收合格后按进度确认收入。</w:t>
      </w:r>
    </w:p>
    <w:p>
      <w:pPr>
        <w:pStyle w:val="BodyText"/>
        <w:spacing w:line="429" w:lineRule="auto" w:before="48"/>
        <w:ind w:right="0" w:firstLine="399"/>
        <w:jc w:val="left"/>
      </w:pPr>
      <w:r>
        <w:rPr>
          <w:spacing w:val="-1"/>
        </w:rPr>
        <w:t>③软件产品销售收入：按合同约定，需安装调试的，在安装调试完成、投入运行并经客户验收合格后确认</w:t>
      </w:r>
      <w:r>
        <w:rPr>
          <w:w w:val="100"/>
        </w:rPr>
        <w:t> </w:t>
      </w:r>
      <w:r>
        <w:rPr/>
        <w:t>收入；不需安装的，于产品发出且到货验收合格后确认收入。</w:t>
      </w:r>
    </w:p>
    <w:p>
      <w:pPr>
        <w:pStyle w:val="BodyText"/>
        <w:spacing w:line="240" w:lineRule="auto" w:before="48"/>
        <w:ind w:left="553" w:right="0"/>
        <w:jc w:val="left"/>
      </w:pPr>
      <w:r>
        <w:rPr/>
        <w:t>④自助设备（硬件销售）收入：按合同约定，需开通上线的，在设备开通上线，经客户验收后确认收入；</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ind w:left="553" w:right="0"/>
        <w:jc w:val="left"/>
      </w:pPr>
      <w:r>
        <w:rPr/>
        <w:t>不需开通上线的，于产品发出且到货验收合格后确认收入。</w:t>
      </w:r>
    </w:p>
    <w:p>
      <w:pPr>
        <w:spacing w:line="240" w:lineRule="auto" w:before="10"/>
        <w:rPr>
          <w:rFonts w:ascii="宋体" w:hAnsi="宋体" w:cs="宋体" w:eastAsia="宋体" w:hint="default"/>
          <w:sz w:val="15"/>
          <w:szCs w:val="15"/>
        </w:rPr>
      </w:pPr>
    </w:p>
    <w:p>
      <w:pPr>
        <w:pStyle w:val="BodyText"/>
        <w:spacing w:line="240" w:lineRule="auto"/>
        <w:ind w:left="553" w:right="0"/>
        <w:jc w:val="left"/>
      </w:pPr>
      <w:r>
        <w:rPr/>
        <w:t>⑤合作运营：在每个运营期，依据合同约定比例以及经确认的交易金额确认收入。</w:t>
      </w:r>
    </w:p>
    <w:p>
      <w:pPr>
        <w:spacing w:line="240" w:lineRule="auto" w:before="0"/>
        <w:rPr>
          <w:rFonts w:ascii="宋体" w:hAnsi="宋体" w:cs="宋体" w:eastAsia="宋体" w:hint="default"/>
          <w:sz w:val="20"/>
          <w:szCs w:val="20"/>
        </w:rPr>
      </w:pPr>
    </w:p>
    <w:p>
      <w:pPr>
        <w:pStyle w:val="Heading3"/>
        <w:spacing w:line="240" w:lineRule="auto" w:before="159"/>
        <w:ind w:right="0"/>
        <w:jc w:val="left"/>
        <w:rPr>
          <w:b w:val="0"/>
          <w:bCs w:val="0"/>
        </w:rPr>
      </w:pPr>
      <w:bookmarkStart w:name="25、政府补助" w:id="206"/>
      <w:bookmarkEnd w:id="206"/>
      <w:r>
        <w:rPr>
          <w:b w:val="0"/>
          <w:bCs w:val="0"/>
        </w:rPr>
      </w:r>
      <w:r>
        <w:rPr>
          <w:rFonts w:ascii="Times New Roman" w:hAnsi="Times New Roman" w:cs="Times New Roman" w:eastAsia="Times New Roman" w:hint="default"/>
        </w:rPr>
        <w:t>25</w:t>
      </w:r>
      <w:r>
        <w:rPr/>
        <w:t>、政府补助</w:t>
      </w:r>
      <w:r>
        <w:rPr>
          <w:b w:val="0"/>
          <w:bCs w:val="0"/>
        </w:rPr>
      </w:r>
    </w:p>
    <w:p>
      <w:pPr>
        <w:spacing w:line="240" w:lineRule="auto" w:before="3"/>
        <w:rPr>
          <w:rFonts w:ascii="宋体" w:hAnsi="宋体" w:cs="宋体" w:eastAsia="宋体" w:hint="default"/>
          <w:b/>
          <w:bCs/>
          <w:sz w:val="31"/>
          <w:szCs w:val="31"/>
        </w:rPr>
      </w:pPr>
    </w:p>
    <w:p>
      <w:pPr>
        <w:pStyle w:val="BodyText"/>
        <w:spacing w:line="429" w:lineRule="auto"/>
        <w:ind w:left="553" w:right="0"/>
        <w:jc w:val="left"/>
      </w:pPr>
      <w:r>
        <w:rPr/>
        <w:t>（</w:t>
      </w:r>
      <w:r>
        <w:rPr>
          <w:rFonts w:ascii="宋体" w:hAnsi="宋体" w:cs="宋体" w:eastAsia="宋体" w:hint="default"/>
        </w:rPr>
        <w:t>1</w:t>
      </w:r>
      <w:r>
        <w:rPr/>
        <w:t>）与资产相关的政府补助判断依据及会计处理方法</w:t>
      </w:r>
      <w:r>
        <w:rPr>
          <w:w w:val="100"/>
        </w:rPr>
        <w:t> </w:t>
      </w:r>
      <w:r>
        <w:rPr/>
        <w:t>与资产相关的政府补助，是指本公司取得的、用于购建或以其他方式形成长期资产的政府补助。</w:t>
      </w:r>
      <w:r>
        <w:rPr>
          <w:w w:val="100"/>
        </w:rPr>
        <w:t> </w:t>
      </w:r>
      <w:r>
        <w:rPr>
          <w:spacing w:val="-1"/>
        </w:rPr>
        <w:t>本公司将政府补助划分为与资产相关的具体标准为：企业取得的，用于购建或以其他方式形成长期资产的</w:t>
      </w:r>
    </w:p>
    <w:p>
      <w:pPr>
        <w:pStyle w:val="BodyText"/>
        <w:spacing w:line="240" w:lineRule="auto" w:before="48"/>
        <w:ind w:right="0"/>
        <w:jc w:val="left"/>
      </w:pPr>
      <w:r>
        <w:rPr/>
        <w:t>政府补助；</w:t>
      </w:r>
    </w:p>
    <w:p>
      <w:pPr>
        <w:spacing w:line="240" w:lineRule="auto" w:before="10"/>
        <w:rPr>
          <w:rFonts w:ascii="宋体" w:hAnsi="宋体" w:cs="宋体" w:eastAsia="宋体" w:hint="default"/>
          <w:sz w:val="15"/>
          <w:szCs w:val="15"/>
        </w:rPr>
      </w:pPr>
    </w:p>
    <w:p>
      <w:pPr>
        <w:pStyle w:val="BodyText"/>
        <w:spacing w:line="429" w:lineRule="auto"/>
        <w:ind w:left="553" w:right="0"/>
        <w:jc w:val="left"/>
      </w:pPr>
      <w:r>
        <w:rPr/>
        <w:t>与资产相关的政府补助，以建造或购买的资产达到可使用状态作为确认时点；</w:t>
      </w:r>
      <w:r>
        <w:rPr>
          <w:w w:val="100"/>
        </w:rPr>
        <w:t> </w:t>
      </w:r>
      <w:r>
        <w:rPr>
          <w:spacing w:val="-1"/>
        </w:rPr>
        <w:t>与资产相关的政府补助，冲减相关资产账面价值或确认为递延收益。确认为递延收益的，在相关资产使用</w:t>
      </w:r>
    </w:p>
    <w:p>
      <w:pPr>
        <w:pStyle w:val="BodyText"/>
        <w:spacing w:line="429" w:lineRule="auto" w:before="48"/>
        <w:ind w:right="0"/>
        <w:jc w:val="left"/>
      </w:pPr>
      <w:r>
        <w:rPr>
          <w:spacing w:val="-1"/>
        </w:rPr>
        <w:t>寿命内按照合理、系统的方法分期计入当期损益（与本公司日常活动相关的，计入其他收益；与本公司日常活</w:t>
      </w:r>
      <w:r>
        <w:rPr>
          <w:spacing w:val="-63"/>
        </w:rPr>
        <w:t> </w:t>
      </w:r>
      <w:r>
        <w:rPr>
          <w:spacing w:val="-63"/>
        </w:rPr>
      </w:r>
      <w:r>
        <w:rPr/>
        <w:t>动无关的，计入营业外收入）。</w:t>
      </w:r>
    </w:p>
    <w:p>
      <w:pPr>
        <w:pStyle w:val="BodyText"/>
        <w:spacing w:line="429" w:lineRule="auto" w:before="48"/>
        <w:ind w:left="553" w:right="0"/>
        <w:jc w:val="left"/>
      </w:pPr>
      <w:r>
        <w:rPr/>
        <w:t>（</w:t>
      </w:r>
      <w:r>
        <w:rPr>
          <w:rFonts w:ascii="宋体" w:hAnsi="宋体" w:cs="宋体" w:eastAsia="宋体" w:hint="default"/>
        </w:rPr>
        <w:t>2</w:t>
      </w:r>
      <w:r>
        <w:rPr/>
        <w:t>）与收益相关的政府补助判断依据及会计处理方法</w:t>
      </w:r>
      <w:r>
        <w:rPr>
          <w:w w:val="100"/>
        </w:rPr>
        <w:t> </w:t>
      </w:r>
      <w:r>
        <w:rPr/>
        <w:t>与收益相关的政府补助，是指除与资产相关的政府补助之外的政府补助。</w:t>
      </w:r>
      <w:r>
        <w:rPr>
          <w:w w:val="100"/>
        </w:rPr>
        <w:t> </w:t>
      </w:r>
      <w:r>
        <w:rPr/>
        <w:t>本公司将政府补助划分为与收益相关的具体标准为：除与资产相关的政府补助之外的政府补助；</w:t>
      </w:r>
      <w:r>
        <w:rPr>
          <w:w w:val="100"/>
        </w:rPr>
        <w:t> </w:t>
      </w:r>
      <w:r>
        <w:rPr>
          <w:spacing w:val="-2"/>
        </w:rPr>
        <w:t>与收益相关的政府补助，用于补偿企业以后期间的相关费用或损失的，如政府补助相关文件规定需要验收，</w:t>
      </w:r>
    </w:p>
    <w:p>
      <w:pPr>
        <w:pStyle w:val="BodyText"/>
        <w:spacing w:line="429" w:lineRule="auto" w:before="48"/>
        <w:ind w:right="0"/>
        <w:jc w:val="left"/>
      </w:pPr>
      <w:r>
        <w:rPr>
          <w:spacing w:val="-1"/>
        </w:rPr>
        <w:t>以验收报告确认的完成时点作为确认时点，未规定是否验收，以确认相关费用的期间作为确认时点；用于补偿</w:t>
      </w:r>
      <w:r>
        <w:rPr>
          <w:spacing w:val="-63"/>
        </w:rPr>
        <w:t> </w:t>
      </w:r>
      <w:r>
        <w:rPr>
          <w:spacing w:val="-63"/>
        </w:rPr>
      </w:r>
      <w:r>
        <w:rPr/>
        <w:t>企业已发生的相关费用或损失的，以实际收到政府补助款项作为确认时点。</w:t>
      </w:r>
    </w:p>
    <w:p>
      <w:pPr>
        <w:pStyle w:val="BodyText"/>
        <w:spacing w:line="429" w:lineRule="auto" w:before="48"/>
        <w:ind w:right="1169" w:firstLine="399"/>
        <w:jc w:val="both"/>
      </w:pPr>
      <w:r>
        <w:rPr>
          <w:spacing w:val="-1"/>
        </w:rPr>
        <w:t>与收益相关的政府补助，用于补偿本公司以后期间的相关成本费用或损失的，确认为递延收益，并在确认</w:t>
      </w:r>
      <w:r>
        <w:rPr>
          <w:w w:val="100"/>
        </w:rPr>
        <w:t> </w:t>
      </w:r>
      <w:r>
        <w:rPr>
          <w:spacing w:val="-1"/>
        </w:rPr>
        <w:t>相关成本费用或损失的期间，计入当期损益（与本公司日常活动相关的，计入其他收益；与本公司日常活动无</w:t>
      </w:r>
      <w:r>
        <w:rPr>
          <w:spacing w:val="-63"/>
        </w:rPr>
        <w:t> </w:t>
      </w:r>
      <w:r>
        <w:rPr>
          <w:spacing w:val="-63"/>
        </w:rPr>
      </w:r>
      <w:r>
        <w:rPr>
          <w:spacing w:val="-1"/>
        </w:rPr>
        <w:t>关的，计入营业外收入）或冲减相关成本费用或损失；用于补偿本公司已发生的相关成本费用或损失的，直接</w:t>
      </w:r>
      <w:r>
        <w:rPr>
          <w:spacing w:val="-63"/>
        </w:rPr>
        <w:t> </w:t>
      </w:r>
      <w:r>
        <w:rPr>
          <w:spacing w:val="-63"/>
        </w:rPr>
      </w:r>
      <w:r>
        <w:rPr>
          <w:spacing w:val="-1"/>
        </w:rPr>
        <w:t>计入当期损益（与本公司日常活动相关的，计入其他收益；与本公司日常活动无关的，计入营业外收入）或冲</w:t>
      </w:r>
      <w:r>
        <w:rPr>
          <w:spacing w:val="-63"/>
        </w:rPr>
        <w:t> </w:t>
      </w:r>
      <w:r>
        <w:rPr>
          <w:spacing w:val="-63"/>
        </w:rPr>
      </w:r>
      <w:r>
        <w:rPr/>
        <w:t>减相关成本费用或损失。</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26、递延所得税资产/递延所得税负债" w:id="207"/>
      <w:bookmarkEnd w:id="207"/>
      <w:r>
        <w:rPr>
          <w:b w:val="0"/>
          <w:bCs w:val="0"/>
        </w:rPr>
      </w:r>
      <w:r>
        <w:rPr>
          <w:rFonts w:ascii="Times New Roman" w:hAnsi="Times New Roman" w:cs="Times New Roman" w:eastAsia="Times New Roman" w:hint="default"/>
        </w:rPr>
        <w:t>26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3"/>
        <w:rPr>
          <w:rFonts w:ascii="宋体" w:hAnsi="宋体" w:cs="宋体" w:eastAsia="宋体" w:hint="default"/>
          <w:b/>
          <w:bCs/>
          <w:sz w:val="31"/>
          <w:szCs w:val="31"/>
        </w:rPr>
      </w:pPr>
    </w:p>
    <w:p>
      <w:pPr>
        <w:pStyle w:val="BodyText"/>
        <w:spacing w:line="429" w:lineRule="auto"/>
        <w:ind w:right="1168" w:firstLine="399"/>
        <w:jc w:val="both"/>
      </w:pPr>
      <w:r>
        <w:rPr>
          <w:spacing w:val="-1"/>
        </w:rPr>
        <w:t>对于可抵扣暂时性差异确认递延所得税资产，以未来期间很可能取得的用来抵扣可抵扣暂时性差异的应纳</w:t>
      </w:r>
      <w:r>
        <w:rPr>
          <w:w w:val="100"/>
        </w:rPr>
        <w:t> </w:t>
      </w:r>
      <w:r>
        <w:rPr>
          <w:spacing w:val="-1"/>
        </w:rPr>
        <w:t>税所得额为限。对于能够结转以后年度的可抵扣亏损和税款抵减，以很可能获得用来抵扣可抵扣亏损和税款抵</w:t>
      </w:r>
      <w:r>
        <w:rPr>
          <w:spacing w:val="-63"/>
        </w:rPr>
        <w:t> </w:t>
      </w:r>
      <w:r>
        <w:rPr>
          <w:spacing w:val="-63"/>
        </w:rPr>
      </w:r>
      <w:r>
        <w:rPr/>
        <w:t>减的未来应纳税所得额为限，确认相应的递延所得税资产。</w:t>
      </w:r>
    </w:p>
    <w:p>
      <w:pPr>
        <w:pStyle w:val="BodyText"/>
        <w:spacing w:line="429" w:lineRule="auto" w:before="48"/>
        <w:ind w:left="553" w:right="0"/>
        <w:jc w:val="left"/>
      </w:pPr>
      <w:r>
        <w:rPr/>
        <w:t>对于应纳税暂时性差异，除特殊情况外，确认递延所得税负债。</w:t>
      </w:r>
      <w:r>
        <w:rPr>
          <w:w w:val="100"/>
        </w:rPr>
        <w:t> </w:t>
      </w:r>
      <w:r>
        <w:rPr>
          <w:spacing w:val="-1"/>
        </w:rPr>
        <w:t>不确认递延所得税资产或递延所得税负债的特殊情况包括：商誉的初始确认；除企业合并以外的发生时既</w:t>
      </w:r>
    </w:p>
    <w:p>
      <w:pPr>
        <w:spacing w:after="0" w:line="429"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29" w:lineRule="auto"/>
        <w:ind w:left="553" w:right="0" w:hanging="400"/>
        <w:jc w:val="left"/>
      </w:pPr>
      <w:r>
        <w:rPr/>
        <w:t>不影响会计利润也不影响应纳税所得额（或可抵扣亏损）的其他交易或事项。</w:t>
      </w:r>
      <w:r>
        <w:rPr>
          <w:w w:val="100"/>
        </w:rPr>
        <w:t> </w:t>
      </w:r>
      <w:r>
        <w:rPr>
          <w:spacing w:val="-1"/>
        </w:rPr>
        <w:t>当拥有以净额结算的法定权利，且意图以净额结算或取得资产、清偿负债同时进行时，当期所得税资产及</w:t>
      </w:r>
    </w:p>
    <w:p>
      <w:pPr>
        <w:pStyle w:val="BodyText"/>
        <w:spacing w:line="429" w:lineRule="auto" w:before="48"/>
        <w:ind w:left="553" w:right="0" w:hanging="400"/>
        <w:jc w:val="left"/>
      </w:pPr>
      <w:r>
        <w:rPr/>
        <w:t>当期所得税负债以抵销后的净额列报。</w:t>
      </w:r>
      <w:r>
        <w:rPr>
          <w:w w:val="100"/>
        </w:rPr>
        <w:t> </w:t>
      </w:r>
      <w:r>
        <w:rPr>
          <w:spacing w:val="-1"/>
        </w:rPr>
        <w:t>当拥有以净额结算当期所得税资产及当期所得税负债的法定权利，且递延所得税资产及递延所得税负债是</w:t>
      </w:r>
    </w:p>
    <w:p>
      <w:pPr>
        <w:pStyle w:val="BodyText"/>
        <w:spacing w:line="429" w:lineRule="auto" w:before="48"/>
        <w:ind w:right="1169"/>
        <w:jc w:val="both"/>
      </w:pPr>
      <w:r>
        <w:rPr>
          <w:spacing w:val="-1"/>
        </w:rPr>
        <w:t>与同一税收征管部门对同一纳税主体征收的所得税相关或者是对不同的纳税主体相关，但在未来每一具有重要</w:t>
      </w:r>
      <w:r>
        <w:rPr>
          <w:spacing w:val="-63"/>
        </w:rPr>
        <w:t> </w:t>
      </w:r>
      <w:r>
        <w:rPr>
          <w:spacing w:val="-63"/>
        </w:rPr>
      </w:r>
      <w:r>
        <w:rPr>
          <w:spacing w:val="-1"/>
        </w:rPr>
        <w:t>性的递延所得税资产及负债转回的期间内，涉及的纳税主体意图以净额结算当期所得税资产和负债或是同时取</w:t>
      </w:r>
      <w:r>
        <w:rPr>
          <w:spacing w:val="-63"/>
        </w:rPr>
        <w:t> </w:t>
      </w:r>
      <w:r>
        <w:rPr>
          <w:spacing w:val="-63"/>
        </w:rPr>
      </w:r>
      <w:r>
        <w:rPr/>
        <w:t>得资产、清偿负债时，递延所得税资产及递延所得税负债以抵销后的净额列报。</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27、租赁" w:id="208"/>
      <w:bookmarkEnd w:id="208"/>
      <w:r>
        <w:rPr>
          <w:b w:val="0"/>
          <w:bCs w:val="0"/>
        </w:rPr>
      </w:r>
      <w:r>
        <w:rPr>
          <w:rFonts w:ascii="Times New Roman" w:hAnsi="Times New Roman" w:cs="Times New Roman" w:eastAsia="Times New Roman" w:hint="default"/>
        </w:rPr>
        <w:t>27</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经营租赁的会计处理方法" w:id="209"/>
      <w:bookmarkEnd w:id="209"/>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3"/>
        <w:rPr>
          <w:rFonts w:ascii="宋体" w:hAnsi="宋体" w:cs="宋体" w:eastAsia="宋体" w:hint="default"/>
          <w:b/>
          <w:bCs/>
          <w:sz w:val="31"/>
          <w:szCs w:val="31"/>
        </w:rPr>
      </w:pPr>
    </w:p>
    <w:p>
      <w:pPr>
        <w:pStyle w:val="BodyText"/>
        <w:spacing w:line="429" w:lineRule="auto"/>
        <w:ind w:right="1168" w:firstLine="399"/>
        <w:jc w:val="both"/>
      </w:pPr>
      <w:r>
        <w:rPr>
          <w:spacing w:val="-1"/>
        </w:rPr>
        <w:t>①公司租入资产所支付的租赁费，在不扣除免租期的整个租赁期内，按直线法进行分摊，计入当期费用。</w:t>
      </w:r>
      <w:r>
        <w:rPr>
          <w:w w:val="100"/>
        </w:rPr>
        <w:t> </w:t>
      </w:r>
      <w:r>
        <w:rPr/>
        <w:t>公司支付的与租赁交易相关的初始直接费用，计入当期费用。</w:t>
      </w:r>
    </w:p>
    <w:p>
      <w:pPr>
        <w:pStyle w:val="BodyText"/>
        <w:spacing w:line="429" w:lineRule="auto" w:before="48"/>
        <w:ind w:right="1169" w:firstLine="399"/>
        <w:jc w:val="both"/>
      </w:pPr>
      <w:r>
        <w:rPr>
          <w:spacing w:val="-1"/>
        </w:rPr>
        <w:t>资产出租方承担了应由公司承担的与租赁相关的费用时，公司将该部分费用从租金总额中扣除，按扣除后</w:t>
      </w:r>
      <w:r>
        <w:rPr>
          <w:w w:val="100"/>
        </w:rPr>
        <w:t> </w:t>
      </w:r>
      <w:r>
        <w:rPr/>
        <w:t>的租金费用在租赁期内分摊，计入当期费用。</w:t>
      </w:r>
    </w:p>
    <w:p>
      <w:pPr>
        <w:pStyle w:val="BodyText"/>
        <w:spacing w:line="429" w:lineRule="auto" w:before="48"/>
        <w:ind w:right="1169" w:firstLine="399"/>
        <w:jc w:val="both"/>
      </w:pPr>
      <w:r>
        <w:rPr>
          <w:spacing w:val="-1"/>
        </w:rPr>
        <w:t>②公司出租资产所收取的租赁费，在不扣除免租期的整个租赁期内，按直线法进行分摊，确认为租赁相关</w:t>
      </w:r>
      <w:r>
        <w:rPr>
          <w:w w:val="100"/>
        </w:rPr>
        <w:t> </w:t>
      </w:r>
      <w:r>
        <w:rPr>
          <w:spacing w:val="-1"/>
        </w:rPr>
        <w:t>收入。公司支付的与租赁交易相关的初始直接费用，计入当期费用；如金额较大的，则予以资本化，在整个租</w:t>
      </w:r>
      <w:r>
        <w:rPr>
          <w:spacing w:val="-63"/>
        </w:rPr>
        <w:t> </w:t>
      </w:r>
      <w:r>
        <w:rPr>
          <w:spacing w:val="-63"/>
        </w:rPr>
      </w:r>
      <w:r>
        <w:rPr/>
        <w:t>赁期间内按照与租赁相关收入确认相同的基础分期计入当期收益。</w:t>
      </w:r>
    </w:p>
    <w:p>
      <w:pPr>
        <w:pStyle w:val="BodyText"/>
        <w:spacing w:line="429" w:lineRule="auto" w:before="48"/>
        <w:ind w:right="1168" w:firstLine="399"/>
        <w:jc w:val="both"/>
      </w:pPr>
      <w:r>
        <w:rPr>
          <w:spacing w:val="-1"/>
        </w:rPr>
        <w:t>公司承担了应由承租方承担的与租赁相关的费用时，公司将该部分费用从租金收入总额中扣除，按扣除后</w:t>
      </w:r>
      <w:r>
        <w:rPr>
          <w:w w:val="100"/>
        </w:rPr>
        <w:t> </w:t>
      </w:r>
      <w:r>
        <w:rPr/>
        <w:t>的租金费用在租赁期内分配。</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2）融资租赁的会计处理方法" w:id="210"/>
      <w:bookmarkEnd w:id="210"/>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3"/>
        <w:rPr>
          <w:rFonts w:ascii="宋体" w:hAnsi="宋体" w:cs="宋体" w:eastAsia="宋体" w:hint="default"/>
          <w:b/>
          <w:bCs/>
          <w:sz w:val="31"/>
          <w:szCs w:val="31"/>
        </w:rPr>
      </w:pPr>
    </w:p>
    <w:p>
      <w:pPr>
        <w:pStyle w:val="BodyText"/>
        <w:spacing w:line="429" w:lineRule="auto"/>
        <w:ind w:right="1169" w:firstLine="399"/>
        <w:jc w:val="both"/>
      </w:pPr>
      <w:r>
        <w:rPr>
          <w:spacing w:val="-1"/>
        </w:rPr>
        <w:t>①融资租入资产：公司在承租开始日，将租赁资产公允价值与最低租赁付款额现值两者中较低者作为租入</w:t>
      </w:r>
      <w:r>
        <w:rPr>
          <w:w w:val="100"/>
        </w:rPr>
        <w:t> </w:t>
      </w:r>
      <w:r>
        <w:rPr>
          <w:spacing w:val="-1"/>
        </w:rPr>
        <w:t>资产的入账价值，将最低租赁付款额作为长期应付款的入账价值，其差额作为未确认的融资费用。公司采用实</w:t>
      </w:r>
      <w:r>
        <w:rPr>
          <w:spacing w:val="-63"/>
        </w:rPr>
        <w:t> </w:t>
      </w:r>
      <w:r>
        <w:rPr>
          <w:spacing w:val="-63"/>
        </w:rPr>
      </w:r>
      <w:r>
        <w:rPr>
          <w:spacing w:val="-1"/>
        </w:rPr>
        <w:t>际利率法对未确认的融资费用，在资产租赁期间内摊销，计入财务费用。公司发生的初始直接费用，计入租入</w:t>
      </w:r>
      <w:r>
        <w:rPr>
          <w:spacing w:val="-63"/>
        </w:rPr>
        <w:t> </w:t>
      </w:r>
      <w:r>
        <w:rPr>
          <w:spacing w:val="-63"/>
        </w:rPr>
      </w:r>
      <w:r>
        <w:rPr/>
        <w:t>资产价值。</w:t>
      </w:r>
    </w:p>
    <w:p>
      <w:pPr>
        <w:pStyle w:val="BodyText"/>
        <w:spacing w:line="429" w:lineRule="auto" w:before="48"/>
        <w:ind w:right="1168" w:firstLine="399"/>
        <w:jc w:val="both"/>
      </w:pPr>
      <w:r>
        <w:rPr>
          <w:spacing w:val="-1"/>
        </w:rPr>
        <w:t>②融资租出资产：公司在租赁开始日，将应收融资租赁款，未担保余值之和与其现值的差额确认为未实现</w:t>
      </w:r>
      <w:r>
        <w:rPr>
          <w:w w:val="100"/>
        </w:rPr>
        <w:t> </w:t>
      </w:r>
      <w:r>
        <w:rPr>
          <w:spacing w:val="-1"/>
        </w:rPr>
        <w:t>融资收益，在将来收到租金的各期间内确认为租赁收入。公司发生的与出租交易相关的初始直接费用，计入应</w:t>
      </w:r>
      <w:r>
        <w:rPr>
          <w:spacing w:val="-63"/>
        </w:rPr>
        <w:t> </w:t>
      </w:r>
      <w:r>
        <w:rPr>
          <w:spacing w:val="-63"/>
        </w:rPr>
      </w:r>
      <w:r>
        <w:rPr/>
        <w:t>收融资租赁款的初始计量中，并减少租赁期内确认的收益金额。</w:t>
      </w:r>
    </w:p>
    <w:p>
      <w:pPr>
        <w:spacing w:after="0" w:line="429"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8、重要会计政策和会计估计变更" w:id="211"/>
      <w:bookmarkEnd w:id="211"/>
      <w:r>
        <w:rPr>
          <w:b w:val="0"/>
          <w:bCs w:val="0"/>
        </w:rPr>
      </w:r>
      <w:r>
        <w:rPr>
          <w:rFonts w:ascii="Times New Roman" w:hAnsi="Times New Roman" w:cs="Times New Roman" w:eastAsia="Times New Roman" w:hint="default"/>
        </w:rPr>
        <w:t>28</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12"/>
      <w:bookmarkEnd w:id="212"/>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5"/>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1"/>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1</w:t>
            </w:r>
            <w:r>
              <w:rPr>
                <w:rFonts w:ascii="宋体" w:hAnsi="宋体" w:cs="宋体" w:eastAsia="宋体" w:hint="default"/>
                <w:spacing w:val="-1"/>
                <w:sz w:val="18"/>
                <w:szCs w:val="18"/>
              </w:rPr>
              <w:t>）资产负债表中“应收票据”和“应</w:t>
            </w:r>
            <w:r>
              <w:rPr>
                <w:rFonts w:ascii="宋体" w:hAnsi="宋体" w:cs="宋体" w:eastAsia="宋体" w:hint="default"/>
                <w:sz w:val="18"/>
                <w:szCs w:val="18"/>
              </w:rPr>
              <w:t> 收账款”合并列示为“应收票据及应收 账款”；“应付票据”和“应付账款” 合并列示为“应付票据及应付账款”； “应收利息”和“应收股利”并入“其 他应收款”列示；“应付利息”和“应 付股利”并入“其他应付款”列示； “固定资产清理”并入“固定资产”列 示；“工程物资”并入“在建工程”列 示；“专项应付款”并入“长期应付 款”列示。比较数据相应调整。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经公司第四届董事会第十八次会议和第 四届监事会第十次会议审议通过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95"/>
              <w:jc w:val="both"/>
              <w:rPr>
                <w:rFonts w:ascii="宋体" w:hAnsi="宋体" w:cs="宋体" w:eastAsia="宋体" w:hint="default"/>
                <w:sz w:val="18"/>
                <w:szCs w:val="18"/>
              </w:rPr>
            </w:pPr>
            <w:r>
              <w:rPr>
                <w:rFonts w:ascii="宋体" w:hAnsi="宋体" w:cs="宋体" w:eastAsia="宋体" w:hint="default"/>
                <w:sz w:val="18"/>
                <w:szCs w:val="18"/>
              </w:rPr>
              <w:t>“应收票据”和“应收账款”合并列示 为“应收票据及应收账款”，本期金额 </w:t>
            </w:r>
            <w:r>
              <w:rPr>
                <w:rFonts w:ascii="宋体" w:hAnsi="宋体" w:cs="宋体" w:eastAsia="宋体" w:hint="default"/>
                <w:sz w:val="18"/>
                <w:szCs w:val="18"/>
              </w:rPr>
              <w:t>137,643,619.43</w:t>
            </w:r>
            <w:r>
              <w:rPr>
                <w:rFonts w:ascii="宋体" w:hAnsi="宋体" w:cs="宋体" w:eastAsia="宋体" w:hint="default"/>
                <w:spacing w:val="-46"/>
                <w:sz w:val="18"/>
                <w:szCs w:val="18"/>
              </w:rPr>
              <w:t> </w:t>
            </w:r>
            <w:r>
              <w:rPr>
                <w:rFonts w:ascii="宋体" w:hAnsi="宋体" w:cs="宋体" w:eastAsia="宋体" w:hint="default"/>
                <w:sz w:val="18"/>
                <w:szCs w:val="18"/>
              </w:rPr>
              <w:t>元，上期金额</w:t>
            </w:r>
          </w:p>
          <w:p>
            <w:pPr>
              <w:pStyle w:val="TableParagraph"/>
              <w:spacing w:line="316" w:lineRule="auto" w:before="19"/>
              <w:ind w:left="22" w:right="5"/>
              <w:jc w:val="left"/>
              <w:rPr>
                <w:rFonts w:ascii="宋体" w:hAnsi="宋体" w:cs="宋体" w:eastAsia="宋体" w:hint="default"/>
                <w:sz w:val="18"/>
                <w:szCs w:val="18"/>
              </w:rPr>
            </w:pPr>
            <w:r>
              <w:rPr>
                <w:rFonts w:ascii="宋体" w:hAnsi="宋体" w:cs="宋体" w:eastAsia="宋体" w:hint="default"/>
                <w:sz w:val="18"/>
                <w:szCs w:val="18"/>
              </w:rPr>
              <w:t>99,776,164.45</w:t>
            </w:r>
            <w:r>
              <w:rPr>
                <w:rFonts w:ascii="宋体" w:hAnsi="宋体" w:cs="宋体" w:eastAsia="宋体" w:hint="default"/>
                <w:spacing w:val="-45"/>
                <w:sz w:val="18"/>
                <w:szCs w:val="18"/>
              </w:rPr>
              <w:t> </w:t>
            </w:r>
            <w:r>
              <w:rPr>
                <w:rFonts w:ascii="宋体" w:hAnsi="宋体" w:cs="宋体" w:eastAsia="宋体" w:hint="default"/>
                <w:spacing w:val="-6"/>
                <w:sz w:val="18"/>
                <w:szCs w:val="18"/>
              </w:rPr>
              <w:t>元；“应付票据”和“应</w:t>
            </w:r>
            <w:r>
              <w:rPr>
                <w:rFonts w:ascii="宋体" w:hAnsi="宋体" w:cs="宋体" w:eastAsia="宋体" w:hint="default"/>
                <w:sz w:val="18"/>
                <w:szCs w:val="18"/>
              </w:rPr>
              <w:t> 付账款”合并列示为“应付票据及应付 账款”，本期金额</w:t>
            </w:r>
            <w:r>
              <w:rPr>
                <w:rFonts w:ascii="宋体" w:hAnsi="宋体" w:cs="宋体" w:eastAsia="宋体" w:hint="default"/>
                <w:spacing w:val="-46"/>
                <w:sz w:val="18"/>
                <w:szCs w:val="18"/>
              </w:rPr>
              <w:t> </w:t>
            </w:r>
            <w:r>
              <w:rPr>
                <w:rFonts w:ascii="宋体" w:hAnsi="宋体" w:cs="宋体" w:eastAsia="宋体" w:hint="default"/>
                <w:sz w:val="18"/>
                <w:szCs w:val="18"/>
              </w:rPr>
              <w:t>314,422,963.70</w:t>
            </w:r>
            <w:r>
              <w:rPr>
                <w:rFonts w:ascii="宋体" w:hAnsi="宋体" w:cs="宋体" w:eastAsia="宋体" w:hint="default"/>
                <w:spacing w:val="-46"/>
                <w:sz w:val="18"/>
                <w:szCs w:val="18"/>
              </w:rPr>
              <w:t> </w:t>
            </w:r>
            <w:r>
              <w:rPr>
                <w:rFonts w:ascii="宋体" w:hAnsi="宋体" w:cs="宋体" w:eastAsia="宋体" w:hint="default"/>
                <w:sz w:val="18"/>
                <w:szCs w:val="18"/>
              </w:rPr>
              <w:t>元，</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pacing w:val="-46"/>
                <w:sz w:val="18"/>
                <w:szCs w:val="18"/>
              </w:rPr>
              <w:t> </w:t>
            </w:r>
            <w:r>
              <w:rPr>
                <w:rFonts w:ascii="宋体" w:hAnsi="宋体" w:cs="宋体" w:eastAsia="宋体" w:hint="default"/>
                <w:sz w:val="18"/>
                <w:szCs w:val="18"/>
              </w:rPr>
              <w:t>272,968,102.26</w:t>
            </w:r>
            <w:r>
              <w:rPr>
                <w:rFonts w:ascii="宋体" w:hAnsi="宋体" w:cs="宋体" w:eastAsia="宋体" w:hint="default"/>
                <w:spacing w:val="-46"/>
                <w:sz w:val="18"/>
                <w:szCs w:val="18"/>
              </w:rPr>
              <w:t> </w:t>
            </w:r>
            <w:r>
              <w:rPr>
                <w:rFonts w:ascii="宋体" w:hAnsi="宋体" w:cs="宋体" w:eastAsia="宋体" w:hint="default"/>
                <w:spacing w:val="-3"/>
                <w:sz w:val="18"/>
                <w:szCs w:val="18"/>
              </w:rPr>
              <w:t>元；调增“其</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他应付款”本期金额</w:t>
            </w:r>
            <w:r>
              <w:rPr>
                <w:rFonts w:ascii="宋体" w:hAnsi="宋体" w:cs="宋体" w:eastAsia="宋体" w:hint="default"/>
                <w:spacing w:val="-45"/>
                <w:sz w:val="18"/>
                <w:szCs w:val="18"/>
              </w:rPr>
              <w:t> </w:t>
            </w:r>
            <w:r>
              <w:rPr>
                <w:rFonts w:ascii="宋体" w:hAnsi="宋体" w:cs="宋体" w:eastAsia="宋体" w:hint="default"/>
                <w:sz w:val="18"/>
                <w:szCs w:val="18"/>
              </w:rPr>
              <w:t>0.00</w:t>
            </w:r>
            <w:r>
              <w:rPr>
                <w:rFonts w:ascii="宋体" w:hAnsi="宋体" w:cs="宋体" w:eastAsia="宋体" w:hint="default"/>
                <w:spacing w:val="-45"/>
                <w:sz w:val="18"/>
                <w:szCs w:val="18"/>
              </w:rPr>
              <w:t> </w:t>
            </w:r>
            <w:r>
              <w:rPr>
                <w:rFonts w:ascii="宋体" w:hAnsi="宋体" w:cs="宋体" w:eastAsia="宋体" w:hint="default"/>
                <w:spacing w:val="-3"/>
                <w:sz w:val="18"/>
                <w:szCs w:val="18"/>
              </w:rPr>
              <w:t>元，上期金额</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11,124,445.50</w:t>
            </w:r>
            <w:r>
              <w:rPr>
                <w:rFonts w:ascii="宋体" w:hAnsi="宋体" w:cs="宋体" w:eastAsia="宋体" w:hint="default"/>
                <w:spacing w:val="-46"/>
                <w:sz w:val="18"/>
                <w:szCs w:val="18"/>
              </w:rPr>
              <w:t> </w:t>
            </w:r>
            <w:r>
              <w:rPr>
                <w:rFonts w:ascii="宋体" w:hAnsi="宋体" w:cs="宋体" w:eastAsia="宋体" w:hint="default"/>
                <w:sz w:val="18"/>
                <w:szCs w:val="18"/>
              </w:rPr>
              <w:t>元；</w:t>
            </w:r>
          </w:p>
        </w:tc>
      </w:tr>
      <w:tr>
        <w:trPr>
          <w:trHeight w:val="196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）在利润表中新增“研发费用”项 目，将原“管理费用”中的研发费用重 分类至“研发费用”单独列示；在利润 表中财务费用项下新增“其中：利息费 用”和“利息收入”项目。比较数据相 应调整。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经公司第四届董事会第十八次会议和第 四届监事会第十次会议审议通过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769"/>
              <w:jc w:val="left"/>
              <w:rPr>
                <w:rFonts w:ascii="宋体" w:hAnsi="宋体" w:cs="宋体" w:eastAsia="宋体" w:hint="default"/>
                <w:sz w:val="18"/>
                <w:szCs w:val="18"/>
              </w:rPr>
            </w:pPr>
            <w:r>
              <w:rPr>
                <w:rFonts w:ascii="宋体" w:hAnsi="宋体" w:cs="宋体" w:eastAsia="宋体" w:hint="default"/>
                <w:sz w:val="18"/>
                <w:szCs w:val="18"/>
              </w:rPr>
              <w:t>调减“管理费用”本期金额 </w:t>
            </w:r>
            <w:r>
              <w:rPr>
                <w:rFonts w:ascii="宋体" w:hAnsi="宋体" w:cs="宋体" w:eastAsia="宋体" w:hint="default"/>
                <w:sz w:val="18"/>
                <w:szCs w:val="18"/>
              </w:rPr>
              <w:t>137,805,965.53</w:t>
            </w:r>
            <w:r>
              <w:rPr>
                <w:rFonts w:ascii="宋体" w:hAnsi="宋体" w:cs="宋体" w:eastAsia="宋体" w:hint="default"/>
                <w:spacing w:val="-46"/>
                <w:sz w:val="18"/>
                <w:szCs w:val="18"/>
              </w:rPr>
              <w:t> </w:t>
            </w:r>
            <w:r>
              <w:rPr>
                <w:rFonts w:ascii="宋体" w:hAnsi="宋体" w:cs="宋体" w:eastAsia="宋体" w:hint="default"/>
                <w:sz w:val="18"/>
                <w:szCs w:val="18"/>
              </w:rPr>
              <w:t>元，上期金额</w:t>
            </w:r>
          </w:p>
          <w:p>
            <w:pPr>
              <w:pStyle w:val="TableParagraph"/>
              <w:spacing w:line="319" w:lineRule="auto" w:before="19"/>
              <w:ind w:left="22" w:right="49"/>
              <w:jc w:val="left"/>
              <w:rPr>
                <w:rFonts w:ascii="宋体" w:hAnsi="宋体" w:cs="宋体" w:eastAsia="宋体" w:hint="default"/>
                <w:sz w:val="18"/>
                <w:szCs w:val="18"/>
              </w:rPr>
            </w:pPr>
            <w:r>
              <w:rPr>
                <w:rFonts w:ascii="宋体" w:hAnsi="宋体" w:cs="宋体" w:eastAsia="宋体" w:hint="default"/>
                <w:sz w:val="18"/>
                <w:szCs w:val="18"/>
              </w:rPr>
              <w:t>121,734,113.84</w:t>
            </w:r>
            <w:r>
              <w:rPr>
                <w:rFonts w:ascii="宋体" w:hAnsi="宋体" w:cs="宋体" w:eastAsia="宋体" w:hint="default"/>
                <w:spacing w:val="-46"/>
                <w:sz w:val="18"/>
                <w:szCs w:val="18"/>
              </w:rPr>
              <w:t> </w:t>
            </w:r>
            <w:r>
              <w:rPr>
                <w:rFonts w:ascii="宋体" w:hAnsi="宋体" w:cs="宋体" w:eastAsia="宋体" w:hint="default"/>
                <w:sz w:val="18"/>
                <w:szCs w:val="18"/>
              </w:rPr>
              <w:t>元，重分类至“研发费 用”。</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会计估计变更" w:id="213"/>
      <w:bookmarkEnd w:id="213"/>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5"/>
        <w:rPr>
          <w:rFonts w:ascii="宋体" w:hAnsi="宋体" w:cs="宋体" w:eastAsia="宋体" w:hint="default"/>
          <w:b/>
          <w:bCs/>
          <w:sz w:val="25"/>
          <w:szCs w:val="25"/>
        </w:rPr>
      </w:pPr>
    </w:p>
    <w:p>
      <w:pPr>
        <w:spacing w:line="494" w:lineRule="auto" w:before="0"/>
        <w:ind w:left="154" w:right="8960" w:firstLine="0"/>
        <w:jc w:val="left"/>
        <w:rPr>
          <w:rFonts w:ascii="宋体" w:hAnsi="宋体" w:cs="宋体" w:eastAsia="宋体" w:hint="default"/>
          <w:sz w:val="21"/>
          <w:szCs w:val="21"/>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49"/>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bookmarkStart w:name="六、税项" w:id="214"/>
      <w:bookmarkEnd w:id="214"/>
      <w:r>
        <w:rPr>
          <w:rFonts w:ascii="宋体" w:hAnsi="宋体" w:cs="宋体" w:eastAsia="宋体" w:hint="default"/>
          <w:w w:val="100"/>
          <w:sz w:val="20"/>
          <w:szCs w:val="20"/>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15"/>
      <w:bookmarkEnd w:id="215"/>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11"/>
        <w:rPr>
          <w:rFonts w:ascii="宋体" w:hAnsi="宋体" w:cs="宋体" w:eastAsia="宋体" w:hint="default"/>
          <w:b/>
          <w:bCs/>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9" w:lineRule="auto" w:before="51"/>
              <w:ind w:left="16" w:right="95"/>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按实际缴纳的增值税计缴</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按实际缴纳的增值税计缴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按照应纳税所得额计缴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按实际缴纳的增值税计缴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3192"/>
        <w:gridCol w:w="3190"/>
        <w:gridCol w:w="3190"/>
      </w:tblGrid>
      <w:tr>
        <w:trPr>
          <w:trHeight w:val="402" w:hRule="exact"/>
        </w:trPr>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按实际缴纳的增值税计缴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北京中科金财科技股份有限公司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天津中科金财科技有限公司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北京中科金财电子商务有限公司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北京中科金财软件技术有限公司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北京中科金财投资管理有限公司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中科金财（上海）互联网金融信息服务有限公司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天津壬辰软件开发有限公司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大连鼎运企业管理有限公司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大连金融资产交易所有限公司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霍尔果斯金财科技服务有限公司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中科金财保险经纪有限公司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霍尔果斯滨河创新软件技术有限公司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华缔资产管理（北京）有限公司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深圳中金财富互联网金融服务有限公司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香港中科金财科技有限公司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深圳前海中科金财金控投资有限公司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税收优惠" w:id="216"/>
      <w:bookmarkEnd w:id="216"/>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3"/>
        <w:rPr>
          <w:rFonts w:ascii="宋体" w:hAnsi="宋体" w:cs="宋体" w:eastAsia="宋体" w:hint="default"/>
          <w:b/>
          <w:bCs/>
          <w:sz w:val="31"/>
          <w:szCs w:val="31"/>
        </w:rPr>
      </w:pPr>
    </w:p>
    <w:p>
      <w:pPr>
        <w:pStyle w:val="BodyText"/>
        <w:spacing w:line="429" w:lineRule="auto"/>
        <w:ind w:left="553" w:right="0"/>
        <w:jc w:val="left"/>
      </w:pPr>
      <w:r>
        <w:rPr>
          <w:rFonts w:ascii="宋体" w:hAnsi="宋体" w:cs="宋体" w:eastAsia="宋体" w:hint="default"/>
        </w:rPr>
        <w:t>(1)</w:t>
      </w:r>
      <w:r>
        <w:rPr/>
        <w:t>企业所得税减免</w:t>
      </w:r>
      <w:r>
        <w:rPr>
          <w:w w:val="100"/>
        </w:rPr>
        <w:t> </w:t>
      </w:r>
      <w:r>
        <w:rPr>
          <w:spacing w:val="-1"/>
        </w:rPr>
        <w:t>公司于</w:t>
      </w:r>
      <w:r>
        <w:rPr>
          <w:rFonts w:ascii="宋体" w:hAnsi="宋体" w:cs="宋体" w:eastAsia="宋体" w:hint="default"/>
          <w:spacing w:val="-1"/>
        </w:rPr>
        <w:t>2017</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25</w:t>
      </w:r>
      <w:r>
        <w:rPr>
          <w:spacing w:val="-1"/>
        </w:rPr>
        <w:t>日取得北京市科学技术委员会、北京市财政局、北京市国家税务局、北京市地方税务</w:t>
      </w:r>
    </w:p>
    <w:p>
      <w:pPr>
        <w:pStyle w:val="BodyText"/>
        <w:spacing w:line="429" w:lineRule="auto" w:before="48"/>
        <w:ind w:right="0"/>
        <w:jc w:val="left"/>
      </w:pPr>
      <w:r>
        <w:rPr>
          <w:spacing w:val="-1"/>
        </w:rPr>
        <w:t>局核发的编号为</w:t>
      </w:r>
      <w:r>
        <w:rPr>
          <w:rFonts w:ascii="宋体" w:hAnsi="宋体" w:cs="宋体" w:eastAsia="宋体" w:hint="default"/>
          <w:spacing w:val="-1"/>
        </w:rPr>
        <w:t>GR201711003394</w:t>
      </w:r>
      <w:r>
        <w:rPr>
          <w:spacing w:val="-1"/>
        </w:rPr>
        <w:t>的《高新技术企业证书》，有效期</w:t>
      </w:r>
      <w:r>
        <w:rPr>
          <w:rFonts w:ascii="宋体" w:hAnsi="宋体" w:cs="宋体" w:eastAsia="宋体" w:hint="default"/>
          <w:spacing w:val="-1"/>
        </w:rPr>
        <w:t>3</w:t>
      </w:r>
      <w:r>
        <w:rPr>
          <w:spacing w:val="-1"/>
        </w:rPr>
        <w:t>年。根据《中华人民共和国企业所得税法》</w:t>
      </w:r>
      <w:r>
        <w:rPr>
          <w:spacing w:val="-56"/>
        </w:rPr>
        <w:t> </w:t>
      </w:r>
      <w:r>
        <w:rPr>
          <w:spacing w:val="-56"/>
        </w:rPr>
      </w:r>
      <w:r>
        <w:rPr/>
        <w:t>第</w:t>
      </w:r>
      <w:r>
        <w:rPr>
          <w:rFonts w:ascii="宋体" w:hAnsi="宋体" w:cs="宋体" w:eastAsia="宋体" w:hint="default"/>
        </w:rPr>
        <w:t>28</w:t>
      </w:r>
      <w:r>
        <w:rPr/>
        <w:t>条的规定，</w:t>
      </w:r>
      <w:r>
        <w:rPr>
          <w:rFonts w:ascii="宋体" w:hAnsi="宋体" w:cs="宋体" w:eastAsia="宋体" w:hint="default"/>
        </w:rPr>
        <w:t>2018</w:t>
      </w:r>
      <w:r>
        <w:rPr/>
        <w:t>年度按</w:t>
      </w:r>
      <w:r>
        <w:rPr>
          <w:rFonts w:ascii="宋体" w:hAnsi="宋体" w:cs="宋体" w:eastAsia="宋体" w:hint="default"/>
        </w:rPr>
        <w:t>15%</w:t>
      </w:r>
      <w:r>
        <w:rPr/>
        <w:t>的税率缴纳企业所得税。</w:t>
      </w:r>
    </w:p>
    <w:p>
      <w:pPr>
        <w:pStyle w:val="BodyText"/>
        <w:spacing w:line="429" w:lineRule="auto" w:before="48"/>
        <w:ind w:right="0" w:firstLine="399"/>
        <w:jc w:val="left"/>
      </w:pPr>
      <w:r>
        <w:rPr/>
        <w:t>子公司北京中科金财电子商务有限公司于</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25</w:t>
      </w:r>
      <w:r>
        <w:rPr/>
        <w:t>日取得北京市科学技术委员会、北京市财政局、北</w:t>
      </w:r>
      <w:r>
        <w:rPr>
          <w:w w:val="100"/>
        </w:rPr>
        <w:t> </w:t>
      </w:r>
      <w:r>
        <w:rPr>
          <w:spacing w:val="-2"/>
        </w:rPr>
        <w:t>京市国家税务局、北京市地方税务局核发的编号为</w:t>
      </w:r>
      <w:r>
        <w:rPr>
          <w:rFonts w:ascii="宋体" w:hAnsi="宋体" w:cs="宋体" w:eastAsia="宋体" w:hint="default"/>
          <w:spacing w:val="-2"/>
        </w:rPr>
        <w:t>GR201711002489</w:t>
      </w:r>
      <w:r>
        <w:rPr>
          <w:spacing w:val="-2"/>
        </w:rPr>
        <w:t>的《高新技术企业证书》，有效期</w:t>
      </w:r>
      <w:r>
        <w:rPr>
          <w:rFonts w:ascii="宋体" w:hAnsi="宋体" w:cs="宋体" w:eastAsia="宋体" w:hint="default"/>
          <w:spacing w:val="-2"/>
        </w:rPr>
        <w:t>3</w:t>
      </w:r>
      <w:r>
        <w:rPr>
          <w:spacing w:val="-2"/>
        </w:rPr>
        <w:t>年。根据</w:t>
      </w:r>
    </w:p>
    <w:p>
      <w:pPr>
        <w:pStyle w:val="BodyText"/>
        <w:spacing w:line="429" w:lineRule="auto" w:before="48"/>
        <w:ind w:left="553" w:right="0" w:hanging="400"/>
        <w:jc w:val="left"/>
      </w:pPr>
      <w:r>
        <w:rPr/>
        <w:t>《中华人民共和国企业所得税法》第</w:t>
      </w:r>
      <w:r>
        <w:rPr>
          <w:rFonts w:ascii="宋体" w:hAnsi="宋体" w:cs="宋体" w:eastAsia="宋体" w:hint="default"/>
        </w:rPr>
        <w:t>28</w:t>
      </w:r>
      <w:r>
        <w:rPr/>
        <w:t>条的规定，</w:t>
      </w:r>
      <w:r>
        <w:rPr>
          <w:rFonts w:ascii="宋体" w:hAnsi="宋体" w:cs="宋体" w:eastAsia="宋体" w:hint="default"/>
        </w:rPr>
        <w:t>2018</w:t>
      </w:r>
      <w:r>
        <w:rPr/>
        <w:t>年度按</w:t>
      </w:r>
      <w:r>
        <w:rPr>
          <w:rFonts w:ascii="宋体" w:hAnsi="宋体" w:cs="宋体" w:eastAsia="宋体" w:hint="default"/>
        </w:rPr>
        <w:t>15%</w:t>
      </w:r>
      <w:r>
        <w:rPr/>
        <w:t>的税率缴纳企业所得税。</w:t>
      </w:r>
      <w:r>
        <w:rPr>
          <w:w w:val="100"/>
        </w:rPr>
        <w:t> </w:t>
      </w:r>
      <w:r>
        <w:rPr>
          <w:spacing w:val="-2"/>
        </w:rPr>
        <w:t>子公司天津中科于</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9</w:t>
      </w:r>
      <w:r>
        <w:rPr>
          <w:spacing w:val="-2"/>
        </w:rPr>
        <w:t>日取得天津市科学技术委员会、天津市财政局、天津市国家税务局、天津市</w:t>
      </w:r>
    </w:p>
    <w:p>
      <w:pPr>
        <w:pStyle w:val="BodyText"/>
        <w:spacing w:line="429" w:lineRule="auto" w:before="48"/>
        <w:ind w:right="0"/>
        <w:jc w:val="left"/>
      </w:pPr>
      <w:r>
        <w:rPr>
          <w:spacing w:val="-2"/>
        </w:rPr>
        <w:t>地方税务局核发的编号为</w:t>
      </w:r>
      <w:r>
        <w:rPr>
          <w:rFonts w:ascii="宋体" w:hAnsi="宋体" w:cs="宋体" w:eastAsia="宋体" w:hint="default"/>
          <w:spacing w:val="-2"/>
        </w:rPr>
        <w:t>GR201612000621</w:t>
      </w:r>
      <w:r>
        <w:rPr>
          <w:spacing w:val="-2"/>
        </w:rPr>
        <w:t>的《高新技术企业证书》，有效期</w:t>
      </w:r>
      <w:r>
        <w:rPr>
          <w:rFonts w:ascii="宋体" w:hAnsi="宋体" w:cs="宋体" w:eastAsia="宋体" w:hint="default"/>
          <w:spacing w:val="-2"/>
        </w:rPr>
        <w:t>3</w:t>
      </w:r>
      <w:r>
        <w:rPr>
          <w:spacing w:val="-2"/>
        </w:rPr>
        <w:t>年，根据《中华人民共和国企业所</w:t>
      </w:r>
      <w:r>
        <w:rPr>
          <w:spacing w:val="-66"/>
        </w:rPr>
        <w:t> </w:t>
      </w:r>
      <w:r>
        <w:rPr>
          <w:spacing w:val="-66"/>
        </w:rPr>
      </w:r>
      <w:r>
        <w:rPr/>
        <w:t>得税法》第</w:t>
      </w:r>
      <w:r>
        <w:rPr>
          <w:rFonts w:ascii="宋体" w:hAnsi="宋体" w:cs="宋体" w:eastAsia="宋体" w:hint="default"/>
        </w:rPr>
        <w:t>28</w:t>
      </w:r>
      <w:r>
        <w:rPr/>
        <w:t>条的规定，</w:t>
      </w:r>
      <w:r>
        <w:rPr>
          <w:rFonts w:ascii="宋体" w:hAnsi="宋体" w:cs="宋体" w:eastAsia="宋体" w:hint="default"/>
        </w:rPr>
        <w:t>2018</w:t>
      </w:r>
      <w:r>
        <w:rPr/>
        <w:t>年度按</w:t>
      </w:r>
      <w:r>
        <w:rPr>
          <w:rFonts w:ascii="宋体" w:hAnsi="宋体" w:cs="宋体" w:eastAsia="宋体" w:hint="default"/>
        </w:rPr>
        <w:t>15%</w:t>
      </w:r>
      <w:r>
        <w:rPr/>
        <w:t>的税率缴纳企业所得税。</w:t>
      </w:r>
    </w:p>
    <w:p>
      <w:pPr>
        <w:pStyle w:val="BodyText"/>
        <w:spacing w:line="240" w:lineRule="auto" w:before="48"/>
        <w:ind w:left="553" w:right="0"/>
        <w:jc w:val="left"/>
      </w:pPr>
      <w:r>
        <w:rPr/>
        <w:t>天津中科子公司天津壬辰软件有限公司于</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2</w:t>
      </w:r>
      <w:r>
        <w:rPr/>
        <w:t>日取得天津市经济和信息化委员会颁发的软件企业认</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29" w:lineRule="auto"/>
        <w:ind w:right="1129"/>
        <w:jc w:val="both"/>
      </w:pPr>
      <w:r>
        <w:rPr/>
        <w:t>定证书，证书编号为：津</w:t>
      </w:r>
      <w:r>
        <w:rPr>
          <w:rFonts w:ascii="宋体" w:hAnsi="宋体" w:cs="宋体" w:eastAsia="宋体" w:hint="default"/>
        </w:rPr>
        <w:t>R-2014-0026</w:t>
      </w:r>
      <w:r>
        <w:rPr>
          <w:rFonts w:ascii="宋体" w:hAnsi="宋体" w:cs="宋体" w:eastAsia="宋体" w:hint="default"/>
          <w:spacing w:val="-8"/>
        </w:rPr>
        <w:t> </w:t>
      </w:r>
      <w:r>
        <w:rPr/>
        <w:t>。根据《财政部国家税务总局关于进一步鼓励软件产业和集成电路产业</w:t>
      </w:r>
      <w:r>
        <w:rPr>
          <w:w w:val="100"/>
        </w:rPr>
        <w:t> </w:t>
      </w:r>
      <w:r>
        <w:rPr/>
        <w:t>发展企业所得税政策的通知》财税</w:t>
      </w:r>
      <w:r>
        <w:rPr>
          <w:rFonts w:ascii="宋体" w:hAnsi="宋体" w:cs="宋体" w:eastAsia="宋体" w:hint="default"/>
        </w:rPr>
        <w:t>[2012]27</w:t>
      </w:r>
      <w:r>
        <w:rPr/>
        <w:t>号文件规定：“我国境内新办的集成电路设计企业和符合条件的软</w:t>
      </w:r>
      <w:r>
        <w:rPr>
          <w:w w:val="100"/>
        </w:rPr>
        <w:t> </w:t>
      </w:r>
      <w:r>
        <w:rPr/>
        <w:t>件企业，经认定后，在</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日前自获利年度起计算优惠期，第一年至第二年免征企业所得税，第三年</w:t>
      </w:r>
      <w:r>
        <w:rPr>
          <w:w w:val="100"/>
        </w:rPr>
        <w:t> </w:t>
      </w:r>
      <w:r>
        <w:rPr/>
        <w:t>至第五年按照</w:t>
      </w:r>
      <w:r>
        <w:rPr>
          <w:rFonts w:ascii="宋体" w:hAnsi="宋体" w:cs="宋体" w:eastAsia="宋体" w:hint="default"/>
        </w:rPr>
        <w:t>25%</w:t>
      </w:r>
      <w:r>
        <w:rPr/>
        <w:t>的法定税率减半征收企业所得税，并享受至期满为止。”</w:t>
      </w:r>
      <w:r>
        <w:rPr>
          <w:spacing w:val="-66"/>
        </w:rPr>
        <w:t> </w:t>
      </w:r>
      <w:r>
        <w:rPr>
          <w:rFonts w:ascii="宋体" w:hAnsi="宋体" w:cs="宋体" w:eastAsia="宋体" w:hint="default"/>
        </w:rPr>
        <w:t>2018</w:t>
      </w:r>
      <w:r>
        <w:rPr/>
        <w:t>年度按照</w:t>
      </w:r>
      <w:r>
        <w:rPr>
          <w:rFonts w:ascii="宋体" w:hAnsi="宋体" w:cs="宋体" w:eastAsia="宋体" w:hint="default"/>
        </w:rPr>
        <w:t>25%</w:t>
      </w:r>
      <w:r>
        <w:rPr/>
        <w:t>的法定税率减半征</w:t>
      </w:r>
      <w:r>
        <w:rPr>
          <w:w w:val="100"/>
        </w:rPr>
        <w:t> </w:t>
      </w:r>
      <w:r>
        <w:rPr/>
        <w:t>收企业所得税。</w:t>
      </w:r>
    </w:p>
    <w:p>
      <w:pPr>
        <w:pStyle w:val="BodyText"/>
        <w:spacing w:line="429" w:lineRule="auto" w:before="48"/>
        <w:ind w:right="1132" w:firstLine="399"/>
        <w:jc w:val="both"/>
      </w:pPr>
      <w:r>
        <w:rPr/>
        <w:t>子公司北京中科金财软件技术有限公司已根据《财政部国家税务总局关于进一步鼓励软件产业和集成电路</w:t>
      </w:r>
      <w:r>
        <w:rPr>
          <w:w w:val="100"/>
        </w:rPr>
        <w:t> </w:t>
      </w:r>
      <w:r>
        <w:rPr>
          <w:spacing w:val="-2"/>
        </w:rPr>
        <w:t>产业发展企业所得税政策的通知》财税</w:t>
      </w:r>
      <w:r>
        <w:rPr>
          <w:rFonts w:ascii="宋体" w:hAnsi="宋体" w:cs="宋体" w:eastAsia="宋体" w:hint="default"/>
          <w:spacing w:val="-2"/>
        </w:rPr>
        <w:t>[2012]27</w:t>
      </w:r>
      <w:r>
        <w:rPr>
          <w:spacing w:val="-2"/>
        </w:rPr>
        <w:t>号文件第三条规定办理企业所得税减免备案，</w:t>
      </w:r>
      <w:r>
        <w:rPr>
          <w:rFonts w:ascii="宋体" w:hAnsi="宋体" w:cs="宋体" w:eastAsia="宋体" w:hint="default"/>
          <w:spacing w:val="-2"/>
        </w:rPr>
        <w:t>2018</w:t>
      </w:r>
      <w:r>
        <w:rPr>
          <w:spacing w:val="-2"/>
        </w:rPr>
        <w:t>年度按照</w:t>
      </w:r>
      <w:r>
        <w:rPr>
          <w:rFonts w:ascii="宋体" w:hAnsi="宋体" w:cs="宋体" w:eastAsia="宋体" w:hint="default"/>
          <w:spacing w:val="-2"/>
        </w:rPr>
        <w:t>25%</w:t>
      </w:r>
      <w:r>
        <w:rPr>
          <w:rFonts w:ascii="宋体" w:hAnsi="宋体" w:cs="宋体" w:eastAsia="宋体" w:hint="default"/>
          <w:spacing w:val="-65"/>
        </w:rPr>
        <w:t> </w:t>
      </w:r>
      <w:r>
        <w:rPr/>
        <w:t>的法定税率减半征收企业所得税。</w:t>
      </w:r>
    </w:p>
    <w:p>
      <w:pPr>
        <w:pStyle w:val="BodyText"/>
        <w:spacing w:line="429" w:lineRule="auto" w:before="48"/>
        <w:ind w:right="0" w:firstLine="399"/>
        <w:jc w:val="left"/>
      </w:pPr>
      <w:r>
        <w:rPr/>
        <w:t>子公司霍尔果斯金财科技服务有限公司和天津中科的子公司霍尔果斯滨河创新软件技术有限公司根据《霍</w:t>
      </w:r>
      <w:r>
        <w:rPr>
          <w:w w:val="100"/>
        </w:rPr>
        <w:t> </w:t>
      </w:r>
      <w:r>
        <w:rPr/>
        <w:t>尔果斯经济开发区招商引资财税优惠政策》霍特管办发</w:t>
      </w:r>
      <w:r>
        <w:rPr>
          <w:rFonts w:ascii="宋体" w:hAnsi="宋体" w:cs="宋体" w:eastAsia="宋体" w:hint="default"/>
        </w:rPr>
        <w:t>[2013]55</w:t>
      </w:r>
      <w:r>
        <w:rPr/>
        <w:t>号规定及《财政部国家税务总局关于新疆喀什</w:t>
      </w:r>
      <w:r>
        <w:rPr>
          <w:w w:val="100"/>
        </w:rPr>
        <w:t> </w:t>
      </w:r>
      <w:r>
        <w:rPr>
          <w:spacing w:val="-2"/>
        </w:rPr>
        <w:t>霍尔果斯两个特殊经济开发区企业所得税优惠政策的通知》财税</w:t>
      </w:r>
      <w:r>
        <w:rPr>
          <w:rFonts w:ascii="宋体" w:hAnsi="宋体" w:cs="宋体" w:eastAsia="宋体" w:hint="default"/>
          <w:spacing w:val="-2"/>
        </w:rPr>
        <w:t>[2011]112</w:t>
      </w:r>
      <w:r>
        <w:rPr>
          <w:spacing w:val="-2"/>
        </w:rPr>
        <w:t>号第一条规定，</w:t>
      </w:r>
      <w:r>
        <w:rPr>
          <w:rFonts w:ascii="宋体" w:hAnsi="宋体" w:cs="宋体" w:eastAsia="宋体" w:hint="default"/>
          <w:spacing w:val="-2"/>
        </w:rPr>
        <w:t>2010</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2020</w:t>
      </w:r>
      <w:r>
        <w:rPr>
          <w:rFonts w:ascii="宋体" w:hAnsi="宋体" w:cs="宋体" w:eastAsia="宋体" w:hint="default"/>
          <w:spacing w:val="-59"/>
        </w:rPr>
        <w:t> </w:t>
      </w:r>
      <w:r>
        <w:rPr>
          <w:rFonts w:ascii="宋体" w:hAnsi="宋体" w:cs="宋体" w:eastAsia="宋体" w:hint="default"/>
          <w:spacing w:val="-59"/>
        </w:rPr>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日，对在开发区内新办的属于《新疆困难地区重点鼓励发展产业企业所得税优惠目录》范围内的企业，</w:t>
      </w:r>
      <w:r>
        <w:rPr>
          <w:spacing w:val="-73"/>
        </w:rPr>
        <w:t> </w:t>
      </w:r>
      <w:r>
        <w:rPr>
          <w:spacing w:val="-73"/>
        </w:rPr>
      </w:r>
      <w:r>
        <w:rPr/>
        <w:t>自取得第一笔生产经营收入所属纳税年底起，企业所得税五年免征优惠。</w:t>
      </w:r>
    </w:p>
    <w:p>
      <w:pPr>
        <w:pStyle w:val="BodyText"/>
        <w:spacing w:line="429" w:lineRule="auto" w:before="48"/>
        <w:ind w:left="553" w:right="0"/>
        <w:jc w:val="left"/>
        <w:rPr>
          <w:rFonts w:ascii="宋体" w:hAnsi="宋体" w:cs="宋体" w:eastAsia="宋体" w:hint="default"/>
        </w:rPr>
      </w:pPr>
      <w:r>
        <w:rPr>
          <w:rFonts w:ascii="宋体" w:hAnsi="宋体" w:cs="宋体" w:eastAsia="宋体" w:hint="default"/>
        </w:rPr>
        <w:t>(2)</w:t>
      </w:r>
      <w:r>
        <w:rPr/>
        <w:t>增值税减免及退税</w:t>
      </w:r>
      <w:r>
        <w:rPr>
          <w:w w:val="100"/>
        </w:rPr>
        <w:t> </w:t>
      </w:r>
      <w:r>
        <w:rPr>
          <w:spacing w:val="-4"/>
        </w:rPr>
        <w:t>根据《财政部国家税务总局关于全面推开营业税改征增值税试点的通知》财税</w:t>
      </w:r>
      <w:r>
        <w:rPr>
          <w:rFonts w:ascii="宋体" w:hAnsi="宋体" w:cs="宋体" w:eastAsia="宋体" w:hint="default"/>
          <w:spacing w:val="-4"/>
        </w:rPr>
        <w:t>[2016]36</w:t>
      </w:r>
      <w:r>
        <w:rPr>
          <w:spacing w:val="-4"/>
        </w:rPr>
        <w:t>号规定，本公司</w:t>
      </w:r>
      <w:r>
        <w:rPr>
          <w:rFonts w:ascii="宋体" w:hAnsi="宋体" w:cs="宋体" w:eastAsia="宋体" w:hint="default"/>
          <w:spacing w:val="-4"/>
        </w:rPr>
        <w:t>2018</w:t>
      </w:r>
    </w:p>
    <w:p>
      <w:pPr>
        <w:pStyle w:val="BodyText"/>
        <w:spacing w:line="429" w:lineRule="auto" w:before="48"/>
        <w:ind w:left="553" w:right="0" w:hanging="400"/>
        <w:jc w:val="left"/>
      </w:pPr>
      <w:r>
        <w:rPr/>
        <w:t>年度提供技术转让、技术开发业务和与之相关的技术咨询、技术服务业务取得的收入免征增值税。</w:t>
      </w:r>
      <w:r>
        <w:rPr>
          <w:w w:val="100"/>
        </w:rPr>
        <w:t> </w:t>
      </w:r>
      <w:r>
        <w:rPr>
          <w:rFonts w:ascii="宋体" w:hAnsi="宋体" w:cs="宋体" w:eastAsia="宋体" w:hint="default"/>
          <w:spacing w:val="-2"/>
        </w:rPr>
        <w:t>2011</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18</w:t>
      </w:r>
      <w:r>
        <w:rPr>
          <w:spacing w:val="-2"/>
        </w:rPr>
        <w:t>日，国务院颁发《进一步鼓励软件产业和集成电路产业发展的若干政策》（国发</w:t>
      </w:r>
      <w:r>
        <w:rPr>
          <w:rFonts w:ascii="宋体" w:hAnsi="宋体" w:cs="宋体" w:eastAsia="宋体" w:hint="default"/>
          <w:spacing w:val="-2"/>
        </w:rPr>
        <w:t>[2011]4</w:t>
      </w:r>
      <w:r>
        <w:rPr>
          <w:spacing w:val="-2"/>
        </w:rPr>
        <w:t>号），</w:t>
      </w:r>
    </w:p>
    <w:p>
      <w:pPr>
        <w:pStyle w:val="BodyText"/>
        <w:spacing w:line="429" w:lineRule="auto" w:before="48"/>
        <w:ind w:left="553" w:right="0" w:hanging="400"/>
        <w:jc w:val="left"/>
      </w:pPr>
      <w:r>
        <w:rPr/>
        <w:t>规定明确了“继续实施软件增值税优惠政策”。</w:t>
      </w:r>
      <w:r>
        <w:rPr>
          <w:w w:val="100"/>
        </w:rPr>
        <w:t> </w:t>
      </w:r>
      <w:r>
        <w:rPr>
          <w:spacing w:val="-2"/>
        </w:rPr>
        <w:t>根据《关于软件产品增值税政策的通知》（财税</w:t>
      </w:r>
      <w:r>
        <w:rPr>
          <w:rFonts w:ascii="宋体" w:hAnsi="宋体" w:cs="宋体" w:eastAsia="宋体" w:hint="default"/>
          <w:spacing w:val="-2"/>
        </w:rPr>
        <w:t>[2011]100</w:t>
      </w:r>
      <w:r>
        <w:rPr>
          <w:spacing w:val="-2"/>
        </w:rPr>
        <w:t>号）明确了增值税一般纳税人销售其自行开发生</w:t>
      </w:r>
    </w:p>
    <w:p>
      <w:pPr>
        <w:pStyle w:val="BodyText"/>
        <w:spacing w:line="429" w:lineRule="auto" w:before="48"/>
        <w:ind w:left="553" w:right="0" w:hanging="400"/>
        <w:jc w:val="left"/>
      </w:pPr>
      <w:r>
        <w:rPr/>
        <w:t>产的软件产品，按</w:t>
      </w:r>
      <w:r>
        <w:rPr>
          <w:rFonts w:ascii="宋体" w:hAnsi="宋体" w:cs="宋体" w:eastAsia="宋体" w:hint="default"/>
        </w:rPr>
        <w:t>17%</w:t>
      </w:r>
      <w:r>
        <w:rPr/>
        <w:t>税率征收增值税后，对其增值税实际税负超过</w:t>
      </w:r>
      <w:r>
        <w:rPr>
          <w:rFonts w:ascii="宋体" w:hAnsi="宋体" w:cs="宋体" w:eastAsia="宋体" w:hint="default"/>
        </w:rPr>
        <w:t>3%</w:t>
      </w:r>
      <w:r>
        <w:rPr/>
        <w:t>的部分实行即征即退政策。</w:t>
      </w:r>
      <w:r>
        <w:rPr>
          <w:w w:val="100"/>
        </w:rPr>
        <w:t> </w:t>
      </w:r>
      <w:r>
        <w:rPr>
          <w:spacing w:val="-1"/>
        </w:rPr>
        <w:t>国家税务总局公告</w:t>
      </w:r>
      <w:r>
        <w:rPr>
          <w:rFonts w:ascii="宋体" w:hAnsi="宋体" w:cs="宋体" w:eastAsia="宋体" w:hint="default"/>
          <w:spacing w:val="-1"/>
        </w:rPr>
        <w:t>2017</w:t>
      </w:r>
      <w:r>
        <w:rPr>
          <w:spacing w:val="-1"/>
        </w:rPr>
        <w:t>年第</w:t>
      </w:r>
      <w:r>
        <w:rPr>
          <w:rFonts w:ascii="宋体" w:hAnsi="宋体" w:cs="宋体" w:eastAsia="宋体" w:hint="default"/>
          <w:spacing w:val="-1"/>
        </w:rPr>
        <w:t>52</w:t>
      </w:r>
      <w:r>
        <w:rPr>
          <w:spacing w:val="-1"/>
        </w:rPr>
        <w:t>号增值税小规模纳税人应分别核算销售货物或者加工、修理修配劳务的销售</w:t>
      </w:r>
    </w:p>
    <w:p>
      <w:pPr>
        <w:pStyle w:val="BodyText"/>
        <w:spacing w:line="429" w:lineRule="auto" w:before="48"/>
        <w:ind w:right="0"/>
        <w:jc w:val="left"/>
      </w:pPr>
      <w:r>
        <w:rPr/>
        <w:t>额和销售服务、无形资产的销售额。增值税小规模纳税人销售货物或者加工、修理修配劳务月销售额不超过</w:t>
      </w:r>
      <w:r>
        <w:rPr>
          <w:rFonts w:ascii="宋体" w:hAnsi="宋体" w:cs="宋体" w:eastAsia="宋体" w:hint="default"/>
        </w:rPr>
        <w:t>3</w:t>
      </w:r>
      <w:r>
        <w:rPr>
          <w:rFonts w:ascii="宋体" w:hAnsi="宋体" w:cs="宋体" w:eastAsia="宋体" w:hint="default"/>
          <w:w w:val="100"/>
        </w:rPr>
        <w:t> </w:t>
      </w:r>
      <w:r>
        <w:rPr>
          <w:spacing w:val="-2"/>
        </w:rPr>
        <w:t>万元（按季纳税</w:t>
      </w:r>
      <w:r>
        <w:rPr>
          <w:rFonts w:ascii="宋体" w:hAnsi="宋体" w:cs="宋体" w:eastAsia="宋体" w:hint="default"/>
          <w:spacing w:val="-2"/>
        </w:rPr>
        <w:t>9</w:t>
      </w:r>
      <w:r>
        <w:rPr>
          <w:spacing w:val="-2"/>
        </w:rPr>
        <w:t>万元），销售服务、无形资产月销售额不超过</w:t>
      </w:r>
      <w:r>
        <w:rPr>
          <w:rFonts w:ascii="宋体" w:hAnsi="宋体" w:cs="宋体" w:eastAsia="宋体" w:hint="default"/>
          <w:spacing w:val="-2"/>
        </w:rPr>
        <w:t>3</w:t>
      </w:r>
      <w:r>
        <w:rPr>
          <w:spacing w:val="-2"/>
        </w:rPr>
        <w:t>万元（按季纳税</w:t>
      </w:r>
      <w:r>
        <w:rPr>
          <w:rFonts w:ascii="宋体" w:hAnsi="宋体" w:cs="宋体" w:eastAsia="宋体" w:hint="default"/>
          <w:spacing w:val="-2"/>
        </w:rPr>
        <w:t>9</w:t>
      </w:r>
      <w:r>
        <w:rPr>
          <w:spacing w:val="-2"/>
        </w:rPr>
        <w:t>万元）的，自</w:t>
      </w:r>
      <w:r>
        <w:rPr>
          <w:rFonts w:ascii="宋体" w:hAnsi="宋体" w:cs="宋体" w:eastAsia="宋体" w:hint="default"/>
          <w:spacing w:val="-2"/>
        </w:rPr>
        <w:t>2018</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w:t>
      </w:r>
      <w:r>
        <w:rPr>
          <w:spacing w:val="-70"/>
        </w:rPr>
        <w:t> </w:t>
      </w:r>
      <w:r>
        <w:rPr/>
        <w:t>至</w:t>
      </w:r>
      <w:r>
        <w:rPr>
          <w:rFonts w:ascii="宋体" w:hAnsi="宋体" w:cs="宋体" w:eastAsia="宋体" w:hint="default"/>
        </w:rPr>
        <w:t>2020</w:t>
      </w:r>
      <w:r>
        <w:rPr/>
        <w:t>年</w:t>
      </w:r>
      <w:r>
        <w:rPr>
          <w:rFonts w:ascii="宋体" w:hAnsi="宋体" w:cs="宋体" w:eastAsia="宋体" w:hint="default"/>
        </w:rPr>
        <w:t>12</w:t>
      </w:r>
      <w:r>
        <w:rPr/>
        <w:t>月</w:t>
      </w:r>
      <w:r>
        <w:rPr>
          <w:rFonts w:ascii="宋体" w:hAnsi="宋体" w:cs="宋体" w:eastAsia="宋体" w:hint="default"/>
        </w:rPr>
        <w:t>31</w:t>
      </w:r>
      <w:r>
        <w:rPr/>
        <w:t>日，可分别享受小微企业暂免征收增值税优惠政策。</w:t>
      </w:r>
    </w:p>
    <w:p>
      <w:pPr>
        <w:pStyle w:val="BodyText"/>
        <w:spacing w:line="271" w:lineRule="auto" w:before="11"/>
        <w:ind w:right="1127"/>
        <w:jc w:val="left"/>
      </w:pPr>
      <w:r>
        <w:rPr>
          <w:spacing w:val="-3"/>
        </w:rPr>
        <w:t>公司需遵守《深圳证券交易所行业信息披露指引第</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号</w:t>
      </w:r>
      <w:r>
        <w:rPr>
          <w:rFonts w:ascii="Times New Roman" w:hAnsi="Times New Roman" w:cs="Times New Roman" w:eastAsia="Times New Roman" w:hint="default"/>
        </w:rPr>
        <w:t>——</w:t>
      </w:r>
      <w:r>
        <w:rPr/>
        <w:t>上市公司从事软件与信息技术服务业务》的披露要</w:t>
      </w:r>
      <w:r>
        <w:rPr>
          <w:w w:val="100"/>
        </w:rPr>
        <w:t> </w:t>
      </w:r>
      <w:r>
        <w:rPr/>
        <w:t>求</w:t>
      </w:r>
    </w:p>
    <w:p>
      <w:pPr>
        <w:spacing w:line="240" w:lineRule="auto" w:before="4"/>
        <w:rPr>
          <w:rFonts w:ascii="宋体" w:hAnsi="宋体" w:cs="宋体" w:eastAsia="宋体" w:hint="default"/>
          <w:sz w:val="22"/>
          <w:szCs w:val="22"/>
        </w:rPr>
      </w:pPr>
    </w:p>
    <w:p>
      <w:pPr>
        <w:pStyle w:val="Heading2"/>
        <w:spacing w:line="240" w:lineRule="auto"/>
        <w:ind w:right="0"/>
        <w:jc w:val="left"/>
        <w:rPr>
          <w:b w:val="0"/>
          <w:bCs w:val="0"/>
        </w:rPr>
      </w:pPr>
      <w:bookmarkStart w:name="七、合并财务报表项目注释" w:id="217"/>
      <w:bookmarkEnd w:id="217"/>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货币资金" w:id="218"/>
      <w:bookmarkEnd w:id="218"/>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161,140.39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182,243.35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328,306,493.38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546,342,108.19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61,183,378.45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130,489,872.84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389,651,012.22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677,014,224.38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60,990.44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117,298.24</w:t>
            </w:r>
          </w:p>
        </w:tc>
      </w:tr>
    </w:tbl>
    <w:p>
      <w:pPr>
        <w:pStyle w:val="BodyText"/>
        <w:spacing w:line="321" w:lineRule="auto" w:before="35"/>
        <w:ind w:right="4938"/>
        <w:jc w:val="left"/>
      </w:pPr>
      <w:r>
        <w:rPr/>
        <w:t>其他说明</w:t>
      </w:r>
      <w:r>
        <w:rPr>
          <w:w w:val="100"/>
        </w:rPr>
        <w:t> </w:t>
      </w:r>
      <w:r>
        <w:rPr>
          <w:spacing w:val="-1"/>
        </w:rPr>
        <w:t>其中因抵押、质押或冻结等对使用有限制的货币资金明细如下：</w:t>
      </w:r>
    </w:p>
    <w:tbl>
      <w:tblPr>
        <w:tblW w:w="0" w:type="auto"/>
        <w:jc w:val="left"/>
        <w:tblInd w:w="755" w:type="dxa"/>
        <w:tblLayout w:type="fixed"/>
        <w:tblCellMar>
          <w:top w:w="0" w:type="dxa"/>
          <w:left w:w="0" w:type="dxa"/>
          <w:bottom w:w="0" w:type="dxa"/>
          <w:right w:w="0" w:type="dxa"/>
        </w:tblCellMar>
        <w:tblLook w:val="01E0"/>
      </w:tblPr>
      <w:tblGrid>
        <w:gridCol w:w="3338"/>
        <w:gridCol w:w="2238"/>
        <w:gridCol w:w="2238"/>
      </w:tblGrid>
      <w:tr>
        <w:trPr>
          <w:trHeight w:val="342"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12" w:right="0"/>
              <w:jc w:val="left"/>
              <w:rPr>
                <w:rFonts w:ascii="宋体" w:hAnsi="宋体" w:cs="宋体" w:eastAsia="宋体" w:hint="default"/>
                <w:sz w:val="20"/>
                <w:szCs w:val="20"/>
              </w:rPr>
            </w:pPr>
            <w:r>
              <w:rPr>
                <w:rFonts w:ascii="宋体" w:hAnsi="宋体" w:cs="宋体" w:eastAsia="宋体" w:hint="default"/>
                <w:sz w:val="20"/>
                <w:szCs w:val="20"/>
              </w:rPr>
              <w:t>期末余额（元）</w:t>
            </w:r>
          </w:p>
        </w:tc>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12" w:right="0"/>
              <w:jc w:val="left"/>
              <w:rPr>
                <w:rFonts w:ascii="宋体" w:hAnsi="宋体" w:cs="宋体" w:eastAsia="宋体" w:hint="default"/>
                <w:sz w:val="20"/>
                <w:szCs w:val="20"/>
              </w:rPr>
            </w:pPr>
            <w:r>
              <w:rPr>
                <w:rFonts w:ascii="宋体" w:hAnsi="宋体" w:cs="宋体" w:eastAsia="宋体" w:hint="default"/>
                <w:sz w:val="20"/>
                <w:szCs w:val="20"/>
              </w:rPr>
              <w:t>年初余额（元）</w:t>
            </w:r>
          </w:p>
        </w:tc>
      </w:tr>
      <w:tr>
        <w:trPr>
          <w:trHeight w:val="342"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 w:right="0"/>
              <w:jc w:val="left"/>
              <w:rPr>
                <w:rFonts w:ascii="宋体" w:hAnsi="宋体" w:cs="宋体" w:eastAsia="宋体" w:hint="default"/>
                <w:sz w:val="20"/>
                <w:szCs w:val="20"/>
              </w:rPr>
            </w:pPr>
            <w:r>
              <w:rPr>
                <w:rFonts w:ascii="宋体" w:hAnsi="宋体" w:cs="宋体" w:eastAsia="宋体" w:hint="default"/>
                <w:sz w:val="20"/>
                <w:szCs w:val="20"/>
              </w:rPr>
              <w:t>银行承兑汇票保证金</w:t>
            </w:r>
          </w:p>
        </w:tc>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Times New Roman" w:hAnsi="Times New Roman" w:cs="Times New Roman" w:eastAsia="Times New Roman" w:hint="default"/>
                <w:sz w:val="20"/>
                <w:szCs w:val="20"/>
              </w:rPr>
            </w:pPr>
            <w:r>
              <w:rPr>
                <w:rFonts w:ascii="Times New Roman"/>
                <w:spacing w:val="-1"/>
                <w:sz w:val="20"/>
              </w:rPr>
              <w:t>127,897.46</w:t>
            </w:r>
          </w:p>
        </w:tc>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64" w:right="0"/>
              <w:jc w:val="left"/>
              <w:rPr>
                <w:rFonts w:ascii="Times New Roman" w:hAnsi="Times New Roman" w:cs="Times New Roman" w:eastAsia="Times New Roman" w:hint="default"/>
                <w:sz w:val="20"/>
                <w:szCs w:val="20"/>
              </w:rPr>
            </w:pPr>
            <w:r>
              <w:rPr>
                <w:rFonts w:ascii="Times New Roman"/>
                <w:sz w:val="20"/>
              </w:rPr>
              <w:t>135,288.28</w:t>
            </w:r>
          </w:p>
        </w:tc>
      </w:tr>
      <w:tr>
        <w:trPr>
          <w:trHeight w:val="342"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 w:right="0"/>
              <w:jc w:val="left"/>
              <w:rPr>
                <w:rFonts w:ascii="宋体" w:hAnsi="宋体" w:cs="宋体" w:eastAsia="宋体" w:hint="default"/>
                <w:sz w:val="20"/>
                <w:szCs w:val="20"/>
              </w:rPr>
            </w:pPr>
            <w:r>
              <w:rPr>
                <w:rFonts w:ascii="宋体" w:hAnsi="宋体" w:cs="宋体" w:eastAsia="宋体" w:hint="default"/>
                <w:sz w:val="20"/>
                <w:szCs w:val="20"/>
              </w:rPr>
              <w:t>保函保证金</w:t>
            </w:r>
          </w:p>
        </w:tc>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Times New Roman" w:hAnsi="Times New Roman" w:cs="Times New Roman" w:eastAsia="Times New Roman" w:hint="default"/>
                <w:sz w:val="20"/>
                <w:szCs w:val="20"/>
              </w:rPr>
            </w:pPr>
            <w:r>
              <w:rPr>
                <w:rFonts w:ascii="Times New Roman"/>
                <w:spacing w:val="-1"/>
                <w:sz w:val="20"/>
              </w:rPr>
              <w:t>27,138,486.97</w:t>
            </w:r>
          </w:p>
        </w:tc>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Times New Roman" w:hAnsi="Times New Roman" w:cs="Times New Roman" w:eastAsia="Times New Roman" w:hint="default"/>
                <w:sz w:val="20"/>
                <w:szCs w:val="20"/>
              </w:rPr>
            </w:pPr>
            <w:r>
              <w:rPr>
                <w:rFonts w:ascii="Times New Roman"/>
                <w:spacing w:val="-1"/>
                <w:sz w:val="20"/>
              </w:rPr>
              <w:t>33,763,001.51</w:t>
            </w:r>
          </w:p>
        </w:tc>
      </w:tr>
      <w:tr>
        <w:trPr>
          <w:trHeight w:val="342"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 w:right="0"/>
              <w:jc w:val="left"/>
              <w:rPr>
                <w:rFonts w:ascii="宋体" w:hAnsi="宋体" w:cs="宋体" w:eastAsia="宋体" w:hint="default"/>
                <w:sz w:val="20"/>
                <w:szCs w:val="20"/>
              </w:rPr>
            </w:pPr>
            <w:r>
              <w:rPr>
                <w:rFonts w:ascii="宋体" w:hAnsi="宋体" w:cs="宋体" w:eastAsia="宋体" w:hint="default"/>
                <w:sz w:val="20"/>
                <w:szCs w:val="20"/>
              </w:rPr>
              <w:t>代管资金</w:t>
            </w:r>
          </w:p>
        </w:tc>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Times New Roman" w:hAnsi="Times New Roman" w:cs="Times New Roman" w:eastAsia="Times New Roman" w:hint="default"/>
                <w:sz w:val="20"/>
                <w:szCs w:val="20"/>
              </w:rPr>
            </w:pPr>
            <w:r>
              <w:rPr>
                <w:rFonts w:ascii="Times New Roman"/>
                <w:spacing w:val="-1"/>
                <w:sz w:val="20"/>
              </w:rPr>
              <w:t>19,487,806.40</w:t>
            </w:r>
          </w:p>
        </w:tc>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Times New Roman" w:hAnsi="Times New Roman" w:cs="Times New Roman" w:eastAsia="Times New Roman" w:hint="default"/>
                <w:sz w:val="20"/>
                <w:szCs w:val="20"/>
              </w:rPr>
            </w:pPr>
            <w:r>
              <w:rPr>
                <w:rFonts w:ascii="Times New Roman"/>
                <w:spacing w:val="-1"/>
                <w:sz w:val="20"/>
              </w:rPr>
              <w:t>34,061,901.82</w:t>
            </w:r>
          </w:p>
        </w:tc>
      </w:tr>
      <w:tr>
        <w:trPr>
          <w:trHeight w:val="342"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 w:right="0"/>
              <w:jc w:val="left"/>
              <w:rPr>
                <w:rFonts w:ascii="宋体" w:hAnsi="宋体" w:cs="宋体" w:eastAsia="宋体" w:hint="default"/>
                <w:sz w:val="20"/>
                <w:szCs w:val="20"/>
              </w:rPr>
            </w:pPr>
            <w:r>
              <w:rPr>
                <w:rFonts w:ascii="宋体" w:hAnsi="宋体" w:cs="宋体" w:eastAsia="宋体" w:hint="default"/>
                <w:sz w:val="20"/>
                <w:szCs w:val="20"/>
              </w:rPr>
              <w:t>保证金</w:t>
            </w:r>
          </w:p>
        </w:tc>
        <w:tc>
          <w:tcPr>
            <w:tcW w:w="2238" w:type="dxa"/>
            <w:tcBorders>
              <w:top w:val="single" w:sz="4" w:space="0" w:color="000000"/>
              <w:left w:val="single" w:sz="4" w:space="0" w:color="000000"/>
              <w:bottom w:val="single" w:sz="4" w:space="0" w:color="000000"/>
              <w:right w:val="single" w:sz="4" w:space="0" w:color="000000"/>
            </w:tcBorders>
          </w:tcPr>
          <w:p>
            <w:pPr/>
          </w:p>
        </w:tc>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Times New Roman" w:hAnsi="Times New Roman" w:cs="Times New Roman" w:eastAsia="Times New Roman" w:hint="default"/>
                <w:sz w:val="20"/>
                <w:szCs w:val="20"/>
              </w:rPr>
            </w:pPr>
            <w:r>
              <w:rPr>
                <w:rFonts w:ascii="Times New Roman"/>
                <w:spacing w:val="-1"/>
                <w:sz w:val="20"/>
              </w:rPr>
              <w:t>21,869,026.54</w:t>
            </w:r>
          </w:p>
        </w:tc>
      </w:tr>
      <w:tr>
        <w:trPr>
          <w:trHeight w:val="342"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 w:right="0"/>
              <w:jc w:val="left"/>
              <w:rPr>
                <w:rFonts w:ascii="宋体" w:hAnsi="宋体" w:cs="宋体" w:eastAsia="宋体" w:hint="default"/>
                <w:sz w:val="20"/>
                <w:szCs w:val="20"/>
              </w:rPr>
            </w:pPr>
            <w:r>
              <w:rPr>
                <w:rFonts w:ascii="宋体" w:hAnsi="宋体" w:cs="宋体" w:eastAsia="宋体" w:hint="default"/>
                <w:sz w:val="20"/>
                <w:szCs w:val="20"/>
              </w:rPr>
              <w:t>信托托管金</w:t>
            </w:r>
          </w:p>
        </w:tc>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Times New Roman" w:hAnsi="Times New Roman" w:cs="Times New Roman" w:eastAsia="Times New Roman" w:hint="default"/>
                <w:sz w:val="20"/>
                <w:szCs w:val="20"/>
              </w:rPr>
            </w:pPr>
            <w:r>
              <w:rPr>
                <w:rFonts w:ascii="Times New Roman"/>
                <w:spacing w:val="-1"/>
                <w:sz w:val="20"/>
              </w:rPr>
              <w:t>14,262,392.79</w:t>
            </w:r>
          </w:p>
        </w:tc>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Times New Roman" w:hAnsi="Times New Roman" w:cs="Times New Roman" w:eastAsia="Times New Roman" w:hint="default"/>
                <w:sz w:val="20"/>
                <w:szCs w:val="20"/>
              </w:rPr>
            </w:pPr>
            <w:r>
              <w:rPr>
                <w:rFonts w:ascii="Times New Roman"/>
                <w:spacing w:val="-1"/>
                <w:sz w:val="20"/>
              </w:rPr>
              <w:t>40,525,372.60</w:t>
            </w:r>
          </w:p>
        </w:tc>
      </w:tr>
      <w:tr>
        <w:trPr>
          <w:trHeight w:val="342"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tabs>
                <w:tab w:pos="400" w:val="left" w:leader="none"/>
              </w:tabs>
              <w:spacing w:line="255" w:lineRule="exact"/>
              <w:ind w:right="0"/>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Times New Roman" w:hAnsi="Times New Roman" w:cs="Times New Roman" w:eastAsia="Times New Roman" w:hint="default"/>
                <w:sz w:val="20"/>
                <w:szCs w:val="20"/>
              </w:rPr>
            </w:pPr>
            <w:r>
              <w:rPr>
                <w:rFonts w:ascii="Times New Roman"/>
                <w:spacing w:val="-1"/>
                <w:sz w:val="20"/>
              </w:rPr>
              <w:t>61,016,583.62</w:t>
            </w:r>
          </w:p>
        </w:tc>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Times New Roman" w:hAnsi="Times New Roman" w:cs="Times New Roman" w:eastAsia="Times New Roman" w:hint="default"/>
                <w:sz w:val="20"/>
                <w:szCs w:val="20"/>
              </w:rPr>
            </w:pPr>
            <w:r>
              <w:rPr>
                <w:rFonts w:ascii="Times New Roman"/>
                <w:spacing w:val="-1"/>
                <w:sz w:val="20"/>
              </w:rPr>
              <w:t>130,354,590.75</w:t>
            </w:r>
          </w:p>
        </w:tc>
      </w:tr>
    </w:tbl>
    <w:p>
      <w:pPr>
        <w:pStyle w:val="BodyText"/>
        <w:spacing w:line="405" w:lineRule="auto" w:before="60"/>
        <w:ind w:right="1218" w:firstLine="399"/>
        <w:jc w:val="both"/>
      </w:pPr>
      <w:r>
        <w:rPr>
          <w:spacing w:val="-1"/>
        </w:rPr>
        <w:t>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日，其他货币资金中</w:t>
      </w:r>
      <w:r>
        <w:rPr>
          <w:rFonts w:ascii="Times New Roman" w:hAnsi="Times New Roman" w:cs="Times New Roman" w:eastAsia="Times New Roman" w:hint="default"/>
          <w:spacing w:val="-1"/>
        </w:rPr>
        <w:t>27,138,486.97</w:t>
      </w:r>
      <w:r>
        <w:rPr>
          <w:spacing w:val="-1"/>
        </w:rPr>
        <w:t>元系本公司向银行申请开具无条件、不可撤销的担保</w:t>
      </w:r>
      <w:r>
        <w:rPr>
          <w:w w:val="100"/>
        </w:rPr>
        <w:t> </w:t>
      </w:r>
      <w:r>
        <w:rPr>
          <w:spacing w:val="-1"/>
        </w:rPr>
        <w:t>函所存入的保证金存款，</w:t>
      </w:r>
      <w:r>
        <w:rPr>
          <w:rFonts w:ascii="Times New Roman" w:hAnsi="Times New Roman" w:cs="Times New Roman" w:eastAsia="Times New Roman" w:hint="default"/>
          <w:spacing w:val="-1"/>
        </w:rPr>
        <w:t>19,487,806.40</w:t>
      </w:r>
      <w:r>
        <w:rPr>
          <w:spacing w:val="-1"/>
        </w:rPr>
        <w:t>元系大连金融资产交易所有限公司因提供相关产品的发行交易服务形成</w:t>
      </w:r>
      <w:r>
        <w:rPr>
          <w:spacing w:val="-57"/>
        </w:rPr>
        <w:t> </w:t>
      </w:r>
      <w:r>
        <w:rPr>
          <w:spacing w:val="-57"/>
        </w:rPr>
      </w:r>
      <w:r>
        <w:rPr/>
        <w:t>的代管资金，</w:t>
      </w:r>
      <w:r>
        <w:rPr>
          <w:rFonts w:ascii="Times New Roman" w:hAnsi="Times New Roman" w:cs="Times New Roman" w:eastAsia="Times New Roman" w:hint="default"/>
        </w:rPr>
        <w:t>14,262,392.79</w:t>
      </w:r>
      <w:r>
        <w:rPr/>
        <w:t>元系纳入合并范围的信托计划存放于信托公司的资金账户余额。</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bookmarkStart w:name="2、应收票据及应收账款" w:id="219"/>
      <w:bookmarkEnd w:id="219"/>
      <w:r>
        <w:rPr>
          <w:b w:val="0"/>
          <w:bCs w:val="0"/>
        </w:rPr>
      </w:r>
      <w:r>
        <w:rPr>
          <w:rFonts w:ascii="Times New Roman" w:hAnsi="Times New Roman" w:cs="Times New Roman" w:eastAsia="Times New Roman" w:hint="default"/>
        </w:rPr>
        <w:t>2</w:t>
      </w:r>
      <w:r>
        <w:rPr/>
        <w:t>、应收票据及应收账款</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28,821,652.00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8,137,514.49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108,821,967.43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91,638,649.96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137,643,619.43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99,776,164.45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票据" w:id="220"/>
      <w:bookmarkEnd w:id="220"/>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5"/>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7" w:footer="979" w:top="1060" w:bottom="1160" w:left="980" w:right="0"/>
        </w:sectPr>
      </w:pPr>
    </w:p>
    <w:p>
      <w:pPr>
        <w:pStyle w:val="BodyText"/>
        <w:spacing w:line="240" w:lineRule="auto" w:before="38"/>
        <w:ind w:right="-9"/>
        <w:jc w:val="left"/>
      </w:pPr>
      <w:r>
        <w:rPr>
          <w:rFonts w:ascii="Times New Roman" w:hAnsi="Times New Roman" w:cs="Times New Roman" w:eastAsia="Times New Roman" w:hint="default"/>
          <w:spacing w:val="-1"/>
        </w:rPr>
        <w:t>1)</w:t>
      </w:r>
      <w:r>
        <w:rPr>
          <w:spacing w:val="-1"/>
        </w:rPr>
        <w:t>应收票据分类列示</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22" w:space="6908"/>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28,821,652.00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8,137,514.49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28,821,652.00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8,137,514.49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收账款" w:id="221"/>
      <w:bookmarkEnd w:id="221"/>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5"/>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1)</w:t>
      </w:r>
      <w:r>
        <w:rPr/>
        <w:t>应收账款分类披露</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120,842,</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617.47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12,020,6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50.04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108,821,9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67.43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100,450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,854.84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8,812,204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8.77%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91,638,649.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96</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595,060.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595,060.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18"/>
                <w:szCs w:val="18"/>
              </w:rPr>
            </w:pPr>
            <w:r>
              <w:rPr>
                <w:rFonts w:ascii="Times New Roman"/>
                <w:sz w:val="18"/>
              </w:rPr>
              <w:t>121,437,</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677.88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12,615,7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10.45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10.39%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108,821,9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67.43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6" w:right="0"/>
              <w:jc w:val="left"/>
              <w:rPr>
                <w:rFonts w:ascii="Times New Roman" w:hAnsi="Times New Roman" w:cs="Times New Roman" w:eastAsia="Times New Roman" w:hint="default"/>
                <w:sz w:val="18"/>
                <w:szCs w:val="18"/>
              </w:rPr>
            </w:pPr>
            <w:r>
              <w:rPr>
                <w:rFonts w:ascii="Times New Roman"/>
                <w:sz w:val="18"/>
              </w:rPr>
              <w:t>100,450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,854.84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8,812,204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8.77%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91,638,649.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96</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6"/>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0"/>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96,583,884.56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4,829,194.22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96,583,884.56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4,829,194.22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11,308,234.23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1,130,823.42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7,119,754.24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1,423,950.84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5,830,744.44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4,636,681.56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79.52%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2,388,125.76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1,194,062.88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2,724,522.68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2,724,522.68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718,096.00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718,096.00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120,842,617.47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12,020,650.04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9.95%</w:t>
            </w:r>
          </w:p>
        </w:tc>
      </w:tr>
    </w:tbl>
    <w:p>
      <w:pPr>
        <w:pStyle w:val="BodyText"/>
        <w:spacing w:line="314" w:lineRule="auto" w:before="35"/>
        <w:ind w:right="1118"/>
        <w:jc w:val="left"/>
      </w:pPr>
      <w:r>
        <w:rPr/>
        <w:t>确定该组合依据的说明：</w:t>
      </w:r>
      <w:r>
        <w:rPr>
          <w:w w:val="100"/>
        </w:rPr>
        <w:t> </w:t>
      </w:r>
      <w:r>
        <w:rPr>
          <w:spacing w:val="-1"/>
        </w:rPr>
        <w:t>以公司的会计政策确定该组合，详见五、重要的会计政策和会计估计</w:t>
      </w:r>
      <w:r>
        <w:rPr>
          <w:rFonts w:ascii="Times New Roman" w:hAnsi="Times New Roman" w:cs="Times New Roman" w:eastAsia="Times New Roman" w:hint="default"/>
          <w:spacing w:val="-1"/>
        </w:rPr>
        <w:t>11</w:t>
      </w:r>
      <w:r>
        <w:rPr>
          <w:spacing w:val="-1"/>
        </w:rPr>
        <w:t>、应收票据及应收款项。</w:t>
      </w:r>
      <w:r>
        <w:rPr>
          <w:spacing w:val="-67"/>
        </w:rPr>
        <w:t> </w:t>
      </w:r>
      <w:r>
        <w:rPr>
          <w:spacing w:val="-67"/>
        </w:rPr>
      </w:r>
      <w:r>
        <w:rPr/>
        <w:t>组合中，采用余额百分比法计提坏账准备的应收账款：</w:t>
      </w:r>
    </w:p>
    <w:p>
      <w:pPr>
        <w:pStyle w:val="BodyText"/>
        <w:spacing w:line="314" w:lineRule="auto" w:before="28"/>
        <w:ind w:right="62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100"/>
        </w:rPr>
        <w:t> </w:t>
      </w:r>
      <w:r>
        <w:rPr>
          <w:spacing w:val="-1"/>
        </w:rPr>
        <w:t>组合中，采用其他方法计提坏账准备的应收账款：</w:t>
      </w:r>
      <w:r>
        <w:rPr>
          <w:spacing w:val="-82"/>
        </w:rPr>
        <w:t> </w:t>
      </w:r>
      <w:r>
        <w:rPr>
          <w:spacing w:val="-82"/>
        </w:rPr>
      </w:r>
      <w:r>
        <w:rPr/>
        <w:t>无</w:t>
      </w:r>
    </w:p>
    <w:p>
      <w:pPr>
        <w:pStyle w:val="BodyText"/>
        <w:spacing w:line="240" w:lineRule="auto" w:before="29"/>
        <w:ind w:right="0"/>
        <w:jc w:val="left"/>
      </w:pPr>
      <w:r>
        <w:rPr>
          <w:spacing w:val="-3"/>
        </w:rPr>
        <w:t>公司需遵守《深圳证券交易所行业信息披露指引第</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号</w:t>
      </w:r>
      <w:r>
        <w:rPr>
          <w:rFonts w:ascii="Times New Roman" w:hAnsi="Times New Roman" w:cs="Times New Roman" w:eastAsia="Times New Roman" w:hint="default"/>
        </w:rPr>
        <w:t>——</w:t>
      </w:r>
      <w:r>
        <w:rPr/>
        <w:t>上市公司从事软件与信息技术服务业务》的披露要</w:t>
      </w:r>
    </w:p>
    <w:p>
      <w:pPr>
        <w:spacing w:after="0" w:line="240" w:lineRule="auto"/>
        <w:jc w:val="left"/>
        <w:sectPr>
          <w:type w:val="continuous"/>
          <w:pgSz w:w="11910" w:h="16840"/>
          <w:pgMar w:top="1060" w:bottom="1160" w:left="980" w:right="0"/>
        </w:sectPr>
      </w:pPr>
    </w:p>
    <w:p>
      <w:pPr>
        <w:spacing w:line="240" w:lineRule="auto" w:before="3"/>
        <w:rPr>
          <w:rFonts w:ascii="宋体" w:hAnsi="宋体" w:cs="宋体" w:eastAsia="宋体" w:hint="default"/>
          <w:sz w:val="25"/>
          <w:szCs w:val="25"/>
        </w:rPr>
      </w:pPr>
    </w:p>
    <w:p>
      <w:pPr>
        <w:pStyle w:val="BodyText"/>
        <w:spacing w:line="240" w:lineRule="auto" w:before="38"/>
        <w:ind w:right="0"/>
        <w:jc w:val="left"/>
      </w:pPr>
      <w:r>
        <w:rPr>
          <w:w w:val="100"/>
        </w:rPr>
        <w:t>求</w:t>
      </w:r>
    </w:p>
    <w:p>
      <w:pPr>
        <w:pStyle w:val="BodyText"/>
        <w:spacing w:line="240" w:lineRule="auto" w:before="166"/>
        <w:ind w:right="0"/>
        <w:jc w:val="left"/>
      </w:pPr>
      <w:r>
        <w:rPr>
          <w:rFonts w:ascii="Times New Roman" w:hAnsi="Times New Roman" w:cs="Times New Roman" w:eastAsia="Times New Roman" w:hint="default"/>
        </w:rPr>
        <w:t>2)</w:t>
      </w:r>
      <w:r>
        <w:rPr/>
        <w:t>本期计提、收回或转回的坏账准备情况</w:t>
      </w:r>
    </w:p>
    <w:p>
      <w:pPr>
        <w:spacing w:line="240" w:lineRule="auto" w:before="8"/>
        <w:rPr>
          <w:rFonts w:ascii="宋体" w:hAnsi="宋体" w:cs="宋体" w:eastAsia="宋体" w:hint="default"/>
          <w:sz w:val="14"/>
          <w:szCs w:val="14"/>
        </w:rPr>
      </w:pPr>
    </w:p>
    <w:p>
      <w:pPr>
        <w:pStyle w:val="BodyText"/>
        <w:spacing w:line="240" w:lineRule="auto"/>
        <w:ind w:right="0"/>
        <w:jc w:val="left"/>
      </w:pPr>
      <w:r>
        <w:rPr/>
        <w:t>本期计提坏账准备金额</w:t>
      </w:r>
      <w:r>
        <w:rPr>
          <w:spacing w:val="-53"/>
        </w:rPr>
        <w:t> </w:t>
      </w:r>
      <w:r>
        <w:rPr>
          <w:rFonts w:ascii="Times New Roman" w:hAnsi="Times New Roman" w:cs="Times New Roman" w:eastAsia="Times New Roman" w:hint="default"/>
        </w:rPr>
        <w:t>3,803,505.57</w:t>
      </w:r>
      <w:r>
        <w:rPr>
          <w:rFonts w:ascii="Times New Roman" w:hAnsi="Times New Roman" w:cs="Times New Roman" w:eastAsia="Times New Roman" w:hint="default"/>
          <w:spacing w:val="-3"/>
        </w:rPr>
        <w:t> </w:t>
      </w:r>
      <w:r>
        <w:rPr/>
        <w:t>元；本期收回或转回坏账准备金额</w:t>
      </w:r>
      <w:r>
        <w:rPr>
          <w:spacing w:val="-53"/>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t>元。</w:t>
      </w:r>
    </w:p>
    <w:p>
      <w:pPr>
        <w:spacing w:line="240" w:lineRule="auto" w:before="8"/>
        <w:rPr>
          <w:rFonts w:ascii="宋体" w:hAnsi="宋体" w:cs="宋体" w:eastAsia="宋体" w:hint="default"/>
          <w:sz w:val="14"/>
          <w:szCs w:val="14"/>
        </w:rPr>
      </w:pPr>
    </w:p>
    <w:p>
      <w:pPr>
        <w:pStyle w:val="BodyText"/>
        <w:spacing w:line="405" w:lineRule="auto"/>
        <w:ind w:left="553" w:right="0" w:hanging="400"/>
        <w:jc w:val="left"/>
      </w:pPr>
      <w:r>
        <w:rPr>
          <w:rFonts w:ascii="Times New Roman" w:hAnsi="Times New Roman" w:cs="Times New Roman" w:eastAsia="Times New Roman" w:hint="default"/>
        </w:rPr>
        <w:t>3)</w:t>
      </w:r>
      <w:r>
        <w:rPr/>
        <w:t>按欠款方归集的期末余额前五名的应收账款情况</w:t>
      </w:r>
      <w:r>
        <w:rPr>
          <w:w w:val="100"/>
        </w:rPr>
        <w:t> </w:t>
      </w:r>
      <w:r>
        <w:rPr>
          <w:spacing w:val="-2"/>
        </w:rPr>
        <w:t>本报告期按欠款方归集的期末余额前五名应收账款汇总金额</w:t>
      </w:r>
      <w:r>
        <w:rPr>
          <w:rFonts w:ascii="宋体" w:hAnsi="宋体" w:cs="宋体" w:eastAsia="宋体" w:hint="default"/>
          <w:spacing w:val="-2"/>
        </w:rPr>
        <w:t>34,244,975.82</w:t>
      </w:r>
      <w:r>
        <w:rPr>
          <w:spacing w:val="-2"/>
        </w:rPr>
        <w:t>元，占应收账款期末余额合计数</w:t>
      </w:r>
    </w:p>
    <w:p>
      <w:pPr>
        <w:pStyle w:val="BodyText"/>
        <w:spacing w:line="240" w:lineRule="auto" w:before="68"/>
        <w:ind w:right="0"/>
        <w:jc w:val="left"/>
      </w:pPr>
      <w:r>
        <w:rPr/>
        <w:t>的比例</w:t>
      </w:r>
      <w:r>
        <w:rPr>
          <w:rFonts w:ascii="宋体" w:hAnsi="宋体" w:cs="宋体" w:eastAsia="宋体" w:hint="default"/>
        </w:rPr>
        <w:t>28.20%</w:t>
      </w:r>
      <w:r>
        <w:rPr/>
        <w:t>，相应计提的坏账准备期末余额汇总金额</w:t>
      </w:r>
      <w:r>
        <w:rPr>
          <w:rFonts w:ascii="宋体" w:hAnsi="宋体" w:cs="宋体" w:eastAsia="宋体" w:hint="default"/>
        </w:rPr>
        <w:t>1,712,248.79</w:t>
      </w:r>
      <w:r>
        <w:rPr/>
        <w:t>元。</w:t>
      </w:r>
    </w:p>
    <w:p>
      <w:pPr>
        <w:spacing w:line="240" w:lineRule="auto" w:before="0"/>
        <w:rPr>
          <w:rFonts w:ascii="宋体" w:hAnsi="宋体" w:cs="宋体" w:eastAsia="宋体" w:hint="default"/>
          <w:sz w:val="20"/>
          <w:szCs w:val="20"/>
        </w:rPr>
      </w:pPr>
    </w:p>
    <w:p>
      <w:pPr>
        <w:pStyle w:val="Heading3"/>
        <w:spacing w:line="240" w:lineRule="auto" w:before="158"/>
        <w:ind w:right="0"/>
        <w:jc w:val="left"/>
        <w:rPr>
          <w:b w:val="0"/>
          <w:bCs w:val="0"/>
        </w:rPr>
      </w:pPr>
      <w:bookmarkStart w:name="3、预付款项" w:id="222"/>
      <w:bookmarkEnd w:id="222"/>
      <w:r>
        <w:rPr>
          <w:b w:val="0"/>
          <w:bCs w:val="0"/>
        </w:rPr>
      </w:r>
      <w:r>
        <w:rPr>
          <w:rFonts w:ascii="Times New Roman" w:hAnsi="Times New Roman" w:cs="Times New Roman" w:eastAsia="Times New Roman" w:hint="default"/>
        </w:rPr>
        <w:t>3</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23"/>
      <w:bookmarkEnd w:id="223"/>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19,072,009.00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6,159,904.41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7" w:right="0"/>
              <w:jc w:val="lef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927,654.24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19,999,663.24</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6,159,904.41</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按预付对象归集的期末余额前五名的预付款情况" w:id="224"/>
      <w:bookmarkEnd w:id="224"/>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3"/>
        <w:rPr>
          <w:rFonts w:ascii="宋体" w:hAnsi="宋体" w:cs="宋体" w:eastAsia="宋体" w:hint="default"/>
          <w:b/>
          <w:bCs/>
          <w:sz w:val="31"/>
          <w:szCs w:val="31"/>
        </w:rPr>
      </w:pPr>
    </w:p>
    <w:p>
      <w:pPr>
        <w:pStyle w:val="BodyText"/>
        <w:spacing w:line="429" w:lineRule="auto"/>
        <w:ind w:right="0" w:firstLine="399"/>
        <w:jc w:val="left"/>
      </w:pPr>
      <w:r>
        <w:rPr>
          <w:spacing w:val="-2"/>
        </w:rPr>
        <w:t>本报告期按预付对象归集的期末余额前五名的预付款汇总金额</w:t>
      </w:r>
      <w:r>
        <w:rPr>
          <w:rFonts w:ascii="宋体" w:hAnsi="宋体" w:cs="宋体" w:eastAsia="宋体" w:hint="default"/>
          <w:spacing w:val="-2"/>
        </w:rPr>
        <w:t>16,533,166.76</w:t>
      </w:r>
      <w:r>
        <w:rPr>
          <w:spacing w:val="-2"/>
        </w:rPr>
        <w:t>元，占预付款项期末余额合计</w:t>
      </w:r>
      <w:r>
        <w:rPr>
          <w:w w:val="100"/>
        </w:rPr>
        <w:t> </w:t>
      </w:r>
      <w:r>
        <w:rPr/>
        <w:t>数的比例</w:t>
      </w:r>
      <w:r>
        <w:rPr>
          <w:rFonts w:ascii="宋体" w:hAnsi="宋体" w:cs="宋体" w:eastAsia="宋体" w:hint="default"/>
        </w:rPr>
        <w:t>82.66%</w:t>
      </w:r>
      <w:r>
        <w:rPr/>
        <w:t>。</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4、其他应收款" w:id="225"/>
      <w:bookmarkEnd w:id="225"/>
      <w:r>
        <w:rPr>
          <w:b w:val="0"/>
          <w:bCs w:val="0"/>
        </w:rPr>
      </w:r>
      <w:r>
        <w:rPr>
          <w:rFonts w:ascii="Times New Roman" w:hAnsi="Times New Roman" w:cs="Times New Roman" w:eastAsia="Times New Roman" w:hint="default"/>
        </w:rPr>
        <w:t>4</w:t>
      </w:r>
      <w:r>
        <w:rPr/>
        <w:t>、其他应收款</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94,884,447.92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64,796,993.48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94,884,447.92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64,796,993.48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其他应收款" w:id="226"/>
      <w:bookmarkEnd w:id="226"/>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5"/>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7" w:footer="979" w:top="1060" w:bottom="1160" w:left="980" w:right="0"/>
        </w:sectPr>
      </w:pPr>
    </w:p>
    <w:p>
      <w:pPr>
        <w:pStyle w:val="BodyText"/>
        <w:spacing w:line="240" w:lineRule="auto" w:before="38"/>
        <w:ind w:right="-8"/>
        <w:jc w:val="left"/>
      </w:pPr>
      <w:r>
        <w:rPr>
          <w:rFonts w:ascii="Times New Roman" w:hAnsi="Times New Roman" w:cs="Times New Roman" w:eastAsia="Times New Roman" w:hint="default"/>
          <w:spacing w:val="-1"/>
        </w:rPr>
        <w:t>1)</w:t>
      </w:r>
      <w:r>
        <w:rPr>
          <w:spacing w:val="-1"/>
        </w:rPr>
        <w:t>其他应收款分类披露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122" w:space="6707"/>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5"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62"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67,978,1</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14.24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47.47%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37,850,1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37.29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55.68%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30,127,97</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6.95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17,870,</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267.21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20.51%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14,296,21</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3.77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3,574,053.4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75,229,9</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68.17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10,473,4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97.20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13.92%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64,756,47</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0.97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69,274,</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083.99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79.49%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8,051,143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11.62%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61,222,940.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04</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143,208,</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082.41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48,323,6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34.49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33.74%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94,884,44</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7.92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87,144,</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351.20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22,347,35</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7.72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25.64%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64,796,993.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48</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0"/>
        <w:ind w:left="0" w:right="1137" w:firstLine="0"/>
        <w:jc w:val="right"/>
        <w:rPr>
          <w:rFonts w:ascii="宋体" w:hAnsi="宋体" w:cs="宋体" w:eastAsia="宋体" w:hint="default"/>
          <w:sz w:val="18"/>
          <w:szCs w:val="18"/>
        </w:rPr>
      </w:pPr>
      <w:r>
        <w:rPr/>
        <w:pict>
          <v:shape style="position:absolute;margin-left:56.459999pt;margin-top:-214.898285pt;width:479.3pt;height:470.95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83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辽宁辉山乳业集团有限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20"/>
                          <w:jc w:val="right"/>
                          <w:rPr>
                            <w:rFonts w:ascii="Times New Roman" w:hAnsi="Times New Roman" w:cs="Times New Roman" w:eastAsia="Times New Roman" w:hint="default"/>
                            <w:sz w:val="18"/>
                            <w:szCs w:val="18"/>
                          </w:rPr>
                        </w:pPr>
                        <w:r>
                          <w:rPr>
                            <w:rFonts w:ascii="Times New Roman"/>
                            <w:spacing w:val="-1"/>
                            <w:sz w:val="18"/>
                          </w:rPr>
                          <w:t>17,870,267.21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21"/>
                          <w:jc w:val="right"/>
                          <w:rPr>
                            <w:rFonts w:ascii="Times New Roman" w:hAnsi="Times New Roman" w:cs="Times New Roman" w:eastAsia="Times New Roman" w:hint="default"/>
                            <w:sz w:val="18"/>
                            <w:szCs w:val="18"/>
                          </w:rPr>
                        </w:pPr>
                        <w:r>
                          <w:rPr>
                            <w:rFonts w:ascii="Times New Roman"/>
                            <w:spacing w:val="-1"/>
                            <w:sz w:val="18"/>
                          </w:rPr>
                          <w:t>14,296,213.77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21"/>
                          <w:jc w:val="right"/>
                          <w:rPr>
                            <w:rFonts w:ascii="Times New Roman" w:hAnsi="Times New Roman" w:cs="Times New Roman" w:eastAsia="Times New Roman" w:hint="default"/>
                            <w:sz w:val="18"/>
                            <w:szCs w:val="18"/>
                          </w:rPr>
                        </w:pPr>
                        <w:r>
                          <w:rPr>
                            <w:rFonts w:ascii="Times New Roman"/>
                            <w:sz w:val="18"/>
                          </w:rPr>
                          <w:t>80.00%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0"/>
                          <w:jc w:val="left"/>
                          <w:rPr>
                            <w:rFonts w:ascii="宋体" w:hAnsi="宋体" w:cs="宋体" w:eastAsia="宋体" w:hint="default"/>
                            <w:sz w:val="18"/>
                            <w:szCs w:val="18"/>
                          </w:rPr>
                        </w:pPr>
                        <w:r>
                          <w:rPr>
                            <w:rFonts w:ascii="宋体" w:hAnsi="宋体" w:cs="宋体" w:eastAsia="宋体" w:hint="default"/>
                            <w:sz w:val="18"/>
                            <w:szCs w:val="18"/>
                          </w:rPr>
                          <w:t>辽宁辉山乳业集团有限 公司在本公司子公司大 连金融资产交易所有限 公司登记发行“辉山乳 业定向融资计划”产 品，大连金融资产交易 所有限公司垫付利息 </w:t>
                        </w:r>
                        <w:r>
                          <w:rPr>
                            <w:rFonts w:ascii="Times New Roman" w:hAnsi="Times New Roman" w:cs="Times New Roman" w:eastAsia="Times New Roman" w:hint="default"/>
                            <w:sz w:val="18"/>
                            <w:szCs w:val="18"/>
                          </w:rPr>
                          <w:t>17,870,267.21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元，辽宁</w:t>
                        </w:r>
                      </w:p>
                      <w:p>
                        <w:pPr>
                          <w:pStyle w:val="TableParagraph"/>
                          <w:spacing w:line="319" w:lineRule="auto"/>
                          <w:ind w:left="22" w:right="80"/>
                          <w:jc w:val="left"/>
                          <w:rPr>
                            <w:rFonts w:ascii="宋体" w:hAnsi="宋体" w:cs="宋体" w:eastAsia="宋体" w:hint="default"/>
                            <w:sz w:val="18"/>
                            <w:szCs w:val="18"/>
                          </w:rPr>
                        </w:pPr>
                        <w:r>
                          <w:rPr>
                            <w:rFonts w:ascii="宋体" w:hAnsi="宋体" w:cs="宋体" w:eastAsia="宋体" w:hint="default"/>
                            <w:sz w:val="18"/>
                            <w:szCs w:val="18"/>
                          </w:rPr>
                          <w:t>辉山乳业集团有限公司 现已进入破产重整程 序，详细情况描述见附 </w:t>
                        </w:r>
                        <w:r>
                          <w:rPr>
                            <w:rFonts w:ascii="宋体" w:hAnsi="宋体" w:cs="宋体" w:eastAsia="宋体" w:hint="default"/>
                            <w:spacing w:val="-4"/>
                            <w:sz w:val="18"/>
                            <w:szCs w:val="18"/>
                          </w:rPr>
                          <w:t>注十四、其他重要事项</w:t>
                        </w:r>
                      </w:p>
                    </w:tc>
                  </w:tr>
                  <w:tr>
                    <w:trPr>
                      <w:trHeight w:val="477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百融通达商业保理有限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50,107,847.03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21"/>
                          <w:jc w:val="right"/>
                          <w:rPr>
                            <w:rFonts w:ascii="Times New Roman" w:hAnsi="Times New Roman" w:cs="Times New Roman" w:eastAsia="Times New Roman" w:hint="default"/>
                            <w:sz w:val="18"/>
                            <w:szCs w:val="18"/>
                          </w:rPr>
                        </w:pPr>
                        <w:r>
                          <w:rPr>
                            <w:rFonts w:ascii="Times New Roman"/>
                            <w:spacing w:val="-1"/>
                            <w:sz w:val="18"/>
                          </w:rPr>
                          <w:t>23,553,923.52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21"/>
                          <w:jc w:val="right"/>
                          <w:rPr>
                            <w:rFonts w:ascii="Times New Roman" w:hAnsi="Times New Roman" w:cs="Times New Roman" w:eastAsia="Times New Roman" w:hint="default"/>
                            <w:sz w:val="18"/>
                            <w:szCs w:val="18"/>
                          </w:rPr>
                        </w:pPr>
                        <w:r>
                          <w:rPr>
                            <w:rFonts w:ascii="Times New Roman"/>
                            <w:sz w:val="18"/>
                          </w:rPr>
                          <w:t>47.01%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36"/>
                          <w:jc w:val="left"/>
                          <w:rPr>
                            <w:rFonts w:ascii="宋体" w:hAnsi="宋体" w:cs="宋体" w:eastAsia="宋体" w:hint="default"/>
                            <w:sz w:val="18"/>
                            <w:szCs w:val="18"/>
                          </w:rPr>
                        </w:pPr>
                        <w:r>
                          <w:rPr>
                            <w:rFonts w:ascii="宋体" w:hAnsi="宋体" w:cs="宋体" w:eastAsia="宋体" w:hint="default"/>
                            <w:sz w:val="18"/>
                            <w:szCs w:val="18"/>
                          </w:rPr>
                          <w:t>百融通达商业保理有限 公司在本公司子公司大 连金融资产交易所有限 公司平台登记发行“百 融通达”产品。</w:t>
                        </w:r>
                        <w:r>
                          <w:rPr>
                            <w:rFonts w:ascii="宋体" w:hAnsi="宋体" w:cs="宋体" w:eastAsia="宋体" w:hint="default"/>
                            <w:sz w:val="18"/>
                            <w:szCs w:val="18"/>
                          </w:rPr>
                          <w:t>2</w:t>
                        </w:r>
                        <w:r>
                          <w:rPr>
                            <w:rFonts w:ascii="Times New Roman" w:hAnsi="Times New Roman" w:cs="Times New Roman" w:eastAsia="Times New Roman" w:hint="default"/>
                            <w:sz w:val="18"/>
                            <w:szCs w:val="18"/>
                          </w:rPr>
                          <w:t>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月双方签署借款合同 大连金融资产交易所有 限公司借给百融通达商 业保理有限公司 </w:t>
                        </w:r>
                        <w:r>
                          <w:rPr>
                            <w:rFonts w:ascii="Times New Roman" w:hAnsi="Times New Roman" w:cs="Times New Roman" w:eastAsia="Times New Roman" w:hint="default"/>
                            <w:sz w:val="18"/>
                            <w:szCs w:val="18"/>
                          </w:rPr>
                          <w:t>5,160.78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万元用于支付 发行产品的本金及利 息，原借款到期日为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月，未按期偿 还，详细情况描述见附 </w:t>
                        </w:r>
                        <w:r>
                          <w:rPr>
                            <w:rFonts w:ascii="宋体" w:hAnsi="宋体" w:cs="宋体" w:eastAsia="宋体" w:hint="default"/>
                            <w:spacing w:val="-4"/>
                            <w:sz w:val="18"/>
                            <w:szCs w:val="18"/>
                          </w:rPr>
                          <w:t>注十四、其他重要事项</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before="44"/>
        <w:ind w:left="0" w:right="1152"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before="0"/>
        <w:ind w:left="0" w:right="1137"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914"/>
        <w:gridCol w:w="1916"/>
        <w:gridCol w:w="1925"/>
        <w:gridCol w:w="1903"/>
        <w:gridCol w:w="190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4" w:right="0"/>
              <w:jc w:val="left"/>
              <w:rPr>
                <w:rFonts w:ascii="Times New Roman" w:hAnsi="Times New Roman" w:cs="Times New Roman" w:eastAsia="Times New Roman" w:hint="default"/>
                <w:sz w:val="18"/>
                <w:szCs w:val="18"/>
              </w:rPr>
            </w:pPr>
            <w:r>
              <w:rPr>
                <w:rFonts w:ascii="Times New Roman"/>
                <w:sz w:val="18"/>
              </w:rPr>
              <w:t>67,978,114.24</w:t>
            </w:r>
          </w:p>
        </w:tc>
        <w:tc>
          <w:tcPr>
            <w:tcW w:w="1925"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37,850,137.29</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36,714,843.80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1,835,742.20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36,714,843.80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1,835,742.20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28,408,697.40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2,840,869.74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4,757,309.68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951,461.94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5,349,117.29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4,845,423.32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90.58%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1,007,387.94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503,693.97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3,814,549.50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3,814,549.50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527,179.85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527,179.85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75,229,968.17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10,473,497.20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154" w:right="6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12"/>
          <w:szCs w:val="12"/>
        </w:rPr>
      </w:pPr>
    </w:p>
    <w:p>
      <w:pPr>
        <w:pStyle w:val="BodyText"/>
        <w:spacing w:line="240" w:lineRule="auto"/>
        <w:ind w:right="0"/>
        <w:jc w:val="left"/>
      </w:pPr>
      <w:r>
        <w:rPr>
          <w:rFonts w:ascii="Times New Roman" w:hAnsi="Times New Roman" w:cs="Times New Roman" w:eastAsia="Times New Roman" w:hint="default"/>
        </w:rPr>
        <w:t>2)</w:t>
      </w:r>
      <w:r>
        <w:rPr/>
        <w:t>本期计提、收回或转回的坏账准备情况</w:t>
      </w:r>
    </w:p>
    <w:p>
      <w:pPr>
        <w:spacing w:line="240" w:lineRule="auto" w:before="8"/>
        <w:rPr>
          <w:rFonts w:ascii="宋体" w:hAnsi="宋体" w:cs="宋体" w:eastAsia="宋体" w:hint="default"/>
          <w:sz w:val="14"/>
          <w:szCs w:val="14"/>
        </w:rPr>
      </w:pPr>
    </w:p>
    <w:p>
      <w:pPr>
        <w:pStyle w:val="BodyText"/>
        <w:spacing w:line="240" w:lineRule="auto"/>
        <w:ind w:right="0"/>
        <w:jc w:val="left"/>
      </w:pPr>
      <w:r>
        <w:rPr/>
        <w:t>本期计提坏账准备金额</w:t>
      </w:r>
      <w:r>
        <w:rPr>
          <w:spacing w:val="-53"/>
        </w:rPr>
        <w:t> </w:t>
      </w:r>
      <w:r>
        <w:rPr>
          <w:rFonts w:ascii="Times New Roman" w:hAnsi="Times New Roman" w:cs="Times New Roman" w:eastAsia="Times New Roman" w:hint="default"/>
        </w:rPr>
        <w:t>25,976,276.77</w:t>
      </w:r>
      <w:r>
        <w:rPr>
          <w:rFonts w:ascii="Times New Roman" w:hAnsi="Times New Roman" w:cs="Times New Roman" w:eastAsia="Times New Roman" w:hint="default"/>
          <w:spacing w:val="-3"/>
        </w:rPr>
        <w:t> </w:t>
      </w:r>
      <w:r>
        <w:rPr/>
        <w:t>元；本期收回或转回坏账准备金额</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p>
    <w:p>
      <w:pPr>
        <w:spacing w:line="240" w:lineRule="auto" w:before="8"/>
        <w:rPr>
          <w:rFonts w:ascii="宋体" w:hAnsi="宋体" w:cs="宋体" w:eastAsia="宋体" w:hint="default"/>
          <w:sz w:val="14"/>
          <w:szCs w:val="14"/>
        </w:rPr>
      </w:pPr>
    </w:p>
    <w:p>
      <w:pPr>
        <w:pStyle w:val="BodyText"/>
        <w:spacing w:line="240" w:lineRule="auto"/>
        <w:ind w:right="0"/>
        <w:jc w:val="left"/>
      </w:pPr>
      <w:r>
        <w:rPr>
          <w:rFonts w:ascii="Times New Roman" w:hAnsi="Times New Roman" w:cs="Times New Roman" w:eastAsia="Times New Roman" w:hint="default"/>
        </w:rPr>
        <w:t>3)</w:t>
      </w:r>
      <w:r>
        <w:rPr/>
        <w:t>其他应收款按款项性质分类情况</w:t>
      </w:r>
    </w:p>
    <w:p>
      <w:pPr>
        <w:spacing w:line="240" w:lineRule="auto" w:before="8"/>
        <w:rPr>
          <w:rFonts w:ascii="宋体" w:hAnsi="宋体" w:cs="宋体" w:eastAsia="宋体" w:hint="default"/>
          <w:sz w:val="9"/>
          <w:szCs w:val="9"/>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65,675,009.34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61,202,849.48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4,894,468.36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4,410,453.66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房租物业押金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3,096,514.02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2,895,199.51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67,978,114.24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17,870,267.21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1,563,976.45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765,581.34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143,208,082.41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87,144,351.20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35"/>
        <w:ind w:right="0"/>
        <w:jc w:val="left"/>
      </w:pPr>
      <w:r>
        <w:rPr>
          <w:rFonts w:ascii="Times New Roman" w:hAnsi="Times New Roman" w:cs="Times New Roman" w:eastAsia="Times New Roman" w:hint="default"/>
          <w:spacing w:val="-1"/>
        </w:rPr>
        <w:t>4)</w:t>
      </w:r>
      <w:r>
        <w:rPr>
          <w:spacing w:val="-1"/>
        </w:rPr>
        <w:t>按欠款方归集的期末余额前五名的其他应收款情况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1"/>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722" w:space="4108"/>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百融通达商业保理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50,107,847.03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23,553,923.52</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辽宁辉山乳业集团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17,870,267.21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14,296,213.77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西藏信托有限公司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10,236,400.00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1,023,640.00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中科软科技股份有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6,536,831.55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810,806.99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四川信托有限公司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87,751,345.79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39,984,584.28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存货" w:id="227"/>
      <w:bookmarkEnd w:id="227"/>
      <w:r>
        <w:rPr>
          <w:b w:val="0"/>
          <w:bCs w:val="0"/>
        </w:rPr>
      </w:r>
      <w:r>
        <w:rPr>
          <w:rFonts w:ascii="Times New Roman" w:hAnsi="Times New Roman" w:cs="Times New Roman" w:eastAsia="Times New Roman" w:hint="default"/>
        </w:rPr>
        <w:t>5</w:t>
      </w:r>
      <w:r>
        <w:rPr/>
        <w:t>、存货</w:t>
      </w:r>
      <w:r>
        <w:rPr>
          <w:b w:val="0"/>
          <w:bCs w:val="0"/>
        </w:rPr>
      </w:r>
    </w:p>
    <w:p>
      <w:pPr>
        <w:spacing w:line="240" w:lineRule="auto" w:before="5"/>
        <w:rPr>
          <w:rFonts w:ascii="宋体" w:hAnsi="宋体" w:cs="宋体" w:eastAsia="宋体" w:hint="default"/>
          <w:b/>
          <w:bCs/>
          <w:sz w:val="25"/>
          <w:szCs w:val="25"/>
        </w:rPr>
      </w:pPr>
    </w:p>
    <w:p>
      <w:pPr>
        <w:pStyle w:val="BodyText"/>
        <w:spacing w:line="324" w:lineRule="auto"/>
        <w:ind w:right="7010"/>
        <w:jc w:val="left"/>
      </w:pPr>
      <w:r>
        <w:rPr>
          <w:spacing w:val="-1"/>
        </w:rPr>
        <w:t>公司是否需要遵守房地产行业的披露要求</w:t>
      </w:r>
      <w:r>
        <w:rPr>
          <w:spacing w:val="-85"/>
        </w:rPr>
        <w:t> </w:t>
      </w:r>
      <w:r>
        <w:rPr>
          <w:spacing w:val="-85"/>
        </w:rPr>
      </w:r>
      <w:r>
        <w:rPr/>
        <w:t>否</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1）存货分类" w:id="228"/>
      <w:bookmarkEnd w:id="228"/>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163,759,783.09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3,148,962.22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160,610,820.87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178,690,609.56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178,690,609.56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6,648,325.95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620,396.36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6,027,929.59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7,250,959.07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7,250,959.07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323,838,904.12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323,838,904.12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272,168,796.89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272,168,796.89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494,247,013.16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3,769,358.58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490,477,654.58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458,110,365.52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458,110,365.52</w:t>
            </w:r>
          </w:p>
        </w:tc>
      </w:tr>
    </w:tbl>
    <w:p>
      <w:pPr>
        <w:spacing w:line="340" w:lineRule="auto" w:before="51"/>
        <w:ind w:left="154" w:right="2474"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 否</w:t>
      </w:r>
    </w:p>
    <w:p>
      <w:pPr>
        <w:spacing w:line="340" w:lineRule="auto" w:before="40"/>
        <w:ind w:left="154" w:right="2751"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上市公司从事珠宝相关业务》的披露要求 否</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存货跌价准备" w:id="229"/>
      <w:bookmarkEnd w:id="229"/>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3,148,962.22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3,148,962.22</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620,396.36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620,396.36</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3,769,358.58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3,769,358.58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6、其他流动资产" w:id="230"/>
      <w:bookmarkEnd w:id="230"/>
      <w:r>
        <w:rPr>
          <w:b w:val="0"/>
          <w:bCs w:val="0"/>
        </w:rPr>
      </w:r>
      <w:r>
        <w:rPr>
          <w:rFonts w:ascii="Times New Roman" w:hAnsi="Times New Roman" w:cs="Times New Roman" w:eastAsia="Times New Roman" w:hint="default"/>
        </w:rPr>
        <w:t>6</w:t>
      </w:r>
      <w:r>
        <w:rPr/>
        <w:t>、其他流动资产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1,325,211.90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584,078.83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预缴税金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11,278,321.89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1,987,161.87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信托产品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286,548,160.59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1,006,226,400.00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986,300,000.00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1,088,990,428.58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1,285,451,694.38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2,097,788,069.28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可供出售金融资产" w:id="231"/>
      <w:bookmarkEnd w:id="231"/>
      <w:r>
        <w:rPr>
          <w:b w:val="0"/>
          <w:bCs w:val="0"/>
        </w:rPr>
      </w:r>
      <w:r>
        <w:rPr>
          <w:rFonts w:ascii="Times New Roman" w:hAnsi="Times New Roman" w:cs="Times New Roman" w:eastAsia="Times New Roman" w:hint="default"/>
        </w:rPr>
        <w:t>7</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32"/>
      <w:bookmarkEnd w:id="232"/>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18,248,400.00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18,248,400.00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19,248,400.00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19,248,400.00</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18,248,400.00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18,248,400.00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19,248,400.00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19,248,400.00</w:t>
            </w:r>
          </w:p>
        </w:tc>
      </w:tr>
      <w:tr>
        <w:trPr>
          <w:trHeight w:val="404"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18,248,400.00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18,248,400.00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19,248,400.00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19,248,400.00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按成本计量的可供出售金融资产" w:id="233"/>
      <w:bookmarkEnd w:id="233"/>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佛山南海 新华村镇 银行股份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大连鼎金 企业管理 中心（有 限合伙）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8,548,400.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8,548,400.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安徽省金 融资产交 易所有限 责任公司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6.40%</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北京国富 金财投资 合伙企业</w:t>
            </w:r>
          </w:p>
          <w:p>
            <w:pPr>
              <w:pStyle w:val="TableParagraph"/>
              <w:spacing w:line="319" w:lineRule="auto" w:before="19"/>
              <w:ind w:left="22" w:right="108"/>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宁波保税 区丰钛股 权投资合 伙企业</w:t>
            </w:r>
          </w:p>
          <w:p>
            <w:pPr>
              <w:pStyle w:val="TableParagraph"/>
              <w:spacing w:line="319" w:lineRule="auto" w:before="19"/>
              <w:ind w:left="22" w:right="108"/>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4,566,700.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4,566,700.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19,248,400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4,566,700.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5,566,700.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18,248,400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长期股权投资" w:id="234"/>
      <w:bookmarkEnd w:id="234"/>
      <w:r>
        <w:rPr>
          <w:b w:val="0"/>
          <w:bCs w:val="0"/>
        </w:rPr>
      </w:r>
      <w:r>
        <w:rPr>
          <w:rFonts w:ascii="Times New Roman" w:hAnsi="Times New Roman" w:cs="Times New Roman" w:eastAsia="Times New Roman" w:hint="default"/>
        </w:rPr>
        <w:t>8</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中科环嘉 电子商务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1,693,346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-10,578.9</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1,682,767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北京中关 村互联网 金融信息 服务中心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3,465,937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46,636.05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3,512,573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1"/>
              <w:ind w:left="22"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安粮期货 股份有限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 </w:t>
            </w:r>
            <w:r>
              <w:rPr>
                <w:rFonts w:ascii="Times New Roman" w:hAnsi="Times New Roman" w:cs="Times New Roman" w:eastAsia="Times New Roman" w:hint="default"/>
                <w:sz w:val="18"/>
                <w:szCs w:val="18"/>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267,149,5</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26.17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14,221,69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7.66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-3,863,80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277,507,4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23.83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金网络</w:t>
            </w:r>
          </w:p>
          <w:p>
            <w:pPr>
              <w:pStyle w:val="TableParagraph"/>
              <w:spacing w:line="319" w:lineRule="auto" w:before="75"/>
              <w:ind w:left="22" w:right="41"/>
              <w:jc w:val="both"/>
              <w:rPr>
                <w:rFonts w:ascii="Times New Roman" w:hAnsi="Times New Roman" w:cs="Times New Roman" w:eastAsia="Times New Roman" w:hint="default"/>
                <w:sz w:val="18"/>
                <w:szCs w:val="18"/>
              </w:rPr>
            </w:pPr>
            <w:r>
              <w:rPr>
                <w:rFonts w:ascii="宋体" w:hAnsi="宋体" w:cs="宋体" w:eastAsia="宋体" w:hint="default"/>
                <w:sz w:val="18"/>
                <w:szCs w:val="18"/>
              </w:rPr>
              <w:t>（北京） 电子商务 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12,706,28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2.33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-2,407,73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3.54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10,298,54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8.79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北京国信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5" w:right="0"/>
              <w:jc w:val="left"/>
              <w:rPr>
                <w:rFonts w:ascii="Times New Roman" w:hAnsi="Times New Roman" w:cs="Times New Roman" w:eastAsia="Times New Roman" w:hint="default"/>
                <w:sz w:val="18"/>
                <w:szCs w:val="18"/>
              </w:rPr>
            </w:pPr>
            <w:r>
              <w:rPr>
                <w:rFonts w:ascii="Times New Roman"/>
                <w:sz w:val="18"/>
              </w:rPr>
              <w:t>7,785,366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355,080.2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8,140,447</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98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1"/>
              <w:jc w:val="both"/>
              <w:rPr>
                <w:rFonts w:ascii="宋体" w:hAnsi="宋体" w:cs="宋体" w:eastAsia="宋体" w:hint="default"/>
                <w:sz w:val="18"/>
                <w:szCs w:val="18"/>
              </w:rPr>
            </w:pPr>
            <w:r>
              <w:rPr>
                <w:rFonts w:ascii="宋体" w:hAnsi="宋体" w:cs="宋体" w:eastAsia="宋体" w:hint="default"/>
                <w:sz w:val="18"/>
                <w:szCs w:val="18"/>
              </w:rPr>
              <w:t>新网通讯 技术有限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.81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1"/>
              <w:ind w:left="22"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安金资产 管理有限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 </w:t>
            </w:r>
            <w:r>
              <w:rPr>
                <w:rFonts w:ascii="Times New Roman" w:hAnsi="Times New Roman" w:cs="Times New Roman" w:eastAsia="Times New Roman" w:hint="default"/>
                <w:sz w:val="18"/>
                <w:szCs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10,211,13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6.71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253,168.9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10,464,30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5.70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1"/>
              <w:ind w:left="22"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北京奥金 智策传媒 科技有限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 </w:t>
            </w:r>
            <w:r>
              <w:rPr>
                <w:rFonts w:ascii="Times New Roman" w:hAnsi="Times New Roman" w:cs="Times New Roman" w:eastAsia="Times New Roman" w:hint="default"/>
                <w:sz w:val="18"/>
                <w:szCs w:val="18"/>
              </w:rPr>
              <w:t>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1,520,431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128,122.2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1,648,553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大连融丰 信息技术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329,966.3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20,343.86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350,310.1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1"/>
              <w:ind w:left="22"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深圳市金 方达信息 技术有限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 </w:t>
            </w:r>
            <w:r>
              <w:rPr>
                <w:rFonts w:ascii="Times New Roman" w:hAnsi="Times New Roman" w:cs="Times New Roman" w:eastAsia="Times New Roman" w:hint="default"/>
                <w:sz w:val="18"/>
                <w:szCs w:val="18"/>
              </w:rPr>
              <w:t>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3,816,361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-1,069,06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2,747,291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陕西金财 云商电子 商务有限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15,950.00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77.39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16,027.39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308,678,3</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54.19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15,950.00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11,537,74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4.16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-3,863,80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316,368,2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48.35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308,678,3</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54.19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15,950.00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11,537,74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4.16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-3,863,80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316,368,2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48.35</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72"/>
        <w:ind w:right="0"/>
        <w:jc w:val="left"/>
      </w:pPr>
      <w:r>
        <w:rPr/>
        <w:t>其他说明</w:t>
      </w:r>
    </w:p>
    <w:p>
      <w:pPr>
        <w:spacing w:line="240" w:lineRule="auto" w:before="10"/>
        <w:rPr>
          <w:rFonts w:ascii="宋体" w:hAnsi="宋体" w:cs="宋体" w:eastAsia="宋体" w:hint="default"/>
          <w:sz w:val="15"/>
          <w:szCs w:val="15"/>
        </w:rPr>
      </w:pPr>
    </w:p>
    <w:p>
      <w:pPr>
        <w:pStyle w:val="BodyText"/>
        <w:spacing w:line="405" w:lineRule="auto"/>
        <w:ind w:right="0" w:firstLine="399"/>
        <w:jc w:val="left"/>
      </w:pPr>
      <w:r>
        <w:rPr>
          <w:spacing w:val="-1"/>
        </w:rPr>
        <w:t>注</w:t>
      </w:r>
      <w:r>
        <w:rPr>
          <w:rFonts w:ascii="Times New Roman" w:hAnsi="Times New Roman" w:cs="Times New Roman" w:eastAsia="Times New Roman" w:hint="default"/>
          <w:spacing w:val="-1"/>
        </w:rPr>
        <w:t>1</w:t>
      </w:r>
      <w:r>
        <w:rPr>
          <w:spacing w:val="-1"/>
        </w:rPr>
        <w:t>：安粮期货股份有限公司</w:t>
      </w:r>
      <w:r>
        <w:rPr>
          <w:rFonts w:ascii="Times New Roman" w:hAnsi="Times New Roman" w:cs="Times New Roman" w:eastAsia="Times New Roman" w:hint="default"/>
          <w:spacing w:val="-1"/>
        </w:rPr>
        <w:t>2017</w:t>
      </w:r>
      <w:r>
        <w:rPr>
          <w:spacing w:val="-1"/>
        </w:rPr>
        <w:t>年度股东大会决议通过，对</w:t>
      </w:r>
      <w:r>
        <w:rPr>
          <w:rFonts w:ascii="Times New Roman" w:hAnsi="Times New Roman" w:cs="Times New Roman" w:eastAsia="Times New Roman" w:hint="default"/>
          <w:spacing w:val="-1"/>
        </w:rPr>
        <w:t>2017</w:t>
      </w:r>
      <w:r>
        <w:rPr>
          <w:spacing w:val="-1"/>
        </w:rPr>
        <w:t>年全部可供分配利润</w:t>
      </w:r>
      <w:r>
        <w:rPr>
          <w:rFonts w:ascii="Times New Roman" w:hAnsi="Times New Roman" w:cs="Times New Roman" w:eastAsia="Times New Roman" w:hint="default"/>
          <w:spacing w:val="-1"/>
        </w:rPr>
        <w:t>19,318,563.90</w:t>
      </w:r>
      <w:r>
        <w:rPr>
          <w:spacing w:val="-1"/>
        </w:rPr>
        <w:t>元进行</w:t>
      </w:r>
      <w:r>
        <w:rPr>
          <w:w w:val="100"/>
        </w:rPr>
        <w:t> </w:t>
      </w:r>
      <w:r>
        <w:rPr/>
        <w:t>分配，本公司取得现金分红</w:t>
      </w:r>
      <w:r>
        <w:rPr>
          <w:rFonts w:ascii="Times New Roman" w:hAnsi="Times New Roman" w:cs="Times New Roman" w:eastAsia="Times New Roman" w:hint="default"/>
        </w:rPr>
        <w:t>3,863,800.00</w:t>
      </w:r>
      <w:r>
        <w:rPr/>
        <w:t>元；</w:t>
      </w:r>
    </w:p>
    <w:p>
      <w:pPr>
        <w:pStyle w:val="BodyText"/>
        <w:spacing w:line="405" w:lineRule="auto" w:before="38"/>
        <w:ind w:right="0" w:firstLine="399"/>
        <w:jc w:val="left"/>
      </w:pPr>
      <w:r>
        <w:rPr>
          <w:spacing w:val="-2"/>
        </w:rPr>
        <w:t>注</w:t>
      </w:r>
      <w:r>
        <w:rPr>
          <w:rFonts w:ascii="Times New Roman" w:hAnsi="Times New Roman" w:cs="Times New Roman" w:eastAsia="Times New Roman" w:hint="default"/>
          <w:spacing w:val="-2"/>
        </w:rPr>
        <w:t>2</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29</w:t>
      </w:r>
      <w:r>
        <w:rPr>
          <w:spacing w:val="-2"/>
        </w:rPr>
        <w:t>日签订股权转让协议，将公司持有金网络（北京）电子商务有限公司</w:t>
      </w:r>
      <w:r>
        <w:rPr>
          <w:rFonts w:ascii="Times New Roman" w:hAnsi="Times New Roman" w:cs="Times New Roman" w:eastAsia="Times New Roman" w:hint="default"/>
          <w:spacing w:val="-2"/>
        </w:rPr>
        <w:t>25%</w:t>
      </w:r>
      <w:r>
        <w:rPr>
          <w:spacing w:val="-2"/>
        </w:rPr>
        <w:t>的股权</w:t>
      </w:r>
      <w:r>
        <w:rPr>
          <w:w w:val="100"/>
        </w:rPr>
        <w:t> </w:t>
      </w:r>
      <w:r>
        <w:rPr/>
        <w:t>转让，详细情况描述见十三、</w:t>
      </w:r>
      <w:r>
        <w:rPr>
          <w:rFonts w:ascii="Times New Roman" w:hAnsi="Times New Roman" w:cs="Times New Roman" w:eastAsia="Times New Roman" w:hint="default"/>
        </w:rPr>
        <w:t>2</w:t>
      </w:r>
      <w:r>
        <w:rPr/>
        <w:t>、（</w:t>
      </w:r>
      <w:r>
        <w:rPr>
          <w:rFonts w:ascii="Times New Roman" w:hAnsi="Times New Roman" w:cs="Times New Roman" w:eastAsia="Times New Roman" w:hint="default"/>
        </w:rPr>
        <w:t>3</w:t>
      </w:r>
      <w:r>
        <w:rPr/>
        <w:t>）金网络（北京）电子商务有限公司股权转让；</w:t>
      </w:r>
    </w:p>
    <w:p>
      <w:pPr>
        <w:pStyle w:val="BodyText"/>
        <w:spacing w:line="405" w:lineRule="auto" w:before="38"/>
        <w:ind w:right="0" w:firstLine="399"/>
        <w:jc w:val="left"/>
      </w:pPr>
      <w:r>
        <w:rPr>
          <w:spacing w:val="-1"/>
        </w:rPr>
        <w:t>注</w:t>
      </w:r>
      <w:r>
        <w:rPr>
          <w:rFonts w:ascii="Times New Roman" w:hAnsi="Times New Roman" w:cs="Times New Roman" w:eastAsia="Times New Roman" w:hint="default"/>
          <w:spacing w:val="-1"/>
        </w:rPr>
        <w:t>3</w:t>
      </w:r>
      <w:r>
        <w:rPr>
          <w:spacing w:val="-1"/>
        </w:rPr>
        <w:t>：公司于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26</w:t>
      </w:r>
      <w:r>
        <w:rPr>
          <w:spacing w:val="-1"/>
        </w:rPr>
        <w:t>日签订股权转让协议，将公司持有安金资产管理有限公司</w:t>
      </w:r>
      <w:r>
        <w:rPr>
          <w:rFonts w:ascii="Times New Roman" w:hAnsi="Times New Roman" w:cs="Times New Roman" w:eastAsia="Times New Roman" w:hint="default"/>
          <w:spacing w:val="-1"/>
        </w:rPr>
        <w:t>21%</w:t>
      </w:r>
      <w:r>
        <w:rPr>
          <w:spacing w:val="-1"/>
        </w:rPr>
        <w:t>的股权转让，详细</w:t>
      </w:r>
      <w:r>
        <w:rPr>
          <w:w w:val="100"/>
        </w:rPr>
        <w:t> </w:t>
      </w:r>
      <w:r>
        <w:rPr/>
        <w:t>情况描述见十三、</w:t>
      </w:r>
      <w:r>
        <w:rPr>
          <w:rFonts w:ascii="Times New Roman" w:hAnsi="Times New Roman" w:cs="Times New Roman" w:eastAsia="Times New Roman" w:hint="default"/>
        </w:rPr>
        <w:t>2</w:t>
      </w:r>
      <w:r>
        <w:rPr/>
        <w:t>、（</w:t>
      </w:r>
      <w:r>
        <w:rPr>
          <w:rFonts w:ascii="Times New Roman" w:hAnsi="Times New Roman" w:cs="Times New Roman" w:eastAsia="Times New Roman" w:hint="default"/>
        </w:rPr>
        <w:t>4</w:t>
      </w:r>
      <w:r>
        <w:rPr/>
        <w:t>）安金资产管理有限公司股权转让；</w:t>
      </w:r>
    </w:p>
    <w:p>
      <w:pPr>
        <w:pStyle w:val="BodyText"/>
        <w:spacing w:line="405" w:lineRule="auto" w:before="38"/>
        <w:ind w:right="0" w:firstLine="399"/>
        <w:jc w:val="left"/>
      </w:pPr>
      <w:r>
        <w:rPr>
          <w:spacing w:val="-1"/>
        </w:rPr>
        <w:t>注</w:t>
      </w:r>
      <w:r>
        <w:rPr>
          <w:rFonts w:ascii="Times New Roman" w:hAnsi="Times New Roman" w:cs="Times New Roman" w:eastAsia="Times New Roman" w:hint="default"/>
          <w:spacing w:val="-1"/>
        </w:rPr>
        <w:t>4</w:t>
      </w:r>
      <w:r>
        <w:rPr>
          <w:spacing w:val="-1"/>
        </w:rPr>
        <w:t>：北京奥金智策传媒科技有限公司成立于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9</w:t>
      </w:r>
      <w:r>
        <w:rPr>
          <w:spacing w:val="-1"/>
        </w:rPr>
        <w:t>日，注册资本</w:t>
      </w:r>
      <w:r>
        <w:rPr>
          <w:rFonts w:ascii="Times New Roman" w:hAnsi="Times New Roman" w:cs="Times New Roman" w:eastAsia="Times New Roman" w:hint="default"/>
          <w:spacing w:val="-1"/>
        </w:rPr>
        <w:t>5,000</w:t>
      </w:r>
      <w:r>
        <w:rPr>
          <w:spacing w:val="-1"/>
        </w:rPr>
        <w:t>万元，公司认缴出资额</w:t>
      </w:r>
      <w:r>
        <w:rPr>
          <w:rFonts w:ascii="Times New Roman" w:hAnsi="Times New Roman" w:cs="Times New Roman" w:eastAsia="Times New Roman" w:hint="default"/>
          <w:spacing w:val="-1"/>
        </w:rPr>
        <w:t>1,050</w:t>
      </w:r>
      <w:r>
        <w:rPr>
          <w:spacing w:val="-1"/>
        </w:rPr>
        <w:t>万</w:t>
      </w:r>
      <w:r>
        <w:rPr>
          <w:w w:val="100"/>
        </w:rPr>
        <w:t> </w:t>
      </w:r>
      <w:r>
        <w:rPr/>
        <w:t>元，持股比例</w:t>
      </w:r>
      <w:r>
        <w:rPr>
          <w:rFonts w:ascii="Times New Roman" w:hAnsi="Times New Roman" w:cs="Times New Roman" w:eastAsia="Times New Roman" w:hint="default"/>
        </w:rPr>
        <w:t>21%</w:t>
      </w:r>
      <w:r>
        <w:rPr/>
        <w:t>，实缴出资额</w:t>
      </w:r>
      <w:r>
        <w:rPr>
          <w:rFonts w:ascii="Times New Roman" w:hAnsi="Times New Roman" w:cs="Times New Roman" w:eastAsia="Times New Roman" w:hint="default"/>
        </w:rPr>
        <w:t>210</w:t>
      </w:r>
      <w:r>
        <w:rPr/>
        <w:t>万元；</w:t>
      </w:r>
    </w:p>
    <w:p>
      <w:pPr>
        <w:spacing w:after="0" w:line="405"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05" w:lineRule="auto"/>
        <w:ind w:right="0" w:firstLine="399"/>
        <w:jc w:val="left"/>
      </w:pPr>
      <w:r>
        <w:rPr>
          <w:spacing w:val="-1"/>
        </w:rPr>
        <w:t>注</w:t>
      </w:r>
      <w:r>
        <w:rPr>
          <w:rFonts w:ascii="Times New Roman" w:hAnsi="Times New Roman" w:cs="Times New Roman" w:eastAsia="Times New Roman" w:hint="default"/>
          <w:spacing w:val="-1"/>
        </w:rPr>
        <w:t>5</w:t>
      </w:r>
      <w:r>
        <w:rPr>
          <w:spacing w:val="-1"/>
        </w:rPr>
        <w:t>：深圳市金方达信息技术有限公司成立于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31</w:t>
      </w:r>
      <w:r>
        <w:rPr>
          <w:spacing w:val="-1"/>
        </w:rPr>
        <w:t>日，注册资本</w:t>
      </w:r>
      <w:r>
        <w:rPr>
          <w:rFonts w:ascii="Times New Roman" w:hAnsi="Times New Roman" w:cs="Times New Roman" w:eastAsia="Times New Roman" w:hint="default"/>
          <w:spacing w:val="-1"/>
        </w:rPr>
        <w:t>5,000</w:t>
      </w:r>
      <w:r>
        <w:rPr>
          <w:spacing w:val="-1"/>
        </w:rPr>
        <w:t>万元，公司认缴出资额</w:t>
      </w:r>
      <w:r>
        <w:rPr>
          <w:rFonts w:ascii="Times New Roman" w:hAnsi="Times New Roman" w:cs="Times New Roman" w:eastAsia="Times New Roman" w:hint="default"/>
          <w:spacing w:val="-1"/>
        </w:rPr>
        <w:t>1,500</w:t>
      </w:r>
      <w:r>
        <w:rPr>
          <w:rFonts w:ascii="Times New Roman" w:hAnsi="Times New Roman" w:cs="Times New Roman" w:eastAsia="Times New Roman" w:hint="default"/>
          <w:w w:val="100"/>
        </w:rPr>
        <w:t> </w:t>
      </w:r>
      <w:r>
        <w:rPr/>
        <w:t>万元，持股比例</w:t>
      </w:r>
      <w:r>
        <w:rPr>
          <w:rFonts w:ascii="Times New Roman" w:hAnsi="Times New Roman" w:cs="Times New Roman" w:eastAsia="Times New Roman" w:hint="default"/>
        </w:rPr>
        <w:t>30%</w:t>
      </w:r>
      <w:r>
        <w:rPr/>
        <w:t>，实缴出资额</w:t>
      </w:r>
      <w:r>
        <w:rPr>
          <w:rFonts w:ascii="Times New Roman" w:hAnsi="Times New Roman" w:cs="Times New Roman" w:eastAsia="Times New Roman" w:hint="default"/>
        </w:rPr>
        <w:t>420</w:t>
      </w:r>
      <w:r>
        <w:rPr/>
        <w:t>万元。</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bookmarkStart w:name="9、固定资产" w:id="235"/>
      <w:bookmarkEnd w:id="235"/>
      <w:r>
        <w:rPr>
          <w:b w:val="0"/>
          <w:bCs w:val="0"/>
        </w:rPr>
      </w:r>
      <w:r>
        <w:rPr>
          <w:rFonts w:ascii="Times New Roman" w:hAnsi="Times New Roman" w:cs="Times New Roman" w:eastAsia="Times New Roman" w:hint="default"/>
        </w:rPr>
        <w:t>9</w:t>
      </w:r>
      <w:r>
        <w:rPr/>
        <w:t>、固定资产</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19,093,358.06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28,697,969.27</w:t>
            </w:r>
          </w:p>
        </w:tc>
      </w:tr>
      <w:tr>
        <w:trPr>
          <w:trHeight w:val="40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19,093,358.06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28,697,969.27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固定资产情况" w:id="236"/>
      <w:bookmarkEnd w:id="236"/>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1"/>
              <w:ind w:left="348"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2,660,086.25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60,882,763.55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115,819,207.67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15,646,148.15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195,008,205.62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76,282.04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2,015,224.41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618,107.37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2,709,613.82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76,282.04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2,015,224.41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618,107.37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2,709,613.82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3,212,846.18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44,415,212.78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47,869,558.96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3,212,846.18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44,415,212.78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241,500.00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47,869,558.96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2,660,086.25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57,746,199.41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73,419,219.30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16,022,755.52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149,848,260.48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818,298.42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56,653,603.48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98,129,741.66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10,708,592.79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166,310,236.35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145,611.24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2,302,907.42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6,178,096.59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1,428,960.60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10,055,575.85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145,611.24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2,302,907.42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6,178,096.59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1,428,960.60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10,055,575.85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3,190,908.86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42,190,575.92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229,425.00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45,610,909.78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3,190,908.86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42,190,575.92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229,425.00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45,610,909.78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963,909.66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55,765,602.04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62,117,262.33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11,908,128.39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130,754,902.42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1,696,176.59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1,980,597.37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11,301,956.97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4,114,627.13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19,093,358.06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1,841,787.83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4,229,160.07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17,689,466.01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4,937,555.36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28,697,969.27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0、在建工程" w:id="237"/>
      <w:bookmarkEnd w:id="237"/>
      <w:r>
        <w:rPr>
          <w:b w:val="0"/>
          <w:bCs w:val="0"/>
        </w:rPr>
      </w:r>
      <w:r>
        <w:rPr>
          <w:rFonts w:ascii="Times New Roman" w:hAnsi="Times New Roman" w:cs="Times New Roman" w:eastAsia="Times New Roman" w:hint="default"/>
        </w:rPr>
        <w:t>10</w:t>
      </w:r>
      <w:r>
        <w:rPr/>
        <w:t>、在建工程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84"/>
        <w:gridCol w:w="3827"/>
        <w:gridCol w:w="3858"/>
      </w:tblGrid>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9" w:space="0" w:color="D2D2D2"/>
              <w:bottom w:val="single" w:sz="4" w:space="0" w:color="000000"/>
              <w:right w:val="single" w:sz="4" w:space="0" w:color="000000"/>
            </w:tcBorders>
          </w:tcPr>
          <w:p>
            <w:pP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76,282.04</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9" w:space="0" w:color="D2D2D2"/>
              <w:bottom w:val="single" w:sz="4" w:space="0" w:color="000000"/>
              <w:right w:val="single" w:sz="4" w:space="0" w:color="000000"/>
            </w:tcBorders>
          </w:tcPr>
          <w:p>
            <w:pP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76,282.04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在建工程情况" w:id="238"/>
      <w:bookmarkEnd w:id="238"/>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未上线的</w:t>
            </w:r>
            <w:r>
              <w:rPr>
                <w:rFonts w:ascii="宋体" w:hAnsi="宋体" w:cs="宋体" w:eastAsia="宋体" w:hint="default"/>
                <w:spacing w:val="-47"/>
                <w:sz w:val="18"/>
                <w:szCs w:val="18"/>
              </w:rPr>
              <w:t> </w:t>
            </w:r>
            <w:r>
              <w:rPr>
                <w:rFonts w:ascii="Times New Roman" w:hAnsi="Times New Roman" w:cs="Times New Roman" w:eastAsia="Times New Roman" w:hint="default"/>
                <w:spacing w:val="-7"/>
                <w:sz w:val="18"/>
                <w:szCs w:val="18"/>
              </w:rPr>
              <w:t>ATM</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机</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76,282.04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76,282.04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76,282.04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76,282.04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在建工程项目本期变动情况" w:id="239"/>
      <w:bookmarkEnd w:id="239"/>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6"/>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0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5"/>
              <w:ind w:left="92" w:right="91"/>
              <w:jc w:val="both"/>
              <w:rPr>
                <w:rFonts w:ascii="宋体" w:hAnsi="宋体" w:cs="宋体" w:eastAsia="宋体" w:hint="default"/>
                <w:sz w:val="18"/>
                <w:szCs w:val="18"/>
              </w:rPr>
            </w:pPr>
            <w:r>
              <w:rPr>
                <w:rFonts w:ascii="宋体" w:hAnsi="宋体" w:cs="宋体" w:eastAsia="宋体" w:hint="default"/>
                <w:sz w:val="18"/>
                <w:szCs w:val="18"/>
              </w:rPr>
              <w:t>本期转 入固定 资产金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5"/>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92"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5"/>
              <w:ind w:left="92" w:right="20" w:hanging="70"/>
              <w:jc w:val="left"/>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362"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4"/>
              <w:jc w:val="left"/>
              <w:rPr>
                <w:rFonts w:ascii="Times New Roman" w:hAnsi="Times New Roman" w:cs="Times New Roman" w:eastAsia="Times New Roman" w:hint="default"/>
                <w:sz w:val="18"/>
                <w:szCs w:val="18"/>
              </w:rPr>
            </w:pPr>
            <w:r>
              <w:rPr>
                <w:rFonts w:ascii="宋体" w:hAnsi="宋体" w:cs="宋体" w:eastAsia="宋体" w:hint="default"/>
                <w:sz w:val="18"/>
                <w:szCs w:val="18"/>
              </w:rPr>
              <w:t>未上线 的</w:t>
            </w:r>
            <w:r>
              <w:rPr>
                <w:rFonts w:ascii="宋体" w:hAnsi="宋体" w:cs="宋体" w:eastAsia="宋体" w:hint="default"/>
                <w:spacing w:val="-47"/>
                <w:sz w:val="18"/>
                <w:szCs w:val="18"/>
              </w:rPr>
              <w:t> </w:t>
            </w:r>
            <w:r>
              <w:rPr>
                <w:rFonts w:ascii="Times New Roman" w:hAnsi="Times New Roman" w:cs="Times New Roman" w:eastAsia="Times New Roman" w:hint="default"/>
                <w:spacing w:val="-7"/>
                <w:sz w:val="18"/>
                <w:szCs w:val="18"/>
              </w:rPr>
              <w:t>ATM</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76,282.0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76,282.0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76,282.0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76,282.0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1、无形资产" w:id="240"/>
      <w:bookmarkEnd w:id="240"/>
      <w:r>
        <w:rPr>
          <w:b w:val="0"/>
          <w:bCs w:val="0"/>
        </w:rPr>
      </w:r>
      <w:r>
        <w:rPr>
          <w:rFonts w:ascii="Times New Roman" w:hAnsi="Times New Roman" w:cs="Times New Roman" w:eastAsia="Times New Roman" w:hint="default"/>
        </w:rPr>
        <w:t>11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41"/>
      <w:bookmarkEnd w:id="241"/>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210,393,754.35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210,393,754.35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4,171,747.65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4,171,747.65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243,103.47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243,103.47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3,928,644.18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3,928,644.18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r>
              <w:rPr>
                <w:rFonts w:ascii="宋体" w:hAnsi="宋体" w:cs="宋体" w:eastAsia="宋体" w:hint="default"/>
                <w:sz w:val="18"/>
                <w:szCs w:val="18"/>
              </w:rPr>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36,479,478.45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36,479,478.45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36,479,478.45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36,479,478.45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178,086,023.55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178,086,023.55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132,455,047.77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132,455,047.77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38,048,691.65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38,048,691.65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38,048,691.65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38,048,691.65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36,479,478.45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36,479,478.45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36,479,478.45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36,479,478.45</w:t>
            </w: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134,024,260.97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134,024,260.97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44,061,762.58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44,061,762.58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77,938,706.58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77,938,706.58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85.27%</w:t>
      </w:r>
      <w:r>
        <w:rPr>
          <w:rFonts w:ascii="宋体" w:hAnsi="宋体" w:cs="宋体" w:eastAsia="宋体" w:hint="default"/>
          <w:sz w:val="18"/>
          <w:szCs w:val="18"/>
        </w:rPr>
        <w:t>。</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12、开发支出" w:id="242"/>
      <w:bookmarkEnd w:id="242"/>
      <w:r>
        <w:rPr>
          <w:b w:val="0"/>
          <w:bCs w:val="0"/>
        </w:rPr>
      </w:r>
      <w:r>
        <w:rPr>
          <w:rFonts w:ascii="Times New Roman" w:hAnsi="Times New Roman" w:cs="Times New Roman" w:eastAsia="Times New Roman" w:hint="default"/>
        </w:rPr>
        <w:t>12</w:t>
      </w:r>
      <w:r>
        <w:rPr/>
        <w:t>、开发支出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72" w:hRule="exact"/>
        </w:trPr>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5" w:right="77" w:hanging="270"/>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互联网金融 云中心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41,662,648.0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25,540,594.8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67,203,242.8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数据营销平 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931,950.90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2,996,693.28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3,928,644.18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数据实时处 理云平台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895,045.74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895,045.74</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42,594,598.9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29,432,333.8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3,928,644.18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68,098,288.6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35"/>
        <w:ind w:right="0"/>
        <w:jc w:val="left"/>
      </w:pPr>
      <w:r>
        <w:rPr/>
        <w:t>其他说明</w:t>
      </w:r>
    </w:p>
    <w:p>
      <w:pPr>
        <w:spacing w:line="240" w:lineRule="auto" w:before="4"/>
        <w:rPr>
          <w:rFonts w:ascii="宋体" w:hAnsi="宋体" w:cs="宋体" w:eastAsia="宋体" w:hint="default"/>
          <w:sz w:val="7"/>
          <w:szCs w:val="7"/>
        </w:rPr>
      </w:pPr>
    </w:p>
    <w:tbl>
      <w:tblPr>
        <w:tblW w:w="0" w:type="auto"/>
        <w:jc w:val="left"/>
        <w:tblInd w:w="507" w:type="dxa"/>
        <w:tblLayout w:type="fixed"/>
        <w:tblCellMar>
          <w:top w:w="0" w:type="dxa"/>
          <w:left w:w="0" w:type="dxa"/>
          <w:bottom w:w="0" w:type="dxa"/>
          <w:right w:w="0" w:type="dxa"/>
        </w:tblCellMar>
        <w:tblLook w:val="01E0"/>
      </w:tblPr>
      <w:tblGrid>
        <w:gridCol w:w="2961"/>
        <w:gridCol w:w="2140"/>
        <w:gridCol w:w="1901"/>
        <w:gridCol w:w="1920"/>
      </w:tblGrid>
      <w:tr>
        <w:trPr>
          <w:trHeight w:val="342" w:hRule="exact"/>
        </w:trPr>
        <w:tc>
          <w:tcPr>
            <w:tcW w:w="2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资本化开始时点</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资本化具体依据</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期末研发进度</w:t>
            </w:r>
          </w:p>
        </w:tc>
      </w:tr>
      <w:tr>
        <w:trPr>
          <w:trHeight w:val="654" w:hRule="exact"/>
        </w:trPr>
        <w:tc>
          <w:tcPr>
            <w:tcW w:w="2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互联网金融云中心</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84"/>
              <w:jc w:val="left"/>
              <w:rPr>
                <w:rFonts w:ascii="宋体" w:hAnsi="宋体" w:cs="宋体" w:eastAsia="宋体" w:hint="default"/>
                <w:sz w:val="18"/>
                <w:szCs w:val="18"/>
              </w:rPr>
            </w:pPr>
            <w:r>
              <w:rPr>
                <w:rFonts w:ascii="宋体" w:hAnsi="宋体" w:cs="宋体" w:eastAsia="宋体" w:hint="default"/>
                <w:sz w:val="18"/>
                <w:szCs w:val="18"/>
              </w:rPr>
              <w:t>本节五、重要会计政策 及会计估计</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96.67%</w:t>
            </w:r>
          </w:p>
        </w:tc>
      </w:tr>
      <w:tr>
        <w:trPr>
          <w:trHeight w:val="342" w:hRule="exact"/>
        </w:trPr>
        <w:tc>
          <w:tcPr>
            <w:tcW w:w="2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数据营销平台</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1"/>
              <w:jc w:val="center"/>
              <w:rPr>
                <w:rFonts w:ascii="宋体" w:hAnsi="宋体" w:cs="宋体" w:eastAsia="宋体" w:hint="default"/>
                <w:sz w:val="18"/>
                <w:szCs w:val="18"/>
              </w:rPr>
            </w:pPr>
            <w:r>
              <w:rPr>
                <w:rFonts w:ascii="宋体" w:hAnsi="宋体" w:cs="宋体" w:eastAsia="宋体" w:hint="default"/>
                <w:sz w:val="18"/>
                <w:szCs w:val="18"/>
              </w:rPr>
              <w:t>本节五、重要会计政策</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507" w:type="dxa"/>
        <w:tblLayout w:type="fixed"/>
        <w:tblCellMar>
          <w:top w:w="0" w:type="dxa"/>
          <w:left w:w="0" w:type="dxa"/>
          <w:bottom w:w="0" w:type="dxa"/>
          <w:right w:w="0" w:type="dxa"/>
        </w:tblCellMar>
        <w:tblLook w:val="01E0"/>
      </w:tblPr>
      <w:tblGrid>
        <w:gridCol w:w="2961"/>
        <w:gridCol w:w="2140"/>
        <w:gridCol w:w="1901"/>
        <w:gridCol w:w="1920"/>
      </w:tblGrid>
      <w:tr>
        <w:trPr>
          <w:trHeight w:val="342" w:hRule="exact"/>
        </w:trPr>
        <w:tc>
          <w:tcPr>
            <w:tcW w:w="2961" w:type="dxa"/>
            <w:tcBorders>
              <w:top w:val="single" w:sz="4" w:space="0" w:color="000000"/>
              <w:left w:val="single" w:sz="4" w:space="0" w:color="000000"/>
              <w:bottom w:val="single" w:sz="4" w:space="0" w:color="000000"/>
              <w:right w:val="single" w:sz="4" w:space="0" w:color="000000"/>
            </w:tcBorders>
          </w:tcPr>
          <w:p>
            <w:pPr/>
          </w:p>
        </w:tc>
        <w:tc>
          <w:tcPr>
            <w:tcW w:w="2140"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及会计估计</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920"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2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65" w:right="0"/>
              <w:jc w:val="left"/>
              <w:rPr>
                <w:rFonts w:ascii="宋体" w:hAnsi="宋体" w:cs="宋体" w:eastAsia="宋体" w:hint="default"/>
                <w:sz w:val="18"/>
                <w:szCs w:val="18"/>
              </w:rPr>
            </w:pPr>
            <w:r>
              <w:rPr>
                <w:rFonts w:ascii="宋体" w:hAnsi="宋体" w:cs="宋体" w:eastAsia="宋体" w:hint="default"/>
                <w:sz w:val="18"/>
                <w:szCs w:val="18"/>
              </w:rPr>
              <w:t>数据实时处理云平台</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84"/>
              <w:jc w:val="left"/>
              <w:rPr>
                <w:rFonts w:ascii="宋体" w:hAnsi="宋体" w:cs="宋体" w:eastAsia="宋体" w:hint="default"/>
                <w:sz w:val="18"/>
                <w:szCs w:val="18"/>
              </w:rPr>
            </w:pPr>
            <w:r>
              <w:rPr>
                <w:rFonts w:ascii="宋体" w:hAnsi="宋体" w:cs="宋体" w:eastAsia="宋体" w:hint="default"/>
                <w:sz w:val="18"/>
                <w:szCs w:val="18"/>
              </w:rPr>
              <w:t>本节五、重要会计政策 及会计估计</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14.99%</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13、商誉" w:id="243"/>
      <w:bookmarkEnd w:id="243"/>
      <w:r>
        <w:rPr>
          <w:b w:val="0"/>
          <w:bCs w:val="0"/>
        </w:rPr>
      </w:r>
      <w:r>
        <w:rPr>
          <w:rFonts w:ascii="Times New Roman" w:hAnsi="Times New Roman" w:cs="Times New Roman" w:eastAsia="Times New Roman" w:hint="default"/>
        </w:rPr>
        <w:t>13</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44"/>
      <w:bookmarkEnd w:id="244"/>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37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天津中科金财科 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624,031,391.94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624,031,391.94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大连金融资产交 易所有限公司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72,959,752.01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72,959,752.01</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深圳中金财富互 联网金融服务有 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4,278,710.43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4,278,710.43</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华缔资产管理</w:t>
            </w:r>
          </w:p>
          <w:p>
            <w:pPr>
              <w:pStyle w:val="TableParagraph"/>
              <w:spacing w:line="319" w:lineRule="auto" w:before="75"/>
              <w:ind w:left="22" w:right="61"/>
              <w:jc w:val="left"/>
              <w:rPr>
                <w:rFonts w:ascii="宋体" w:hAnsi="宋体" w:cs="宋体" w:eastAsia="宋体" w:hint="default"/>
                <w:sz w:val="18"/>
                <w:szCs w:val="18"/>
              </w:rPr>
            </w:pPr>
            <w:r>
              <w:rPr>
                <w:rFonts w:ascii="宋体" w:hAnsi="宋体" w:cs="宋体" w:eastAsia="宋体" w:hint="default"/>
                <w:sz w:val="18"/>
                <w:szCs w:val="18"/>
              </w:rPr>
              <w:t>（北京）有限公 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120,690.97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120,690.97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701,390,545.35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701,390,545.35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商誉减值准备" w:id="245"/>
      <w:bookmarkEnd w:id="245"/>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37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天津中科金财科 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299,814,889.25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43,593,234.04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343,408,123.29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大连金融资产交 易所有限公司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72,959,752.01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72,959,752.01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372,774,641.26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43,593,234.04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416,367,875.30</w:t>
            </w:r>
          </w:p>
        </w:tc>
      </w:tr>
    </w:tbl>
    <w:p>
      <w:pPr>
        <w:pStyle w:val="BodyText"/>
        <w:spacing w:line="429" w:lineRule="auto" w:before="72"/>
        <w:ind w:left="553" w:right="0" w:hanging="400"/>
        <w:jc w:val="left"/>
      </w:pPr>
      <w:r>
        <w:rPr/>
        <w:t>商誉所在资产组或资产组组合的相关信息</w:t>
      </w:r>
      <w:r>
        <w:rPr>
          <w:w w:val="100"/>
        </w:rPr>
        <w:t> </w:t>
      </w:r>
      <w:r>
        <w:rPr>
          <w:spacing w:val="-2"/>
        </w:rPr>
        <w:t>上述公司商誉减值测试的资产组的构成为形成商誉的资产组涉及的资产。组成资产组的资产包括固定资产、</w:t>
      </w:r>
    </w:p>
    <w:p>
      <w:pPr>
        <w:pStyle w:val="BodyText"/>
        <w:spacing w:line="429" w:lineRule="auto" w:before="48"/>
        <w:ind w:right="1118"/>
        <w:jc w:val="left"/>
      </w:pPr>
      <w:r>
        <w:rPr/>
        <w:t>无形资产等。</w:t>
      </w:r>
      <w:r>
        <w:rPr>
          <w:w w:val="100"/>
        </w:rPr>
        <w:t> </w:t>
      </w:r>
      <w:r>
        <w:rPr>
          <w:spacing w:val="-1"/>
        </w:rPr>
        <w:t>说明商誉减值测试过程、关键参数（如预计未来现金流量现值时的预测期增长率、稳定期增长率、利润率、折</w:t>
      </w:r>
    </w:p>
    <w:p>
      <w:pPr>
        <w:spacing w:after="0" w:line="429"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29" w:lineRule="auto"/>
        <w:ind w:left="553" w:right="0" w:hanging="400"/>
        <w:jc w:val="left"/>
      </w:pPr>
      <w:r>
        <w:rPr/>
        <w:t>现率、预测期等）及商誉减值损失的确认方法：</w:t>
      </w:r>
      <w:r>
        <w:rPr>
          <w:w w:val="100"/>
        </w:rPr>
        <w:t> </w:t>
      </w:r>
      <w:r>
        <w:rPr>
          <w:spacing w:val="-2"/>
        </w:rPr>
        <w:t>包含商誉的资产组可收回金额按照预计未来现金流量的现值计算，其预计现金流量根据公司批准的</w:t>
      </w:r>
      <w:r>
        <w:rPr>
          <w:rFonts w:ascii="宋体" w:hAnsi="宋体" w:cs="宋体" w:eastAsia="宋体" w:hint="default"/>
          <w:spacing w:val="-2"/>
        </w:rPr>
        <w:t>5</w:t>
      </w:r>
      <w:r>
        <w:rPr>
          <w:spacing w:val="-2"/>
        </w:rPr>
        <w:t>年期现</w:t>
      </w:r>
    </w:p>
    <w:p>
      <w:pPr>
        <w:pStyle w:val="BodyText"/>
        <w:spacing w:line="429" w:lineRule="auto" w:before="48"/>
        <w:ind w:right="0"/>
        <w:jc w:val="left"/>
      </w:pPr>
      <w:r>
        <w:rPr>
          <w:spacing w:val="-1"/>
        </w:rPr>
        <w:t>金流量预测为基础，公司根据历史实际经营数据、行业发展趋势、预期收入增长率、毛利率等指标编制预测未</w:t>
      </w:r>
      <w:r>
        <w:rPr>
          <w:spacing w:val="-63"/>
        </w:rPr>
        <w:t> </w:t>
      </w:r>
      <w:r>
        <w:rPr>
          <w:spacing w:val="-63"/>
        </w:rPr>
      </w:r>
      <w:r>
        <w:rPr/>
        <w:t>来</w:t>
      </w:r>
      <w:r>
        <w:rPr>
          <w:rFonts w:ascii="宋体" w:hAnsi="宋体" w:cs="宋体" w:eastAsia="宋体" w:hint="default"/>
        </w:rPr>
        <w:t>5</w:t>
      </w:r>
      <w:r>
        <w:rPr/>
        <w:t>年现金流量，预测期以后的现金流量维持不变。</w:t>
      </w:r>
    </w:p>
    <w:p>
      <w:pPr>
        <w:pStyle w:val="BodyText"/>
        <w:spacing w:line="429" w:lineRule="auto" w:before="48"/>
        <w:ind w:right="1169" w:firstLine="399"/>
        <w:jc w:val="both"/>
      </w:pPr>
      <w:r>
        <w:rPr>
          <w:spacing w:val="-1"/>
        </w:rPr>
        <w:t>减值测试中采用的其他关键数据包括：产品预计售价、成本及其他相关费用。公司根据历史经验及对市场</w:t>
      </w:r>
      <w:r>
        <w:rPr>
          <w:w w:val="100"/>
        </w:rPr>
        <w:t> </w:t>
      </w:r>
      <w:r>
        <w:rPr>
          <w:spacing w:val="-1"/>
        </w:rPr>
        <w:t>发展的预测确定上述关键数据。公司采用合理的折现率作为计算未来现金流量现值的税前折现率，采用的折现</w:t>
      </w:r>
      <w:r>
        <w:rPr>
          <w:spacing w:val="-63"/>
        </w:rPr>
        <w:t> </w:t>
      </w:r>
      <w:r>
        <w:rPr>
          <w:spacing w:val="-63"/>
        </w:rPr>
      </w:r>
      <w:r>
        <w:rPr/>
        <w:t>率已考虑了公司的资本成本、市场预期报酬率等因素，反映了各资产组的特定风险。</w:t>
      </w:r>
    </w:p>
    <w:p>
      <w:pPr>
        <w:pStyle w:val="BodyText"/>
        <w:spacing w:line="429" w:lineRule="auto" w:before="48"/>
        <w:ind w:left="553" w:right="2474" w:hanging="400"/>
        <w:jc w:val="left"/>
      </w:pPr>
      <w:r>
        <w:rPr/>
        <w:t>商誉减值测试的影响</w:t>
      </w:r>
      <w:r>
        <w:rPr>
          <w:w w:val="100"/>
        </w:rPr>
        <w:t> </w:t>
      </w:r>
      <w:r>
        <w:rPr>
          <w:spacing w:val="-1"/>
        </w:rPr>
        <w:t>经测试后</w:t>
      </w:r>
      <w:r>
        <w:rPr>
          <w:rFonts w:ascii="宋体" w:hAnsi="宋体" w:cs="宋体" w:eastAsia="宋体" w:hint="default"/>
          <w:spacing w:val="-1"/>
        </w:rPr>
        <w:t>2018</w:t>
      </w:r>
      <w:r>
        <w:rPr>
          <w:spacing w:val="-1"/>
        </w:rPr>
        <w:t>年度需对天津中科金财科技有限公司计提商誉减值准备</w:t>
      </w:r>
      <w:r>
        <w:rPr>
          <w:rFonts w:ascii="宋体" w:hAnsi="宋体" w:cs="宋体" w:eastAsia="宋体" w:hint="default"/>
          <w:spacing w:val="-1"/>
        </w:rPr>
        <w:t>43,593,234.04</w:t>
      </w:r>
      <w:r>
        <w:rPr>
          <w:spacing w:val="-1"/>
        </w:rPr>
        <w:t>元。</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14、长期待摊费用" w:id="246"/>
      <w:bookmarkEnd w:id="246"/>
      <w:r>
        <w:rPr>
          <w:b w:val="0"/>
          <w:bCs w:val="0"/>
        </w:rPr>
      </w:r>
      <w:r>
        <w:rPr>
          <w:rFonts w:ascii="Times New Roman" w:hAnsi="Times New Roman" w:cs="Times New Roman" w:eastAsia="Times New Roman" w:hint="default"/>
        </w:rPr>
        <w:t>14</w:t>
      </w:r>
      <w:r>
        <w:rPr/>
        <w:t>、长期待摊费用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1,557,866.93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277,385.75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1,176,858.89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658,393.79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1,557,866.93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277,385.75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1,176,858.89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658,393.79</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15、递延所得税资产/递延所得税负债" w:id="247"/>
      <w:bookmarkEnd w:id="247"/>
      <w:r>
        <w:rPr>
          <w:b w:val="0"/>
          <w:bCs w:val="0"/>
        </w:rPr>
      </w:r>
      <w:r>
        <w:rPr>
          <w:rFonts w:ascii="Times New Roman" w:hAnsi="Times New Roman" w:cs="Times New Roman" w:eastAsia="Times New Roman" w:hint="default"/>
        </w:rPr>
        <w:t>15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48"/>
      <w:bookmarkEnd w:id="248"/>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27,216,218.08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4,280,963.60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16,638,368.00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2,583,809.37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1,745,711.37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261,856.71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7,634,245.36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1,145,136.80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无形资产摊销差异</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85,064,838.58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12,797,426.95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78,474,770.74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11,797,882.29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114,026,768.03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17,340,247.26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102,747,384.10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15,526,828.46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确认递延所得税资产明细" w:id="249"/>
      <w:bookmarkEnd w:id="249"/>
      <w:r>
        <w:rPr>
          <w:b w:val="0"/>
          <w:bCs w:val="0"/>
        </w:rPr>
      </w:r>
      <w:r>
        <w:rPr/>
        <w:t>（</w:t>
      </w:r>
      <w:r>
        <w:rPr>
          <w:rFonts w:ascii="Times New Roman" w:hAnsi="Times New Roman" w:cs="Times New Roman" w:eastAsia="Times New Roman" w:hint="default"/>
        </w:rPr>
        <w:t>2</w:t>
      </w:r>
      <w:r>
        <w:rPr/>
        <w:t>）未确认递延所得税资产明细</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39,787,785.89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14,792,256.73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83,893,534.19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43,098,336.63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商誉减值准备</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416,367,875.30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372,774,641.26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540,049,195.38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1" w:right="0"/>
              <w:jc w:val="left"/>
              <w:rPr>
                <w:rFonts w:ascii="Times New Roman" w:hAnsi="Times New Roman" w:cs="Times New Roman" w:eastAsia="Times New Roman" w:hint="default"/>
                <w:sz w:val="18"/>
                <w:szCs w:val="18"/>
              </w:rPr>
            </w:pPr>
            <w:r>
              <w:rPr>
                <w:rFonts w:ascii="Times New Roman"/>
                <w:sz w:val="18"/>
              </w:rPr>
              <w:t>430,665,234.62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未确认递延所得税资产的可抵扣亏损将于以下年度到期" w:id="250"/>
      <w:bookmarkEnd w:id="250"/>
      <w:r>
        <w:rPr>
          <w:b w:val="0"/>
          <w:bCs w:val="0"/>
        </w:rPr>
      </w:r>
      <w:r>
        <w:rPr/>
        <w:t>（</w:t>
      </w:r>
      <w:r>
        <w:rPr>
          <w:rFonts w:ascii="Times New Roman" w:hAnsi="Times New Roman" w:cs="Times New Roman" w:eastAsia="Times New Roman" w:hint="default"/>
        </w:rPr>
        <w:t>3</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9,046,372.87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67,623.10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67,623.10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3,785,128.77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3,785,128.77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224,691.50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267,768.16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29,829,213.62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29,931,443.73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49,986,877.20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83,893,534.19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43,098,336.63</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6、其他非流动资产" w:id="251"/>
      <w:bookmarkEnd w:id="251"/>
      <w:r>
        <w:rPr>
          <w:b w:val="0"/>
          <w:bCs w:val="0"/>
        </w:rPr>
      </w:r>
      <w:r>
        <w:rPr>
          <w:rFonts w:ascii="Times New Roman" w:hAnsi="Times New Roman" w:cs="Times New Roman" w:eastAsia="Times New Roman" w:hint="default"/>
        </w:rPr>
        <w:t>16</w:t>
      </w:r>
      <w:r>
        <w:rPr/>
        <w:t>、其他非流动资产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年后到期的融资保证金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预付购房款及装修费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10,661,940.00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10,810,588.65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将于 </w:t>
            </w:r>
            <w:r>
              <w:rPr>
                <w:rFonts w:ascii="Times New Roman" w:hAnsi="Times New Roman" w:cs="Times New Roman" w:eastAsia="Times New Roman" w:hint="default"/>
                <w:sz w:val="18"/>
                <w:szCs w:val="18"/>
              </w:rPr>
              <w:t>1  </w:t>
            </w:r>
            <w:r>
              <w:rPr>
                <w:rFonts w:ascii="宋体" w:hAnsi="宋体" w:cs="宋体" w:eastAsia="宋体" w:hint="default"/>
                <w:sz w:val="18"/>
                <w:szCs w:val="18"/>
              </w:rPr>
              <w:t>年以后到期的履约保证金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10,421,310.11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10,659,436.53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信托产品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622,523,250.11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322,990,025.18</w:t>
            </w:r>
          </w:p>
        </w:tc>
      </w:tr>
    </w:tbl>
    <w:p>
      <w:pPr>
        <w:pStyle w:val="BodyText"/>
        <w:spacing w:line="321" w:lineRule="auto" w:before="35"/>
        <w:ind w:right="8066"/>
        <w:jc w:val="left"/>
      </w:pPr>
      <w:r>
        <w:rPr/>
        <w:pict>
          <v:shape style="position:absolute;margin-left:56.459999pt;margin-top:35.1497pt;width:486.8pt;height:137.35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01"/>
                    <w:gridCol w:w="1610"/>
                    <w:gridCol w:w="1624"/>
                    <w:gridCol w:w="1651"/>
                    <w:gridCol w:w="1582"/>
                    <w:gridCol w:w="1652"/>
                  </w:tblGrid>
                  <w:tr>
                    <w:trPr>
                      <w:trHeight w:val="342" w:hRule="exact"/>
                    </w:trPr>
                    <w:tc>
                      <w:tcPr>
                        <w:tcW w:w="16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17"/>
                            <w:sz w:val="18"/>
                            <w:szCs w:val="18"/>
                          </w:rPr>
                          <w:t> </w:t>
                        </w:r>
                        <w:r>
                          <w:rPr>
                            <w:rFonts w:ascii="宋体" w:hAnsi="宋体" w:cs="宋体" w:eastAsia="宋体" w:hint="default"/>
                            <w:sz w:val="18"/>
                            <w:szCs w:val="18"/>
                          </w:rPr>
                          <w:t>龄</w:t>
                        </w:r>
                      </w:p>
                    </w:tc>
                    <w:tc>
                      <w:tcPr>
                        <w:tcW w:w="646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6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到期日</w:t>
                        </w:r>
                      </w:p>
                    </w:tc>
                  </w:tr>
                  <w:tr>
                    <w:trPr>
                      <w:trHeight w:val="342" w:hRule="exact"/>
                    </w:trPr>
                    <w:tc>
                      <w:tcPr>
                        <w:tcW w:w="1601" w:type="dxa"/>
                        <w:vMerge/>
                        <w:tcBorders>
                          <w:left w:val="single" w:sz="4" w:space="0" w:color="000000"/>
                          <w:right w:val="single" w:sz="4" w:space="0" w:color="000000"/>
                        </w:tcBorders>
                      </w:tcPr>
                      <w:p>
                        <w:pPr/>
                      </w:p>
                    </w:tc>
                    <w:tc>
                      <w:tcPr>
                        <w:tcW w:w="3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20" w:right="0"/>
                          <w:jc w:val="left"/>
                          <w:rPr>
                            <w:rFonts w:ascii="宋体" w:hAnsi="宋体" w:cs="宋体" w:eastAsia="宋体" w:hint="default"/>
                            <w:sz w:val="18"/>
                            <w:szCs w:val="18"/>
                          </w:rPr>
                        </w:pPr>
                        <w:r>
                          <w:rPr>
                            <w:rFonts w:ascii="宋体" w:hAnsi="宋体" w:cs="宋体" w:eastAsia="宋体" w:hint="default"/>
                            <w:sz w:val="18"/>
                            <w:szCs w:val="18"/>
                          </w:rPr>
                          <w:t>账面余额（元）</w:t>
                        </w:r>
                      </w:p>
                    </w:tc>
                    <w:tc>
                      <w:tcPr>
                        <w:tcW w:w="3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17" w:right="0"/>
                          <w:jc w:val="left"/>
                          <w:rPr>
                            <w:rFonts w:ascii="宋体" w:hAnsi="宋体" w:cs="宋体" w:eastAsia="宋体" w:hint="default"/>
                            <w:sz w:val="18"/>
                            <w:szCs w:val="18"/>
                          </w:rPr>
                        </w:pPr>
                        <w:r>
                          <w:rPr>
                            <w:rFonts w:ascii="宋体" w:hAnsi="宋体" w:cs="宋体" w:eastAsia="宋体" w:hint="default"/>
                            <w:sz w:val="18"/>
                            <w:szCs w:val="18"/>
                          </w:rPr>
                          <w:t>坏账准备（元）</w:t>
                        </w:r>
                      </w:p>
                    </w:tc>
                    <w:tc>
                      <w:tcPr>
                        <w:tcW w:w="1652" w:type="dxa"/>
                        <w:vMerge/>
                        <w:tcBorders>
                          <w:left w:val="single" w:sz="4" w:space="0" w:color="000000"/>
                          <w:right w:val="single" w:sz="4" w:space="0" w:color="000000"/>
                        </w:tcBorders>
                      </w:tcPr>
                      <w:p>
                        <w:pPr/>
                      </w:p>
                    </w:tc>
                  </w:tr>
                  <w:tr>
                    <w:trPr>
                      <w:trHeight w:val="342" w:hRule="exact"/>
                    </w:trPr>
                    <w:tc>
                      <w:tcPr>
                        <w:tcW w:w="1601" w:type="dxa"/>
                        <w:vMerge/>
                        <w:tcBorders>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4"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3"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52" w:type="dxa"/>
                        <w:vMerge/>
                        <w:tcBorders>
                          <w:left w:val="single" w:sz="4" w:space="0" w:color="000000"/>
                          <w:bottom w:val="single" w:sz="4" w:space="0" w:color="000000"/>
                          <w:right w:val="single" w:sz="4" w:space="0" w:color="000000"/>
                        </w:tcBorders>
                      </w:tcPr>
                      <w:p>
                        <w:pPr/>
                      </w:p>
                    </w:tc>
                  </w:tr>
                  <w:tr>
                    <w:trPr>
                      <w:trHeight w:val="342"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3,304,116.12</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27.57</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165,205.81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5.00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67"/>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年以内</w:t>
                        </w:r>
                      </w:p>
                    </w:tc>
                  </w:tr>
                  <w:tr>
                    <w:trPr>
                      <w:trHeight w:val="342"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4,115,205.33</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34.34</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411,520.53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67"/>
                          <w:jc w:val="righ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年以内</w:t>
                        </w:r>
                      </w:p>
                    </w:tc>
                  </w:tr>
                  <w:tr>
                    <w:trPr>
                      <w:trHeight w:val="342"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4,323,887.50</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36.09</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864,777.50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67"/>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年以内</w:t>
                        </w:r>
                      </w:p>
                    </w:tc>
                  </w:tr>
                  <w:tr>
                    <w:trPr>
                      <w:trHeight w:val="342"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宋体" w:hAnsi="宋体" w:cs="宋体" w:eastAsia="宋体" w:hint="default"/>
                            <w:sz w:val="18"/>
                            <w:szCs w:val="18"/>
                          </w:rPr>
                          <w:t>年</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239,210.00</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119,605.00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50.00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67"/>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年以内</w:t>
                        </w:r>
                      </w:p>
                    </w:tc>
                  </w:tr>
                  <w:tr>
                    <w:trPr>
                      <w:trHeight w:val="343"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11,982,418.95</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1,561,108.84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13.03</w:t>
                        </w:r>
                      </w:p>
                    </w:tc>
                    <w:tc>
                      <w:tcPr>
                        <w:tcW w:w="1652"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其他说明：</w:t>
      </w:r>
      <w:r>
        <w:rPr>
          <w:w w:val="100"/>
        </w:rPr>
        <w:t> </w:t>
      </w:r>
      <w:r>
        <w:rPr>
          <w:spacing w:val="-1"/>
        </w:rPr>
        <w:t>将于</w:t>
      </w:r>
      <w:r>
        <w:rPr>
          <w:rFonts w:ascii="Times New Roman" w:hAnsi="Times New Roman" w:cs="Times New Roman" w:eastAsia="Times New Roman" w:hint="default"/>
          <w:spacing w:val="-1"/>
        </w:rPr>
        <w:t>1</w:t>
      </w:r>
      <w:r>
        <w:rPr>
          <w:spacing w:val="-1"/>
        </w:rPr>
        <w:t>年以后到期的履约保证金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Heading3"/>
        <w:spacing w:line="240" w:lineRule="auto" w:before="35"/>
        <w:ind w:right="0"/>
        <w:jc w:val="left"/>
        <w:rPr>
          <w:b w:val="0"/>
          <w:bCs w:val="0"/>
        </w:rPr>
      </w:pPr>
      <w:bookmarkStart w:name="17、短期借款" w:id="252"/>
      <w:bookmarkEnd w:id="252"/>
      <w:r>
        <w:rPr>
          <w:b w:val="0"/>
          <w:bCs w:val="0"/>
        </w:rPr>
      </w:r>
      <w:r>
        <w:rPr>
          <w:rFonts w:ascii="Times New Roman" w:hAnsi="Times New Roman" w:cs="Times New Roman" w:eastAsia="Times New Roman" w:hint="default"/>
        </w:rPr>
        <w:t>17</w:t>
      </w:r>
      <w:r>
        <w:rPr/>
        <w:t>、短期借款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53"/>
      <w:bookmarkEnd w:id="253"/>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197,875,718.84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201,697,478.51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69,262,887.38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317,875,718.84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270,960,365.89</w:t>
            </w:r>
          </w:p>
        </w:tc>
      </w:tr>
    </w:tbl>
    <w:p>
      <w:pPr>
        <w:pStyle w:val="BodyText"/>
        <w:spacing w:line="429" w:lineRule="auto" w:before="72"/>
        <w:ind w:left="553" w:right="0" w:hanging="400"/>
        <w:jc w:val="left"/>
      </w:pPr>
      <w:r>
        <w:rPr/>
        <w:t>短期借款分类的说明：</w:t>
      </w:r>
      <w:r>
        <w:rPr>
          <w:w w:val="100"/>
        </w:rPr>
        <w:t> </w:t>
      </w:r>
      <w:r>
        <w:rPr>
          <w:spacing w:val="-5"/>
          <w:w w:val="100"/>
        </w:rPr>
        <w:t>本公司实际控制人朱烨东、沈飒以及北京中科金财电子商务有限公司同北京银行中关村科技园支行签订《综</w:t>
      </w:r>
    </w:p>
    <w:p>
      <w:pPr>
        <w:pStyle w:val="BodyText"/>
        <w:spacing w:line="429" w:lineRule="auto" w:before="48"/>
        <w:ind w:right="0"/>
        <w:jc w:val="left"/>
      </w:pPr>
      <w:r>
        <w:rPr/>
        <w:t>合授信协议》，为公司借款提供保证担保；本公司实际控制人朱烨东、沈飒同中国民生银行股份有限公司北京</w:t>
      </w:r>
      <w:r>
        <w:rPr>
          <w:w w:val="100"/>
        </w:rPr>
        <w:t> </w:t>
      </w:r>
      <w:r>
        <w:rPr/>
        <w:t>分行签订《综合授信合同》，为公司借款提供保证担保；本公司实际控制人朱烨东、沈飒同广发银行股份有限</w:t>
      </w:r>
      <w:r>
        <w:rPr>
          <w:w w:val="100"/>
        </w:rPr>
        <w:t> </w:t>
      </w:r>
      <w:r>
        <w:rPr/>
        <w:t>公司北京分行东四环支行签订《最高额保证合同》，为公司借款提供保证担保；本公司实际控制人朱烨东、沈</w:t>
      </w:r>
      <w:r>
        <w:rPr>
          <w:w w:val="100"/>
        </w:rPr>
        <w:t> </w:t>
      </w:r>
      <w:r>
        <w:rPr/>
        <w:t>飒同宁波银行股份有限公司北京分行签订《最高额保证合同》，为公司借款提供保证担保；本公司实际控制人</w:t>
      </w:r>
      <w:r>
        <w:rPr>
          <w:w w:val="100"/>
        </w:rPr>
        <w:t> </w:t>
      </w:r>
      <w:r>
        <w:rPr/>
        <w:t>朱烨东、沈飒同厦门国际银行股份有限公司北京分行签订《保证合同》，为公司借款提供保证担保；本公司实</w:t>
      </w:r>
      <w:r>
        <w:rPr>
          <w:w w:val="100"/>
        </w:rPr>
        <w:t> </w:t>
      </w:r>
      <w:r>
        <w:rPr>
          <w:spacing w:val="-2"/>
        </w:rPr>
        <w:t>际控制人朱烨东、沈飒同招商银行股份有限公司大运村支行签订《综合授信协议》，为公司借款提供保证担保；</w:t>
      </w:r>
      <w:r>
        <w:rPr>
          <w:spacing w:val="-77"/>
        </w:rPr>
        <w:t> </w:t>
      </w:r>
      <w:r>
        <w:rPr>
          <w:spacing w:val="-77"/>
        </w:rPr>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日，公司保证借款余额为</w:t>
      </w:r>
      <w:r>
        <w:rPr>
          <w:rFonts w:ascii="Times New Roman" w:hAnsi="Times New Roman" w:cs="Times New Roman" w:eastAsia="Times New Roman" w:hint="default"/>
        </w:rPr>
        <w:t>197,875,718.84</w:t>
      </w:r>
      <w:r>
        <w:rPr/>
        <w:t>元。</w:t>
      </w:r>
    </w:p>
    <w:p>
      <w:pPr>
        <w:pStyle w:val="BodyText"/>
        <w:spacing w:line="405" w:lineRule="auto" w:before="16"/>
        <w:ind w:right="1129" w:firstLine="399"/>
        <w:jc w:val="both"/>
      </w:pPr>
      <w:r>
        <w:rPr>
          <w:spacing w:val="-2"/>
        </w:rPr>
        <w:t>本公司与兴业银行股份有限公司北京东城支行签订《基本额度授信合同》，信用额度</w:t>
      </w:r>
      <w:r>
        <w:rPr>
          <w:rFonts w:ascii="Times New Roman" w:hAnsi="Times New Roman" w:cs="Times New Roman" w:eastAsia="Times New Roman" w:hint="default"/>
          <w:spacing w:val="-2"/>
        </w:rPr>
        <w:t>2</w:t>
      </w:r>
      <w:r>
        <w:rPr>
          <w:spacing w:val="-2"/>
        </w:rPr>
        <w:t>亿元人民币；本公司</w:t>
      </w:r>
      <w:r>
        <w:rPr>
          <w:w w:val="100"/>
        </w:rPr>
        <w:t> </w:t>
      </w:r>
      <w:r>
        <w:rPr>
          <w:spacing w:val="-2"/>
        </w:rPr>
        <w:t>与华夏银行股份有限公司北京中轴路支行签订《最高额融资合同》，信用额度</w:t>
      </w:r>
      <w:r>
        <w:rPr>
          <w:rFonts w:ascii="Times New Roman" w:hAnsi="Times New Roman" w:cs="Times New Roman" w:eastAsia="Times New Roman" w:hint="default"/>
          <w:spacing w:val="-2"/>
        </w:rPr>
        <w:t>2</w:t>
      </w:r>
      <w:r>
        <w:rPr>
          <w:spacing w:val="-2"/>
        </w:rPr>
        <w:t>亿元人民币。截至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rFonts w:ascii="Times New Roman" w:hAnsi="Times New Roman" w:cs="Times New Roman" w:eastAsia="Times New Roman" w:hint="default"/>
          <w:spacing w:val="-20"/>
        </w:rPr>
        <w:t> </w:t>
      </w:r>
      <w:r>
        <w:rPr/>
        <w:t>日，公司信用借款余额为</w:t>
      </w:r>
      <w:r>
        <w:rPr>
          <w:rFonts w:ascii="Times New Roman" w:hAnsi="Times New Roman" w:cs="Times New Roman" w:eastAsia="Times New Roman" w:hint="default"/>
        </w:rPr>
        <w:t>120,000,000.00</w:t>
      </w:r>
      <w:r>
        <w:rPr/>
        <w:t>元。</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bookmarkStart w:name="18、应付票据及应付账款" w:id="254"/>
      <w:bookmarkEnd w:id="254"/>
      <w:r>
        <w:rPr>
          <w:b w:val="0"/>
          <w:bCs w:val="0"/>
        </w:rPr>
      </w:r>
      <w:r>
        <w:rPr>
          <w:rFonts w:ascii="Times New Roman" w:hAnsi="Times New Roman" w:cs="Times New Roman" w:eastAsia="Times New Roman" w:hint="default"/>
        </w:rPr>
        <w:t>18</w:t>
      </w:r>
      <w:r>
        <w:rPr/>
        <w:t>、应付票据及应付账款</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426,324.80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313,996,638.90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272,518,102.26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314,422,963.70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272,968,102.26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付票据分类列示" w:id="255"/>
      <w:bookmarkEnd w:id="255"/>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426,324.80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450,000.00</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426,324.80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450,000.00</w:t>
            </w:r>
          </w:p>
        </w:tc>
      </w:tr>
    </w:tbl>
    <w:p>
      <w:pPr>
        <w:pStyle w:val="BodyText"/>
        <w:spacing w:line="240" w:lineRule="auto" w:before="35"/>
        <w:ind w:right="0"/>
        <w:jc w:val="left"/>
      </w:pPr>
      <w:r>
        <w:rPr/>
        <w:t>本期末已到期未支付的应付票据总额为</w:t>
      </w:r>
      <w:r>
        <w:rPr>
          <w:spacing w:val="-53"/>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应付账款列示" w:id="256"/>
      <w:bookmarkEnd w:id="256"/>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271,700,394.92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247,444,039.50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 </w:t>
            </w:r>
            <w:r>
              <w:rPr>
                <w:rFonts w:ascii="Times New Roman" w:hAnsi="Times New Roman" w:cs="Times New Roman" w:eastAsia="Times New Roman" w:hint="default"/>
                <w:sz w:val="18"/>
                <w:szCs w:val="18"/>
              </w:rPr>
              <w:t>2  </w:t>
            </w:r>
            <w:r>
              <w:rPr>
                <w:rFonts w:ascii="宋体" w:hAnsi="宋体" w:cs="宋体" w:eastAsia="宋体" w:hint="default"/>
                <w:sz w:val="18"/>
                <w:szCs w:val="18"/>
              </w:rPr>
              <w:t>年（含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27,355,538.06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12,719,023.92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 </w:t>
            </w:r>
            <w:r>
              <w:rPr>
                <w:rFonts w:ascii="Times New Roman" w:hAnsi="Times New Roman" w:cs="Times New Roman" w:eastAsia="Times New Roman" w:hint="default"/>
                <w:sz w:val="18"/>
                <w:szCs w:val="18"/>
              </w:rPr>
              <w:t>3  </w:t>
            </w:r>
            <w:r>
              <w:rPr>
                <w:rFonts w:ascii="宋体" w:hAnsi="宋体" w:cs="宋体" w:eastAsia="宋体" w:hint="default"/>
                <w:sz w:val="18"/>
                <w:szCs w:val="18"/>
              </w:rPr>
              <w:t>年（含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3,619,634.90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4,763,854.18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11,321,071.02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7,591,184.66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313,996,638.90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272,518,102.26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账龄超过1年的重要应付账款" w:id="257"/>
      <w:bookmarkEnd w:id="257"/>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北京华圆东泰科技有限公司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2,790,964.48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北京元鼎时代科技股份有限公司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2,471,835.99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大唐软件技术股份有限公司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2,004,273.49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河南冠辰科技有限公司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1,773,304.44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北京仁佳合美科技发展有限公司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1,678,350.69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10,718,729.09</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9、预收款项" w:id="258"/>
      <w:bookmarkEnd w:id="258"/>
      <w:r>
        <w:rPr>
          <w:b w:val="0"/>
          <w:bCs w:val="0"/>
        </w:rPr>
      </w:r>
      <w:r>
        <w:rPr>
          <w:rFonts w:ascii="Times New Roman" w:hAnsi="Times New Roman" w:cs="Times New Roman" w:eastAsia="Times New Roman" w:hint="default"/>
        </w:rPr>
        <w:t>19</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259"/>
      <w:bookmarkEnd w:id="259"/>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366,882,652.46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280,493,787.36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 </w:t>
            </w:r>
            <w:r>
              <w:rPr>
                <w:rFonts w:ascii="Times New Roman" w:hAnsi="Times New Roman" w:cs="Times New Roman" w:eastAsia="Times New Roman" w:hint="default"/>
                <w:sz w:val="18"/>
                <w:szCs w:val="18"/>
              </w:rPr>
              <w:t>2  </w:t>
            </w:r>
            <w:r>
              <w:rPr>
                <w:rFonts w:ascii="宋体" w:hAnsi="宋体" w:cs="宋体" w:eastAsia="宋体" w:hint="default"/>
                <w:sz w:val="18"/>
                <w:szCs w:val="18"/>
              </w:rPr>
              <w:t>年（含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21,638,614.69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31,016,334.74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 </w:t>
            </w:r>
            <w:r>
              <w:rPr>
                <w:rFonts w:ascii="Times New Roman" w:hAnsi="Times New Roman" w:cs="Times New Roman" w:eastAsia="Times New Roman" w:hint="default"/>
                <w:sz w:val="18"/>
                <w:szCs w:val="18"/>
              </w:rPr>
              <w:t>3  </w:t>
            </w:r>
            <w:r>
              <w:rPr>
                <w:rFonts w:ascii="宋体" w:hAnsi="宋体" w:cs="宋体" w:eastAsia="宋体" w:hint="default"/>
                <w:sz w:val="18"/>
                <w:szCs w:val="18"/>
              </w:rPr>
              <w:t>年（含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12,306,101.28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6,152,222.96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2,240,853.13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4,995,380.62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403,068,221.56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322,657,725.68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预收款项" w:id="260"/>
      <w:bookmarkEnd w:id="260"/>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交通运输部救助打捞局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12,387,167.17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首都空港贵宾服务管理有限公司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7,500,701.46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北京服装学院</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4,095,726.50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北京市公安局西城分局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2,305,260.36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西咸新区大数据信息技术服务有限公司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1,692,375.60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27,981,231.09</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0、应付职工薪酬" w:id="261"/>
      <w:bookmarkEnd w:id="261"/>
      <w:r>
        <w:rPr>
          <w:b w:val="0"/>
          <w:bCs w:val="0"/>
        </w:rPr>
      </w:r>
      <w:r>
        <w:rPr>
          <w:rFonts w:ascii="Times New Roman" w:hAnsi="Times New Roman" w:cs="Times New Roman" w:eastAsia="Times New Roman" w:hint="default"/>
        </w:rPr>
        <w:t>20</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62"/>
      <w:bookmarkEnd w:id="262"/>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9,965,860.99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176,394,370.72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168,554,852.58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17,805,379.13</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16,879,363.31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16,879,363.31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9,965,860.99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193,273,734.03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185,434,215.89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17,805,379.13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263"/>
      <w:bookmarkEnd w:id="263"/>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9,396,780.42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147,331,753.73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139,661,077.65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17,067,456.50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4,747,672.67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4,747,672.67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10,072,221.41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10,072,221.41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9,008,028.93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9,008,028.93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319,985.08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319,985.08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744,207.40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744,207.40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11,005,208.77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11,005,208.77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569,080.57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3,237,514.14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3,068,672.08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737,922.63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其他短期薪酬</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9,965,860.99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176,394,370.72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168,554,852.58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17,805,379.13</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264"/>
      <w:bookmarkEnd w:id="264"/>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16,274,221.87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16,274,221.87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605,141.44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605,141.44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16,879,363.31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16,879,363.31</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1、应交税费" w:id="265"/>
      <w:bookmarkEnd w:id="265"/>
      <w:r>
        <w:rPr>
          <w:b w:val="0"/>
          <w:bCs w:val="0"/>
        </w:rPr>
      </w:r>
      <w:r>
        <w:rPr>
          <w:rFonts w:ascii="Times New Roman" w:hAnsi="Times New Roman" w:cs="Times New Roman" w:eastAsia="Times New Roman" w:hint="default"/>
        </w:rPr>
        <w:t>21</w:t>
      </w:r>
      <w:r>
        <w:rPr/>
        <w:t>、应交税费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19,023,641.57</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15,747,074.54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2,908,785.73</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1,657,047.83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474,253.87</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769,856.00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1,199,146.92</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988,967.19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856,533.52</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706,291.53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2,160.96</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56,538.75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24,464,522.57</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19,925,775.84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2、其他应付款" w:id="266"/>
      <w:bookmarkEnd w:id="266"/>
      <w:r>
        <w:rPr>
          <w:b w:val="0"/>
          <w:bCs w:val="0"/>
        </w:rPr>
      </w:r>
      <w:r>
        <w:rPr>
          <w:rFonts w:ascii="Times New Roman" w:hAnsi="Times New Roman" w:cs="Times New Roman" w:eastAsia="Times New Roman" w:hint="default"/>
        </w:rPr>
        <w:t>22</w:t>
      </w:r>
      <w:r>
        <w:rPr/>
        <w:t>、其他应付款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11,124,445.50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83,721,184.10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155,095,955.99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83,721,184.10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166,220,401.49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付利息" w:id="267"/>
      <w:bookmarkEnd w:id="267"/>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11,124,445.50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11,124,445.50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其他应付款" w:id="268"/>
      <w:bookmarkEnd w:id="268"/>
      <w:r>
        <w:rPr>
          <w:b w:val="0"/>
          <w:bCs w:val="0"/>
        </w:rPr>
      </w:r>
      <w:r>
        <w:rPr/>
        <w:t>（</w:t>
      </w:r>
      <w:r>
        <w:rPr>
          <w:rFonts w:ascii="Times New Roman" w:hAnsi="Times New Roman" w:cs="Times New Roman" w:eastAsia="Times New Roman" w:hint="default"/>
        </w:rPr>
        <w:t>2</w:t>
      </w:r>
      <w:r>
        <w:rPr/>
        <w:t>）其他应付款</w:t>
      </w:r>
      <w:r>
        <w:rPr>
          <w:b w:val="0"/>
          <w:bCs w:val="0"/>
        </w:rPr>
      </w:r>
    </w:p>
    <w:p>
      <w:pPr>
        <w:spacing w:line="240" w:lineRule="auto" w:before="5"/>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7" w:footer="979" w:top="1060" w:bottom="1160" w:left="980" w:right="0"/>
        </w:sectPr>
      </w:pPr>
    </w:p>
    <w:p>
      <w:pPr>
        <w:pStyle w:val="BodyText"/>
        <w:spacing w:line="240" w:lineRule="auto" w:before="38"/>
        <w:ind w:right="-6"/>
        <w:jc w:val="left"/>
      </w:pPr>
      <w:r>
        <w:rPr>
          <w:rFonts w:ascii="Times New Roman" w:hAnsi="Times New Roman" w:cs="Times New Roman" w:eastAsia="Times New Roman" w:hint="default"/>
          <w:spacing w:val="-1"/>
        </w:rPr>
        <w:t>1)</w:t>
      </w:r>
      <w:r>
        <w:rPr>
          <w:spacing w:val="-1"/>
        </w:rPr>
        <w:t>按款项性质列示其他应付款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721" w:space="6108"/>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68,726,983.72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141,235,245.05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14,994,200.38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13,860,710.94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83,721,184.10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1" w:right="0"/>
              <w:jc w:val="left"/>
              <w:rPr>
                <w:rFonts w:ascii="Times New Roman" w:hAnsi="Times New Roman" w:cs="Times New Roman" w:eastAsia="Times New Roman" w:hint="default"/>
                <w:sz w:val="18"/>
                <w:szCs w:val="18"/>
              </w:rPr>
            </w:pPr>
            <w:r>
              <w:rPr>
                <w:rFonts w:ascii="Times New Roman"/>
                <w:sz w:val="18"/>
              </w:rPr>
              <w:t>155,095,955.99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35"/>
        <w:ind w:right="-15"/>
        <w:jc w:val="left"/>
      </w:pPr>
      <w:r>
        <w:rPr>
          <w:rFonts w:ascii="Times New Roman" w:hAnsi="Times New Roman" w:cs="Times New Roman" w:eastAsia="Times New Roman" w:hint="default"/>
        </w:rPr>
        <w:t>2)</w:t>
      </w: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122" w:space="5707"/>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大连诺德资产经营管理有限公司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12,866,900.64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履约期内</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北京捷越联合信息咨询有限公司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8,286,585.00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履约期内</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北京润雨嘉科技发展有限公司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2,096,952.00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履约期内</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北京华圆东泰科技有限公司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1,957,056.90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履约期内</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郑州华路天成信息技术有限公司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履约期内</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26,757,494.54</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3、一年内到期的非流动负债" w:id="269"/>
      <w:bookmarkEnd w:id="269"/>
      <w:r>
        <w:rPr>
          <w:b w:val="0"/>
          <w:bCs w:val="0"/>
        </w:rPr>
      </w:r>
      <w:r>
        <w:rPr>
          <w:rFonts w:ascii="Times New Roman" w:hAnsi="Times New Roman" w:cs="Times New Roman" w:eastAsia="Times New Roman" w:hint="default"/>
        </w:rPr>
        <w:t>23</w:t>
      </w:r>
      <w:r>
        <w:rPr/>
        <w:t>、一年内到期的非流动负债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221,262,000.00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54,070,484.20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58,875,562.92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54,070,484.20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280,137,562.92</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4、其他流动负债" w:id="270"/>
      <w:bookmarkEnd w:id="270"/>
      <w:r>
        <w:rPr>
          <w:b w:val="0"/>
          <w:bCs w:val="0"/>
        </w:rPr>
      </w:r>
      <w:r>
        <w:rPr>
          <w:rFonts w:ascii="Times New Roman" w:hAnsi="Times New Roman" w:cs="Times New Roman" w:eastAsia="Times New Roman" w:hint="default"/>
        </w:rPr>
        <w:t>24</w:t>
      </w:r>
      <w:r>
        <w:rPr/>
        <w:t>、其他流动负债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信托收益权融资本金及未付利息</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400,484,057.87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优先级信托份额及未分配收益</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150,111,562.56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550,595,620.43</w:t>
            </w:r>
          </w:p>
        </w:tc>
      </w:tr>
    </w:tbl>
    <w:p>
      <w:pPr>
        <w:pStyle w:val="BodyText"/>
        <w:spacing w:line="240" w:lineRule="auto" w:before="72"/>
        <w:ind w:right="0"/>
        <w:jc w:val="left"/>
      </w:pPr>
      <w:r>
        <w:rPr/>
        <w:t>其他说明：</w:t>
      </w:r>
    </w:p>
    <w:p>
      <w:pPr>
        <w:spacing w:line="240" w:lineRule="auto" w:before="10"/>
        <w:rPr>
          <w:rFonts w:ascii="宋体" w:hAnsi="宋体" w:cs="宋体" w:eastAsia="宋体" w:hint="default"/>
          <w:sz w:val="15"/>
          <w:szCs w:val="15"/>
        </w:rPr>
      </w:pPr>
    </w:p>
    <w:p>
      <w:pPr>
        <w:pStyle w:val="BodyText"/>
        <w:spacing w:line="429" w:lineRule="auto"/>
        <w:ind w:right="0" w:firstLine="399"/>
        <w:jc w:val="left"/>
      </w:pPr>
      <w:r>
        <w:rPr>
          <w:rFonts w:ascii="宋体" w:hAnsi="宋体" w:cs="宋体" w:eastAsia="宋体" w:hint="default"/>
          <w:spacing w:val="-1"/>
        </w:rPr>
        <w:t>1.</w:t>
      </w:r>
      <w:r>
        <w:rPr>
          <w:spacing w:val="-1"/>
        </w:rPr>
        <w:t>信托收益权融资本金及未付利息为本公司子公司将其持有的信托产品在天津金融资产交易所等交易所融</w:t>
      </w:r>
      <w:r>
        <w:rPr>
          <w:w w:val="100"/>
        </w:rPr>
        <w:t> </w:t>
      </w:r>
      <w:r>
        <w:rPr/>
        <w:t>资所得及应付未付利息。</w:t>
      </w:r>
    </w:p>
    <w:p>
      <w:pPr>
        <w:pStyle w:val="BodyText"/>
        <w:spacing w:line="429" w:lineRule="auto" w:before="48"/>
        <w:ind w:right="0" w:firstLine="399"/>
        <w:jc w:val="left"/>
      </w:pPr>
      <w:r>
        <w:rPr>
          <w:rFonts w:ascii="宋体" w:hAnsi="宋体" w:cs="宋体" w:eastAsia="宋体" w:hint="default"/>
          <w:spacing w:val="-1"/>
        </w:rPr>
        <w:t>2.</w:t>
      </w:r>
      <w:r>
        <w:rPr>
          <w:spacing w:val="-1"/>
        </w:rPr>
        <w:t>优先级信托份额及未分配收益系本公司子公司购买的劣后级信托产品，优先级信托单位投入信托产品的</w:t>
      </w:r>
      <w:r>
        <w:rPr>
          <w:w w:val="100"/>
        </w:rPr>
        <w:t> </w:t>
      </w:r>
      <w:r>
        <w:rPr/>
        <w:t>金额及未分配的收益。</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25、长期应付款" w:id="271"/>
      <w:bookmarkEnd w:id="271"/>
      <w:r>
        <w:rPr>
          <w:b w:val="0"/>
          <w:bCs w:val="0"/>
        </w:rPr>
      </w:r>
      <w:r>
        <w:rPr>
          <w:rFonts w:ascii="Times New Roman" w:hAnsi="Times New Roman" w:cs="Times New Roman" w:eastAsia="Times New Roman" w:hint="default"/>
        </w:rPr>
        <w:t>25</w:t>
      </w:r>
      <w:r>
        <w:rPr/>
        <w:t>、长期应付款</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51,410,035.67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94,617,770.41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51,410,035.67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94,617,770.41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按款项性质列示长期应付款" w:id="272"/>
      <w:bookmarkEnd w:id="272"/>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51,410,035.67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94,617,770.41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51,410,035.67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94,617,770.41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6、递延收益" w:id="273"/>
      <w:bookmarkEnd w:id="273"/>
      <w:r>
        <w:rPr>
          <w:b w:val="0"/>
          <w:bCs w:val="0"/>
        </w:rPr>
      </w:r>
      <w:r>
        <w:rPr>
          <w:rFonts w:ascii="Times New Roman" w:hAnsi="Times New Roman" w:cs="Times New Roman" w:eastAsia="Times New Roman" w:hint="default"/>
        </w:rPr>
        <w:t>26</w:t>
      </w:r>
      <w:r>
        <w:rPr/>
        <w:t>、递延收益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7,634,245.36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5,888,533.99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1,745,711.37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7,634,245.36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5,888,533.99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1,745,711.37</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35"/>
        <w:ind w:right="-9"/>
        <w:jc w:val="left"/>
      </w:pPr>
      <w:r>
        <w:rPr>
          <w:spacing w:val="-1"/>
        </w:rPr>
        <w:t>涉及政府补助的项目：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156" w:space="6674"/>
            <w:col w:w="2100"/>
          </w:cols>
        </w:sectPr>
      </w:pPr>
    </w:p>
    <w:p>
      <w:pPr>
        <w:spacing w:line="240" w:lineRule="auto" w:before="1"/>
        <w:rPr>
          <w:rFonts w:ascii="宋体" w:hAnsi="宋体" w:cs="宋体" w:eastAsia="宋体" w:hint="default"/>
          <w:sz w:val="8"/>
          <w:szCs w:val="8"/>
        </w:rPr>
      </w:pPr>
      <w:r>
        <w:rPr/>
        <w:pict>
          <v:group style="position:absolute;margin-left:110.120003pt;margin-top:705.899963pt;width:52.75pt;height:15.6pt;mso-position-horizontal-relative:page;mso-position-vertical-relative:page;z-index:-1039216" coordorigin="2202,14118" coordsize="1055,312">
            <v:shape style="position:absolute;left:2202;top:14118;width:1055;height:312" coordorigin="2202,14118" coordsize="1055,312" path="m2202,14430l3257,14430,3257,14118,2202,14118,2202,14430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金融行业海 量数据处理 北京市工程 实验室</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4,728,833.33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3,338,000.00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1,390,833.33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移动金融云 安全服务项 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1,466,666.67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1,466,666.67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年北京 市科技计划 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182,300.00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182,300.00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电子发展基 金</w:t>
            </w:r>
            <w:r>
              <w:rPr>
                <w:rFonts w:ascii="Times New Roman" w:hAnsi="Times New Roman" w:cs="Times New Roman" w:eastAsia="Times New Roman" w:hint="default"/>
                <w:sz w:val="18"/>
                <w:szCs w:val="18"/>
              </w:rPr>
              <w:t>-</w:t>
            </w:r>
            <w:r>
              <w:rPr>
                <w:rFonts w:ascii="宋体" w:hAnsi="宋体" w:cs="宋体" w:eastAsia="宋体" w:hint="default"/>
                <w:sz w:val="18"/>
                <w:szCs w:val="18"/>
              </w:rPr>
              <w:t>移动支付 清算平台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49,860.00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49,860.00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9"/>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年现代 服务业试点 项目（基金）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1,206,585.36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851,707.32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354,878.04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7,634,245.36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5,888,533.99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1,745,711.37</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7、股本" w:id="274"/>
      <w:bookmarkEnd w:id="274"/>
      <w:r>
        <w:rPr>
          <w:b w:val="0"/>
          <w:bCs w:val="0"/>
        </w:rPr>
      </w:r>
      <w:r>
        <w:rPr>
          <w:rFonts w:ascii="Times New Roman" w:hAnsi="Times New Roman" w:cs="Times New Roman" w:eastAsia="Times New Roman" w:hint="default"/>
        </w:rPr>
        <w:t>27</w:t>
      </w:r>
      <w:r>
        <w:rPr/>
        <w:t>、股本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337,576,686.00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337,576,686.00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8、资本公积" w:id="275"/>
      <w:bookmarkEnd w:id="275"/>
      <w:r>
        <w:rPr>
          <w:b w:val="0"/>
          <w:bCs w:val="0"/>
        </w:rPr>
      </w:r>
      <w:r>
        <w:rPr>
          <w:rFonts w:ascii="Times New Roman" w:hAnsi="Times New Roman" w:cs="Times New Roman" w:eastAsia="Times New Roman" w:hint="default"/>
        </w:rPr>
        <w:t>28</w:t>
      </w:r>
      <w:r>
        <w:rPr/>
        <w:t>、资本公积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31" w:right="0"/>
              <w:jc w:val="left"/>
              <w:rPr>
                <w:rFonts w:ascii="Times New Roman" w:hAnsi="Times New Roman" w:cs="Times New Roman" w:eastAsia="Times New Roman" w:hint="default"/>
                <w:sz w:val="18"/>
                <w:szCs w:val="18"/>
              </w:rPr>
            </w:pPr>
            <w:r>
              <w:rPr>
                <w:rFonts w:ascii="Times New Roman"/>
                <w:sz w:val="18"/>
              </w:rPr>
              <w:t>1,773,201,926.11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7" w:right="0"/>
              <w:jc w:val="left"/>
              <w:rPr>
                <w:rFonts w:ascii="Times New Roman" w:hAnsi="Times New Roman" w:cs="Times New Roman" w:eastAsia="Times New Roman" w:hint="default"/>
                <w:sz w:val="18"/>
                <w:szCs w:val="18"/>
              </w:rPr>
            </w:pPr>
            <w:r>
              <w:rPr>
                <w:rFonts w:ascii="Times New Roman"/>
                <w:sz w:val="18"/>
              </w:rPr>
              <w:t>1,773,201,926.11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31" w:right="0"/>
              <w:jc w:val="left"/>
              <w:rPr>
                <w:rFonts w:ascii="Times New Roman" w:hAnsi="Times New Roman" w:cs="Times New Roman" w:eastAsia="Times New Roman" w:hint="default"/>
                <w:sz w:val="18"/>
                <w:szCs w:val="18"/>
              </w:rPr>
            </w:pPr>
            <w:r>
              <w:rPr>
                <w:rFonts w:ascii="Times New Roman"/>
                <w:sz w:val="18"/>
              </w:rPr>
              <w:t>1,773,201,926.11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7" w:right="0"/>
              <w:jc w:val="left"/>
              <w:rPr>
                <w:rFonts w:ascii="Times New Roman" w:hAnsi="Times New Roman" w:cs="Times New Roman" w:eastAsia="Times New Roman" w:hint="default"/>
                <w:sz w:val="18"/>
                <w:szCs w:val="18"/>
              </w:rPr>
            </w:pPr>
            <w:r>
              <w:rPr>
                <w:rFonts w:ascii="Times New Roman"/>
                <w:sz w:val="18"/>
              </w:rPr>
              <w:t>1,773,201,926.11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9、其他综合收益" w:id="276"/>
      <w:bookmarkEnd w:id="276"/>
      <w:r>
        <w:rPr>
          <w:b w:val="0"/>
          <w:bCs w:val="0"/>
        </w:rPr>
      </w:r>
      <w:r>
        <w:rPr>
          <w:rFonts w:ascii="Times New Roman" w:hAnsi="Times New Roman" w:cs="Times New Roman" w:eastAsia="Times New Roman" w:hint="default"/>
        </w:rPr>
        <w:t>29</w:t>
      </w:r>
      <w:r>
        <w:rPr/>
        <w:t>、其他综合收益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6"/>
      </w:tblGrid>
      <w:tr>
        <w:trPr>
          <w:trHeight w:val="397" w:hRule="exact"/>
        </w:trPr>
        <w:tc>
          <w:tcPr>
            <w:tcW w:w="2811"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811"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30"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69"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282"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right="31"/>
              <w:jc w:val="righ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811"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1,121.95</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1,329.12</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1,329.12</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2,451.07</w:t>
            </w:r>
          </w:p>
        </w:tc>
      </w:tr>
      <w:tr>
        <w:trPr>
          <w:trHeight w:val="402"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1,121.95</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1,329.12</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1,329.12</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2,451.07</w:t>
            </w:r>
          </w:p>
        </w:tc>
      </w:tr>
      <w:tr>
        <w:trPr>
          <w:trHeight w:val="402"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1,121.95</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1,329.12</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1,329.12</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2,451.07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0、盈余公积" w:id="277"/>
      <w:bookmarkEnd w:id="277"/>
      <w:r>
        <w:rPr>
          <w:b w:val="0"/>
          <w:bCs w:val="0"/>
        </w:rPr>
      </w:r>
      <w:r>
        <w:rPr>
          <w:rFonts w:ascii="Times New Roman" w:hAnsi="Times New Roman" w:cs="Times New Roman" w:eastAsia="Times New Roman" w:hint="default"/>
        </w:rPr>
        <w:t>30</w:t>
      </w:r>
      <w:r>
        <w:rPr/>
        <w:t>、盈余公积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63,243,798.06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5,486,001.48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68,729,799.54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63,243,798.06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5,486,001.48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68,729,799.54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1、未分配利润" w:id="278"/>
      <w:bookmarkEnd w:id="278"/>
      <w:r>
        <w:rPr>
          <w:b w:val="0"/>
          <w:bCs w:val="0"/>
        </w:rPr>
      </w:r>
      <w:r>
        <w:rPr>
          <w:rFonts w:ascii="Times New Roman" w:hAnsi="Times New Roman" w:cs="Times New Roman" w:eastAsia="Times New Roman" w:hint="default"/>
        </w:rPr>
        <w:t>31</w:t>
      </w:r>
      <w:r>
        <w:rPr/>
        <w:t>、未分配利润</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343,508,039.25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608,374,942.46</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343,508,039.25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608,374,942.46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8,209,514.73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-236,661,197.94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5,486,001.48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11,326,870.97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16,878,834.30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346,231,552.50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343,508,039.25</w:t>
            </w:r>
          </w:p>
        </w:tc>
      </w:tr>
    </w:tbl>
    <w:p>
      <w:pPr>
        <w:pStyle w:val="BodyText"/>
        <w:spacing w:line="240" w:lineRule="auto" w:before="72"/>
        <w:ind w:right="0"/>
        <w:jc w:val="left"/>
      </w:pPr>
      <w:r>
        <w:rPr/>
        <w:t>调整期初未分配利润明细：</w:t>
      </w:r>
    </w:p>
    <w:p>
      <w:pPr>
        <w:spacing w:line="240" w:lineRule="auto" w:before="10"/>
        <w:rPr>
          <w:rFonts w:ascii="宋体" w:hAnsi="宋体" w:cs="宋体" w:eastAsia="宋体" w:hint="default"/>
          <w:sz w:val="15"/>
          <w:szCs w:val="15"/>
        </w:rPr>
      </w:pPr>
    </w:p>
    <w:p>
      <w:pPr>
        <w:pStyle w:val="BodyText"/>
        <w:spacing w:line="240" w:lineRule="auto"/>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5"/>
        </w:rPr>
        <w:t> </w:t>
      </w:r>
      <w:r>
        <w:rPr/>
        <w:t>元。</w:t>
      </w:r>
    </w:p>
    <w:p>
      <w:pPr>
        <w:spacing w:line="240" w:lineRule="auto" w:before="8"/>
        <w:rPr>
          <w:rFonts w:ascii="宋体" w:hAnsi="宋体" w:cs="宋体" w:eastAsia="宋体" w:hint="default"/>
          <w:sz w:val="14"/>
          <w:szCs w:val="14"/>
        </w:rPr>
      </w:pPr>
    </w:p>
    <w:p>
      <w:pPr>
        <w:pStyle w:val="BodyText"/>
        <w:spacing w:line="240" w:lineRule="auto"/>
        <w:ind w:right="0"/>
        <w:jc w:val="left"/>
      </w:pPr>
      <w:r>
        <w:rPr>
          <w:rFonts w:ascii="Times New Roman" w:hAnsi="Times New Roman" w:cs="Times New Roman" w:eastAsia="Times New Roman" w:hint="default"/>
        </w:rPr>
        <w:t>2)</w:t>
      </w:r>
      <w:r>
        <w:rPr/>
        <w:t>、由于会计政策变更，影响期初未分配利润</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5"/>
        </w:rPr>
        <w:t> </w:t>
      </w:r>
      <w:r>
        <w:rPr/>
        <w:t>元。</w:t>
      </w:r>
    </w:p>
    <w:p>
      <w:pPr>
        <w:spacing w:line="240" w:lineRule="auto" w:before="8"/>
        <w:rPr>
          <w:rFonts w:ascii="宋体" w:hAnsi="宋体" w:cs="宋体" w:eastAsia="宋体" w:hint="default"/>
          <w:sz w:val="14"/>
          <w:szCs w:val="14"/>
        </w:rPr>
      </w:pPr>
    </w:p>
    <w:p>
      <w:pPr>
        <w:pStyle w:val="BodyText"/>
        <w:spacing w:line="240" w:lineRule="auto"/>
        <w:ind w:right="0"/>
        <w:jc w:val="left"/>
      </w:pPr>
      <w:r>
        <w:rPr>
          <w:rFonts w:ascii="Times New Roman" w:hAnsi="Times New Roman" w:cs="Times New Roman" w:eastAsia="Times New Roman" w:hint="default"/>
        </w:rPr>
        <w:t>3)</w:t>
      </w:r>
      <w:r>
        <w:rPr/>
        <w:t>、由于重大会计差错更正，影响期初未分配利润</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5"/>
        </w:rPr>
        <w:t> </w:t>
      </w:r>
      <w:r>
        <w:rPr/>
        <w:t>元。</w:t>
      </w:r>
    </w:p>
    <w:p>
      <w:pPr>
        <w:spacing w:line="240" w:lineRule="auto" w:before="8"/>
        <w:rPr>
          <w:rFonts w:ascii="宋体" w:hAnsi="宋体" w:cs="宋体" w:eastAsia="宋体" w:hint="default"/>
          <w:sz w:val="14"/>
          <w:szCs w:val="14"/>
        </w:rPr>
      </w:pPr>
    </w:p>
    <w:p>
      <w:pPr>
        <w:pStyle w:val="BodyText"/>
        <w:spacing w:line="240" w:lineRule="auto"/>
        <w:ind w:right="0"/>
        <w:jc w:val="left"/>
      </w:pPr>
      <w:r>
        <w:rPr>
          <w:rFonts w:ascii="Times New Roman" w:hAnsi="Times New Roman" w:cs="Times New Roman" w:eastAsia="Times New Roman" w:hint="default"/>
        </w:rPr>
        <w:t>4)</w:t>
      </w:r>
      <w:r>
        <w:rPr/>
        <w:t>、由于同一控制导致的合并范围变更，影响期初未分配利润</w:t>
      </w:r>
      <w:r>
        <w:rPr>
          <w:spacing w:val="-53"/>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t>元。</w:t>
      </w:r>
    </w:p>
    <w:p>
      <w:pPr>
        <w:spacing w:line="240" w:lineRule="auto" w:before="8"/>
        <w:rPr>
          <w:rFonts w:ascii="宋体" w:hAnsi="宋体" w:cs="宋体" w:eastAsia="宋体" w:hint="default"/>
          <w:sz w:val="14"/>
          <w:szCs w:val="14"/>
        </w:rPr>
      </w:pPr>
    </w:p>
    <w:p>
      <w:pPr>
        <w:pStyle w:val="BodyText"/>
        <w:spacing w:line="240" w:lineRule="auto"/>
        <w:ind w:right="0"/>
        <w:jc w:val="left"/>
      </w:pPr>
      <w:r>
        <w:rPr>
          <w:rFonts w:ascii="Times New Roman" w:hAnsi="Times New Roman" w:cs="Times New Roman" w:eastAsia="Times New Roman" w:hint="default"/>
        </w:rPr>
        <w:t>5)</w:t>
      </w:r>
      <w:r>
        <w:rPr/>
        <w:t>、其他调整合计影响期初未分配利润</w:t>
      </w:r>
      <w:r>
        <w:rPr>
          <w:spacing w:val="-53"/>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20"/>
          <w:szCs w:val="20"/>
        </w:rPr>
      </w:pPr>
    </w:p>
    <w:p>
      <w:pPr>
        <w:pStyle w:val="Heading3"/>
        <w:spacing w:line="240" w:lineRule="auto" w:before="143"/>
        <w:ind w:right="0"/>
        <w:jc w:val="left"/>
        <w:rPr>
          <w:b w:val="0"/>
          <w:bCs w:val="0"/>
        </w:rPr>
      </w:pPr>
      <w:bookmarkStart w:name="32、营业收入和营业成本" w:id="279"/>
      <w:bookmarkEnd w:id="279"/>
      <w:r>
        <w:rPr>
          <w:b w:val="0"/>
          <w:bCs w:val="0"/>
        </w:rPr>
      </w:r>
      <w:r>
        <w:rPr>
          <w:rFonts w:ascii="Times New Roman" w:hAnsi="Times New Roman" w:cs="Times New Roman" w:eastAsia="Times New Roman" w:hint="default"/>
        </w:rPr>
        <w:t>32</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1,481,346,646.09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1,189,805,310.22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1,214,436,124.07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861,751,638.79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4,278,647.72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3,899,690.37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11,581,547.56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11,033,461.55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1,485,625,293.81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1,193,705,000.59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1,226,017,671.63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872,785,100.34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3、税金及附加" w:id="280"/>
      <w:bookmarkEnd w:id="280"/>
      <w:r>
        <w:rPr>
          <w:b w:val="0"/>
          <w:bCs w:val="0"/>
        </w:rPr>
      </w:r>
      <w:r>
        <w:rPr>
          <w:rFonts w:ascii="Times New Roman" w:hAnsi="Times New Roman" w:cs="Times New Roman" w:eastAsia="Times New Roman" w:hint="default"/>
        </w:rPr>
        <w:t>33</w:t>
      </w:r>
      <w:r>
        <w:rPr/>
        <w:t>、税金及附加</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2,831,043.80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2,195,311.30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2,021,896.35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1,568,705.05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11,790.94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11,790.94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203,224.82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16,585.00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22,825.00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964,498.32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1,207,866.22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水利行政事业性收费</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52,274.42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50,443.40</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5,898,552.83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5,260,166.73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4、销售费用" w:id="281"/>
      <w:bookmarkEnd w:id="281"/>
      <w:r>
        <w:rPr>
          <w:b w:val="0"/>
          <w:bCs w:val="0"/>
        </w:rPr>
      </w:r>
      <w:r>
        <w:rPr>
          <w:rFonts w:ascii="Times New Roman" w:hAnsi="Times New Roman" w:cs="Times New Roman" w:eastAsia="Times New Roman" w:hint="default"/>
        </w:rPr>
        <w:t>34</w:t>
      </w:r>
      <w:r>
        <w:rPr/>
        <w:t>、销售费用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29,811,186.96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22,957,799.56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1,688,800.80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248,448.91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3,722,358.39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2,683,652.86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1,398,986.57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1,214,541.18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1,967,371.00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1,947,640.88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8,365,088.23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7,872,243.79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实施费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3,517,103.18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3,384,190.50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周转材料摊销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623,614.75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3,286,082.21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6,332,443.74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1,170,554.84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706,590.09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270,004.98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58,133,543.71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45,035,159.71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5、管理费用" w:id="282"/>
      <w:bookmarkEnd w:id="282"/>
      <w:r>
        <w:rPr>
          <w:b w:val="0"/>
          <w:bCs w:val="0"/>
        </w:rPr>
      </w:r>
      <w:r>
        <w:rPr>
          <w:rFonts w:ascii="Times New Roman" w:hAnsi="Times New Roman" w:cs="Times New Roman" w:eastAsia="Times New Roman" w:hint="default"/>
        </w:rPr>
        <w:t>35</w:t>
      </w:r>
      <w:r>
        <w:rPr/>
        <w:t>、管理费用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55,844,836.15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49,251,588.57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6,183,255.07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6,482,004.70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3,950,644.15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4,569,708.89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4,252,158.43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4,855,998.47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10,919,772.12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7,422,533.38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7,434,205.71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11,685,506.56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6,432,030.65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18,725,765.30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1,482,338.64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567,703.40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3,407,219.29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3,481,750.54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1,242,439.36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1,413,518.59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2,785,416.66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2,869,195.13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3,640,668.38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2,694,664.89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107,574,984.61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114,019,938.42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6、研发费用" w:id="283"/>
      <w:bookmarkEnd w:id="283"/>
      <w:r>
        <w:rPr>
          <w:b w:val="0"/>
          <w:bCs w:val="0"/>
        </w:rPr>
      </w:r>
      <w:r>
        <w:rPr>
          <w:rFonts w:ascii="Times New Roman" w:hAnsi="Times New Roman" w:cs="Times New Roman" w:eastAsia="Times New Roman" w:hint="default"/>
        </w:rPr>
        <w:t>36</w:t>
      </w:r>
      <w:r>
        <w:rPr/>
        <w:t>、研发费用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82,857,453.55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63,910,813.29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31,667,323.42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40,314,229.62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963,198.09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1,513,273.45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1,264,436.00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318,462.72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1,127,527.88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7,202,180.93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3,925,523.32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2,313,100.43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766,118.17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6,565,408.73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5,383,345.01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4,246,699.94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4,186,930.39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407,701.72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605,984.22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137,805,965.53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121,734,113.84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7、财务费用" w:id="284"/>
      <w:bookmarkEnd w:id="284"/>
      <w:r>
        <w:rPr>
          <w:b w:val="0"/>
          <w:bCs w:val="0"/>
        </w:rPr>
      </w:r>
      <w:r>
        <w:rPr>
          <w:rFonts w:ascii="Times New Roman" w:hAnsi="Times New Roman" w:cs="Times New Roman" w:eastAsia="Times New Roman" w:hint="default"/>
        </w:rPr>
        <w:t>37</w:t>
      </w:r>
      <w:r>
        <w:rPr/>
        <w:t>、财务费用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25,393,816.52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21,733,678.15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-3,738,250.61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-14,859,663.40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111,044.96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142,992.20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公司债券担保费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2,027,640.00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3,383,727.85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1,454,468.50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25,150,338.72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10,499,115.45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8、资产减值损失" w:id="285"/>
      <w:bookmarkEnd w:id="285"/>
      <w:r>
        <w:rPr>
          <w:b w:val="0"/>
          <w:bCs w:val="0"/>
        </w:rPr>
      </w:r>
      <w:r>
        <w:rPr>
          <w:rFonts w:ascii="Times New Roman" w:hAnsi="Times New Roman" w:cs="Times New Roman" w:eastAsia="Times New Roman" w:hint="default"/>
        </w:rPr>
        <w:t>38</w:t>
      </w:r>
      <w:r>
        <w:rPr/>
        <w:t>、资产减值损失</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31,151,660.87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16,413,487.38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3,769,358.58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43,593,234.04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372,774,641.26</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78,514,253.49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389,188,128.64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9、其他收益" w:id="286"/>
      <w:bookmarkEnd w:id="286"/>
      <w:r>
        <w:rPr>
          <w:b w:val="0"/>
          <w:bCs w:val="0"/>
        </w:rPr>
      </w:r>
      <w:r>
        <w:rPr>
          <w:rFonts w:ascii="Times New Roman" w:hAnsi="Times New Roman" w:cs="Times New Roman" w:eastAsia="Times New Roman" w:hint="default"/>
        </w:rPr>
        <w:t>39</w:t>
      </w:r>
      <w:r>
        <w:rPr/>
        <w:t>、其他收益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软件增值税退税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2,959,500.56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4,114,531.75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附加税免税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1,924.88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政府中介服务支持资金补贴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191,894.86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面向云计算基于虚拟化技术的分布式计 算管理系统平台项目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333,333.33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移动电子商务公共服务平台项目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884,000.00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金融行业海量数据处理北京市工程实验 室</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3,338,000.00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3,338,000.00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移动金融云安全服务项目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1,466,666.67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年北京市科技计划项目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182,300.00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364,600.00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移动支付安全中间件产业</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 </w:t>
            </w:r>
            <w:r>
              <w:rPr>
                <w:rFonts w:ascii="Times New Roman" w:hAnsi="Times New Roman" w:cs="Times New Roman" w:eastAsia="Times New Roman" w:hint="default"/>
                <w:sz w:val="18"/>
                <w:szCs w:val="18"/>
              </w:rPr>
              <w:t>C  </w:t>
            </w:r>
            <w:r>
              <w:rPr>
                <w:rFonts w:ascii="宋体" w:hAnsi="宋体" w:cs="宋体" w:eastAsia="宋体" w:hint="default"/>
                <w:sz w:val="18"/>
                <w:szCs w:val="18"/>
              </w:rPr>
              <w:t>语言的移动应用软件开发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53,333.33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电子发展基金</w:t>
            </w:r>
            <w:r>
              <w:rPr>
                <w:rFonts w:ascii="Times New Roman" w:hAnsi="Times New Roman" w:cs="Times New Roman" w:eastAsia="Times New Roman" w:hint="default"/>
                <w:sz w:val="18"/>
                <w:szCs w:val="18"/>
              </w:rPr>
              <w:t>-</w:t>
            </w:r>
            <w:r>
              <w:rPr>
                <w:rFonts w:ascii="宋体" w:hAnsi="宋体" w:cs="宋体" w:eastAsia="宋体" w:hint="default"/>
                <w:sz w:val="18"/>
                <w:szCs w:val="18"/>
              </w:rPr>
              <w:t>移动支付清算平台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598,320.00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企业技术中心自主创新能力建设项目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年现代服务业试点项目（基金）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851,707.32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851,707.32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年度软件专项资金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海淀区企业专业商用化专项资金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9,667,554.29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12,967,825.73</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0、投资收益" w:id="287"/>
      <w:bookmarkEnd w:id="287"/>
      <w:r>
        <w:rPr>
          <w:b w:val="0"/>
          <w:bCs w:val="0"/>
        </w:rPr>
      </w:r>
      <w:r>
        <w:rPr>
          <w:rFonts w:ascii="Times New Roman" w:hAnsi="Times New Roman" w:cs="Times New Roman" w:eastAsia="Times New Roman" w:hint="default"/>
        </w:rPr>
        <w:t>40</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11,618,562.08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8,645,464.58</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1,077,223.61</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-28,034.11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2,722,178.72</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52,515,836.43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43,336,739.12</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信托产品收益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45,564,598.77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16,273,141.56</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2,250,179.50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109,670,963.17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74,304,927.09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1、资产处置收益" w:id="288"/>
      <w:bookmarkEnd w:id="288"/>
      <w:r>
        <w:rPr>
          <w:b w:val="0"/>
          <w:bCs w:val="0"/>
        </w:rPr>
      </w:r>
      <w:r>
        <w:rPr>
          <w:rFonts w:ascii="Times New Roman" w:hAnsi="Times New Roman" w:cs="Times New Roman" w:eastAsia="Times New Roman" w:hint="default"/>
        </w:rPr>
        <w:t>41</w:t>
      </w:r>
      <w:r>
        <w:rPr/>
        <w:t>、资产处置收益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-1,071,335.81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-340,290.42</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-1,071,335.81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-340,290.42</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2、营业外收入" w:id="289"/>
      <w:bookmarkEnd w:id="289"/>
      <w:r>
        <w:rPr>
          <w:b w:val="0"/>
          <w:bCs w:val="0"/>
        </w:rPr>
      </w:r>
      <w:r>
        <w:rPr>
          <w:rFonts w:ascii="Times New Roman" w:hAnsi="Times New Roman" w:cs="Times New Roman" w:eastAsia="Times New Roman" w:hint="default"/>
        </w:rPr>
        <w:t>42</w:t>
      </w:r>
      <w:r>
        <w:rPr/>
        <w:t>、营业外收入</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201,577.45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3,668,758.95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350,170.21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3,668,758.95</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3,668,758.95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551,747.66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3,668,758.95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31"/>
              <w:jc w:val="both"/>
              <w:rPr>
                <w:rFonts w:ascii="宋体" w:hAnsi="宋体" w:cs="宋体" w:eastAsia="宋体" w:hint="default"/>
                <w:sz w:val="18"/>
                <w:szCs w:val="18"/>
              </w:rPr>
            </w:pPr>
            <w:r>
              <w:rPr>
                <w:rFonts w:ascii="宋体" w:hAnsi="宋体" w:cs="宋体" w:eastAsia="宋体" w:hint="default"/>
                <w:sz w:val="18"/>
                <w:szCs w:val="18"/>
              </w:rPr>
              <w:t>政府中介服 务支持资金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中关村企业 信用促进会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201,577.45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3、营业外支出" w:id="290"/>
      <w:bookmarkEnd w:id="290"/>
      <w:r>
        <w:rPr>
          <w:b w:val="0"/>
          <w:bCs w:val="0"/>
        </w:rPr>
      </w:r>
      <w:r>
        <w:rPr>
          <w:rFonts w:ascii="Times New Roman" w:hAnsi="Times New Roman" w:cs="Times New Roman" w:eastAsia="Times New Roman" w:hint="default"/>
        </w:rPr>
        <w:t>43</w:t>
      </w:r>
      <w:r>
        <w:rPr/>
        <w:t>、营业外支出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9,725,936.93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14,798.79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9,725,936.93</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10,725,936.93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114,798.79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10,725,936.93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4、所得税费用" w:id="291"/>
      <w:bookmarkEnd w:id="291"/>
      <w:r>
        <w:rPr>
          <w:b w:val="0"/>
          <w:bCs w:val="0"/>
        </w:rPr>
      </w:r>
      <w:r>
        <w:rPr>
          <w:rFonts w:ascii="Times New Roman" w:hAnsi="Times New Roman" w:cs="Times New Roman" w:eastAsia="Times New Roman" w:hint="default"/>
        </w:rPr>
        <w:t>44</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292"/>
      <w:bookmarkEnd w:id="292"/>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4,816,142.39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14,145,028.96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-1,813,418.80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-1,178,656.26</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3,002,723.59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12,966,372.70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293"/>
      <w:bookmarkEnd w:id="293"/>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-9,947,342.00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-1,492,101.30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-6,847,452.63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-1,782,920.36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-2,279,612.28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4,433,777.36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-526,117.06</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11,497,149.86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3,002,723.59</w:t>
            </w:r>
          </w:p>
        </w:tc>
      </w:tr>
    </w:tbl>
    <w:p>
      <w:pPr>
        <w:spacing w:line="240" w:lineRule="auto" w:before="2"/>
        <w:rPr>
          <w:rFonts w:ascii="宋体" w:hAnsi="宋体" w:cs="宋体" w:eastAsia="宋体" w:hint="default"/>
          <w:sz w:val="19"/>
          <w:szCs w:val="19"/>
        </w:rPr>
      </w:pPr>
    </w:p>
    <w:p>
      <w:pPr>
        <w:spacing w:line="518" w:lineRule="auto" w:before="35"/>
        <w:ind w:left="154" w:right="8704" w:firstLine="0"/>
        <w:jc w:val="left"/>
        <w:rPr>
          <w:rFonts w:ascii="宋体" w:hAnsi="宋体" w:cs="宋体" w:eastAsia="宋体" w:hint="default"/>
          <w:sz w:val="21"/>
          <w:szCs w:val="21"/>
        </w:rPr>
      </w:pPr>
      <w:bookmarkStart w:name="45、其他综合收益" w:id="294"/>
      <w:bookmarkEnd w:id="294"/>
      <w:r>
        <w:rPr/>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20"/>
          <w:szCs w:val="20"/>
        </w:rPr>
        <w:t>详见附注详见附注</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29</w:t>
      </w:r>
      <w:r>
        <w:rPr>
          <w:rFonts w:ascii="宋体" w:hAnsi="宋体" w:cs="宋体" w:eastAsia="宋体" w:hint="default"/>
          <w:sz w:val="20"/>
          <w:szCs w:val="20"/>
        </w:rPr>
        <w:t>。</w:t>
      </w:r>
      <w:r>
        <w:rPr>
          <w:rFonts w:ascii="宋体" w:hAnsi="宋体" w:cs="宋体" w:eastAsia="宋体" w:hint="default"/>
          <w:w w:val="100"/>
          <w:sz w:val="20"/>
          <w:szCs w:val="20"/>
        </w:rPr>
        <w:t> </w:t>
      </w:r>
      <w:bookmarkStart w:name="46、现金流量表项目" w:id="295"/>
      <w:bookmarkEnd w:id="295"/>
      <w:r>
        <w:rPr>
          <w:rFonts w:ascii="宋体" w:hAnsi="宋体" w:cs="宋体" w:eastAsia="宋体" w:hint="default"/>
          <w:w w:val="100"/>
          <w:sz w:val="20"/>
          <w:szCs w:val="20"/>
        </w:rPr>
      </w: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52"/>
        <w:ind w:right="0"/>
        <w:jc w:val="left"/>
        <w:rPr>
          <w:b w:val="0"/>
          <w:bCs w:val="0"/>
        </w:rPr>
      </w:pPr>
      <w:bookmarkStart w:name="（1）收到的其他与经营活动有关的现金" w:id="296"/>
      <w:bookmarkEnd w:id="296"/>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政府及其他奖励资金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817,594.86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701,577.45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249,780,247.01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255,677,230.01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2,380,886.44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3,692,492.69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3,646,460.71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13,810,295.91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3,503,418.39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1,202,621.27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260,128,607.41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275,084,217.33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支付的其他与经营活动有关的现金" w:id="297"/>
      <w:bookmarkEnd w:id="297"/>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291,997,120.42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208,432,047.33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51,082,508.58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20,159,658.21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4,494,599.60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6,447,730.68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15,354,612.80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15,005,835.40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21,016,194.49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14,566,654.58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13,689,939.91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11,633,175.96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5,484,239.87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1,605,980.93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其他付现费用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34,352,375.62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29,506,038.66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437,471,591.29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307,357,121.75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收到的其他与投资活动有关的现金" w:id="298"/>
      <w:bookmarkEnd w:id="298"/>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取得子公司控制权支付价款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41,405,771.20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41,405,771.20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支付的其他与投资活动有关的现金" w:id="299"/>
      <w:bookmarkEnd w:id="299"/>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信托产品保障基金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11,231,600.00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11,231,600.00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5）收到的其他与筹资活动有关的现金" w:id="300"/>
      <w:bookmarkEnd w:id="300"/>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募集资金利息收入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91,789.90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367,043.86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收到融资租赁借款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收到融资租赁补贴款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4,678,400.00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4,770,189.90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160,367,043.86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支付的其他与筹资活动有关的现金" w:id="301"/>
      <w:bookmarkEnd w:id="301"/>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债券相关费用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11,810.73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2,067,695.24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长期应付款相关支出</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10,189,980.00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购买少数股权</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11,810.73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12,757,675.24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r>
        <w:rPr/>
        <w:pict>
          <v:group style="position:absolute;margin-left:223.339996pt;margin-top:383.089996pt;width:151.25pt;height:20.7pt;mso-position-horizontal-relative:page;mso-position-vertical-relative:page;z-index:-1039192" coordorigin="4467,7662" coordsize="3025,414">
            <v:group style="position:absolute;left:4478;top:7673;width:2;height:392" coordorigin="4478,7673" coordsize="2,392">
              <v:shape style="position:absolute;left:4478;top:7673;width:2;height:392" coordorigin="4478,7673" coordsize="0,392" path="m4478,7673l4478,8064e" filled="false" stroked="true" strokeweight="1.140pt" strokecolor="#ffffff">
                <v:path arrowok="t"/>
              </v:shape>
            </v:group>
            <v:group style="position:absolute;left:4490;top:7673;width:3002;height:392" coordorigin="4490,7673" coordsize="3002,392">
              <v:shape style="position:absolute;left:4490;top:7673;width:3002;height:392" coordorigin="4490,7673" coordsize="3002,392" path="m4490,8064l7491,8064,7491,7673,4490,7673,4490,8064xe" filled="true" fillcolor="#ffffff" stroked="false">
                <v:path arrowok="t"/>
                <v:fill type="solid"/>
              </v:shape>
            </v:group>
            <w10:wrap type="none"/>
          </v:group>
        </w:pict>
      </w:r>
    </w:p>
    <w:p>
      <w:pPr>
        <w:pStyle w:val="Heading3"/>
        <w:spacing w:line="240" w:lineRule="auto" w:before="35"/>
        <w:ind w:right="0"/>
        <w:jc w:val="left"/>
        <w:rPr>
          <w:b w:val="0"/>
          <w:bCs w:val="0"/>
        </w:rPr>
      </w:pPr>
      <w:bookmarkStart w:name="47、现金流量表补充资料" w:id="302"/>
      <w:bookmarkEnd w:id="302"/>
      <w:r>
        <w:rPr>
          <w:b w:val="0"/>
          <w:bCs w:val="0"/>
        </w:rPr>
      </w:r>
      <w:r>
        <w:rPr>
          <w:rFonts w:ascii="Times New Roman" w:hAnsi="Times New Roman" w:cs="Times New Roman" w:eastAsia="Times New Roman" w:hint="default"/>
        </w:rPr>
        <w:t>47</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03"/>
      <w:bookmarkEnd w:id="303"/>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055"/>
        <w:gridCol w:w="2014"/>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29" w:right="0"/>
              <w:jc w:val="left"/>
              <w:rPr>
                <w:rFonts w:ascii="Times New Roman" w:hAnsi="Times New Roman" w:cs="Times New Roman" w:eastAsia="Times New Roman" w:hint="default"/>
                <w:sz w:val="18"/>
                <w:szCs w:val="18"/>
              </w:rPr>
            </w:pPr>
            <w:r>
              <w:rPr>
                <w:rFonts w:ascii="Times New Roman"/>
                <w:sz w:val="18"/>
              </w:rPr>
              <w:t>-12,950,065.59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-258,101,012.93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78,514,253.49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389,188,128.64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10,055,575.85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16,821,829.86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37,850,578.49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46,868,561.36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1,176,858.89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2,556,888.43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1,071,335.81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340,290.42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27,801,322.30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23,937,161.40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39" w:right="0"/>
              <w:jc w:val="left"/>
              <w:rPr>
                <w:rFonts w:ascii="Times New Roman" w:hAnsi="Times New Roman" w:cs="Times New Roman" w:eastAsia="Times New Roman" w:hint="default"/>
                <w:sz w:val="18"/>
                <w:szCs w:val="18"/>
              </w:rPr>
            </w:pPr>
            <w:r>
              <w:rPr>
                <w:rFonts w:ascii="Times New Roman"/>
                <w:sz w:val="18"/>
              </w:rPr>
              <w:t>-109,590,145.25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-73,302,618.59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981" w:right="0"/>
              <w:jc w:val="left"/>
              <w:rPr>
                <w:rFonts w:ascii="Times New Roman" w:hAnsi="Times New Roman" w:cs="Times New Roman" w:eastAsia="Times New Roman" w:hint="default"/>
                <w:sz w:val="18"/>
                <w:szCs w:val="18"/>
              </w:rPr>
            </w:pPr>
            <w:r>
              <w:rPr>
                <w:rFonts w:ascii="Times New Roman"/>
                <w:sz w:val="18"/>
              </w:rPr>
              <w:t>-1,813,418.80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-1,178,656.26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29" w:right="0"/>
              <w:jc w:val="left"/>
              <w:rPr>
                <w:rFonts w:ascii="Times New Roman" w:hAnsi="Times New Roman" w:cs="Times New Roman" w:eastAsia="Times New Roman" w:hint="default"/>
                <w:sz w:val="18"/>
                <w:szCs w:val="18"/>
              </w:rPr>
            </w:pPr>
            <w:r>
              <w:rPr>
                <w:rFonts w:ascii="Times New Roman"/>
                <w:sz w:val="18"/>
              </w:rPr>
              <w:t>-36,136,647.64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-174,445,662.40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-93,299,488.87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-52,329,316.44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69,068,232.62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188,072,597.11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29" w:right="0"/>
              <w:jc w:val="left"/>
              <w:rPr>
                <w:rFonts w:ascii="Times New Roman" w:hAnsi="Times New Roman" w:cs="Times New Roman" w:eastAsia="Times New Roman" w:hint="default"/>
                <w:sz w:val="18"/>
                <w:szCs w:val="18"/>
              </w:rPr>
            </w:pPr>
            <w:r>
              <w:rPr>
                <w:rFonts w:ascii="Times New Roman"/>
                <w:sz w:val="18"/>
              </w:rPr>
              <w:t>-28,251,608.70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108,428,190.60</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2"/>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328,634,428.60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546,659,633.63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546,659,633.63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722,957,530.04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39" w:right="0"/>
              <w:jc w:val="left"/>
              <w:rPr>
                <w:rFonts w:ascii="Times New Roman" w:hAnsi="Times New Roman" w:cs="Times New Roman" w:eastAsia="Times New Roman" w:hint="default"/>
                <w:sz w:val="18"/>
                <w:szCs w:val="18"/>
              </w:rPr>
            </w:pPr>
            <w:r>
              <w:rPr>
                <w:rFonts w:ascii="Times New Roman"/>
                <w:sz w:val="18"/>
              </w:rPr>
              <w:t>-218,025,205.03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-176,297,896.41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现金和现金等价物的构成" w:id="304"/>
      <w:bookmarkEnd w:id="304"/>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328,634,428.60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546,659,633.63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161,140.39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182,243.35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328,306,493.38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546,342,108.19</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166,794.83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135,282.09</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328,634,428.60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546,659,633.63</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8、所有权或使用权受到限制的资产" w:id="305"/>
      <w:bookmarkEnd w:id="305"/>
      <w:r>
        <w:rPr>
          <w:b w:val="0"/>
          <w:bCs w:val="0"/>
        </w:rPr>
      </w:r>
      <w:r>
        <w:rPr>
          <w:rFonts w:ascii="Times New Roman" w:hAnsi="Times New Roman" w:cs="Times New Roman" w:eastAsia="Times New Roman" w:hint="default"/>
        </w:rPr>
        <w:t>48</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61,016,583.62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保证金、代管资金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61,016,583.62</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9、外币货币性项目" w:id="306"/>
      <w:bookmarkEnd w:id="306"/>
      <w:r>
        <w:rPr>
          <w:b w:val="0"/>
          <w:bCs w:val="0"/>
        </w:rPr>
      </w:r>
      <w:r>
        <w:rPr>
          <w:rFonts w:ascii="Times New Roman" w:hAnsi="Times New Roman" w:cs="Times New Roman" w:eastAsia="Times New Roman" w:hint="default"/>
        </w:rPr>
        <w:t>49</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307"/>
      <w:bookmarkEnd w:id="307"/>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60,990.44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5,612.45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38,519.37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25,646.14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22,471.07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59" w:lineRule="auto" w:before="35"/>
        <w:ind w:right="0"/>
        <w:jc w:val="left"/>
        <w:rPr>
          <w:b w:val="0"/>
          <w:bCs w:val="0"/>
        </w:rPr>
      </w:pPr>
      <w:bookmarkStart w:name="（2）境外经营实体说明，包括对于重要的境外经营实体，应披露其境外主要经营地、记账" w:id="308"/>
      <w:bookmarkEnd w:id="308"/>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4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05" w:lineRule="auto"/>
        <w:ind w:right="1118" w:firstLine="399"/>
        <w:jc w:val="left"/>
      </w:pPr>
      <w:r>
        <w:rPr>
          <w:spacing w:val="-1"/>
        </w:rPr>
        <w:t>香港中科金财科技有限公司系公司子公司，注册资本</w:t>
      </w:r>
      <w:r>
        <w:rPr>
          <w:rFonts w:ascii="Times New Roman" w:hAnsi="Times New Roman" w:cs="Times New Roman" w:eastAsia="Times New Roman" w:hint="default"/>
          <w:spacing w:val="-1"/>
        </w:rPr>
        <w:t>1000</w:t>
      </w:r>
      <w:r>
        <w:rPr>
          <w:spacing w:val="-1"/>
        </w:rPr>
        <w:t>万港币，境外主要经营地为中国香港，记账本位</w:t>
      </w:r>
      <w:r>
        <w:rPr>
          <w:w w:val="100"/>
        </w:rPr>
        <w:t> </w:t>
      </w:r>
      <w:r>
        <w:rPr/>
        <w:t>币美元。</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bookmarkStart w:name="50、政府补助" w:id="309"/>
      <w:bookmarkEnd w:id="309"/>
      <w:r>
        <w:rPr>
          <w:b w:val="0"/>
          <w:bCs w:val="0"/>
        </w:rPr>
      </w:r>
      <w:r>
        <w:rPr>
          <w:rFonts w:ascii="Times New Roman" w:hAnsi="Times New Roman" w:cs="Times New Roman" w:eastAsia="Times New Roman" w:hint="default"/>
        </w:rPr>
        <w:t>50</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政府补助基本情况" w:id="310"/>
      <w:bookmarkEnd w:id="310"/>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2,959,500.56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2,959,500.56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附加税免税</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1,924.88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1,924.88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政府中介服务支持资金补贴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25,700.00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25,700.00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191,894.86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191,894.86</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海淀区企业专业商用化专项 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文化创意产业发展专项资金 项目贷款贴息</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4,678,400.00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4,678,400.00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8,457,420.30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8,457,420.30</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八、合并范围的变更" w:id="311"/>
      <w:bookmarkEnd w:id="311"/>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处置子公司" w:id="312"/>
      <w:bookmarkEnd w:id="312"/>
      <w:r>
        <w:rPr>
          <w:b w:val="0"/>
          <w:bCs w:val="0"/>
        </w:rPr>
      </w:r>
      <w:r>
        <w:rPr>
          <w:rFonts w:ascii="Times New Roman" w:hAnsi="Times New Roman" w:cs="Times New Roman" w:eastAsia="Times New Roman" w:hint="default"/>
        </w:rPr>
        <w:t>1</w:t>
      </w:r>
      <w:r>
        <w:rPr/>
        <w:t>、处置子公司</w:t>
      </w:r>
      <w:r>
        <w:rPr>
          <w:b w:val="0"/>
          <w:bCs w:val="0"/>
        </w:rPr>
      </w:r>
    </w:p>
    <w:p>
      <w:pPr>
        <w:spacing w:line="240" w:lineRule="auto" w:before="5"/>
        <w:rPr>
          <w:rFonts w:ascii="宋体" w:hAnsi="宋体" w:cs="宋体" w:eastAsia="宋体" w:hint="default"/>
          <w:b/>
          <w:bCs/>
          <w:sz w:val="25"/>
          <w:szCs w:val="25"/>
        </w:rPr>
      </w:pPr>
    </w:p>
    <w:p>
      <w:pPr>
        <w:pStyle w:val="BodyText"/>
        <w:spacing w:line="240" w:lineRule="auto"/>
        <w:ind w:right="0"/>
        <w:jc w:val="left"/>
      </w:pPr>
      <w:r>
        <w:rPr/>
        <w:t>是否存在单次处置对子公司投资即丧失控制权的情形</w:t>
      </w:r>
    </w:p>
    <w:p>
      <w:pPr>
        <w:pStyle w:val="BodyText"/>
        <w:spacing w:line="304" w:lineRule="auto" w:before="90"/>
        <w:ind w:right="354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否</w:t>
      </w:r>
      <w:r>
        <w:rPr>
          <w:w w:val="100"/>
        </w:rPr>
        <w:t> </w:t>
      </w:r>
      <w:r>
        <w:rPr>
          <w:spacing w:val="-1"/>
        </w:rPr>
        <w:t>是否存在通过多次交易分步处置对子公司投资且在本期丧失控制权的情形</w:t>
      </w:r>
    </w:p>
    <w:p>
      <w:pPr>
        <w:pStyle w:val="BodyText"/>
        <w:spacing w:line="240" w:lineRule="auto" w:before="3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p>
    <w:p>
      <w:pPr>
        <w:spacing w:line="240" w:lineRule="auto" w:before="11"/>
        <w:rPr>
          <w:rFonts w:ascii="宋体" w:hAnsi="宋体" w:cs="宋体" w:eastAsia="宋体" w:hint="default"/>
          <w:sz w:val="24"/>
          <w:szCs w:val="24"/>
        </w:rPr>
      </w:pPr>
    </w:p>
    <w:p>
      <w:pPr>
        <w:pStyle w:val="Heading3"/>
        <w:spacing w:line="240" w:lineRule="auto"/>
        <w:ind w:right="0"/>
        <w:jc w:val="left"/>
        <w:rPr>
          <w:b w:val="0"/>
          <w:bCs w:val="0"/>
        </w:rPr>
      </w:pPr>
      <w:bookmarkStart w:name="2、其他原因的合并范围变动" w:id="313"/>
      <w:bookmarkEnd w:id="313"/>
      <w:r>
        <w:rPr>
          <w:b w:val="0"/>
          <w:bCs w:val="0"/>
        </w:rPr>
      </w:r>
      <w:r>
        <w:rPr>
          <w:rFonts w:ascii="Times New Roman" w:hAnsi="Times New Roman" w:cs="Times New Roman" w:eastAsia="Times New Roman" w:hint="default"/>
        </w:rPr>
        <w:t>2</w:t>
      </w:r>
      <w:r>
        <w:rPr/>
        <w:t>、其他原因的合并范围变动</w:t>
      </w:r>
      <w:r>
        <w:rPr>
          <w:b w:val="0"/>
          <w:bCs w:val="0"/>
        </w:rPr>
      </w:r>
    </w:p>
    <w:p>
      <w:pPr>
        <w:spacing w:line="240" w:lineRule="auto" w:before="4"/>
        <w:rPr>
          <w:rFonts w:ascii="宋体" w:hAnsi="宋体" w:cs="宋体" w:eastAsia="宋体" w:hint="default"/>
          <w:b/>
          <w:bCs/>
          <w:sz w:val="31"/>
          <w:szCs w:val="31"/>
        </w:rPr>
      </w:pPr>
    </w:p>
    <w:p>
      <w:pPr>
        <w:pStyle w:val="BodyText"/>
        <w:spacing w:line="429" w:lineRule="auto"/>
        <w:ind w:left="553" w:right="0" w:hanging="400"/>
        <w:jc w:val="left"/>
      </w:pPr>
      <w:r>
        <w:rPr/>
        <w:t>说明其他原因导致的合并范围变动（如，新设子公司、清算子公司等）及其相关情况：</w:t>
      </w:r>
      <w:r>
        <w:rPr>
          <w:w w:val="100"/>
        </w:rPr>
        <w:t> </w:t>
      </w:r>
      <w:r>
        <w:rPr>
          <w:spacing w:val="-2"/>
        </w:rPr>
        <w:t>本年与上年比较减少合并单位</w:t>
      </w:r>
      <w:r>
        <w:rPr>
          <w:rFonts w:ascii="Times New Roman" w:hAnsi="Times New Roman" w:cs="Times New Roman" w:eastAsia="Times New Roman" w:hint="default"/>
          <w:spacing w:val="-2"/>
        </w:rPr>
        <w:t>2</w:t>
      </w:r>
      <w:r>
        <w:rPr>
          <w:spacing w:val="-2"/>
        </w:rPr>
        <w:t>家，报告期内注销了北京中科金财互联网服务有限公司、天津滨河创新电子</w:t>
      </w:r>
    </w:p>
    <w:p>
      <w:pPr>
        <w:pStyle w:val="BodyText"/>
        <w:spacing w:line="240" w:lineRule="auto" w:before="16"/>
        <w:ind w:right="0"/>
        <w:jc w:val="left"/>
      </w:pPr>
      <w:r>
        <w:rPr/>
        <w:t>科技有限公司。</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r>
        <w:rPr/>
        <w:pict>
          <v:shape style="position:absolute;margin-left:324.399994pt;margin-top:343.039978pt;width:74.05pt;height:31.2pt;mso-position-horizontal-relative:page;mso-position-vertical-relative:page;z-index:-1039096" type="#_x0000_t202" filled="false" stroked="false">
            <v:textbox inset="0,0,0,0">
              <w:txbxContent>
                <w:p>
                  <w:pPr>
                    <w:spacing w:line="240" w:lineRule="auto" w:before="0"/>
                    <w:rPr>
                      <w:rFonts w:ascii="宋体" w:hAnsi="宋体" w:cs="宋体" w:eastAsia="宋体" w:hint="default"/>
                      <w:b/>
                      <w:bCs/>
                      <w:sz w:val="18"/>
                      <w:szCs w:val="18"/>
                    </w:rPr>
                  </w:pPr>
                </w:p>
                <w:p>
                  <w:pPr>
                    <w:spacing w:before="126"/>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24.399994pt;margin-top:393.799988pt;width:74.05pt;height:31.25pt;mso-position-horizontal-relative:page;mso-position-vertical-relative:page;z-index:-1039072" type="#_x0000_t202" filled="false" stroked="false">
            <v:textbox inset="0,0,0,0">
              <w:txbxContent>
                <w:p>
                  <w:pPr>
                    <w:spacing w:line="207"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92.343002pt;margin-top:548.26001pt;width:101.1pt;height:15.6pt;mso-position-horizontal-relative:page;mso-position-vertical-relative:page;z-index:-1039048"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（上海）</w:t>
                  </w:r>
                </w:p>
              </w:txbxContent>
            </v:textbox>
            <w10:wrap type="none"/>
          </v:shape>
        </w:pict>
      </w:r>
      <w:r>
        <w:rPr/>
        <w:pict>
          <v:group style="position:absolute;margin-left:330.579987pt;margin-top:496.959991pt;width:67.9pt;height:35.75pt;mso-position-horizontal-relative:page;mso-position-vertical-relative:page;z-index:-1039024" coordorigin="6612,9939" coordsize="1358,715">
            <v:group style="position:absolute;left:6612;top:9939;width:1358;height:312" coordorigin="6612,9939" coordsize="1358,312">
              <v:shape style="position:absolute;left:6612;top:9939;width:1358;height:312" coordorigin="6612,9939" coordsize="1358,312" path="m6612,10251l7969,10251,7969,9939,6612,9939,6612,10251xe" filled="true" fillcolor="#ffffff" stroked="false">
                <v:path arrowok="t"/>
                <v:fill type="solid"/>
              </v:shape>
            </v:group>
            <v:group style="position:absolute;left:6623;top:10251;width:2;height:392" coordorigin="6623,10251" coordsize="2,392">
              <v:shape style="position:absolute;left:6623;top:10251;width:2;height:392" coordorigin="6623,10251" coordsize="0,392" path="m6623,10251l6623,10642e" filled="false" stroked="true" strokeweight="1.140pt" strokecolor="#ffffff">
                <v:path arrowok="t"/>
              </v:shape>
            </v:group>
            <v:group style="position:absolute;left:6634;top:10251;width:1312;height:392" coordorigin="6634,10251" coordsize="1312,392">
              <v:shape style="position:absolute;left:6634;top:10251;width:1312;height:392" coordorigin="6634,10251" coordsize="1312,392" path="m6634,10642l7946,10642,7946,10251,6634,10251,6634,10642xe" filled="true" fillcolor="#ffffff" stroked="false">
                <v:path arrowok="t"/>
                <v:fill type="solid"/>
              </v:shape>
            </v:group>
            <w10:wrap type="none"/>
          </v:group>
        </w:pict>
      </w:r>
    </w:p>
    <w:p>
      <w:pPr>
        <w:pStyle w:val="Heading2"/>
        <w:spacing w:line="240" w:lineRule="auto" w:before="26"/>
        <w:ind w:right="0"/>
        <w:jc w:val="left"/>
        <w:rPr>
          <w:b w:val="0"/>
          <w:bCs w:val="0"/>
        </w:rPr>
      </w:pPr>
      <w:bookmarkStart w:name="九、在其他主体中的权益" w:id="314"/>
      <w:bookmarkEnd w:id="314"/>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在子公司中的权益" w:id="315"/>
      <w:bookmarkEnd w:id="315"/>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企业集团的构成" w:id="316"/>
      <w:bookmarkEnd w:id="316"/>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天津中科金财科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技术开发服务、 电子产品销售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北京中科金财电 子商务有限公司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移动支付、移动 电子商务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非同一控制合并</w:t>
            </w: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技术开发及服</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77"/>
              <w:jc w:val="left"/>
              <w:rPr>
                <w:rFonts w:ascii="宋体" w:hAnsi="宋体" w:cs="宋体" w:eastAsia="宋体" w:hint="default"/>
                <w:sz w:val="18"/>
                <w:szCs w:val="18"/>
              </w:rPr>
            </w:pPr>
            <w:r>
              <w:rPr>
                <w:rFonts w:ascii="宋体" w:hAnsi="宋体" w:cs="宋体" w:eastAsia="宋体" w:hint="default"/>
                <w:sz w:val="18"/>
                <w:szCs w:val="18"/>
              </w:rPr>
              <w:t>北京中科金财软 件技术有限公司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务，计算机软、 硬件及电子产品</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5"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投资管理；资产</w:t>
            </w:r>
          </w:p>
        </w:tc>
        <w:tc>
          <w:tcPr>
            <w:tcW w:w="1367" w:type="dxa"/>
            <w:vMerge w:val="restart"/>
            <w:tcBorders>
              <w:top w:val="single" w:sz="4" w:space="0" w:color="000000"/>
              <w:left w:val="single" w:sz="4" w:space="0" w:color="000000"/>
              <w:right w:val="single" w:sz="4" w:space="0" w:color="000000"/>
            </w:tcBorders>
          </w:tcPr>
          <w:p>
            <w:pPr>
              <w:pStyle w:val="TableParagraph"/>
              <w:spacing w:line="624" w:lineRule="exact"/>
              <w:ind w:right="-51"/>
              <w:jc w:val="left"/>
              <w:rPr>
                <w:rFonts w:ascii="宋体" w:hAnsi="宋体" w:cs="宋体" w:eastAsia="宋体" w:hint="default"/>
                <w:sz w:val="20"/>
                <w:szCs w:val="20"/>
              </w:rPr>
            </w:pPr>
            <w:r>
              <w:rPr>
                <w:rFonts w:ascii="宋体" w:hAnsi="宋体" w:cs="宋体" w:eastAsia="宋体" w:hint="default"/>
                <w:position w:val="-11"/>
                <w:sz w:val="20"/>
                <w:szCs w:val="20"/>
              </w:rPr>
              <w:pict>
                <v:group style="width:67.9pt;height:31.2pt;mso-position-horizontal-relative:char;mso-position-vertical-relative:line" coordorigin="0,0" coordsize="1358,624">
                  <v:group style="position:absolute;left:0;top:0;width:1358;height:624" coordorigin="0,0" coordsize="1358,624">
                    <v:shape style="position:absolute;left:0;top:0;width:1358;height:624" coordorigin="0,0" coordsize="1358,624" path="m0,624l1357,624,1357,0,0,0,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before="12"/>
              <w:ind w:right="0"/>
              <w:jc w:val="left"/>
              <w:rPr>
                <w:rFonts w:ascii="宋体" w:hAnsi="宋体" w:cs="宋体" w:eastAsia="宋体" w:hint="default"/>
                <w:b/>
                <w:bCs/>
                <w:sz w:val="29"/>
                <w:szCs w:val="29"/>
              </w:rPr>
            </w:pPr>
          </w:p>
          <w:p>
            <w:pPr>
              <w:pStyle w:val="TableParagraph"/>
              <w:spacing w:line="624" w:lineRule="exact"/>
              <w:ind w:right="-51"/>
              <w:jc w:val="left"/>
              <w:rPr>
                <w:rFonts w:ascii="宋体" w:hAnsi="宋体" w:cs="宋体" w:eastAsia="宋体" w:hint="default"/>
                <w:sz w:val="20"/>
                <w:szCs w:val="20"/>
              </w:rPr>
            </w:pPr>
            <w:r>
              <w:rPr>
                <w:rFonts w:ascii="宋体" w:hAnsi="宋体" w:cs="宋体" w:eastAsia="宋体" w:hint="default"/>
                <w:position w:val="-11"/>
                <w:sz w:val="20"/>
                <w:szCs w:val="20"/>
              </w:rPr>
              <w:pict>
                <v:group style="width:67.9pt;height:31.25pt;mso-position-horizontal-relative:char;mso-position-vertical-relative:line" coordorigin="0,0" coordsize="1358,625">
                  <v:group style="position:absolute;left:0;top:0;width:1358;height:625" coordorigin="0,0" coordsize="1358,625">
                    <v:shape style="position:absolute;left:0;top:0;width:1358;height:625" coordorigin="0,0" coordsize="1358,625" path="m0,624l1357,624,1357,0,0,0,0,624xe" filled="true" fillcolor="#ffffff" stroked="false">
                      <v:path arrowok="t"/>
                      <v:fill type="solid"/>
                    </v:shape>
                  </v:group>
                </v:group>
              </w:pict>
            </w:r>
            <w:r>
              <w:rPr>
                <w:rFonts w:ascii="宋体" w:hAnsi="宋体" w:cs="宋体" w:eastAsia="宋体" w:hint="default"/>
                <w:position w:val="-11"/>
                <w:sz w:val="20"/>
                <w:szCs w:val="20"/>
              </w:rPr>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北京中科金财投 资管理有限公司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both"/>
              <w:rPr>
                <w:rFonts w:ascii="宋体" w:hAnsi="宋体" w:cs="宋体" w:eastAsia="宋体" w:hint="default"/>
                <w:sz w:val="18"/>
                <w:szCs w:val="18"/>
              </w:rPr>
            </w:pPr>
            <w:r>
              <w:rPr>
                <w:rFonts w:ascii="宋体" w:hAnsi="宋体" w:cs="宋体" w:eastAsia="宋体" w:hint="default"/>
                <w:spacing w:val="-6"/>
                <w:sz w:val="18"/>
                <w:szCs w:val="18"/>
              </w:rPr>
              <w:t>管理；项目投资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技术转让、技术 </w:t>
            </w:r>
            <w:r>
              <w:rPr>
                <w:rFonts w:ascii="宋体" w:hAnsi="宋体" w:cs="宋体" w:eastAsia="宋体" w:hint="default"/>
                <w:spacing w:val="-6"/>
                <w:sz w:val="18"/>
                <w:szCs w:val="18"/>
              </w:rPr>
              <w:t>服务、技术咨询</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6"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计算机技术培训</w:t>
            </w: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天津壬辰软件开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技术开发服务、 电子产品销售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大连鼎运企业管 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企业管理及咨询 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上海中科金财资 产管理中心（有 限合伙）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pacing w:val="-6"/>
                <w:sz w:val="18"/>
                <w:szCs w:val="18"/>
              </w:rPr>
              <w:t>资产管理、投资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咨询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子公司设立</w:t>
            </w: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中科金财</w:t>
            </w: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67.9pt;height:15.6pt;mso-position-horizontal-relative:char;mso-position-vertical-relative:line" coordorigin="0,0" coordsize="1358,312">
                  <v:group style="position:absolute;left:0;top:0;width:1358;height:312" coordorigin="0,0" coordsize="1358,312">
                    <v:shape style="position:absolute;left:0;top:0;width:1358;height:312" coordorigin="0,0" coordsize="1358,312" path="m0,312l1357,312,1357,0,0,0,0,312xe" filled="true" fillcolor="#ffffff" stroked="false">
                      <v:path arrowok="t"/>
                      <v:fill type="solid"/>
                    </v:shape>
                  </v:group>
                </v:group>
              </w:pict>
            </w:r>
            <w:r>
              <w:rPr>
                <w:rFonts w:ascii="宋体" w:hAnsi="宋体" w:cs="宋体" w:eastAsia="宋体" w:hint="default"/>
                <w:position w:val="-5"/>
                <w:sz w:val="20"/>
                <w:szCs w:val="20"/>
              </w:rPr>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金融信息服务、</w:t>
            </w: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互联网金融信息</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金融类应用软件</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1" w:hRule="exact"/>
        </w:trPr>
        <w:tc>
          <w:tcPr>
            <w:tcW w:w="13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服务有限公司</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开发等</w:t>
            </w: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北京国信金泽投</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资中心（有限合</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资产管理</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64.35%</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1.00%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1" w:hRule="exact"/>
        </w:trPr>
        <w:tc>
          <w:tcPr>
            <w:tcW w:w="13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伙）</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大连金融资产交 易所有限公司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各类金融资产交 易及相关服务等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华缔资产管理</w:t>
            </w:r>
          </w:p>
          <w:p>
            <w:pPr>
              <w:pStyle w:val="TableParagraph"/>
              <w:spacing w:line="319" w:lineRule="auto" w:before="77"/>
              <w:ind w:left="22" w:right="77"/>
              <w:jc w:val="left"/>
              <w:rPr>
                <w:rFonts w:ascii="宋体" w:hAnsi="宋体" w:cs="宋体" w:eastAsia="宋体" w:hint="default"/>
                <w:sz w:val="18"/>
                <w:szCs w:val="18"/>
              </w:rPr>
            </w:pPr>
            <w:r>
              <w:rPr>
                <w:rFonts w:ascii="宋体" w:hAnsi="宋体" w:cs="宋体" w:eastAsia="宋体" w:hint="default"/>
                <w:sz w:val="18"/>
                <w:szCs w:val="18"/>
              </w:rPr>
              <w:t>（北京）有限公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投资管理；资产 管理等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非同一控制合并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霍尔果斯金财科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新疆霍尔果斯市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新疆霍尔果斯市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计算机软件技术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r>
        <w:rPr/>
        <w:pict>
          <v:group style="position:absolute;margin-left:330.579987pt;margin-top:90.599983pt;width:67.9pt;height:35.8pt;mso-position-horizontal-relative:page;mso-position-vertical-relative:page;z-index:-1039000" coordorigin="6612,1812" coordsize="1358,716">
            <v:group style="position:absolute;left:6612;top:1812;width:1358;height:312" coordorigin="6612,1812" coordsize="1358,312">
              <v:shape style="position:absolute;left:6612;top:1812;width:1358;height:312" coordorigin="6612,1812" coordsize="1358,312" path="m6612,2124l7969,2124,7969,1812,6612,1812,6612,2124xe" filled="true" fillcolor="#ffffff" stroked="false">
                <v:path arrowok="t"/>
                <v:fill type="solid"/>
              </v:shape>
            </v:group>
            <v:group style="position:absolute;left:6623;top:2124;width:2;height:393" coordorigin="6623,2124" coordsize="2,393">
              <v:shape style="position:absolute;left:6623;top:2124;width:2;height:393" coordorigin="6623,2124" coordsize="0,393" path="m6623,2124l6623,2516e" filled="false" stroked="true" strokeweight="1.140pt" strokecolor="#ffffff">
                <v:path arrowok="t"/>
              </v:shape>
            </v:group>
            <v:group style="position:absolute;left:6634;top:2124;width:1312;height:393" coordorigin="6634,2124" coordsize="1312,393">
              <v:shape style="position:absolute;left:6634;top:2124;width:1312;height:393" coordorigin="6634,2124" coordsize="1312,393" path="m6634,2516l7946,2516,7946,2124,6634,2124,6634,2516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技服务有限公司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开发等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霍尔果斯滨河创 新软件技术有限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新疆霍尔果斯市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新疆霍尔果斯市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pacing w:val="-6"/>
                <w:sz w:val="18"/>
                <w:szCs w:val="18"/>
              </w:rPr>
              <w:t>软件、电子信息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工程装备等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香港中科金财科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计算机系统集成 及服务等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7"/>
              <w:jc w:val="both"/>
              <w:rPr>
                <w:rFonts w:ascii="宋体" w:hAnsi="宋体" w:cs="宋体" w:eastAsia="宋体" w:hint="default"/>
                <w:sz w:val="18"/>
                <w:szCs w:val="18"/>
              </w:rPr>
            </w:pPr>
            <w:r>
              <w:rPr>
                <w:rFonts w:ascii="宋体" w:hAnsi="宋体" w:cs="宋体" w:eastAsia="宋体" w:hint="default"/>
                <w:sz w:val="18"/>
                <w:szCs w:val="18"/>
              </w:rPr>
              <w:t>深圳中金财富互 联网金融服务有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金融信息咨询、 金融软件的技术 开发及相关技术 咨询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非同一控制合并</w:t>
            </w: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为投保人拟定投</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77"/>
              <w:jc w:val="left"/>
              <w:rPr>
                <w:rFonts w:ascii="宋体" w:hAnsi="宋体" w:cs="宋体" w:eastAsia="宋体" w:hint="default"/>
                <w:sz w:val="18"/>
                <w:szCs w:val="18"/>
              </w:rPr>
            </w:pPr>
            <w:r>
              <w:rPr>
                <w:rFonts w:ascii="宋体" w:hAnsi="宋体" w:cs="宋体" w:eastAsia="宋体" w:hint="default"/>
                <w:sz w:val="18"/>
                <w:szCs w:val="18"/>
              </w:rPr>
              <w:t>中科金财保险经 纪有限公司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保方案、选择保 险公司以及办理</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6"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投保手续</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深圳前海中科金</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投资兴办实业、</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财金控投资有限</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企业收购兼并策</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3" w:hRule="exact"/>
        </w:trPr>
        <w:tc>
          <w:tcPr>
            <w:tcW w:w="13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划咨询等</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pStyle w:val="BodyText"/>
        <w:spacing w:line="417" w:lineRule="auto" w:before="72"/>
        <w:ind w:right="0"/>
        <w:jc w:val="left"/>
      </w:pPr>
      <w:r>
        <w:rPr/>
        <w:t>在子公司的持股比例不同于表决权比例的说明：</w:t>
      </w:r>
      <w:r>
        <w:rPr>
          <w:w w:val="100"/>
        </w:rPr>
        <w:t> </w:t>
      </w:r>
      <w:r>
        <w:rPr/>
        <w:t>报告期末，公司对大连金融资产交易所有限公司的持股比例为</w:t>
      </w:r>
      <w:r>
        <w:rPr>
          <w:rFonts w:ascii="Times New Roman" w:hAnsi="Times New Roman" w:cs="Times New Roman" w:eastAsia="Times New Roman" w:hint="default"/>
        </w:rPr>
        <w:t>50%</w:t>
      </w:r>
      <w:r>
        <w:rPr/>
        <w:t>，表决权比例为</w:t>
      </w:r>
      <w:r>
        <w:rPr>
          <w:rFonts w:ascii="Times New Roman" w:hAnsi="Times New Roman" w:cs="Times New Roman" w:eastAsia="Times New Roman" w:hint="default"/>
        </w:rPr>
        <w:t>55%</w:t>
      </w:r>
      <w:r>
        <w:rPr/>
        <w:t>。</w:t>
      </w:r>
      <w:r>
        <w:rPr>
          <w:w w:val="100"/>
        </w:rPr>
        <w:t> </w:t>
      </w:r>
      <w:r>
        <w:rPr>
          <w:spacing w:val="-1"/>
        </w:rPr>
        <w:t>持有半数或以下表决权但仍控制被投资单位、以及持有半数以上表决权但不控制被投资单位的依据：</w:t>
      </w:r>
      <w:r>
        <w:rPr>
          <w:spacing w:val="-67"/>
        </w:rPr>
        <w:t> </w:t>
      </w:r>
      <w:r>
        <w:rPr>
          <w:spacing w:val="-67"/>
        </w:rPr>
      </w:r>
      <w:r>
        <w:rPr/>
        <w:t>报告期末，公司对大连金融资产交易所有限公司的持股比例为</w:t>
      </w:r>
      <w:r>
        <w:rPr>
          <w:rFonts w:ascii="Times New Roman" w:hAnsi="Times New Roman" w:cs="Times New Roman" w:eastAsia="Times New Roman" w:hint="default"/>
        </w:rPr>
        <w:t>50%</w:t>
      </w:r>
      <w:r>
        <w:rPr/>
        <w:t>，表决权比例为</w:t>
      </w:r>
      <w:r>
        <w:rPr>
          <w:rFonts w:ascii="Times New Roman" w:hAnsi="Times New Roman" w:cs="Times New Roman" w:eastAsia="Times New Roman" w:hint="default"/>
        </w:rPr>
        <w:t>55%</w:t>
      </w:r>
      <w:r>
        <w:rPr/>
        <w:t>。</w:t>
      </w:r>
      <w:r>
        <w:rPr>
          <w:w w:val="100"/>
        </w:rPr>
        <w:t> </w:t>
      </w:r>
      <w:r>
        <w:rPr/>
        <w:t>对于纳入合并范围的重要的结构化主体，控制的依据：</w:t>
      </w:r>
    </w:p>
    <w:p>
      <w:pPr>
        <w:spacing w:before="7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10"/>
          <w:szCs w:val="10"/>
        </w:rPr>
      </w:pPr>
    </w:p>
    <w:tbl>
      <w:tblPr>
        <w:tblW w:w="0" w:type="auto"/>
        <w:jc w:val="left"/>
        <w:tblInd w:w="146" w:type="dxa"/>
        <w:tblLayout w:type="fixed"/>
        <w:tblCellMar>
          <w:top w:w="0" w:type="dxa"/>
          <w:left w:w="0" w:type="dxa"/>
          <w:bottom w:w="0" w:type="dxa"/>
          <w:right w:w="0" w:type="dxa"/>
        </w:tblCellMar>
        <w:tblLook w:val="01E0"/>
      </w:tblPr>
      <w:tblGrid>
        <w:gridCol w:w="1844"/>
        <w:gridCol w:w="1985"/>
        <w:gridCol w:w="1842"/>
        <w:gridCol w:w="1134"/>
        <w:gridCol w:w="1560"/>
        <w:gridCol w:w="1270"/>
      </w:tblGrid>
      <w:tr>
        <w:trPr>
          <w:trHeight w:val="659"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
              <w:jc w:val="left"/>
              <w:rPr>
                <w:rFonts w:ascii="宋体" w:hAnsi="宋体" w:cs="宋体" w:eastAsia="宋体" w:hint="default"/>
                <w:sz w:val="18"/>
                <w:szCs w:val="18"/>
              </w:rPr>
            </w:pPr>
            <w:r>
              <w:rPr>
                <w:rFonts w:ascii="宋体" w:hAnsi="宋体" w:cs="宋体" w:eastAsia="宋体" w:hint="default"/>
                <w:sz w:val="18"/>
                <w:szCs w:val="18"/>
              </w:rPr>
              <w:t>持有信托产品子公司名</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称</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45" w:right="0"/>
              <w:jc w:val="left"/>
              <w:rPr>
                <w:rFonts w:ascii="宋体" w:hAnsi="宋体" w:cs="宋体" w:eastAsia="宋体" w:hint="default"/>
                <w:sz w:val="18"/>
                <w:szCs w:val="18"/>
              </w:rPr>
            </w:pPr>
            <w:r>
              <w:rPr>
                <w:rFonts w:ascii="宋体" w:hAnsi="宋体" w:cs="宋体" w:eastAsia="宋体" w:hint="default"/>
                <w:sz w:val="18"/>
                <w:szCs w:val="18"/>
              </w:rPr>
              <w:t>信托产品名称</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信托公司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5"/>
                <w:sz w:val="18"/>
                <w:szCs w:val="18"/>
              </w:rPr>
              <w:t>信托产品存续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Times New Roman" w:hAnsi="Times New Roman" w:cs="Times New Roman" w:eastAsia="Times New Roman" w:hint="default"/>
                <w:sz w:val="18"/>
                <w:szCs w:val="18"/>
              </w:rPr>
              <w:t>2018.12.31</w:t>
            </w:r>
            <w:r>
              <w:rPr>
                <w:rFonts w:ascii="宋体" w:hAnsi="宋体" w:cs="宋体" w:eastAsia="宋体" w:hint="default"/>
                <w:sz w:val="18"/>
                <w:szCs w:val="18"/>
              </w:rPr>
              <w:t>信托</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产品余额</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5"/>
              <w:jc w:val="right"/>
              <w:rPr>
                <w:rFonts w:ascii="宋体" w:hAnsi="宋体" w:cs="宋体" w:eastAsia="宋体" w:hint="default"/>
                <w:sz w:val="18"/>
                <w:szCs w:val="18"/>
              </w:rPr>
            </w:pPr>
            <w:r>
              <w:rPr>
                <w:rFonts w:ascii="宋体" w:hAnsi="宋体" w:cs="宋体" w:eastAsia="宋体" w:hint="default"/>
                <w:sz w:val="18"/>
                <w:szCs w:val="18"/>
              </w:rPr>
              <w:t>预期收益率</w:t>
            </w:r>
          </w:p>
        </w:tc>
      </w:tr>
      <w:tr>
        <w:trPr>
          <w:trHeight w:val="659"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
              <w:jc w:val="left"/>
              <w:rPr>
                <w:rFonts w:ascii="宋体" w:hAnsi="宋体" w:cs="宋体" w:eastAsia="宋体" w:hint="default"/>
                <w:sz w:val="18"/>
                <w:szCs w:val="18"/>
              </w:rPr>
            </w:pPr>
            <w:r>
              <w:rPr>
                <w:rFonts w:ascii="宋体" w:hAnsi="宋体" w:cs="宋体" w:eastAsia="宋体" w:hint="default"/>
                <w:sz w:val="18"/>
                <w:szCs w:val="18"/>
              </w:rPr>
              <w:t>华缔资产管理（北京）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有限公司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6"/>
              <w:jc w:val="left"/>
              <w:rPr>
                <w:rFonts w:ascii="宋体" w:hAnsi="宋体" w:cs="宋体" w:eastAsia="宋体" w:hint="default"/>
                <w:sz w:val="18"/>
                <w:szCs w:val="18"/>
              </w:rPr>
            </w:pPr>
            <w:r>
              <w:rPr>
                <w:rFonts w:ascii="宋体" w:hAnsi="宋体" w:cs="宋体" w:eastAsia="宋体" w:hint="default"/>
                <w:sz w:val="18"/>
                <w:szCs w:val="18"/>
              </w:rPr>
              <w:t>西藏信托</w:t>
            </w:r>
            <w:r>
              <w:rPr>
                <w:rFonts w:ascii="Times New Roman" w:hAnsi="Times New Roman" w:cs="Times New Roman" w:eastAsia="Times New Roman" w:hint="default"/>
                <w:sz w:val="18"/>
                <w:szCs w:val="18"/>
              </w:rPr>
              <w:t>-</w:t>
            </w:r>
            <w:r>
              <w:rPr>
                <w:rFonts w:ascii="宋体" w:hAnsi="宋体" w:cs="宋体" w:eastAsia="宋体" w:hint="default"/>
                <w:sz w:val="18"/>
                <w:szCs w:val="18"/>
              </w:rPr>
              <w:t>乐家</w:t>
            </w:r>
            <w:r>
              <w:rPr>
                <w:rFonts w:ascii="Times New Roman" w:hAnsi="Times New Roman" w:cs="Times New Roman" w:eastAsia="Times New Roman" w:hint="default"/>
                <w:sz w:val="18"/>
                <w:szCs w:val="18"/>
              </w:rPr>
              <w:t>1</w:t>
            </w:r>
            <w:r>
              <w:rPr>
                <w:rFonts w:ascii="宋体" w:hAnsi="宋体" w:cs="宋体" w:eastAsia="宋体" w:hint="default"/>
                <w:sz w:val="18"/>
                <w:szCs w:val="18"/>
              </w:rPr>
              <w:t>号单一资 金信托</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西藏信托有限公司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84,398,750.00</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30"/>
              <w:jc w:val="right"/>
              <w:rPr>
                <w:rFonts w:ascii="Times New Roman" w:hAnsi="Times New Roman" w:cs="Times New Roman" w:eastAsia="Times New Roman" w:hint="default"/>
                <w:sz w:val="18"/>
                <w:szCs w:val="18"/>
              </w:rPr>
            </w:pPr>
            <w:r>
              <w:rPr>
                <w:rFonts w:ascii="Times New Roman"/>
                <w:sz w:val="18"/>
              </w:rPr>
              <w:t>8.40%-9.60%</w:t>
            </w:r>
          </w:p>
        </w:tc>
      </w:tr>
      <w:tr>
        <w:trPr>
          <w:trHeight w:val="659"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
              <w:jc w:val="left"/>
              <w:rPr>
                <w:rFonts w:ascii="宋体" w:hAnsi="宋体" w:cs="宋体" w:eastAsia="宋体" w:hint="default"/>
                <w:sz w:val="18"/>
                <w:szCs w:val="18"/>
              </w:rPr>
            </w:pPr>
            <w:r>
              <w:rPr>
                <w:rFonts w:ascii="宋体" w:hAnsi="宋体" w:cs="宋体" w:eastAsia="宋体" w:hint="default"/>
                <w:sz w:val="18"/>
                <w:szCs w:val="18"/>
              </w:rPr>
              <w:t>华缔资产管理（北京）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有限公司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6"/>
              <w:jc w:val="left"/>
              <w:rPr>
                <w:rFonts w:ascii="宋体" w:hAnsi="宋体" w:cs="宋体" w:eastAsia="宋体" w:hint="default"/>
                <w:sz w:val="18"/>
                <w:szCs w:val="18"/>
              </w:rPr>
            </w:pPr>
            <w:r>
              <w:rPr>
                <w:rFonts w:ascii="宋体" w:hAnsi="宋体" w:cs="宋体" w:eastAsia="宋体" w:hint="default"/>
                <w:sz w:val="18"/>
                <w:szCs w:val="18"/>
              </w:rPr>
              <w:t>西藏信托</w:t>
            </w:r>
            <w:r>
              <w:rPr>
                <w:rFonts w:ascii="Times New Roman" w:hAnsi="Times New Roman" w:cs="Times New Roman" w:eastAsia="Times New Roman" w:hint="default"/>
                <w:sz w:val="18"/>
                <w:szCs w:val="18"/>
              </w:rPr>
              <w:t>-</w:t>
            </w:r>
            <w:r>
              <w:rPr>
                <w:rFonts w:ascii="宋体" w:hAnsi="宋体" w:cs="宋体" w:eastAsia="宋体" w:hint="default"/>
                <w:sz w:val="18"/>
                <w:szCs w:val="18"/>
              </w:rPr>
              <w:t>乐家</w:t>
            </w:r>
            <w:r>
              <w:rPr>
                <w:rFonts w:ascii="Times New Roman" w:hAnsi="Times New Roman" w:cs="Times New Roman" w:eastAsia="Times New Roman" w:hint="default"/>
                <w:sz w:val="18"/>
                <w:szCs w:val="18"/>
              </w:rPr>
              <w:t>2</w:t>
            </w:r>
            <w:r>
              <w:rPr>
                <w:rFonts w:ascii="宋体" w:hAnsi="宋体" w:cs="宋体" w:eastAsia="宋体" w:hint="default"/>
                <w:sz w:val="18"/>
                <w:szCs w:val="18"/>
              </w:rPr>
              <w:t>号单一资 金信托</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西藏信托有限公司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45,360,000.00</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30"/>
              <w:jc w:val="right"/>
              <w:rPr>
                <w:rFonts w:ascii="Times New Roman" w:hAnsi="Times New Roman" w:cs="Times New Roman" w:eastAsia="Times New Roman" w:hint="default"/>
                <w:sz w:val="18"/>
                <w:szCs w:val="18"/>
              </w:rPr>
            </w:pPr>
            <w:r>
              <w:rPr>
                <w:rFonts w:ascii="Times New Roman"/>
                <w:sz w:val="18"/>
              </w:rPr>
              <w:t>8.40%-9.60%</w:t>
            </w:r>
          </w:p>
        </w:tc>
      </w:tr>
      <w:tr>
        <w:trPr>
          <w:trHeight w:val="660"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
              <w:jc w:val="left"/>
              <w:rPr>
                <w:rFonts w:ascii="宋体" w:hAnsi="宋体" w:cs="宋体" w:eastAsia="宋体" w:hint="default"/>
                <w:sz w:val="18"/>
                <w:szCs w:val="18"/>
              </w:rPr>
            </w:pPr>
            <w:r>
              <w:rPr>
                <w:rFonts w:ascii="宋体" w:hAnsi="宋体" w:cs="宋体" w:eastAsia="宋体" w:hint="default"/>
                <w:sz w:val="18"/>
                <w:szCs w:val="18"/>
              </w:rPr>
              <w:t>华缔资产管理（北京）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有限公司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6"/>
              <w:jc w:val="left"/>
              <w:rPr>
                <w:rFonts w:ascii="宋体" w:hAnsi="宋体" w:cs="宋体" w:eastAsia="宋体" w:hint="default"/>
                <w:sz w:val="18"/>
                <w:szCs w:val="18"/>
              </w:rPr>
            </w:pPr>
            <w:r>
              <w:rPr>
                <w:rFonts w:ascii="宋体" w:hAnsi="宋体" w:cs="宋体" w:eastAsia="宋体" w:hint="default"/>
                <w:sz w:val="18"/>
                <w:szCs w:val="18"/>
              </w:rPr>
              <w:t>西藏信托</w:t>
            </w:r>
            <w:r>
              <w:rPr>
                <w:rFonts w:ascii="Times New Roman" w:hAnsi="Times New Roman" w:cs="Times New Roman" w:eastAsia="Times New Roman" w:hint="default"/>
                <w:sz w:val="18"/>
                <w:szCs w:val="18"/>
              </w:rPr>
              <w:t>-</w:t>
            </w:r>
            <w:r>
              <w:rPr>
                <w:rFonts w:ascii="宋体" w:hAnsi="宋体" w:cs="宋体" w:eastAsia="宋体" w:hint="default"/>
                <w:sz w:val="18"/>
                <w:szCs w:val="18"/>
              </w:rPr>
              <w:t>宜家</w:t>
            </w:r>
            <w:r>
              <w:rPr>
                <w:rFonts w:ascii="Times New Roman" w:hAnsi="Times New Roman" w:cs="Times New Roman" w:eastAsia="Times New Roman" w:hint="default"/>
                <w:sz w:val="18"/>
                <w:szCs w:val="18"/>
              </w:rPr>
              <w:t>1</w:t>
            </w:r>
            <w:r>
              <w:rPr>
                <w:rFonts w:ascii="宋体" w:hAnsi="宋体" w:cs="宋体" w:eastAsia="宋体" w:hint="default"/>
                <w:sz w:val="18"/>
                <w:szCs w:val="18"/>
              </w:rPr>
              <w:t>号集合资 金信托计划</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西藏信托有限公司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11,800,000.00</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Times New Roman"/>
                <w:sz w:val="18"/>
              </w:rPr>
              <w:t>8.40%</w:t>
            </w:r>
          </w:p>
        </w:tc>
      </w:tr>
      <w:tr>
        <w:trPr>
          <w:trHeight w:val="659"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4"/>
              <w:jc w:val="left"/>
              <w:rPr>
                <w:rFonts w:ascii="宋体" w:hAnsi="宋体" w:cs="宋体" w:eastAsia="宋体" w:hint="default"/>
                <w:sz w:val="18"/>
                <w:szCs w:val="18"/>
              </w:rPr>
            </w:pPr>
            <w:r>
              <w:rPr>
                <w:rFonts w:ascii="宋体" w:hAnsi="宋体" w:cs="宋体" w:eastAsia="宋体" w:hint="default"/>
                <w:sz w:val="18"/>
                <w:szCs w:val="18"/>
              </w:rPr>
              <w:t>华缔资产管理（北京）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有限公司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106"/>
              <w:jc w:val="left"/>
              <w:rPr>
                <w:rFonts w:ascii="宋体" w:hAnsi="宋体" w:cs="宋体" w:eastAsia="宋体" w:hint="default"/>
                <w:sz w:val="18"/>
                <w:szCs w:val="18"/>
              </w:rPr>
            </w:pPr>
            <w:r>
              <w:rPr>
                <w:rFonts w:ascii="宋体" w:hAnsi="宋体" w:cs="宋体" w:eastAsia="宋体" w:hint="default"/>
                <w:sz w:val="18"/>
                <w:szCs w:val="18"/>
              </w:rPr>
              <w:t>四川信托</w:t>
            </w:r>
            <w:r>
              <w:rPr>
                <w:rFonts w:ascii="Times New Roman" w:hAnsi="Times New Roman" w:cs="Times New Roman" w:eastAsia="Times New Roman" w:hint="default"/>
                <w:sz w:val="18"/>
                <w:szCs w:val="18"/>
              </w:rPr>
              <w:t>-</w:t>
            </w:r>
            <w:r>
              <w:rPr>
                <w:rFonts w:ascii="宋体" w:hAnsi="宋体" w:cs="宋体" w:eastAsia="宋体" w:hint="default"/>
                <w:sz w:val="18"/>
                <w:szCs w:val="18"/>
              </w:rPr>
              <w:t>融科伟业单一 信托</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四川信托有限公司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200,000,000.00</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Times New Roman"/>
                <w:sz w:val="18"/>
              </w:rPr>
              <w:t>6.65%</w:t>
            </w:r>
          </w:p>
        </w:tc>
      </w:tr>
      <w:tr>
        <w:trPr>
          <w:trHeight w:val="659"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
              <w:jc w:val="left"/>
              <w:rPr>
                <w:rFonts w:ascii="宋体" w:hAnsi="宋体" w:cs="宋体" w:eastAsia="宋体" w:hint="default"/>
                <w:sz w:val="18"/>
                <w:szCs w:val="18"/>
              </w:rPr>
            </w:pPr>
            <w:r>
              <w:rPr>
                <w:rFonts w:ascii="宋体" w:hAnsi="宋体" w:cs="宋体" w:eastAsia="宋体" w:hint="default"/>
                <w:sz w:val="18"/>
                <w:szCs w:val="18"/>
              </w:rPr>
              <w:t>深圳中金财富互联网金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融服务有限公司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06"/>
              <w:jc w:val="left"/>
              <w:rPr>
                <w:rFonts w:ascii="宋体" w:hAnsi="宋体" w:cs="宋体" w:eastAsia="宋体" w:hint="default"/>
                <w:sz w:val="18"/>
                <w:szCs w:val="18"/>
              </w:rPr>
            </w:pPr>
            <w:r>
              <w:rPr>
                <w:rFonts w:ascii="宋体" w:hAnsi="宋体" w:cs="宋体" w:eastAsia="宋体" w:hint="default"/>
                <w:sz w:val="18"/>
                <w:szCs w:val="18"/>
              </w:rPr>
              <w:t>渤海信托</w:t>
            </w:r>
            <w:r>
              <w:rPr>
                <w:rFonts w:ascii="Times New Roman" w:hAnsi="Times New Roman" w:cs="Times New Roman" w:eastAsia="Times New Roman" w:hint="default"/>
                <w:sz w:val="18"/>
                <w:szCs w:val="18"/>
              </w:rPr>
              <w:t>-</w:t>
            </w:r>
            <w:r>
              <w:rPr>
                <w:rFonts w:ascii="宋体" w:hAnsi="宋体" w:cs="宋体" w:eastAsia="宋体" w:hint="default"/>
                <w:sz w:val="18"/>
                <w:szCs w:val="18"/>
              </w:rPr>
              <w:t>房产抵押贷款 项目单一资金信托</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z w:val="18"/>
                <w:szCs w:val="18"/>
              </w:rPr>
              <w:t>渤海国际信托股份有限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1,800,000.00</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Times New Roman"/>
                <w:sz w:val="18"/>
              </w:rPr>
              <w:t>9.00%</w:t>
            </w:r>
          </w:p>
        </w:tc>
      </w:tr>
      <w:tr>
        <w:trPr>
          <w:trHeight w:val="659"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
              <w:jc w:val="left"/>
              <w:rPr>
                <w:rFonts w:ascii="宋体" w:hAnsi="宋体" w:cs="宋体" w:eastAsia="宋体" w:hint="default"/>
                <w:sz w:val="18"/>
                <w:szCs w:val="18"/>
              </w:rPr>
            </w:pPr>
            <w:r>
              <w:rPr>
                <w:rFonts w:ascii="宋体" w:hAnsi="宋体" w:cs="宋体" w:eastAsia="宋体" w:hint="default"/>
                <w:sz w:val="18"/>
                <w:szCs w:val="18"/>
              </w:rPr>
              <w:t>深圳中金财富互联网金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融服务有限公司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06"/>
              <w:jc w:val="left"/>
              <w:rPr>
                <w:rFonts w:ascii="宋体" w:hAnsi="宋体" w:cs="宋体" w:eastAsia="宋体" w:hint="default"/>
                <w:sz w:val="18"/>
                <w:szCs w:val="18"/>
              </w:rPr>
            </w:pPr>
            <w:r>
              <w:rPr>
                <w:rFonts w:ascii="宋体" w:hAnsi="宋体" w:cs="宋体" w:eastAsia="宋体" w:hint="default"/>
                <w:sz w:val="18"/>
                <w:szCs w:val="18"/>
              </w:rPr>
              <w:t>西藏信托</w:t>
            </w:r>
            <w:r>
              <w:rPr>
                <w:rFonts w:ascii="Times New Roman" w:hAnsi="Times New Roman" w:cs="Times New Roman" w:eastAsia="Times New Roman" w:hint="default"/>
                <w:sz w:val="18"/>
                <w:szCs w:val="18"/>
              </w:rPr>
              <w:t>-</w:t>
            </w:r>
            <w:r>
              <w:rPr>
                <w:rFonts w:ascii="宋体" w:hAnsi="宋体" w:cs="宋体" w:eastAsia="宋体" w:hint="default"/>
                <w:sz w:val="18"/>
                <w:szCs w:val="18"/>
              </w:rPr>
              <w:t>开放式单一资 金信托计划</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西藏信托有限公司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7,724,000.00</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Times New Roman"/>
                <w:sz w:val="18"/>
              </w:rPr>
              <w:t>8.40%</w:t>
            </w:r>
          </w:p>
        </w:tc>
      </w:tr>
      <w:tr>
        <w:trPr>
          <w:trHeight w:val="660"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
              <w:jc w:val="left"/>
              <w:rPr>
                <w:rFonts w:ascii="宋体" w:hAnsi="宋体" w:cs="宋体" w:eastAsia="宋体" w:hint="default"/>
                <w:sz w:val="18"/>
                <w:szCs w:val="18"/>
              </w:rPr>
            </w:pPr>
            <w:r>
              <w:rPr>
                <w:rFonts w:ascii="宋体" w:hAnsi="宋体" w:cs="宋体" w:eastAsia="宋体" w:hint="default"/>
                <w:sz w:val="18"/>
                <w:szCs w:val="18"/>
              </w:rPr>
              <w:t>华缔资产管理（北京）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有限公司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06"/>
              <w:jc w:val="left"/>
              <w:rPr>
                <w:rFonts w:ascii="宋体" w:hAnsi="宋体" w:cs="宋体" w:eastAsia="宋体" w:hint="default"/>
                <w:sz w:val="18"/>
                <w:szCs w:val="18"/>
              </w:rPr>
            </w:pPr>
            <w:r>
              <w:rPr>
                <w:rFonts w:ascii="宋体" w:hAnsi="宋体" w:cs="宋体" w:eastAsia="宋体" w:hint="default"/>
                <w:sz w:val="18"/>
                <w:szCs w:val="18"/>
              </w:rPr>
              <w:t>华鑫信托</w:t>
            </w:r>
            <w:r>
              <w:rPr>
                <w:rFonts w:ascii="Times New Roman" w:hAnsi="Times New Roman" w:cs="Times New Roman" w:eastAsia="Times New Roman" w:hint="default"/>
                <w:sz w:val="18"/>
                <w:szCs w:val="18"/>
              </w:rPr>
              <w:t>·</w:t>
            </w:r>
            <w:r>
              <w:rPr>
                <w:rFonts w:ascii="宋体" w:hAnsi="宋体" w:cs="宋体" w:eastAsia="宋体" w:hint="default"/>
                <w:sz w:val="18"/>
                <w:szCs w:val="18"/>
              </w:rPr>
              <w:t>睿科</w:t>
            </w:r>
            <w:r>
              <w:rPr>
                <w:rFonts w:ascii="Times New Roman" w:hAnsi="Times New Roman" w:cs="Times New Roman" w:eastAsia="Times New Roman" w:hint="default"/>
                <w:sz w:val="18"/>
                <w:szCs w:val="18"/>
              </w:rPr>
              <w:t>42</w:t>
            </w:r>
            <w:r>
              <w:rPr>
                <w:rFonts w:ascii="宋体" w:hAnsi="宋体" w:cs="宋体" w:eastAsia="宋体" w:hint="default"/>
                <w:sz w:val="18"/>
                <w:szCs w:val="18"/>
              </w:rPr>
              <w:t>号单一 资金信托</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华鑫国际信托有限公司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200,000,000.00</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Times New Roman"/>
                <w:sz w:val="18"/>
              </w:rPr>
              <w:t>5.59%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844"/>
        <w:gridCol w:w="1985"/>
        <w:gridCol w:w="1842"/>
        <w:gridCol w:w="1134"/>
        <w:gridCol w:w="1560"/>
        <w:gridCol w:w="1270"/>
      </w:tblGrid>
      <w:tr>
        <w:trPr>
          <w:trHeight w:val="659"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
              <w:jc w:val="left"/>
              <w:rPr>
                <w:rFonts w:ascii="宋体" w:hAnsi="宋体" w:cs="宋体" w:eastAsia="宋体" w:hint="default"/>
                <w:sz w:val="18"/>
                <w:szCs w:val="18"/>
              </w:rPr>
            </w:pPr>
            <w:r>
              <w:rPr>
                <w:rFonts w:ascii="宋体" w:hAnsi="宋体" w:cs="宋体" w:eastAsia="宋体" w:hint="default"/>
                <w:sz w:val="18"/>
                <w:szCs w:val="18"/>
              </w:rPr>
              <w:t>华缔资产管理（北京）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有限公司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06"/>
              <w:jc w:val="left"/>
              <w:rPr>
                <w:rFonts w:ascii="宋体" w:hAnsi="宋体" w:cs="宋体" w:eastAsia="宋体" w:hint="default"/>
                <w:sz w:val="18"/>
                <w:szCs w:val="18"/>
              </w:rPr>
            </w:pPr>
            <w:r>
              <w:rPr>
                <w:rFonts w:ascii="宋体" w:hAnsi="宋体" w:cs="宋体" w:eastAsia="宋体" w:hint="default"/>
                <w:sz w:val="18"/>
                <w:szCs w:val="18"/>
              </w:rPr>
              <w:t>华鑫信托</w:t>
            </w:r>
            <w:r>
              <w:rPr>
                <w:rFonts w:ascii="Times New Roman" w:hAnsi="Times New Roman" w:cs="Times New Roman" w:eastAsia="Times New Roman" w:hint="default"/>
                <w:sz w:val="18"/>
                <w:szCs w:val="18"/>
              </w:rPr>
              <w:t>·</w:t>
            </w:r>
            <w:r>
              <w:rPr>
                <w:rFonts w:ascii="宋体" w:hAnsi="宋体" w:cs="宋体" w:eastAsia="宋体" w:hint="default"/>
                <w:sz w:val="18"/>
                <w:szCs w:val="18"/>
              </w:rPr>
              <w:t>睿科</w:t>
            </w:r>
            <w:r>
              <w:rPr>
                <w:rFonts w:ascii="Times New Roman" w:hAnsi="Times New Roman" w:cs="Times New Roman" w:eastAsia="Times New Roman" w:hint="default"/>
                <w:sz w:val="18"/>
                <w:szCs w:val="18"/>
              </w:rPr>
              <w:t>46</w:t>
            </w:r>
            <w:r>
              <w:rPr>
                <w:rFonts w:ascii="宋体" w:hAnsi="宋体" w:cs="宋体" w:eastAsia="宋体" w:hint="default"/>
                <w:sz w:val="18"/>
                <w:szCs w:val="18"/>
              </w:rPr>
              <w:t>号单一 资金信托</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3" w:right="0"/>
              <w:jc w:val="left"/>
              <w:rPr>
                <w:rFonts w:ascii="宋体" w:hAnsi="宋体" w:cs="宋体" w:eastAsia="宋体" w:hint="default"/>
                <w:sz w:val="18"/>
                <w:szCs w:val="18"/>
              </w:rPr>
            </w:pPr>
            <w:r>
              <w:rPr>
                <w:rFonts w:ascii="宋体" w:hAnsi="宋体" w:cs="宋体" w:eastAsia="宋体" w:hint="default"/>
                <w:sz w:val="18"/>
                <w:szCs w:val="18"/>
              </w:rPr>
              <w:t>华鑫国际信托有限公司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200,000,000.00</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Times New Roman"/>
                <w:sz w:val="18"/>
              </w:rPr>
              <w:t>5.59%</w:t>
            </w:r>
          </w:p>
        </w:tc>
      </w:tr>
      <w:tr>
        <w:trPr>
          <w:trHeight w:val="559"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751,082,750.00</w:t>
            </w:r>
          </w:p>
        </w:tc>
        <w:tc>
          <w:tcPr>
            <w:tcW w:w="1270" w:type="dxa"/>
            <w:tcBorders>
              <w:top w:val="single" w:sz="6" w:space="0" w:color="000000"/>
              <w:left w:val="single" w:sz="6" w:space="0" w:color="000000"/>
              <w:bottom w:val="single" w:sz="6" w:space="0" w:color="000000"/>
              <w:right w:val="single" w:sz="6" w:space="0" w:color="000000"/>
            </w:tcBorders>
          </w:tcPr>
          <w:p>
            <w:pPr/>
          </w:p>
        </w:tc>
      </w:tr>
    </w:tbl>
    <w:p>
      <w:pPr>
        <w:pStyle w:val="BodyText"/>
        <w:spacing w:line="429" w:lineRule="auto" w:before="73"/>
        <w:ind w:right="0" w:firstLine="426"/>
        <w:jc w:val="left"/>
      </w:pPr>
      <w:r>
        <w:rPr>
          <w:spacing w:val="-1"/>
        </w:rPr>
        <w:t>对于纳入合并范围的重要的结构化主体，控制的依据：拥有对被投资方的权利，通过参与被投资方的相关</w:t>
      </w:r>
      <w:r>
        <w:rPr>
          <w:w w:val="100"/>
        </w:rPr>
        <w:t> </w:t>
      </w:r>
      <w:r>
        <w:rPr/>
        <w:t>活动而享有可变回报，并且有能力运用对被投资方的权利影响其回报金额。</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2）重要的非全资子公司" w:id="317"/>
      <w:bookmarkEnd w:id="317"/>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大连金融资产交易所有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5" w:right="0"/>
              <w:jc w:val="left"/>
              <w:rPr>
                <w:rFonts w:ascii="Times New Roman" w:hAnsi="Times New Roman" w:cs="Times New Roman" w:eastAsia="Times New Roman" w:hint="default"/>
                <w:sz w:val="18"/>
                <w:szCs w:val="18"/>
              </w:rPr>
            </w:pPr>
            <w:r>
              <w:rPr>
                <w:rFonts w:ascii="Times New Roman"/>
                <w:sz w:val="18"/>
              </w:rPr>
              <w:t>-21,191,892.33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14,397,969.78</w:t>
            </w:r>
          </w:p>
        </w:tc>
      </w:tr>
    </w:tbl>
    <w:p>
      <w:pPr>
        <w:pStyle w:val="BodyText"/>
        <w:spacing w:line="429" w:lineRule="auto" w:before="72"/>
        <w:ind w:right="0"/>
        <w:jc w:val="left"/>
      </w:pPr>
      <w:r>
        <w:rPr/>
        <w:t>子公司少数股东的持股比例不同于表决权比例的说明：</w:t>
      </w:r>
      <w:r>
        <w:rPr>
          <w:w w:val="100"/>
        </w:rPr>
        <w:t> </w:t>
      </w:r>
      <w:r>
        <w:rPr>
          <w:spacing w:val="-1"/>
        </w:rPr>
        <w:t>大连金融资产交易所有限公司的少数股东的持股比例为</w:t>
      </w:r>
      <w:r>
        <w:rPr>
          <w:rFonts w:ascii="Times New Roman" w:hAnsi="Times New Roman" w:cs="Times New Roman" w:eastAsia="Times New Roman" w:hint="default"/>
          <w:spacing w:val="-1"/>
        </w:rPr>
        <w:t>50%</w:t>
      </w:r>
      <w:r>
        <w:rPr>
          <w:spacing w:val="-1"/>
        </w:rPr>
        <w:t>，表决权比例为</w:t>
      </w:r>
      <w:r>
        <w:rPr>
          <w:rFonts w:ascii="Times New Roman" w:hAnsi="Times New Roman" w:cs="Times New Roman" w:eastAsia="Times New Roman" w:hint="default"/>
          <w:spacing w:val="-1"/>
        </w:rPr>
        <w:t>45%</w:t>
      </w:r>
      <w:r>
        <w:rPr>
          <w:spacing w:val="-1"/>
        </w:rPr>
        <w:t>。</w:t>
      </w:r>
    </w:p>
    <w:p>
      <w:pPr>
        <w:spacing w:line="240" w:lineRule="auto" w:before="8"/>
        <w:rPr>
          <w:rFonts w:ascii="宋体" w:hAnsi="宋体" w:cs="宋体" w:eastAsia="宋体" w:hint="default"/>
          <w:sz w:val="17"/>
          <w:szCs w:val="17"/>
        </w:rPr>
      </w:pPr>
    </w:p>
    <w:p>
      <w:pPr>
        <w:pStyle w:val="Heading3"/>
        <w:spacing w:line="240" w:lineRule="auto"/>
        <w:ind w:right="0"/>
        <w:jc w:val="left"/>
        <w:rPr>
          <w:b w:val="0"/>
          <w:bCs w:val="0"/>
        </w:rPr>
      </w:pPr>
      <w:bookmarkStart w:name="（3）重要非全资子公司的主要财务信息" w:id="318"/>
      <w:bookmarkEnd w:id="318"/>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1"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大连金 融资产 交易所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54,578,3</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14.76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8,928,17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4.64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63,506,4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89.40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34,710,5</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49.84</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34,710,5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49.84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107,282,</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904.71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13,054,0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36.59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120,336,</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941.30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49,157,2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17.09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49,157,2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17.09</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大连金融资 产交易所有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403,314.02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-42,383,784.6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-42,383,784.6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-64,080,324.7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11,109,271.1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-42,900,771.7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-42,900,771.7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-45,569,783.2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在合营安排或联营企业中的权益" w:id="319"/>
      <w:bookmarkEnd w:id="319"/>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320"/>
      <w:bookmarkEnd w:id="320"/>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中科环嘉电子商 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网上贸易代理等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安粮期货股份有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商品、金融期货 经纪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金网络（北京） 电子商务有限公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金融信息服务、 资产管理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北京中关村互联 网金融信息服务 中心有限公司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金融信息服务等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嘉兴中融兴华资 产管理有限公司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资产管理、项目 投资等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北京国信新网通 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技术推广、技术 开发等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安金资产管理有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资产管理；投资 管理；投资咨询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北京奥金智策传 媒科技有限公司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技术推广、技术 咨询、技术服务 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大连融丰信息技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技术开发、技术 咨询等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北京中科弘仪信 息科技服务有限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技术开发、技术 推广等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深圳市金方达信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精密机房工程等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陕西金财云商电 子商务有限公司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广告的设计、制 作、代理及发布 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405" w:lineRule="auto" w:before="73"/>
        <w:ind w:left="553" w:right="0" w:hanging="400"/>
        <w:jc w:val="left"/>
      </w:pPr>
      <w:r>
        <w:rPr/>
        <w:t>持有</w:t>
      </w:r>
      <w:r>
        <w:rPr>
          <w:spacing w:val="-52"/>
        </w:rPr>
        <w:t> </w:t>
      </w:r>
      <w:r>
        <w:rPr>
          <w:rFonts w:ascii="Times New Roman" w:hAnsi="Times New Roman" w:cs="Times New Roman" w:eastAsia="Times New Roman" w:hint="default"/>
        </w:rPr>
        <w:t>20%</w:t>
      </w:r>
      <w:r>
        <w:rPr/>
        <w:t>以下表决权但具有重大影响，或者持有</w:t>
      </w:r>
      <w:r>
        <w:rPr>
          <w:spacing w:val="-52"/>
        </w:rPr>
        <w:t> </w:t>
      </w:r>
      <w:r>
        <w:rPr>
          <w:rFonts w:ascii="Times New Roman" w:hAnsi="Times New Roman" w:cs="Times New Roman" w:eastAsia="Times New Roman" w:hint="default"/>
        </w:rPr>
        <w:t>20%</w:t>
      </w:r>
      <w:r>
        <w:rPr/>
        <w:t>或以上表决权但不具有重大影响的依据：</w:t>
      </w:r>
      <w:r>
        <w:rPr>
          <w:w w:val="100"/>
        </w:rPr>
        <w:t> </w:t>
      </w:r>
      <w:r>
        <w:rPr>
          <w:spacing w:val="-1"/>
        </w:rPr>
        <w:t>公司持有北京中关村互联网金融信息服务中心有限公司</w:t>
      </w:r>
      <w:r>
        <w:rPr>
          <w:rFonts w:ascii="Times New Roman" w:hAnsi="Times New Roman" w:cs="Times New Roman" w:eastAsia="Times New Roman" w:hint="default"/>
          <w:spacing w:val="-1"/>
        </w:rPr>
        <w:t>20%</w:t>
      </w:r>
      <w:r>
        <w:rPr>
          <w:spacing w:val="-1"/>
        </w:rPr>
        <w:t>以下表决权，在董事会有一名董事，根据章程</w:t>
      </w:r>
    </w:p>
    <w:p>
      <w:pPr>
        <w:pStyle w:val="BodyText"/>
        <w:spacing w:line="240" w:lineRule="auto" w:before="38"/>
        <w:ind w:right="0"/>
        <w:jc w:val="left"/>
      </w:pPr>
      <w:r>
        <w:rPr/>
        <w:t>规定对融资、投资事项须经全体董事一致通过方为有效，因此公司对北京中关村互联网金融信息服务中心有限</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ind w:right="0"/>
        <w:jc w:val="left"/>
      </w:pPr>
      <w:r>
        <w:rPr/>
        <w:t>公司有重大影响，并且不构成控制。</w:t>
      </w:r>
    </w:p>
    <w:p>
      <w:pPr>
        <w:spacing w:line="240" w:lineRule="auto" w:before="0"/>
        <w:rPr>
          <w:rFonts w:ascii="宋体" w:hAnsi="宋体" w:cs="宋体" w:eastAsia="宋体" w:hint="default"/>
          <w:sz w:val="20"/>
          <w:szCs w:val="20"/>
        </w:rPr>
      </w:pPr>
    </w:p>
    <w:p>
      <w:pPr>
        <w:pStyle w:val="Heading3"/>
        <w:spacing w:line="240" w:lineRule="auto" w:before="158"/>
        <w:ind w:right="0"/>
        <w:jc w:val="left"/>
        <w:rPr>
          <w:b w:val="0"/>
          <w:bCs w:val="0"/>
        </w:rPr>
      </w:pPr>
      <w:bookmarkStart w:name="（2）重要联营企业的主要财务信息" w:id="321"/>
      <w:bookmarkEnd w:id="321"/>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2"/>
              <w:ind w:left="691" w:right="0"/>
              <w:jc w:val="left"/>
              <w:rPr>
                <w:rFonts w:ascii="宋体" w:hAnsi="宋体" w:cs="宋体" w:eastAsia="宋体" w:hint="default"/>
                <w:sz w:val="18"/>
                <w:szCs w:val="18"/>
              </w:rPr>
            </w:pPr>
            <w:r>
              <w:rPr>
                <w:rFonts w:ascii="宋体" w:hAnsi="宋体" w:cs="宋体" w:eastAsia="宋体" w:hint="default"/>
                <w:sz w:val="18"/>
                <w:szCs w:val="18"/>
              </w:rPr>
              <w:t>安粮期货股份有限公司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安粮期货股份有限公司</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1,631,719,195.67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1,669,908,265.18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178,977,144.64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368,325,773.52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1,810,696,340.31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2,038,234,038.70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1,150,299,009.27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1,407,399,357.46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8,197,408.78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4,435,382.55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1,158,496,418.05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1,411,834,740.01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652,199,922.26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626,399,298.69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260,879,968.91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250,559,719.48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16,627,454.92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16,589,806.69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15,024,745.50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15,024,745.50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-37,648.23</w:t>
            </w:r>
            <w:r>
              <w:rPr>
                <w:rFonts w:ascii="Times New Roman"/>
                <w:sz w:val="18"/>
              </w:rPr>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1,602,709.42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1,602,709.42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277,507,423.83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267,149,526.17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816,503,920.17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966,299,541.55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35,794,997.51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27,800,175.38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-334,873.94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370,425.00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35,460,123.57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28,170,600.38</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3,863,800.00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8,457,947.54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不重要的合营企业和联营企业的汇总财务信息" w:id="322"/>
      <w:bookmarkEnd w:id="322"/>
      <w:r>
        <w:rPr>
          <w:b w:val="0"/>
          <w:bCs w:val="0"/>
        </w:rPr>
      </w:r>
      <w:r>
        <w:rPr/>
        <w:t>（</w:t>
      </w:r>
      <w:r>
        <w:rPr>
          <w:rFonts w:ascii="Times New Roman" w:hAnsi="Times New Roman" w:cs="Times New Roman" w:eastAsia="Times New Roman" w:hint="default"/>
        </w:rPr>
        <w:t>3</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38,860,824.52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41,528,828.02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-2,603,135.58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-2,680,998.95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21" w:right="0"/>
              <w:jc w:val="left"/>
              <w:rPr>
                <w:rFonts w:ascii="Times New Roman" w:hAnsi="Times New Roman" w:cs="Times New Roman" w:eastAsia="Times New Roman" w:hint="default"/>
                <w:sz w:val="18"/>
                <w:szCs w:val="18"/>
              </w:rPr>
            </w:pPr>
            <w:r>
              <w:rPr>
                <w:rFonts w:ascii="Times New Roman"/>
                <w:sz w:val="18"/>
              </w:rPr>
              <w:t>-2,603,135.58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-2,680,998.95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在未纳入合并财务报表范围的结构化主体中的权益" w:id="323"/>
      <w:bookmarkEnd w:id="323"/>
      <w:r>
        <w:rPr>
          <w:b w:val="0"/>
          <w:bCs w:val="0"/>
        </w:rPr>
      </w:r>
      <w:r>
        <w:rPr>
          <w:rFonts w:ascii="Times New Roman" w:hAnsi="Times New Roman" w:cs="Times New Roman" w:eastAsia="Times New Roman" w:hint="default"/>
        </w:rPr>
        <w:t>3</w:t>
      </w:r>
      <w:r>
        <w:rPr/>
        <w:t>、在未纳入合并财务报表范围的结构化主体中的权益</w:t>
      </w:r>
      <w:r>
        <w:rPr>
          <w:b w:val="0"/>
          <w:bCs w:val="0"/>
        </w:rPr>
      </w:r>
    </w:p>
    <w:p>
      <w:pPr>
        <w:spacing w:line="240" w:lineRule="auto" w:before="5"/>
        <w:rPr>
          <w:rFonts w:ascii="宋体" w:hAnsi="宋体" w:cs="宋体" w:eastAsia="宋体" w:hint="default"/>
          <w:b/>
          <w:bCs/>
          <w:sz w:val="25"/>
          <w:szCs w:val="25"/>
        </w:rPr>
      </w:pPr>
    </w:p>
    <w:p>
      <w:pPr>
        <w:pStyle w:val="BodyText"/>
        <w:spacing w:line="321" w:lineRule="auto"/>
        <w:ind w:right="4938"/>
        <w:jc w:val="left"/>
      </w:pPr>
      <w:r>
        <w:rPr>
          <w:spacing w:val="-1"/>
        </w:rPr>
        <w:t>未纳入合并财务报表范围的结构化主体的相关说明：</w:t>
      </w:r>
      <w:r>
        <w:rPr>
          <w:spacing w:val="-82"/>
        </w:rPr>
        <w:t> </w:t>
      </w:r>
      <w:r>
        <w:rPr>
          <w:spacing w:val="-82"/>
        </w:rPr>
      </w:r>
      <w:r>
        <w:rPr/>
        <w:t>未纳入合并财务报表范围的结构化主体：</w:t>
      </w:r>
    </w:p>
    <w:p>
      <w:pPr>
        <w:spacing w:line="240" w:lineRule="auto" w:before="4"/>
        <w:rPr>
          <w:rFonts w:ascii="宋体" w:hAnsi="宋体" w:cs="宋体" w:eastAsia="宋体" w:hint="default"/>
          <w:sz w:val="20"/>
          <w:szCs w:val="2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558"/>
        <w:gridCol w:w="1740"/>
        <w:gridCol w:w="1804"/>
        <w:gridCol w:w="1554"/>
        <w:gridCol w:w="1985"/>
      </w:tblGrid>
      <w:tr>
        <w:trPr>
          <w:trHeight w:val="654" w:hRule="exact"/>
        </w:trPr>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72" w:right="0"/>
              <w:jc w:val="left"/>
              <w:rPr>
                <w:rFonts w:ascii="宋体" w:hAnsi="宋体" w:cs="宋体" w:eastAsia="宋体" w:hint="default"/>
                <w:sz w:val="20"/>
                <w:szCs w:val="20"/>
              </w:rPr>
            </w:pPr>
            <w:r>
              <w:rPr>
                <w:rFonts w:ascii="宋体" w:hAnsi="宋体" w:cs="宋体" w:eastAsia="宋体" w:hint="default"/>
                <w:sz w:val="20"/>
                <w:szCs w:val="20"/>
              </w:rPr>
              <w:t>持有信托产品子公司名称</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64" w:right="0"/>
              <w:jc w:val="left"/>
              <w:rPr>
                <w:rFonts w:ascii="宋体" w:hAnsi="宋体" w:cs="宋体" w:eastAsia="宋体" w:hint="default"/>
                <w:sz w:val="20"/>
                <w:szCs w:val="20"/>
              </w:rPr>
            </w:pPr>
            <w:r>
              <w:rPr>
                <w:rFonts w:ascii="宋体" w:hAnsi="宋体" w:cs="宋体" w:eastAsia="宋体" w:hint="default"/>
                <w:sz w:val="20"/>
                <w:szCs w:val="20"/>
              </w:rPr>
              <w:t>信托产品名称</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496" w:right="0"/>
              <w:jc w:val="left"/>
              <w:rPr>
                <w:rFonts w:ascii="宋体" w:hAnsi="宋体" w:cs="宋体" w:eastAsia="宋体" w:hint="default"/>
                <w:sz w:val="20"/>
                <w:szCs w:val="20"/>
              </w:rPr>
            </w:pPr>
            <w:r>
              <w:rPr>
                <w:rFonts w:ascii="宋体" w:hAnsi="宋体" w:cs="宋体" w:eastAsia="宋体" w:hint="default"/>
                <w:sz w:val="20"/>
                <w:szCs w:val="20"/>
              </w:rPr>
              <w:t>信托公司</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宋体" w:hAnsi="宋体" w:cs="宋体" w:eastAsia="宋体" w:hint="default"/>
                <w:sz w:val="20"/>
                <w:szCs w:val="20"/>
              </w:rPr>
            </w:pPr>
            <w:r>
              <w:rPr>
                <w:rFonts w:ascii="宋体" w:hAnsi="宋体" w:cs="宋体" w:eastAsia="宋体" w:hint="default"/>
                <w:sz w:val="20"/>
                <w:szCs w:val="20"/>
              </w:rPr>
              <w:t>信托产品存续期</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4"/>
              <w:ind w:left="686" w:right="35" w:hanging="650"/>
              <w:jc w:val="left"/>
              <w:rPr>
                <w:rFonts w:ascii="宋体" w:hAnsi="宋体" w:cs="宋体" w:eastAsia="宋体" w:hint="default"/>
                <w:sz w:val="20"/>
                <w:szCs w:val="20"/>
              </w:rPr>
            </w:pPr>
            <w:r>
              <w:rPr>
                <w:rFonts w:ascii="宋体" w:hAnsi="宋体" w:cs="宋体" w:eastAsia="宋体" w:hint="default"/>
                <w:sz w:val="20"/>
                <w:szCs w:val="20"/>
              </w:rPr>
              <w:t>截止</w:t>
            </w:r>
            <w:r>
              <w:rPr>
                <w:rFonts w:ascii="Times New Roman" w:hAnsi="Times New Roman" w:cs="Times New Roman" w:eastAsia="Times New Roman" w:hint="default"/>
                <w:sz w:val="20"/>
                <w:szCs w:val="20"/>
              </w:rPr>
              <w:t>2018.12.31</w:t>
            </w:r>
            <w:r>
              <w:rPr>
                <w:rFonts w:ascii="宋体" w:hAnsi="宋体" w:cs="宋体" w:eastAsia="宋体" w:hint="default"/>
                <w:sz w:val="20"/>
                <w:szCs w:val="20"/>
              </w:rPr>
              <w:t>信托产</w:t>
            </w:r>
            <w:r>
              <w:rPr>
                <w:rFonts w:ascii="宋体" w:hAnsi="宋体" w:cs="宋体" w:eastAsia="宋体" w:hint="default"/>
                <w:w w:val="100"/>
                <w:sz w:val="20"/>
                <w:szCs w:val="20"/>
              </w:rPr>
              <w:t> </w:t>
            </w:r>
            <w:r>
              <w:rPr>
                <w:rFonts w:ascii="宋体" w:hAnsi="宋体" w:cs="宋体" w:eastAsia="宋体" w:hint="default"/>
                <w:sz w:val="20"/>
                <w:szCs w:val="20"/>
              </w:rPr>
              <w:t>品余额</w:t>
            </w:r>
          </w:p>
        </w:tc>
      </w:tr>
      <w:tr>
        <w:trPr>
          <w:trHeight w:val="654" w:hRule="exact"/>
        </w:trPr>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 w:right="-6"/>
              <w:jc w:val="left"/>
              <w:rPr>
                <w:rFonts w:ascii="宋体" w:hAnsi="宋体" w:cs="宋体" w:eastAsia="宋体" w:hint="default"/>
                <w:sz w:val="20"/>
                <w:szCs w:val="20"/>
              </w:rPr>
            </w:pPr>
            <w:r>
              <w:rPr>
                <w:rFonts w:ascii="宋体" w:hAnsi="宋体" w:cs="宋体" w:eastAsia="宋体" w:hint="default"/>
                <w:spacing w:val="11"/>
                <w:sz w:val="20"/>
                <w:szCs w:val="20"/>
              </w:rPr>
              <w:t>深圳中金财富互联网金融服</w:t>
            </w:r>
            <w:r>
              <w:rPr>
                <w:rFonts w:ascii="宋体" w:hAnsi="宋体" w:cs="宋体" w:eastAsia="宋体" w:hint="default"/>
                <w:spacing w:val="-84"/>
                <w:sz w:val="20"/>
                <w:szCs w:val="20"/>
              </w:rPr>
              <w:t> </w:t>
            </w:r>
            <w:r>
              <w:rPr>
                <w:rFonts w:ascii="宋体" w:hAnsi="宋体" w:cs="宋体" w:eastAsia="宋体" w:hint="default"/>
                <w:sz w:val="20"/>
                <w:szCs w:val="20"/>
              </w:rPr>
              <w:t>务有限公司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 w:right="123"/>
              <w:jc w:val="left"/>
              <w:rPr>
                <w:rFonts w:ascii="宋体" w:hAnsi="宋体" w:cs="宋体" w:eastAsia="宋体" w:hint="default"/>
                <w:sz w:val="20"/>
                <w:szCs w:val="20"/>
              </w:rPr>
            </w:pPr>
            <w:r>
              <w:rPr>
                <w:rFonts w:ascii="宋体" w:hAnsi="宋体" w:cs="宋体" w:eastAsia="宋体" w:hint="default"/>
                <w:sz w:val="20"/>
                <w:szCs w:val="20"/>
              </w:rPr>
              <w:t>渤海汇和中小微企</w:t>
            </w:r>
            <w:r>
              <w:rPr>
                <w:rFonts w:ascii="宋体" w:hAnsi="宋体" w:cs="宋体" w:eastAsia="宋体" w:hint="default"/>
                <w:w w:val="100"/>
                <w:sz w:val="20"/>
                <w:szCs w:val="20"/>
              </w:rPr>
              <w:t> </w:t>
            </w:r>
            <w:r>
              <w:rPr>
                <w:rFonts w:ascii="宋体" w:hAnsi="宋体" w:cs="宋体" w:eastAsia="宋体" w:hint="default"/>
                <w:sz w:val="20"/>
                <w:szCs w:val="20"/>
              </w:rPr>
              <w:t>业集合信托</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96" w:right="94" w:hanging="400"/>
              <w:jc w:val="left"/>
              <w:rPr>
                <w:rFonts w:ascii="宋体" w:hAnsi="宋体" w:cs="宋体" w:eastAsia="宋体" w:hint="default"/>
                <w:sz w:val="20"/>
                <w:szCs w:val="20"/>
              </w:rPr>
            </w:pPr>
            <w:r>
              <w:rPr>
                <w:rFonts w:ascii="宋体" w:hAnsi="宋体" w:cs="宋体" w:eastAsia="宋体" w:hint="default"/>
                <w:sz w:val="20"/>
                <w:szCs w:val="20"/>
              </w:rPr>
              <w:t>渤海国际信托股份</w:t>
            </w:r>
            <w:r>
              <w:rPr>
                <w:rFonts w:ascii="宋体" w:hAnsi="宋体" w:cs="宋体" w:eastAsia="宋体" w:hint="default"/>
                <w:w w:val="100"/>
                <w:sz w:val="20"/>
                <w:szCs w:val="20"/>
              </w:rPr>
              <w:t> </w:t>
            </w:r>
            <w:r>
              <w:rPr>
                <w:rFonts w:ascii="宋体" w:hAnsi="宋体" w:cs="宋体" w:eastAsia="宋体" w:hint="default"/>
                <w:sz w:val="20"/>
                <w:szCs w:val="20"/>
              </w:rPr>
              <w:t>有限公司</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2" w:right="0"/>
              <w:jc w:val="left"/>
              <w:rPr>
                <w:rFonts w:ascii="Times New Roman" w:hAnsi="Times New Roman" w:cs="Times New Roman" w:eastAsia="Times New Roman" w:hint="default"/>
                <w:sz w:val="20"/>
                <w:szCs w:val="20"/>
              </w:rPr>
            </w:pPr>
            <w:r>
              <w:rPr>
                <w:rFonts w:ascii="Times New Roman"/>
                <w:sz w:val="20"/>
              </w:rPr>
              <w:t>136,047,102.20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right="0"/>
        <w:jc w:val="both"/>
        <w:rPr>
          <w:b w:val="0"/>
          <w:bCs w:val="0"/>
        </w:rPr>
      </w:pPr>
      <w:bookmarkStart w:name="十、与金融工具相关的风险" w:id="324"/>
      <w:bookmarkEnd w:id="324"/>
      <w:r>
        <w:rPr>
          <w:b w:val="0"/>
          <w:bCs w:val="0"/>
        </w:rPr>
      </w:r>
      <w:r>
        <w:rPr/>
        <w:t>十、与金融工具相关的风险</w:t>
      </w:r>
      <w:r>
        <w:rPr>
          <w:b w:val="0"/>
          <w:bCs w:val="0"/>
        </w:rPr>
      </w:r>
    </w:p>
    <w:p>
      <w:pPr>
        <w:spacing w:line="240" w:lineRule="auto" w:before="3"/>
        <w:rPr>
          <w:rFonts w:ascii="宋体" w:hAnsi="宋体" w:cs="宋体" w:eastAsia="宋体" w:hint="default"/>
          <w:b/>
          <w:bCs/>
          <w:sz w:val="31"/>
          <w:szCs w:val="31"/>
        </w:rPr>
      </w:pPr>
    </w:p>
    <w:p>
      <w:pPr>
        <w:pStyle w:val="BodyText"/>
        <w:spacing w:line="429" w:lineRule="auto"/>
        <w:ind w:right="1169" w:firstLine="399"/>
        <w:jc w:val="both"/>
      </w:pPr>
      <w:r>
        <w:rPr>
          <w:spacing w:val="-1"/>
        </w:rPr>
        <w:t>本公司的主要金融工具包括应收款项、应付款项、可供出售金融资产等，各项金融工具的详细情况说明见</w:t>
      </w:r>
      <w:r>
        <w:rPr>
          <w:w w:val="100"/>
        </w:rPr>
        <w:t> </w:t>
      </w:r>
      <w:r>
        <w:rPr>
          <w:spacing w:val="-1"/>
        </w:rPr>
        <w:t>本附注七。与这些金融工具有关的风险，以及本公司为降低这些风险所采取的的风险管理政策如下所述。本公</w:t>
      </w:r>
      <w:r>
        <w:rPr>
          <w:spacing w:val="-63"/>
        </w:rPr>
        <w:t> </w:t>
      </w:r>
      <w:r>
        <w:rPr>
          <w:spacing w:val="-63"/>
        </w:rPr>
      </w:r>
      <w:r>
        <w:rPr/>
        <w:t>司管理层对这些风险敞口进行管理和监控以确保将上述风险控制在限定的范围之内。</w:t>
      </w:r>
    </w:p>
    <w:p>
      <w:pPr>
        <w:pStyle w:val="BodyText"/>
        <w:spacing w:line="429" w:lineRule="auto" w:before="48"/>
        <w:ind w:left="553" w:right="0"/>
        <w:jc w:val="left"/>
      </w:pPr>
      <w:r>
        <w:rPr/>
        <w:t>各类风险的管理目标和政策</w:t>
      </w:r>
      <w:r>
        <w:rPr>
          <w:rFonts w:ascii="宋体" w:hAnsi="宋体" w:cs="宋体" w:eastAsia="宋体" w:hint="default"/>
        </w:rPr>
        <w:t>:</w:t>
      </w:r>
      <w:r>
        <w:rPr>
          <w:rFonts w:ascii="宋体" w:hAnsi="宋体" w:cs="宋体" w:eastAsia="宋体" w:hint="default"/>
          <w:w w:val="100"/>
        </w:rPr>
        <w:t> </w:t>
      </w:r>
      <w:r>
        <w:rPr>
          <w:spacing w:val="-1"/>
        </w:rPr>
        <w:t>本公司从事风险管理的目标是在风险和收益之间取得适当的平衡，将风险对本公司经营业绩的负面影响减</w:t>
      </w:r>
    </w:p>
    <w:p>
      <w:pPr>
        <w:pStyle w:val="BodyText"/>
        <w:spacing w:line="429" w:lineRule="auto" w:before="48"/>
        <w:ind w:right="1168"/>
        <w:jc w:val="both"/>
      </w:pPr>
      <w:r>
        <w:rPr>
          <w:spacing w:val="-1"/>
        </w:rPr>
        <w:t>低到最低水平，使股东及其他权益投资者的利益最大化。基于该风险管理目标，本公司风险管理的基本政策是</w:t>
      </w:r>
      <w:r>
        <w:rPr>
          <w:spacing w:val="-62"/>
        </w:rPr>
        <w:t> </w:t>
      </w:r>
      <w:r>
        <w:rPr>
          <w:spacing w:val="-62"/>
        </w:rPr>
      </w:r>
      <w:r>
        <w:rPr>
          <w:spacing w:val="-1"/>
        </w:rPr>
        <w:t>确定和分析本公司所面临的各种风险，建立适当的风险承受底线并进行风险管理，并及时可靠地对各种风险进</w:t>
      </w:r>
      <w:r>
        <w:rPr>
          <w:spacing w:val="-63"/>
        </w:rPr>
        <w:t> </w:t>
      </w:r>
      <w:r>
        <w:rPr>
          <w:spacing w:val="-63"/>
        </w:rPr>
      </w:r>
      <w:r>
        <w:rPr/>
        <w:t>行监督，将风险控制在限定的范围之内。</w:t>
      </w:r>
    </w:p>
    <w:p>
      <w:pPr>
        <w:pStyle w:val="BodyText"/>
        <w:spacing w:line="429" w:lineRule="auto" w:before="48"/>
        <w:ind w:left="553" w:right="3545"/>
        <w:jc w:val="left"/>
      </w:pPr>
      <w:r>
        <w:rPr>
          <w:spacing w:val="-1"/>
        </w:rPr>
        <w:t>本公司金融工具的风险主要是信用风险、市场风险、流动性风险。</w:t>
      </w:r>
      <w:r>
        <w:rPr>
          <w:spacing w:val="-78"/>
        </w:rPr>
        <w:t> </w:t>
      </w:r>
      <w:r>
        <w:rPr>
          <w:spacing w:val="-78"/>
        </w:rPr>
      </w:r>
      <w:r>
        <w:rPr>
          <w:rFonts w:ascii="宋体" w:hAnsi="宋体" w:cs="宋体" w:eastAsia="宋体" w:hint="default"/>
        </w:rPr>
        <w:t>(</w:t>
      </w:r>
      <w:r>
        <w:rPr/>
        <w:t>一</w:t>
      </w:r>
      <w:r>
        <w:rPr>
          <w:rFonts w:ascii="宋体" w:hAnsi="宋体" w:cs="宋体" w:eastAsia="宋体" w:hint="default"/>
        </w:rPr>
        <w:t>)</w:t>
      </w:r>
      <w:r>
        <w:rPr/>
        <w:t>信用风险</w:t>
      </w:r>
    </w:p>
    <w:p>
      <w:pPr>
        <w:pStyle w:val="BodyText"/>
        <w:spacing w:line="429" w:lineRule="auto" w:before="48"/>
        <w:ind w:right="1168" w:firstLine="399"/>
        <w:jc w:val="both"/>
      </w:pPr>
      <w:r>
        <w:rPr>
          <w:spacing w:val="-1"/>
        </w:rPr>
        <w:t>信用风险是指金融工具的一方不履行义务，造成另一方发生财务损失的风险。本公司主要面临赊销导致的</w:t>
      </w:r>
      <w:r>
        <w:rPr>
          <w:w w:val="100"/>
        </w:rPr>
        <w:t> </w:t>
      </w:r>
      <w:r>
        <w:rPr>
          <w:spacing w:val="-1"/>
        </w:rPr>
        <w:t>客户信用风险。在签订新合同之前，本公司会对新客户的信用风险进行评估，包括外部信用评级和在某些情况</w:t>
      </w:r>
      <w:r>
        <w:rPr>
          <w:spacing w:val="-63"/>
        </w:rPr>
        <w:t> </w:t>
      </w:r>
      <w:r>
        <w:rPr>
          <w:spacing w:val="-63"/>
        </w:rPr>
      </w:r>
      <w:r>
        <w:rPr>
          <w:spacing w:val="-1"/>
        </w:rPr>
        <w:t>下的银行资信证明（当此信息可获取时）。公司对每一客户均设置了赊销限额，该限额为无需获得额外批准的</w:t>
      </w:r>
      <w:r>
        <w:rPr>
          <w:spacing w:val="-62"/>
        </w:rPr>
        <w:t> </w:t>
      </w:r>
      <w:r>
        <w:rPr>
          <w:spacing w:val="-62"/>
        </w:rPr>
      </w:r>
      <w:r>
        <w:rPr/>
        <w:t>最大额度。</w:t>
      </w:r>
    </w:p>
    <w:p>
      <w:pPr>
        <w:pStyle w:val="BodyText"/>
        <w:spacing w:line="429" w:lineRule="auto" w:before="48"/>
        <w:ind w:right="1168" w:firstLine="399"/>
        <w:jc w:val="both"/>
      </w:pPr>
      <w:r>
        <w:rPr>
          <w:spacing w:val="-1"/>
        </w:rPr>
        <w:t>公司通过对已有客户信用评级的季度监控以及应收账款账龄分析的月度审核来确保公司的整体信用风险在</w:t>
      </w:r>
      <w:r>
        <w:rPr>
          <w:w w:val="100"/>
        </w:rPr>
        <w:t> </w:t>
      </w:r>
      <w:r>
        <w:rPr>
          <w:spacing w:val="-1"/>
        </w:rPr>
        <w:t>可控的范围内。在监控客户的信用风险时，按照客户的信用特征对其分组。被评为“高风险”级别的客户会放</w:t>
      </w:r>
      <w:r>
        <w:rPr>
          <w:spacing w:val="-61"/>
        </w:rPr>
        <w:t> </w:t>
      </w:r>
      <w:r>
        <w:rPr>
          <w:spacing w:val="-61"/>
        </w:rPr>
      </w:r>
      <w:r>
        <w:rPr>
          <w:spacing w:val="-1"/>
        </w:rPr>
        <w:t>在受限制客户名单里，并且只有在额外批准的前提下，公司才可在未来期间内对其赊销，否则必须要求其提前</w:t>
      </w:r>
      <w:r>
        <w:rPr>
          <w:spacing w:val="-63"/>
        </w:rPr>
        <w:t> </w:t>
      </w:r>
      <w:r>
        <w:rPr>
          <w:spacing w:val="-63"/>
        </w:rPr>
      </w:r>
      <w:r>
        <w:rPr/>
        <w:t>支付相应款项。</w:t>
      </w:r>
    </w:p>
    <w:p>
      <w:pPr>
        <w:pStyle w:val="BodyText"/>
        <w:spacing w:line="240" w:lineRule="auto" w:before="48"/>
        <w:ind w:left="553" w:right="0"/>
        <w:jc w:val="left"/>
      </w:pPr>
      <w:r>
        <w:rPr>
          <w:rFonts w:ascii="宋体" w:hAnsi="宋体" w:cs="宋体" w:eastAsia="宋体" w:hint="default"/>
        </w:rPr>
        <w:t>(</w:t>
      </w:r>
      <w:r>
        <w:rPr/>
        <w:t>二）市场风险</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29" w:lineRule="auto"/>
        <w:ind w:right="0" w:firstLine="399"/>
        <w:jc w:val="left"/>
      </w:pPr>
      <w:r>
        <w:rPr>
          <w:spacing w:val="-1"/>
        </w:rPr>
        <w:t>金融工具的市场风险，是指金融工具的公允价值或未来现金流量因市场价格变动而发生波动的风险，包括</w:t>
      </w:r>
      <w:r>
        <w:rPr>
          <w:w w:val="100"/>
        </w:rPr>
        <w:t> </w:t>
      </w:r>
      <w:r>
        <w:rPr/>
        <w:t>汇率风险、利率风险和其他价格风险。</w:t>
      </w:r>
    </w:p>
    <w:p>
      <w:pPr>
        <w:pStyle w:val="BodyText"/>
        <w:spacing w:line="429" w:lineRule="auto" w:before="48"/>
        <w:ind w:left="553" w:right="2474"/>
        <w:jc w:val="left"/>
      </w:pPr>
      <w:r>
        <w:rPr/>
        <w:t>（</w:t>
      </w:r>
      <w:r>
        <w:rPr>
          <w:rFonts w:ascii="宋体" w:hAnsi="宋体" w:cs="宋体" w:eastAsia="宋体" w:hint="default"/>
        </w:rPr>
        <w:t>1</w:t>
      </w:r>
      <w:r>
        <w:rPr/>
        <w:t>）利率风险</w:t>
      </w:r>
      <w:r>
        <w:rPr>
          <w:w w:val="100"/>
        </w:rPr>
        <w:t> </w:t>
      </w:r>
      <w:r>
        <w:rPr>
          <w:spacing w:val="-1"/>
        </w:rPr>
        <w:t>利率风险，是指金融工具的公允价值或未来现金流量因市场利率变动而发生波动的风险。</w:t>
      </w:r>
    </w:p>
    <w:p>
      <w:pPr>
        <w:pStyle w:val="BodyText"/>
        <w:spacing w:line="429" w:lineRule="auto" w:before="48"/>
        <w:ind w:left="553" w:right="2474"/>
        <w:jc w:val="left"/>
      </w:pPr>
      <w:r>
        <w:rPr/>
        <w:t>（</w:t>
      </w:r>
      <w:r>
        <w:rPr>
          <w:rFonts w:ascii="宋体" w:hAnsi="宋体" w:cs="宋体" w:eastAsia="宋体" w:hint="default"/>
        </w:rPr>
        <w:t>2</w:t>
      </w:r>
      <w:r>
        <w:rPr/>
        <w:t>）汇率风险</w:t>
      </w:r>
      <w:r>
        <w:rPr>
          <w:w w:val="100"/>
        </w:rPr>
        <w:t> </w:t>
      </w:r>
      <w:r>
        <w:rPr>
          <w:spacing w:val="-1"/>
        </w:rPr>
        <w:t>汇率风险，是指金融工具的公允价值或未来现金流量因外汇汇率变动而发生波动的风险。</w:t>
      </w:r>
      <w:r>
        <w:rPr>
          <w:spacing w:val="-70"/>
        </w:rPr>
        <w:t> </w:t>
      </w:r>
      <w:r>
        <w:rPr>
          <w:spacing w:val="-70"/>
        </w:rPr>
      </w:r>
      <w:r>
        <w:rPr/>
        <w:t>本公司本期以美元计价的金融资产和金融负债金额较小，无汇率风险。</w:t>
      </w:r>
    </w:p>
    <w:p>
      <w:pPr>
        <w:pStyle w:val="BodyText"/>
        <w:spacing w:line="429" w:lineRule="auto" w:before="48"/>
        <w:ind w:left="553" w:right="8653"/>
        <w:jc w:val="left"/>
      </w:pPr>
      <w:r>
        <w:rPr/>
        <w:t>（</w:t>
      </w:r>
      <w:r>
        <w:rPr>
          <w:rFonts w:ascii="宋体" w:hAnsi="宋体" w:cs="宋体" w:eastAsia="宋体" w:hint="default"/>
        </w:rPr>
        <w:t>3</w:t>
      </w:r>
      <w:r>
        <w:rPr/>
        <w:t>）其他价格风险</w:t>
      </w:r>
      <w:r>
        <w:rPr>
          <w:w w:val="100"/>
        </w:rPr>
        <w:t> </w:t>
      </w:r>
      <w:r>
        <w:rPr/>
        <w:t>无</w:t>
      </w:r>
    </w:p>
    <w:p>
      <w:pPr>
        <w:pStyle w:val="BodyText"/>
        <w:spacing w:line="429" w:lineRule="auto" w:before="48"/>
        <w:ind w:left="553" w:right="0"/>
        <w:jc w:val="left"/>
      </w:pPr>
      <w:r>
        <w:rPr>
          <w:rFonts w:ascii="宋体" w:hAnsi="宋体" w:cs="宋体" w:eastAsia="宋体" w:hint="default"/>
        </w:rPr>
        <w:t>(</w:t>
      </w:r>
      <w:r>
        <w:rPr/>
        <w:t>三</w:t>
      </w:r>
      <w:r>
        <w:rPr>
          <w:rFonts w:ascii="宋体" w:hAnsi="宋体" w:cs="宋体" w:eastAsia="宋体" w:hint="default"/>
        </w:rPr>
        <w:t>)</w:t>
      </w:r>
      <w:r>
        <w:rPr/>
        <w:t>流动性风险</w:t>
      </w:r>
      <w:r>
        <w:rPr>
          <w:w w:val="100"/>
        </w:rPr>
        <w:t> </w:t>
      </w:r>
      <w:r>
        <w:rPr>
          <w:spacing w:val="-1"/>
        </w:rPr>
        <w:t>流动风险，是指企业在履行以交付现金或其他金融资产的方式结算的义务时发生资金短缺的风险。本公司</w:t>
      </w:r>
    </w:p>
    <w:p>
      <w:pPr>
        <w:pStyle w:val="BodyText"/>
        <w:spacing w:line="429" w:lineRule="auto" w:before="48"/>
        <w:ind w:right="1168"/>
        <w:jc w:val="both"/>
      </w:pPr>
      <w:r>
        <w:rPr>
          <w:spacing w:val="-1"/>
        </w:rPr>
        <w:t>的政策是确保拥有充足的现金以偿还到期债务。流动性风险由本公司的财务部门集中控制。财务部门通过监控</w:t>
      </w:r>
      <w:r>
        <w:rPr>
          <w:spacing w:val="-63"/>
        </w:rPr>
        <w:t> </w:t>
      </w:r>
      <w:r>
        <w:rPr>
          <w:spacing w:val="-63"/>
        </w:rPr>
      </w:r>
      <w:r>
        <w:rPr>
          <w:spacing w:val="-1"/>
        </w:rPr>
        <w:t>现金余额、可随时变现的有价证券以及对未来</w:t>
      </w:r>
      <w:r>
        <w:rPr>
          <w:rFonts w:ascii="宋体" w:hAnsi="宋体" w:cs="宋体" w:eastAsia="宋体" w:hint="default"/>
          <w:spacing w:val="-1"/>
        </w:rPr>
        <w:t>12</w:t>
      </w:r>
      <w:r>
        <w:rPr>
          <w:spacing w:val="-1"/>
        </w:rPr>
        <w:t>个月现金流量的滚动预测，确保公司在所有合理预测的情况下</w:t>
      </w:r>
      <w:r>
        <w:rPr>
          <w:spacing w:val="-63"/>
        </w:rPr>
        <w:t> </w:t>
      </w:r>
      <w:r>
        <w:rPr>
          <w:spacing w:val="-63"/>
        </w:rPr>
      </w:r>
      <w:r>
        <w:rPr/>
        <w:t>拥有充足的资金偿还债务。</w:t>
      </w:r>
    </w:p>
    <w:p>
      <w:pPr>
        <w:pStyle w:val="BodyText"/>
        <w:spacing w:line="240" w:lineRule="auto" w:before="48"/>
        <w:ind w:left="553" w:right="0"/>
        <w:jc w:val="left"/>
      </w:pPr>
      <w:r>
        <w:rPr/>
        <w:t>本公司各项金融负债以未折现的合同现金流量按到期日列示如下：</w:t>
      </w:r>
    </w:p>
    <w:p>
      <w:pPr>
        <w:spacing w:line="240" w:lineRule="auto" w:before="3"/>
        <w:rPr>
          <w:rFonts w:ascii="宋体" w:hAnsi="宋体" w:cs="宋体" w:eastAsia="宋体" w:hint="default"/>
          <w:sz w:val="10"/>
          <w:szCs w:val="10"/>
        </w:rPr>
      </w:pPr>
    </w:p>
    <w:tbl>
      <w:tblPr>
        <w:tblW w:w="0" w:type="auto"/>
        <w:jc w:val="left"/>
        <w:tblInd w:w="750" w:type="dxa"/>
        <w:tblLayout w:type="fixed"/>
        <w:tblCellMar>
          <w:top w:w="0" w:type="dxa"/>
          <w:left w:w="0" w:type="dxa"/>
          <w:bottom w:w="0" w:type="dxa"/>
          <w:right w:w="0" w:type="dxa"/>
        </w:tblCellMar>
        <w:tblLook w:val="01E0"/>
      </w:tblPr>
      <w:tblGrid>
        <w:gridCol w:w="1188"/>
        <w:gridCol w:w="1075"/>
        <w:gridCol w:w="909"/>
        <w:gridCol w:w="1697"/>
        <w:gridCol w:w="920"/>
        <w:gridCol w:w="767"/>
        <w:gridCol w:w="1253"/>
      </w:tblGrid>
      <w:tr>
        <w:trPr>
          <w:trHeight w:val="342" w:hRule="exact"/>
        </w:trPr>
        <w:tc>
          <w:tcPr>
            <w:tcW w:w="1188" w:type="dxa"/>
            <w:vMerge w:val="restart"/>
            <w:tcBorders>
              <w:top w:val="single" w:sz="4" w:space="0" w:color="000000"/>
              <w:left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62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2" w:hRule="exact"/>
        </w:trPr>
        <w:tc>
          <w:tcPr>
            <w:tcW w:w="1188" w:type="dxa"/>
            <w:vMerge/>
            <w:tcBorders>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个月以内</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个月</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年</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2"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中财债</w:t>
            </w:r>
          </w:p>
        </w:tc>
        <w:tc>
          <w:tcPr>
            <w:tcW w:w="1075" w:type="dxa"/>
            <w:tcBorders>
              <w:top w:val="single" w:sz="4" w:space="0" w:color="000000"/>
              <w:left w:val="single" w:sz="4" w:space="0" w:color="000000"/>
              <w:bottom w:val="single" w:sz="4" w:space="0" w:color="000000"/>
              <w:right w:val="single" w:sz="4" w:space="0" w:color="000000"/>
            </w:tcBorders>
          </w:tcPr>
          <w:p>
            <w:pPr/>
          </w:p>
        </w:tc>
        <w:tc>
          <w:tcPr>
            <w:tcW w:w="909"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75" w:type="dxa"/>
            <w:tcBorders>
              <w:top w:val="single" w:sz="4" w:space="0" w:color="000000"/>
              <w:left w:val="single" w:sz="4" w:space="0" w:color="000000"/>
              <w:bottom w:val="single" w:sz="4" w:space="0" w:color="000000"/>
              <w:right w:val="single" w:sz="4" w:space="0" w:color="000000"/>
            </w:tcBorders>
          </w:tcPr>
          <w:p>
            <w:pPr/>
          </w:p>
        </w:tc>
        <w:tc>
          <w:tcPr>
            <w:tcW w:w="909"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23"/>
          <w:szCs w:val="23"/>
        </w:rPr>
      </w:pPr>
    </w:p>
    <w:tbl>
      <w:tblPr>
        <w:tblW w:w="0" w:type="auto"/>
        <w:jc w:val="left"/>
        <w:tblInd w:w="750" w:type="dxa"/>
        <w:tblLayout w:type="fixed"/>
        <w:tblCellMar>
          <w:top w:w="0" w:type="dxa"/>
          <w:left w:w="0" w:type="dxa"/>
          <w:bottom w:w="0" w:type="dxa"/>
          <w:right w:w="0" w:type="dxa"/>
        </w:tblCellMar>
        <w:tblLook w:val="01E0"/>
      </w:tblPr>
      <w:tblGrid>
        <w:gridCol w:w="1160"/>
        <w:gridCol w:w="1051"/>
        <w:gridCol w:w="782"/>
        <w:gridCol w:w="1341"/>
        <w:gridCol w:w="1357"/>
        <w:gridCol w:w="777"/>
        <w:gridCol w:w="1362"/>
      </w:tblGrid>
      <w:tr>
        <w:trPr>
          <w:trHeight w:val="342" w:hRule="exact"/>
        </w:trPr>
        <w:tc>
          <w:tcPr>
            <w:tcW w:w="1160" w:type="dxa"/>
            <w:vMerge w:val="restart"/>
            <w:tcBorders>
              <w:top w:val="single" w:sz="4" w:space="0" w:color="000000"/>
              <w:left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67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2" w:hRule="exact"/>
        </w:trPr>
        <w:tc>
          <w:tcPr>
            <w:tcW w:w="1160" w:type="dxa"/>
            <w:vMerge/>
            <w:tcBorders>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个月以内</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个月</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年</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2"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中财债</w:t>
            </w:r>
          </w:p>
        </w:tc>
        <w:tc>
          <w:tcPr>
            <w:tcW w:w="105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236,214,594.00</w:t>
            </w:r>
          </w:p>
        </w:tc>
        <w:tc>
          <w:tcPr>
            <w:tcW w:w="1357" w:type="dxa"/>
            <w:tcBorders>
              <w:top w:val="single" w:sz="4" w:space="0" w:color="000000"/>
              <w:left w:val="single" w:sz="4" w:space="0" w:color="000000"/>
              <w:bottom w:val="single" w:sz="4" w:space="0" w:color="000000"/>
              <w:right w:val="single" w:sz="4" w:space="0" w:color="000000"/>
            </w:tcBorders>
          </w:tcPr>
          <w:p>
            <w:pPr/>
          </w:p>
        </w:tc>
        <w:tc>
          <w:tcPr>
            <w:tcW w:w="777"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236,214,594.00</w:t>
            </w:r>
          </w:p>
        </w:tc>
      </w:tr>
      <w:tr>
        <w:trPr>
          <w:trHeight w:val="343"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05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236,214,594.00</w:t>
            </w:r>
          </w:p>
        </w:tc>
        <w:tc>
          <w:tcPr>
            <w:tcW w:w="1357" w:type="dxa"/>
            <w:tcBorders>
              <w:top w:val="single" w:sz="4" w:space="0" w:color="000000"/>
              <w:left w:val="single" w:sz="4" w:space="0" w:color="000000"/>
              <w:bottom w:val="single" w:sz="4" w:space="0" w:color="000000"/>
              <w:right w:val="single" w:sz="4" w:space="0" w:color="000000"/>
            </w:tcBorders>
          </w:tcPr>
          <w:p>
            <w:pPr/>
          </w:p>
        </w:tc>
        <w:tc>
          <w:tcPr>
            <w:tcW w:w="777"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236,214,594.00</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一、关联方及关联交易" w:id="325"/>
      <w:bookmarkEnd w:id="325"/>
      <w:r>
        <w:rPr>
          <w:b w:val="0"/>
          <w:bCs w:val="0"/>
        </w:rPr>
      </w:r>
      <w:r>
        <w:rPr/>
        <w:t>十一、关联方及关联交易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企业的母公司情况" w:id="326"/>
      <w:bookmarkEnd w:id="326"/>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3"/>
        <w:rPr>
          <w:rFonts w:ascii="宋体" w:hAnsi="宋体" w:cs="宋体" w:eastAsia="宋体" w:hint="default"/>
          <w:b/>
          <w:bCs/>
          <w:sz w:val="31"/>
          <w:szCs w:val="31"/>
        </w:rPr>
      </w:pPr>
    </w:p>
    <w:p>
      <w:pPr>
        <w:pStyle w:val="BodyText"/>
        <w:spacing w:line="429" w:lineRule="auto"/>
        <w:ind w:right="6214"/>
        <w:jc w:val="left"/>
      </w:pPr>
      <w:r>
        <w:rPr>
          <w:spacing w:val="-1"/>
        </w:rPr>
        <w:t>本企业最终控制方是沈飒、朱烨东夫妇。</w:t>
      </w:r>
      <w:r>
        <w:rPr>
          <w:spacing w:val="-85"/>
        </w:rPr>
        <w:t> </w:t>
      </w:r>
      <w:r>
        <w:rPr>
          <w:spacing w:val="-85"/>
        </w:rPr>
      </w:r>
      <w:r>
        <w:rPr/>
        <w:t>其他说明：</w:t>
      </w:r>
    </w:p>
    <w:p>
      <w:pPr>
        <w:pStyle w:val="BodyText"/>
        <w:spacing w:line="240" w:lineRule="auto" w:before="48"/>
        <w:ind w:left="553" w:right="0"/>
        <w:jc w:val="left"/>
      </w:pPr>
      <w:r>
        <w:rPr/>
        <w:t>公司实际控制人为沈飒、朱烨东夫妇，本公司第一大股东为自然人沈飒，沈飒、朱烨东夫妇直接持有公司</w:t>
      </w:r>
    </w:p>
    <w:p>
      <w:pPr>
        <w:spacing w:line="240" w:lineRule="auto" w:before="10"/>
        <w:rPr>
          <w:rFonts w:ascii="宋体" w:hAnsi="宋体" w:cs="宋体" w:eastAsia="宋体" w:hint="default"/>
          <w:sz w:val="15"/>
          <w:szCs w:val="15"/>
        </w:rPr>
      </w:pPr>
    </w:p>
    <w:p>
      <w:pPr>
        <w:pStyle w:val="BodyText"/>
        <w:spacing w:line="240" w:lineRule="auto"/>
        <w:ind w:right="0"/>
        <w:jc w:val="left"/>
      </w:pPr>
      <w:r>
        <w:rPr>
          <w:rFonts w:ascii="Times New Roman" w:hAnsi="Times New Roman" w:cs="Times New Roman" w:eastAsia="Times New Roman" w:hint="default"/>
        </w:rPr>
        <w:t>17.88%</w:t>
      </w:r>
      <w:r>
        <w:rPr/>
        <w:t>的股份。陈绪华持有公司</w:t>
      </w:r>
      <w:r>
        <w:rPr>
          <w:rFonts w:ascii="Times New Roman" w:hAnsi="Times New Roman" w:cs="Times New Roman" w:eastAsia="Times New Roman" w:hint="default"/>
        </w:rPr>
        <w:t>0.002%</w:t>
      </w:r>
      <w:r>
        <w:rPr/>
        <w:t>的股份，沈飒、朱烨东、陈绪华为公司一致行动人。</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line="532" w:lineRule="auto" w:before="35"/>
        <w:ind w:left="154" w:right="4938" w:firstLine="0"/>
        <w:jc w:val="left"/>
        <w:rPr>
          <w:rFonts w:ascii="宋体" w:hAnsi="宋体" w:cs="宋体" w:eastAsia="宋体" w:hint="default"/>
          <w:sz w:val="21"/>
          <w:szCs w:val="21"/>
        </w:rPr>
      </w:pPr>
      <w:bookmarkStart w:name="2、本企业的子公司情况" w:id="327"/>
      <w:bookmarkEnd w:id="32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0"/>
          <w:szCs w:val="20"/>
        </w:rPr>
        <w:t>本企业子公司的情况详见附注九、在其他主体中的权益。</w:t>
      </w:r>
      <w:r>
        <w:rPr>
          <w:rFonts w:ascii="宋体" w:hAnsi="宋体" w:cs="宋体" w:eastAsia="宋体" w:hint="default"/>
          <w:w w:val="100"/>
          <w:sz w:val="20"/>
          <w:szCs w:val="20"/>
        </w:rPr>
        <w:t> </w:t>
      </w:r>
      <w:bookmarkStart w:name="3、本企业合营和联营企业情况" w:id="328"/>
      <w:bookmarkEnd w:id="328"/>
      <w:r>
        <w:rPr>
          <w:rFonts w:ascii="宋体" w:hAnsi="宋体" w:cs="宋体" w:eastAsia="宋体" w:hint="default"/>
          <w:w w:val="100"/>
          <w:sz w:val="20"/>
          <w:szCs w:val="20"/>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240" w:lineRule="auto" w:before="49"/>
        <w:ind w:right="0"/>
        <w:jc w:val="left"/>
      </w:pPr>
      <w:r>
        <w:rPr/>
        <w:t>本企业重要的合营或联营企业详见附注九、在其他主体中的权益。</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4、关联交易情况" w:id="329"/>
      <w:bookmarkEnd w:id="329"/>
      <w:r>
        <w:rPr>
          <w:b w:val="0"/>
          <w:bCs w:val="0"/>
        </w:rPr>
      </w:r>
      <w:r>
        <w:rPr>
          <w:rFonts w:ascii="Times New Roman" w:hAnsi="Times New Roman" w:cs="Times New Roman" w:eastAsia="Times New Roman" w:hint="default"/>
        </w:rPr>
        <w:t>4</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330"/>
      <w:bookmarkEnd w:id="330"/>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5"/>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7" w:footer="979" w:top="1060" w:bottom="1160" w:left="980" w:right="0"/>
        </w:sectPr>
      </w:pPr>
    </w:p>
    <w:p>
      <w:pPr>
        <w:pStyle w:val="BodyText"/>
        <w:spacing w:line="240" w:lineRule="auto" w:before="38"/>
        <w:ind w:right="-6"/>
        <w:jc w:val="left"/>
      </w:pPr>
      <w:r>
        <w:rPr>
          <w:spacing w:val="-1"/>
        </w:rPr>
        <w:t>采购商品</w:t>
      </w:r>
      <w:r>
        <w:rPr>
          <w:rFonts w:ascii="Times New Roman" w:hAnsi="Times New Roman" w:cs="Times New Roman" w:eastAsia="Times New Roman" w:hint="default"/>
          <w:spacing w:val="-1"/>
        </w:rPr>
        <w:t>/</w:t>
      </w:r>
      <w:r>
        <w:rPr>
          <w:spacing w:val="-1"/>
        </w:rPr>
        <w:t>接受劳务情况表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412" w:space="6418"/>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北京国信新网通讯 技术有限公司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设备采购</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2,433,568.38</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861,538.46</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深圳市金方达信息 技术有限公司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设备采购</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77,644.40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2,820,512.84</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深圳市金方达信息 技术有限公司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1,711,711.73</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金网络（北京）电 子商务有限公司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1,462,942.09</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北京奥金智策传媒 科技有限公司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43,787.92</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pStyle w:val="BodyText"/>
        <w:spacing w:line="240" w:lineRule="auto" w:before="35"/>
        <w:ind w:right="-6"/>
        <w:jc w:val="left"/>
      </w:pPr>
      <w:r>
        <w:rPr>
          <w:spacing w:val="-1"/>
        </w:rPr>
        <w:t>出售商品</w:t>
      </w:r>
      <w:r>
        <w:rPr>
          <w:rFonts w:ascii="Times New Roman" w:hAnsi="Times New Roman" w:cs="Times New Roman" w:eastAsia="Times New Roman" w:hint="default"/>
          <w:spacing w:val="-1"/>
        </w:rPr>
        <w:t>/</w:t>
      </w:r>
      <w:r>
        <w:rPr>
          <w:spacing w:val="-1"/>
        </w:rPr>
        <w:t>提供劳务情况表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412" w:space="6418"/>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金网络（北京）电子商务有限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2,327,735.86</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深圳中金财富互联网金融服务 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750,028.24</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北京中关村互联网金融信息服 务中心有限公司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94,339.62</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安粮期货股份有限公司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260,377.36</w:t>
            </w:r>
          </w:p>
        </w:tc>
        <w:tc>
          <w:tcPr>
            <w:tcW w:w="265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关联担保情况" w:id="331"/>
      <w:bookmarkEnd w:id="331"/>
      <w:r>
        <w:rPr>
          <w:b w:val="0"/>
          <w:bCs w:val="0"/>
        </w:rPr>
      </w:r>
      <w:r>
        <w:rPr/>
        <w:t>（</w:t>
      </w:r>
      <w:r>
        <w:rPr>
          <w:rFonts w:ascii="Times New Roman" w:hAnsi="Times New Roman" w:cs="Times New Roman" w:eastAsia="Times New Roman" w:hint="default"/>
        </w:rPr>
        <w:t>2</w:t>
      </w:r>
      <w:r>
        <w:rPr/>
        <w:t>）关联担保情况</w:t>
      </w:r>
      <w:r>
        <w:rPr>
          <w:b w:val="0"/>
          <w:bCs w:val="0"/>
        </w:rPr>
      </w:r>
    </w:p>
    <w:p>
      <w:pPr>
        <w:spacing w:line="240" w:lineRule="auto" w:before="5"/>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0"/>
        </w:sectPr>
      </w:pPr>
    </w:p>
    <w:p>
      <w:pPr>
        <w:pStyle w:val="BodyText"/>
        <w:spacing w:line="240" w:lineRule="auto" w:before="38"/>
        <w:ind w:right="-12"/>
        <w:jc w:val="left"/>
      </w:pPr>
      <w:r>
        <w:rPr>
          <w:spacing w:val="-1"/>
        </w:rPr>
        <w:t>本公司作为担保方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755" w:space="7074"/>
            <w:col w:w="2101"/>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华缔资产管理（北京）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华缔资产管理（北京）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pStyle w:val="BodyText"/>
        <w:spacing w:line="240" w:lineRule="auto" w:before="35"/>
        <w:ind w:right="-10"/>
        <w:jc w:val="left"/>
      </w:pPr>
      <w:r>
        <w:rPr>
          <w:spacing w:val="-1"/>
        </w:rPr>
        <w:t>本公司作为被担保方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6" w:space="6874"/>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221,382,000.00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both"/>
              <w:rPr>
                <w:rFonts w:ascii="宋体" w:hAnsi="宋体" w:cs="宋体" w:eastAsia="宋体" w:hint="default"/>
                <w:sz w:val="18"/>
                <w:szCs w:val="18"/>
              </w:rPr>
            </w:pPr>
            <w:r>
              <w:rPr>
                <w:rFonts w:ascii="宋体" w:hAnsi="宋体" w:cs="宋体" w:eastAsia="宋体" w:hint="default"/>
                <w:sz w:val="18"/>
                <w:szCs w:val="18"/>
              </w:rPr>
              <w:t>沈飒、朱烨东、北京中 科金财电子商务有限公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6,497,920.00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14,711,501.31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1,052,135.00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both"/>
              <w:rPr>
                <w:rFonts w:ascii="宋体" w:hAnsi="宋体" w:cs="宋体" w:eastAsia="宋体" w:hint="default"/>
                <w:sz w:val="18"/>
                <w:szCs w:val="18"/>
              </w:rPr>
            </w:pPr>
            <w:r>
              <w:rPr>
                <w:rFonts w:ascii="宋体" w:hAnsi="宋体" w:cs="宋体" w:eastAsia="宋体" w:hint="default"/>
                <w:sz w:val="18"/>
                <w:szCs w:val="18"/>
              </w:rPr>
              <w:t>沈飒、朱烨东、北京中 科金财电子商务有限公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2,984,122.20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2,070,000.00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5,260,340.00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both"/>
              <w:rPr>
                <w:rFonts w:ascii="宋体" w:hAnsi="宋体" w:cs="宋体" w:eastAsia="宋体" w:hint="default"/>
                <w:sz w:val="18"/>
                <w:szCs w:val="18"/>
              </w:rPr>
            </w:pPr>
            <w:r>
              <w:rPr>
                <w:rFonts w:ascii="宋体" w:hAnsi="宋体" w:cs="宋体" w:eastAsia="宋体" w:hint="default"/>
                <w:sz w:val="18"/>
                <w:szCs w:val="18"/>
              </w:rPr>
              <w:t>沈飒、朱烨东、北京中 科金财电子商务有限公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both"/>
              <w:rPr>
                <w:rFonts w:ascii="宋体" w:hAnsi="宋体" w:cs="宋体" w:eastAsia="宋体" w:hint="default"/>
                <w:sz w:val="18"/>
                <w:szCs w:val="18"/>
              </w:rPr>
            </w:pPr>
            <w:r>
              <w:rPr>
                <w:rFonts w:ascii="宋体" w:hAnsi="宋体" w:cs="宋体" w:eastAsia="宋体" w:hint="default"/>
                <w:sz w:val="18"/>
                <w:szCs w:val="18"/>
              </w:rPr>
              <w:t>沈飒、朱烨东、北京中 科金财电子商务有限公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both"/>
              <w:rPr>
                <w:rFonts w:ascii="宋体" w:hAnsi="宋体" w:cs="宋体" w:eastAsia="宋体" w:hint="default"/>
                <w:sz w:val="18"/>
                <w:szCs w:val="18"/>
              </w:rPr>
            </w:pPr>
            <w:r>
              <w:rPr>
                <w:rFonts w:ascii="宋体" w:hAnsi="宋体" w:cs="宋体" w:eastAsia="宋体" w:hint="default"/>
                <w:sz w:val="18"/>
                <w:szCs w:val="18"/>
              </w:rPr>
              <w:t>沈飒、朱烨东、北京中 科金财电子商务有限公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4,699,460.00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7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沈飒、朱烨东、北京中 科金财电子商务有限公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36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沈飒、朱烨东、北京中 科金财电子商务有限公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29,437,781.46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29,437,781.46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29,437,781.46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29,437,781.46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29,437,781.46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29,442,390.55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沈飒、朱烨东、北京中 科金财电子商务有限公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沈飒、朱烨东、北京中 科金财电子商务有限公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1,475,307.00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沈飒、朱烨东、北京中 科金财电子商务有限公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沈飒、朱烨东、北京中 科金财电子商务有限公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5,722,723.20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5,775,004.24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17,602,684.40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沈飒、朱烨东、北京中 科金财电子商务有限公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沈飒、朱烨东、北京中 科金财电子商务有限公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沈飒、朱烨东、北京中 科金财电子商务有限公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沈飒、朱烨东、北京中 科金财电子商务有限公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沈飒、朱烨东、北京中 科金财电子商务有限公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沈飒、朱烨东、北京中 科金财电子商务有限公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关键管理人员报酬" w:id="332"/>
      <w:bookmarkEnd w:id="332"/>
      <w:r>
        <w:rPr>
          <w:b w:val="0"/>
          <w:bCs w:val="0"/>
        </w:rPr>
      </w:r>
      <w:r>
        <w:rPr/>
        <w:t>（</w:t>
      </w:r>
      <w:r>
        <w:rPr>
          <w:rFonts w:ascii="Times New Roman" w:hAnsi="Times New Roman" w:cs="Times New Roman" w:eastAsia="Times New Roman" w:hint="default"/>
        </w:rPr>
        <w:t>3</w:t>
      </w:r>
      <w:r>
        <w:rPr/>
        <w:t>）关键管理人员报酬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6,587,712.98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4,513,134.00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关联方应收应付款项" w:id="333"/>
      <w:bookmarkEnd w:id="333"/>
      <w:r>
        <w:rPr>
          <w:b w:val="0"/>
          <w:bCs w:val="0"/>
        </w:rPr>
      </w:r>
      <w:r>
        <w:rPr>
          <w:rFonts w:ascii="Times New Roman" w:hAnsi="Times New Roman" w:cs="Times New Roman" w:eastAsia="Times New Roman" w:hint="default"/>
        </w:rPr>
        <w:t>5</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334"/>
      <w:bookmarkEnd w:id="334"/>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北京奥金智策传媒 科技有限公司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333,570.56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深圳市金方达信息 技术有限公司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1,213,906.88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应付项目" w:id="335"/>
      <w:bookmarkEnd w:id="335"/>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北京国信新网通讯技术有限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737,292.41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358,974.35</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深圳市金方达信息技术有限 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3,948,025.65</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北京国信新网通讯技术有限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107,500.00</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二、承诺及或有事项" w:id="336"/>
      <w:bookmarkEnd w:id="336"/>
      <w:r>
        <w:rPr>
          <w:b w:val="0"/>
          <w:bCs w:val="0"/>
        </w:rPr>
      </w:r>
      <w:r>
        <w:rPr/>
        <w:t>十二、承诺及或有事项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承诺事项" w:id="337"/>
      <w:bookmarkEnd w:id="337"/>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3"/>
        <w:rPr>
          <w:rFonts w:ascii="宋体" w:hAnsi="宋体" w:cs="宋体" w:eastAsia="宋体" w:hint="default"/>
          <w:b/>
          <w:bCs/>
          <w:sz w:val="31"/>
          <w:szCs w:val="31"/>
        </w:rPr>
      </w:pPr>
    </w:p>
    <w:p>
      <w:pPr>
        <w:pStyle w:val="BodyText"/>
        <w:spacing w:line="240" w:lineRule="auto"/>
        <w:ind w:right="0"/>
        <w:jc w:val="left"/>
      </w:pPr>
      <w:r>
        <w:rPr/>
        <w:t>资产负债表日存在的重要承诺</w:t>
      </w:r>
    </w:p>
    <w:p>
      <w:pPr>
        <w:spacing w:line="240" w:lineRule="auto" w:before="10"/>
        <w:rPr>
          <w:rFonts w:ascii="宋体" w:hAnsi="宋体" w:cs="宋体" w:eastAsia="宋体" w:hint="default"/>
          <w:sz w:val="15"/>
          <w:szCs w:val="15"/>
        </w:rPr>
      </w:pPr>
    </w:p>
    <w:p>
      <w:pPr>
        <w:pStyle w:val="BodyText"/>
        <w:spacing w:line="405" w:lineRule="auto"/>
        <w:ind w:right="1129" w:firstLine="399"/>
        <w:jc w:val="both"/>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28</w:t>
      </w:r>
      <w:r>
        <w:rPr>
          <w:spacing w:val="-1"/>
        </w:rPr>
        <w:t>日，公司与北京北航科技园有限公司签订了编号为</w:t>
      </w:r>
      <w:r>
        <w:rPr>
          <w:rFonts w:ascii="Times New Roman" w:hAnsi="Times New Roman" w:cs="Times New Roman" w:eastAsia="Times New Roman" w:hint="default"/>
          <w:spacing w:val="-1"/>
        </w:rPr>
        <w:t>KJWSHT-2018004</w:t>
      </w:r>
      <w:r>
        <w:rPr>
          <w:spacing w:val="-1"/>
        </w:rPr>
        <w:t>的房屋租赁合同，租赁北</w:t>
      </w:r>
      <w:r>
        <w:rPr>
          <w:w w:val="100"/>
        </w:rPr>
        <w:t> </w:t>
      </w:r>
      <w:r>
        <w:rPr>
          <w:spacing w:val="-2"/>
        </w:rPr>
        <w:t>京航空航天大学拥有的北京市海淀区学院路</w:t>
      </w:r>
      <w:r>
        <w:rPr>
          <w:rFonts w:ascii="宋体" w:hAnsi="宋体" w:cs="宋体" w:eastAsia="宋体" w:hint="default"/>
          <w:spacing w:val="-2"/>
        </w:rPr>
        <w:t>39</w:t>
      </w:r>
      <w:r>
        <w:rPr>
          <w:spacing w:val="-2"/>
        </w:rPr>
        <w:t>号“唯实大厦”十层的物业为公司总部办公场所。租期自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21"/>
        </w:rPr>
        <w:t> </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日止，租赁建筑面积为</w:t>
      </w:r>
      <w:r>
        <w:rPr>
          <w:rFonts w:ascii="Times New Roman" w:hAnsi="Times New Roman" w:cs="Times New Roman" w:eastAsia="Times New Roman" w:hint="default"/>
        </w:rPr>
        <w:t>2,655.41</w:t>
      </w:r>
      <w:r>
        <w:rPr/>
        <w:t>平方米，租金标准为</w:t>
      </w:r>
      <w:r>
        <w:rPr>
          <w:rFonts w:ascii="Times New Roman" w:hAnsi="Times New Roman" w:cs="Times New Roman" w:eastAsia="Times New Roman" w:hint="default"/>
        </w:rPr>
        <w:t>7.5</w:t>
      </w:r>
      <w:r>
        <w:rPr/>
        <w:t>元</w:t>
      </w:r>
      <w:r>
        <w:rPr>
          <w:rFonts w:ascii="Times New Roman" w:hAnsi="Times New Roman" w:cs="Times New Roman" w:eastAsia="Times New Roman" w:hint="default"/>
        </w:rPr>
        <w:t>/</w:t>
      </w:r>
      <w:r>
        <w:rPr/>
        <w:t>建筑平方米</w:t>
      </w:r>
      <w:r>
        <w:rPr>
          <w:rFonts w:ascii="宋体" w:hAnsi="宋体" w:cs="宋体" w:eastAsia="宋体" w:hint="default"/>
        </w:rPr>
        <w:t>/</w:t>
      </w:r>
      <w:r>
        <w:rPr/>
        <w:t>日</w:t>
      </w:r>
      <w:r>
        <w:rPr>
          <w:rFonts w:ascii="宋体" w:hAnsi="宋体" w:cs="宋体" w:eastAsia="宋体" w:hint="default"/>
        </w:rPr>
        <w:t>,</w:t>
      </w:r>
      <w:r>
        <w:rPr/>
        <w:t>物业管理费收</w:t>
      </w:r>
      <w:r>
        <w:rPr>
          <w:w w:val="100"/>
        </w:rPr>
        <w:t> </w:t>
      </w:r>
      <w:r>
        <w:rPr/>
        <w:t>费标准为</w:t>
      </w:r>
      <w:r>
        <w:rPr>
          <w:rFonts w:ascii="Times New Roman" w:hAnsi="Times New Roman" w:cs="Times New Roman" w:eastAsia="Times New Roman" w:hint="default"/>
        </w:rPr>
        <w:t>1.0</w:t>
      </w:r>
      <w:r>
        <w:rPr/>
        <w:t>元</w:t>
      </w:r>
      <w:r>
        <w:rPr>
          <w:rFonts w:ascii="Times New Roman" w:hAnsi="Times New Roman" w:cs="Times New Roman" w:eastAsia="Times New Roman" w:hint="default"/>
        </w:rPr>
        <w:t>/</w:t>
      </w:r>
      <w:r>
        <w:rPr/>
        <w:t>建筑平方米</w:t>
      </w:r>
      <w:r>
        <w:rPr>
          <w:rFonts w:ascii="Times New Roman" w:hAnsi="Times New Roman" w:cs="Times New Roman" w:eastAsia="Times New Roman" w:hint="default"/>
        </w:rPr>
        <w:t>/</w:t>
      </w:r>
      <w:r>
        <w:rPr/>
        <w:t>日。</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bookmarkStart w:name="2、其他" w:id="338"/>
      <w:bookmarkEnd w:id="338"/>
      <w:r>
        <w:rPr>
          <w:b w:val="0"/>
          <w:bCs w:val="0"/>
        </w:rPr>
      </w:r>
      <w:r>
        <w:rPr>
          <w:rFonts w:ascii="Times New Roman" w:hAnsi="Times New Roman" w:cs="Times New Roman" w:eastAsia="Times New Roman" w:hint="default"/>
        </w:rPr>
        <w:t>2</w:t>
      </w:r>
      <w:r>
        <w:rPr/>
        <w:t>、其他</w:t>
      </w:r>
      <w:r>
        <w:rPr>
          <w:b w:val="0"/>
          <w:bCs w:val="0"/>
        </w:rPr>
      </w:r>
    </w:p>
    <w:p>
      <w:pPr>
        <w:spacing w:line="240" w:lineRule="auto" w:before="5"/>
        <w:rPr>
          <w:rFonts w:ascii="宋体" w:hAnsi="宋体" w:cs="宋体" w:eastAsia="宋体" w:hint="default"/>
          <w:b/>
          <w:bCs/>
          <w:sz w:val="31"/>
          <w:szCs w:val="31"/>
        </w:rPr>
      </w:pPr>
    </w:p>
    <w:p>
      <w:pPr>
        <w:pStyle w:val="BodyText"/>
        <w:spacing w:line="240" w:lineRule="auto"/>
        <w:ind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日，公司尚有未到期的由银行为公司提供的保函担保，明细见下表：</w:t>
      </w:r>
    </w:p>
    <w:p>
      <w:pPr>
        <w:spacing w:line="240" w:lineRule="auto" w:before="1"/>
        <w:rPr>
          <w:rFonts w:ascii="宋体" w:hAnsi="宋体" w:cs="宋体" w:eastAsia="宋体" w:hint="default"/>
          <w:sz w:val="9"/>
          <w:szCs w:val="9"/>
        </w:rPr>
      </w:pPr>
    </w:p>
    <w:tbl>
      <w:tblPr>
        <w:tblW w:w="0" w:type="auto"/>
        <w:jc w:val="left"/>
        <w:tblInd w:w="368" w:type="dxa"/>
        <w:tblLayout w:type="fixed"/>
        <w:tblCellMar>
          <w:top w:w="0" w:type="dxa"/>
          <w:left w:w="0" w:type="dxa"/>
          <w:bottom w:w="0" w:type="dxa"/>
          <w:right w:w="0" w:type="dxa"/>
        </w:tblCellMar>
        <w:tblLook w:val="01E0"/>
      </w:tblPr>
      <w:tblGrid>
        <w:gridCol w:w="2966"/>
        <w:gridCol w:w="1316"/>
        <w:gridCol w:w="1074"/>
        <w:gridCol w:w="2337"/>
        <w:gridCol w:w="1507"/>
      </w:tblGrid>
      <w:tr>
        <w:trPr>
          <w:trHeight w:val="421" w:hRule="exact"/>
        </w:trPr>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担保银行</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币种</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担保份数</w:t>
            </w:r>
          </w:p>
        </w:tc>
        <w:tc>
          <w:tcPr>
            <w:tcW w:w="2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32" w:right="0"/>
              <w:jc w:val="left"/>
              <w:rPr>
                <w:rFonts w:ascii="宋体" w:hAnsi="宋体" w:cs="宋体" w:eastAsia="宋体" w:hint="default"/>
                <w:sz w:val="18"/>
                <w:szCs w:val="18"/>
              </w:rPr>
            </w:pPr>
            <w:r>
              <w:rPr>
                <w:rFonts w:ascii="宋体" w:hAnsi="宋体" w:cs="宋体" w:eastAsia="宋体" w:hint="default"/>
                <w:sz w:val="18"/>
                <w:szCs w:val="18"/>
              </w:rPr>
              <w:t>担保金额（元）</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担保事由</w:t>
            </w:r>
          </w:p>
        </w:tc>
      </w:tr>
      <w:tr>
        <w:trPr>
          <w:trHeight w:val="422" w:hRule="exact"/>
        </w:trPr>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北京银行中关村科技园支行</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63</w:t>
            </w:r>
          </w:p>
        </w:tc>
        <w:tc>
          <w:tcPr>
            <w:tcW w:w="2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23,176,440.67</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保函</w:t>
            </w:r>
          </w:p>
        </w:tc>
      </w:tr>
      <w:tr>
        <w:trPr>
          <w:trHeight w:val="422" w:hRule="exact"/>
        </w:trPr>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中国民生银行北京昌平支行</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4</w:t>
            </w:r>
          </w:p>
        </w:tc>
        <w:tc>
          <w:tcPr>
            <w:tcW w:w="2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Times New Roman" w:hAnsi="Times New Roman" w:cs="Times New Roman" w:eastAsia="Times New Roman" w:hint="default"/>
                <w:sz w:val="18"/>
                <w:szCs w:val="18"/>
              </w:rPr>
            </w:pPr>
            <w:r>
              <w:rPr>
                <w:rFonts w:ascii="Times New Roman"/>
                <w:spacing w:val="-1"/>
                <w:sz w:val="18"/>
              </w:rPr>
              <w:t>16,166,344.75</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保函</w:t>
            </w:r>
          </w:p>
        </w:tc>
      </w:tr>
      <w:tr>
        <w:trPr>
          <w:trHeight w:val="421" w:hRule="exact"/>
        </w:trPr>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宁波银行北京分行</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78</w:t>
            </w:r>
          </w:p>
        </w:tc>
        <w:tc>
          <w:tcPr>
            <w:tcW w:w="2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27157297.01</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保函</w:t>
            </w:r>
          </w:p>
        </w:tc>
      </w:tr>
      <w:tr>
        <w:trPr>
          <w:trHeight w:val="422" w:hRule="exact"/>
        </w:trPr>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招商银行北京大运村支行</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w:t>
            </w:r>
          </w:p>
        </w:tc>
        <w:tc>
          <w:tcPr>
            <w:tcW w:w="2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Times New Roman" w:hAnsi="Times New Roman" w:cs="Times New Roman" w:eastAsia="Times New Roman" w:hint="default"/>
                <w:sz w:val="18"/>
                <w:szCs w:val="18"/>
              </w:rPr>
            </w:pPr>
            <w:r>
              <w:rPr>
                <w:rFonts w:ascii="Times New Roman"/>
                <w:spacing w:val="-1"/>
                <w:sz w:val="18"/>
              </w:rPr>
              <w:t>4,124,000.00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保函</w:t>
            </w:r>
          </w:p>
        </w:tc>
      </w:tr>
      <w:tr>
        <w:trPr>
          <w:trHeight w:val="422" w:hRule="exact"/>
        </w:trPr>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浙商银行北京分行</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4</w:t>
            </w:r>
          </w:p>
        </w:tc>
        <w:tc>
          <w:tcPr>
            <w:tcW w:w="2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465,766.50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保函</w:t>
            </w:r>
          </w:p>
        </w:tc>
      </w:tr>
      <w:tr>
        <w:trPr>
          <w:trHeight w:val="421" w:hRule="exact"/>
        </w:trPr>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建设银行安华支行</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7</w:t>
            </w:r>
          </w:p>
        </w:tc>
        <w:tc>
          <w:tcPr>
            <w:tcW w:w="2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3,007,988.03</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保函</w:t>
            </w:r>
          </w:p>
        </w:tc>
      </w:tr>
      <w:tr>
        <w:trPr>
          <w:trHeight w:val="422" w:hRule="exact"/>
        </w:trPr>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16"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159</w:t>
            </w:r>
          </w:p>
        </w:tc>
        <w:tc>
          <w:tcPr>
            <w:tcW w:w="2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74,097,836.96</w:t>
            </w:r>
          </w:p>
        </w:tc>
        <w:tc>
          <w:tcPr>
            <w:tcW w:w="150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6"/>
          <w:szCs w:val="26"/>
        </w:rPr>
      </w:pPr>
    </w:p>
    <w:p>
      <w:pPr>
        <w:pStyle w:val="BodyText"/>
        <w:spacing w:line="240" w:lineRule="auto" w:before="38"/>
        <w:ind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日，公司尚有已到期尚未撤销的由银行为公司提供的保函担保，明细见下表：</w:t>
      </w:r>
    </w:p>
    <w:p>
      <w:pPr>
        <w:spacing w:line="240" w:lineRule="auto" w:before="1"/>
        <w:rPr>
          <w:rFonts w:ascii="宋体" w:hAnsi="宋体" w:cs="宋体" w:eastAsia="宋体" w:hint="default"/>
          <w:sz w:val="9"/>
          <w:szCs w:val="9"/>
        </w:rPr>
      </w:pPr>
    </w:p>
    <w:tbl>
      <w:tblPr>
        <w:tblW w:w="0" w:type="auto"/>
        <w:jc w:val="left"/>
        <w:tblInd w:w="737" w:type="dxa"/>
        <w:tblLayout w:type="fixed"/>
        <w:tblCellMar>
          <w:top w:w="0" w:type="dxa"/>
          <w:left w:w="0" w:type="dxa"/>
          <w:bottom w:w="0" w:type="dxa"/>
          <w:right w:w="0" w:type="dxa"/>
        </w:tblCellMar>
        <w:tblLook w:val="01E0"/>
      </w:tblPr>
      <w:tblGrid>
        <w:gridCol w:w="3067"/>
        <w:gridCol w:w="1498"/>
        <w:gridCol w:w="1022"/>
        <w:gridCol w:w="1833"/>
        <w:gridCol w:w="1042"/>
      </w:tblGrid>
      <w:tr>
        <w:trPr>
          <w:trHeight w:val="342" w:hRule="exact"/>
        </w:trPr>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担保银行</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币种</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担保份数</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80" w:right="0"/>
              <w:jc w:val="left"/>
              <w:rPr>
                <w:rFonts w:ascii="宋体" w:hAnsi="宋体" w:cs="宋体" w:eastAsia="宋体" w:hint="default"/>
                <w:sz w:val="18"/>
                <w:szCs w:val="18"/>
              </w:rPr>
            </w:pPr>
            <w:r>
              <w:rPr>
                <w:rFonts w:ascii="宋体" w:hAnsi="宋体" w:cs="宋体" w:eastAsia="宋体" w:hint="default"/>
                <w:sz w:val="18"/>
                <w:szCs w:val="18"/>
              </w:rPr>
              <w:t>担保金额（元）</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担保事由</w:t>
            </w:r>
          </w:p>
        </w:tc>
      </w:tr>
      <w:tr>
        <w:trPr>
          <w:trHeight w:val="342" w:hRule="exact"/>
        </w:trPr>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宁波银行北京分行</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2,604,490.00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保函</w:t>
            </w:r>
          </w:p>
        </w:tc>
      </w:tr>
      <w:tr>
        <w:trPr>
          <w:trHeight w:val="342" w:hRule="exact"/>
        </w:trPr>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49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2,604,490.00</w:t>
            </w:r>
          </w:p>
        </w:tc>
        <w:tc>
          <w:tcPr>
            <w:tcW w:w="104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72"/>
        <w:ind w:right="0"/>
        <w:jc w:val="left"/>
      </w:pPr>
      <w:r>
        <w:rPr/>
        <w:t>上述未撤销保函已于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日前撤销。</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三、资产负债表日后事项" w:id="339"/>
      <w:bookmarkEnd w:id="339"/>
      <w:r>
        <w:rPr>
          <w:b w:val="0"/>
          <w:bCs w:val="0"/>
        </w:rPr>
      </w:r>
      <w:r>
        <w:rPr/>
        <w:t>十三、资产负债表日后事项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利润分配情况" w:id="340"/>
      <w:bookmarkEnd w:id="340"/>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1,687,883.43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其他资产负债表日后事项说明" w:id="341"/>
      <w:bookmarkEnd w:id="341"/>
      <w:r>
        <w:rPr>
          <w:b w:val="0"/>
          <w:bCs w:val="0"/>
        </w:rPr>
      </w:r>
      <w:r>
        <w:rPr>
          <w:rFonts w:ascii="Times New Roman" w:hAnsi="Times New Roman" w:cs="Times New Roman" w:eastAsia="Times New Roman" w:hint="default"/>
        </w:rPr>
        <w:t>2</w:t>
      </w:r>
      <w:r>
        <w:rPr/>
        <w:t>、其他资产负债表日后事项说明</w:t>
      </w:r>
      <w:r>
        <w:rPr>
          <w:b w:val="0"/>
          <w:bCs w:val="0"/>
        </w:rPr>
      </w:r>
    </w:p>
    <w:p>
      <w:pPr>
        <w:spacing w:line="240" w:lineRule="auto" w:before="3"/>
        <w:rPr>
          <w:rFonts w:ascii="宋体" w:hAnsi="宋体" w:cs="宋体" w:eastAsia="宋体" w:hint="default"/>
          <w:b/>
          <w:bCs/>
          <w:sz w:val="31"/>
          <w:szCs w:val="31"/>
        </w:rPr>
      </w:pPr>
    </w:p>
    <w:p>
      <w:pPr>
        <w:pStyle w:val="BodyText"/>
        <w:spacing w:line="240" w:lineRule="auto"/>
        <w:ind w:left="553" w:right="0"/>
        <w:jc w:val="left"/>
      </w:pPr>
      <w:r>
        <w:rPr/>
        <w:t>（</w:t>
      </w:r>
      <w:r>
        <w:rPr>
          <w:rFonts w:ascii="Times New Roman" w:hAnsi="Times New Roman" w:cs="Times New Roman" w:eastAsia="Times New Roman" w:hint="default"/>
        </w:rPr>
        <w:t>1</w:t>
      </w:r>
      <w:r>
        <w:rPr/>
        <w:t>）大连金融资产交易所有限公司股权变动</w:t>
      </w:r>
    </w:p>
    <w:p>
      <w:pPr>
        <w:spacing w:line="240" w:lineRule="auto" w:before="8"/>
        <w:rPr>
          <w:rFonts w:ascii="宋体" w:hAnsi="宋体" w:cs="宋体" w:eastAsia="宋体" w:hint="default"/>
          <w:sz w:val="14"/>
          <w:szCs w:val="14"/>
        </w:rPr>
      </w:pPr>
    </w:p>
    <w:p>
      <w:pPr>
        <w:pStyle w:val="BodyText"/>
        <w:spacing w:line="410" w:lineRule="auto"/>
        <w:ind w:right="1151" w:firstLine="399"/>
        <w:jc w:val="both"/>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19</w:t>
      </w:r>
      <w:r>
        <w:rPr>
          <w:spacing w:val="-1"/>
        </w:rPr>
        <w:t>日，公司与大连产权交易所（有限责任公司）、大连市国有资产投资经营集团有限公司、三</w:t>
      </w:r>
      <w:r>
        <w:rPr>
          <w:w w:val="100"/>
        </w:rPr>
        <w:t> </w:t>
      </w:r>
      <w:r>
        <w:rPr>
          <w:spacing w:val="-1"/>
        </w:rPr>
        <w:t>寰集团有限公司、良运集团有限公司、大连鼎金企业管理中心（有限合伙）、雪松控股集团有限公司（以下简</w:t>
      </w:r>
      <w:r>
        <w:rPr>
          <w:spacing w:val="-63"/>
        </w:rPr>
        <w:t> </w:t>
      </w:r>
      <w:r>
        <w:rPr>
          <w:spacing w:val="-63"/>
        </w:rPr>
      </w:r>
      <w:r>
        <w:rPr/>
        <w:t>称</w:t>
      </w:r>
      <w:r>
        <w:rPr>
          <w:rFonts w:ascii="Times New Roman" w:hAnsi="Times New Roman" w:cs="Times New Roman" w:eastAsia="Times New Roman" w:hint="default"/>
        </w:rPr>
        <w:t>“</w:t>
      </w:r>
      <w:r>
        <w:rPr/>
        <w:t>雪松控股</w:t>
      </w:r>
      <w:r>
        <w:rPr>
          <w:rFonts w:ascii="Times New Roman" w:hAnsi="Times New Roman" w:cs="Times New Roman" w:eastAsia="Times New Roman" w:hint="default"/>
        </w:rPr>
        <w:t>”</w:t>
      </w:r>
      <w:r>
        <w:rPr/>
        <w:t>）及公司子公司大连金融资产交易所有限公司（以下简称</w:t>
      </w:r>
      <w:r>
        <w:rPr>
          <w:rFonts w:ascii="Times New Roman" w:hAnsi="Times New Roman" w:cs="Times New Roman" w:eastAsia="Times New Roman" w:hint="default"/>
        </w:rPr>
        <w:t>“</w:t>
      </w:r>
      <w:r>
        <w:rPr/>
        <w:t>大金所</w:t>
      </w:r>
      <w:r>
        <w:rPr>
          <w:rFonts w:ascii="Times New Roman" w:hAnsi="Times New Roman" w:cs="Times New Roman" w:eastAsia="Times New Roman" w:hint="default"/>
        </w:rPr>
        <w:t>”</w:t>
      </w:r>
      <w:r>
        <w:rPr/>
        <w:t>）共同签署增资扩股协议。协</w:t>
      </w:r>
      <w:r>
        <w:rPr>
          <w:w w:val="100"/>
        </w:rPr>
        <w:t> </w:t>
      </w:r>
      <w:r>
        <w:rPr>
          <w:spacing w:val="-1"/>
        </w:rPr>
        <w:t>议约定雪松控股新增注册资本</w:t>
      </w:r>
      <w:r>
        <w:rPr>
          <w:rFonts w:ascii="Times New Roman" w:hAnsi="Times New Roman" w:cs="Times New Roman" w:eastAsia="Times New Roman" w:hint="default"/>
          <w:spacing w:val="-1"/>
        </w:rPr>
        <w:t>23,077.00</w:t>
      </w:r>
      <w:r>
        <w:rPr>
          <w:spacing w:val="-1"/>
        </w:rPr>
        <w:t>万元，增资完成后雪松控股持有大金所</w:t>
      </w:r>
      <w:r>
        <w:rPr>
          <w:rFonts w:ascii="Times New Roman" w:hAnsi="Times New Roman" w:cs="Times New Roman" w:eastAsia="Times New Roman" w:hint="default"/>
          <w:spacing w:val="-1"/>
        </w:rPr>
        <w:t>69.77%</w:t>
      </w:r>
      <w:r>
        <w:rPr>
          <w:spacing w:val="-1"/>
        </w:rPr>
        <w:t>的股权，公司持有大金所</w:t>
      </w:r>
      <w:r>
        <w:rPr>
          <w:spacing w:val="-55"/>
        </w:rPr>
        <w:t> </w:t>
      </w:r>
      <w:r>
        <w:rPr>
          <w:spacing w:val="-55"/>
        </w:rPr>
      </w:r>
      <w:r>
        <w:rPr>
          <w:rFonts w:ascii="Times New Roman" w:hAnsi="Times New Roman" w:cs="Times New Roman" w:eastAsia="Times New Roman" w:hint="default"/>
          <w:spacing w:val="-1"/>
        </w:rPr>
        <w:t>15.12%</w:t>
      </w:r>
      <w:r>
        <w:rPr>
          <w:spacing w:val="-1"/>
        </w:rPr>
        <w:t>的股权，大金所不再纳入合并范围。</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15</w:t>
      </w:r>
      <w:r>
        <w:rPr>
          <w:spacing w:val="-1"/>
        </w:rPr>
        <w:t>日大金所已收到全部增资款，并于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23</w:t>
      </w:r>
      <w:r>
        <w:rPr>
          <w:spacing w:val="-1"/>
        </w:rPr>
        <w:t>日已完</w:t>
      </w:r>
      <w:r>
        <w:rPr>
          <w:spacing w:val="-55"/>
        </w:rPr>
        <w:t> </w:t>
      </w:r>
      <w:r>
        <w:rPr>
          <w:spacing w:val="-55"/>
        </w:rPr>
      </w:r>
      <w:r>
        <w:rPr/>
        <w:t>成工商变更登记。</w:t>
      </w:r>
    </w:p>
    <w:p>
      <w:pPr>
        <w:pStyle w:val="BodyText"/>
        <w:spacing w:line="240" w:lineRule="auto" w:before="64"/>
        <w:ind w:left="553" w:right="0"/>
        <w:jc w:val="left"/>
      </w:pPr>
      <w:r>
        <w:rPr/>
        <w:t>（</w:t>
      </w:r>
      <w:r>
        <w:rPr>
          <w:rFonts w:ascii="Times New Roman" w:hAnsi="Times New Roman" w:cs="Times New Roman" w:eastAsia="Times New Roman" w:hint="default"/>
        </w:rPr>
        <w:t>2</w:t>
      </w:r>
      <w:r>
        <w:rPr/>
        <w:t>）安徽省金融资产交易所有限责任公司股权转让</w:t>
      </w:r>
    </w:p>
    <w:p>
      <w:pPr>
        <w:spacing w:line="240" w:lineRule="auto" w:before="8"/>
        <w:rPr>
          <w:rFonts w:ascii="宋体" w:hAnsi="宋体" w:cs="宋体" w:eastAsia="宋体" w:hint="default"/>
          <w:sz w:val="14"/>
          <w:szCs w:val="14"/>
        </w:rPr>
      </w:pPr>
    </w:p>
    <w:p>
      <w:pPr>
        <w:pStyle w:val="BodyText"/>
        <w:spacing w:line="405" w:lineRule="auto"/>
        <w:ind w:right="0" w:firstLine="399"/>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26</w:t>
      </w:r>
      <w:r>
        <w:rPr>
          <w:spacing w:val="-2"/>
        </w:rPr>
        <w:t>日，公司与安徽华时信息科技有限公司签订股权转让协议，公司将其持有的安徽省金融资产交</w:t>
      </w:r>
      <w:r>
        <w:rPr>
          <w:w w:val="100"/>
        </w:rPr>
        <w:t> </w:t>
      </w:r>
      <w:r>
        <w:rPr>
          <w:spacing w:val="-1"/>
        </w:rPr>
        <w:t>易所有限责任公司</w:t>
      </w:r>
      <w:r>
        <w:rPr>
          <w:rFonts w:ascii="Times New Roman" w:hAnsi="Times New Roman" w:cs="Times New Roman" w:eastAsia="Times New Roman" w:hint="default"/>
          <w:spacing w:val="-1"/>
        </w:rPr>
        <w:t>6.4%</w:t>
      </w:r>
      <w:r>
        <w:rPr>
          <w:spacing w:val="-1"/>
        </w:rPr>
        <w:t>股权转让，</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28</w:t>
      </w:r>
      <w:r>
        <w:rPr>
          <w:spacing w:val="-1"/>
        </w:rPr>
        <w:t>日公司已收到股权转让款，并于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30</w:t>
      </w:r>
      <w:r>
        <w:rPr>
          <w:spacing w:val="-1"/>
        </w:rPr>
        <w:t>日完成工商变更。</w:t>
      </w:r>
    </w:p>
    <w:p>
      <w:pPr>
        <w:pStyle w:val="BodyText"/>
        <w:spacing w:line="240" w:lineRule="auto" w:before="38"/>
        <w:ind w:left="553" w:right="0"/>
        <w:jc w:val="left"/>
      </w:pPr>
      <w:r>
        <w:rPr/>
        <w:t>（</w:t>
      </w:r>
      <w:r>
        <w:rPr>
          <w:rFonts w:ascii="Times New Roman" w:hAnsi="Times New Roman" w:cs="Times New Roman" w:eastAsia="Times New Roman" w:hint="default"/>
        </w:rPr>
        <w:t>3</w:t>
      </w:r>
      <w:r>
        <w:rPr/>
        <w:t>）金网络（北京）电子商务有限公司股权转让</w:t>
      </w:r>
    </w:p>
    <w:p>
      <w:pPr>
        <w:spacing w:line="240" w:lineRule="auto" w:before="8"/>
        <w:rPr>
          <w:rFonts w:ascii="宋体" w:hAnsi="宋体" w:cs="宋体" w:eastAsia="宋体" w:hint="default"/>
          <w:sz w:val="14"/>
          <w:szCs w:val="14"/>
        </w:rPr>
      </w:pPr>
    </w:p>
    <w:p>
      <w:pPr>
        <w:pStyle w:val="BodyText"/>
        <w:spacing w:line="240" w:lineRule="auto"/>
        <w:ind w:left="553"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日，公司与北京世纪鼎鑫科技中心（合伙企业）签订股权转让协议，公司将其持有的金网络</w:t>
      </w:r>
    </w:p>
    <w:p>
      <w:pPr>
        <w:spacing w:line="240" w:lineRule="auto" w:before="8"/>
        <w:rPr>
          <w:rFonts w:ascii="宋体" w:hAnsi="宋体" w:cs="宋体" w:eastAsia="宋体" w:hint="default"/>
          <w:sz w:val="14"/>
          <w:szCs w:val="14"/>
        </w:rPr>
      </w:pPr>
    </w:p>
    <w:p>
      <w:pPr>
        <w:pStyle w:val="BodyText"/>
        <w:spacing w:line="405" w:lineRule="auto"/>
        <w:ind w:right="1118"/>
        <w:jc w:val="left"/>
      </w:pPr>
      <w:r>
        <w:rPr>
          <w:spacing w:val="-1"/>
        </w:rPr>
        <w:t>（北京）电子商务有限公司</w:t>
      </w:r>
      <w:r>
        <w:rPr>
          <w:rFonts w:ascii="Times New Roman" w:hAnsi="Times New Roman" w:cs="Times New Roman" w:eastAsia="Times New Roman" w:hint="default"/>
          <w:spacing w:val="-1"/>
        </w:rPr>
        <w:t>25%</w:t>
      </w:r>
      <w:r>
        <w:rPr>
          <w:spacing w:val="-1"/>
        </w:rPr>
        <w:t>股权转让，</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10</w:t>
      </w:r>
      <w:r>
        <w:rPr>
          <w:spacing w:val="-1"/>
        </w:rPr>
        <w:t>日公司已收到股权转让款，并于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17</w:t>
      </w:r>
      <w:r>
        <w:rPr>
          <w:spacing w:val="-1"/>
        </w:rPr>
        <w:t>日完成工</w:t>
      </w:r>
      <w:r>
        <w:rPr>
          <w:spacing w:val="-59"/>
        </w:rPr>
        <w:t> </w:t>
      </w:r>
      <w:r>
        <w:rPr>
          <w:spacing w:val="-59"/>
        </w:rPr>
      </w:r>
      <w:r>
        <w:rPr/>
        <w:t>商变更。</w:t>
      </w:r>
    </w:p>
    <w:p>
      <w:pPr>
        <w:pStyle w:val="BodyText"/>
        <w:spacing w:line="240" w:lineRule="auto" w:before="68"/>
        <w:ind w:left="553" w:right="0"/>
        <w:jc w:val="left"/>
      </w:pPr>
      <w:r>
        <w:rPr/>
        <w:t>（</w:t>
      </w:r>
      <w:r>
        <w:rPr>
          <w:rFonts w:ascii="Times New Roman" w:hAnsi="Times New Roman" w:cs="Times New Roman" w:eastAsia="Times New Roman" w:hint="default"/>
        </w:rPr>
        <w:t>4</w:t>
      </w:r>
      <w:r>
        <w:rPr/>
        <w:t>）安金资产管理有限公司股权转让</w:t>
      </w:r>
    </w:p>
    <w:p>
      <w:pPr>
        <w:spacing w:line="240" w:lineRule="auto" w:before="8"/>
        <w:rPr>
          <w:rFonts w:ascii="宋体" w:hAnsi="宋体" w:cs="宋体" w:eastAsia="宋体" w:hint="default"/>
          <w:sz w:val="14"/>
          <w:szCs w:val="14"/>
        </w:rPr>
      </w:pPr>
    </w:p>
    <w:p>
      <w:pPr>
        <w:pStyle w:val="BodyText"/>
        <w:spacing w:line="405" w:lineRule="auto"/>
        <w:ind w:right="0" w:firstLine="399"/>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26</w:t>
      </w:r>
      <w:r>
        <w:rPr>
          <w:spacing w:val="-2"/>
        </w:rPr>
        <w:t>日，公司与安徽华时信息科技有限公司签订股权转让协议，公司将其持有的安金资产管理有限</w:t>
      </w:r>
      <w:r>
        <w:rPr>
          <w:w w:val="100"/>
        </w:rPr>
        <w:t> </w:t>
      </w:r>
      <w:r>
        <w:rPr/>
        <w:t>公司</w:t>
      </w:r>
      <w:r>
        <w:rPr>
          <w:rFonts w:ascii="Times New Roman" w:hAnsi="Times New Roman" w:cs="Times New Roman" w:eastAsia="Times New Roman" w:hint="default"/>
        </w:rPr>
        <w:t>21%</w:t>
      </w:r>
      <w:r>
        <w:rPr/>
        <w:t>股权转让，</w:t>
      </w:r>
      <w:r>
        <w:rPr>
          <w:spacing w:val="-31"/>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日公司已收到股权转让款，并于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日完成工商变更。</w:t>
      </w:r>
    </w:p>
    <w:p>
      <w:pPr>
        <w:spacing w:line="240" w:lineRule="auto" w:before="7"/>
        <w:rPr>
          <w:rFonts w:ascii="宋体" w:hAnsi="宋体" w:cs="宋体" w:eastAsia="宋体" w:hint="default"/>
          <w:sz w:val="17"/>
          <w:szCs w:val="17"/>
        </w:rPr>
      </w:pPr>
    </w:p>
    <w:p>
      <w:pPr>
        <w:pStyle w:val="Heading2"/>
        <w:spacing w:line="240" w:lineRule="auto"/>
        <w:ind w:right="0"/>
        <w:jc w:val="left"/>
        <w:rPr>
          <w:b w:val="0"/>
          <w:bCs w:val="0"/>
        </w:rPr>
      </w:pPr>
      <w:bookmarkStart w:name="十四、其他重要事项" w:id="342"/>
      <w:bookmarkEnd w:id="342"/>
      <w:r>
        <w:rPr>
          <w:b w:val="0"/>
          <w:bCs w:val="0"/>
        </w:rPr>
      </w:r>
      <w:r>
        <w:rPr/>
        <w:t>十四、其他重要事项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 w:id="343"/>
      <w:bookmarkEnd w:id="343"/>
      <w:r>
        <w:rPr>
          <w:b w:val="0"/>
          <w:bCs w:val="0"/>
        </w:rPr>
      </w:r>
      <w:r>
        <w:rPr>
          <w:rFonts w:ascii="Times New Roman" w:hAnsi="Times New Roman" w:cs="Times New Roman" w:eastAsia="Times New Roman" w:hint="default"/>
        </w:rPr>
        <w:t>1</w:t>
      </w:r>
      <w:r>
        <w:rPr/>
        <w:t>、其他</w:t>
      </w:r>
      <w:r>
        <w:rPr>
          <w:b w:val="0"/>
          <w:bCs w:val="0"/>
        </w:rPr>
      </w:r>
    </w:p>
    <w:p>
      <w:pPr>
        <w:spacing w:line="240" w:lineRule="auto" w:before="3"/>
        <w:rPr>
          <w:rFonts w:ascii="宋体" w:hAnsi="宋体" w:cs="宋体" w:eastAsia="宋体" w:hint="default"/>
          <w:b/>
          <w:bCs/>
          <w:sz w:val="31"/>
          <w:szCs w:val="31"/>
        </w:rPr>
      </w:pPr>
    </w:p>
    <w:p>
      <w:pPr>
        <w:pStyle w:val="BodyText"/>
        <w:spacing w:line="240" w:lineRule="auto"/>
        <w:ind w:left="553" w:right="0"/>
        <w:jc w:val="left"/>
      </w:pPr>
      <w:r>
        <w:rPr>
          <w:rFonts w:ascii="Times New Roman" w:hAnsi="Times New Roman" w:cs="Times New Roman" w:eastAsia="Times New Roman" w:hint="default"/>
        </w:rPr>
        <w:t>1.</w:t>
      </w:r>
      <w:r>
        <w:rPr/>
        <w:t>辽宁辉山乳业集团有限公司</w:t>
      </w:r>
      <w:r>
        <w:rPr>
          <w:rFonts w:ascii="Times New Roman" w:hAnsi="Times New Roman" w:cs="Times New Roman" w:eastAsia="Times New Roman" w:hint="default"/>
        </w:rPr>
        <w:t>“</w:t>
      </w:r>
      <w:r>
        <w:rPr/>
        <w:t>辉山乳业定向融资计划</w:t>
      </w:r>
      <w:r>
        <w:rPr>
          <w:rFonts w:ascii="Times New Roman" w:hAnsi="Times New Roman" w:cs="Times New Roman" w:eastAsia="Times New Roman" w:hint="default"/>
        </w:rPr>
        <w:t>”</w:t>
      </w:r>
      <w:r>
        <w:rPr/>
        <w:t>产品情况</w:t>
      </w:r>
    </w:p>
    <w:p>
      <w:pPr>
        <w:spacing w:line="240" w:lineRule="auto" w:before="8"/>
        <w:rPr>
          <w:rFonts w:ascii="宋体" w:hAnsi="宋体" w:cs="宋体" w:eastAsia="宋体" w:hint="default"/>
          <w:sz w:val="14"/>
          <w:szCs w:val="14"/>
        </w:rPr>
      </w:pPr>
    </w:p>
    <w:p>
      <w:pPr>
        <w:pStyle w:val="BodyText"/>
        <w:spacing w:line="405" w:lineRule="auto"/>
        <w:ind w:right="0" w:firstLine="399"/>
        <w:jc w:val="left"/>
        <w:rPr>
          <w:rFonts w:ascii="Times New Roman" w:hAnsi="Times New Roman" w:cs="Times New Roman" w:eastAsia="Times New Roman" w:hint="default"/>
        </w:rPr>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月，辽宁辉山乳业集团有限公司（以下简称“辉山乳业”）在大金所登记发行</w:t>
      </w:r>
      <w:r>
        <w:rPr>
          <w:rFonts w:ascii="Times New Roman" w:hAnsi="Times New Roman" w:cs="Times New Roman" w:eastAsia="Times New Roman" w:hint="default"/>
          <w:spacing w:val="-2"/>
        </w:rPr>
        <w:t>“</w:t>
      </w:r>
      <w:r>
        <w:rPr>
          <w:spacing w:val="-2"/>
        </w:rPr>
        <w:t>辉山乳业定向融资</w:t>
      </w:r>
      <w:r>
        <w:rPr>
          <w:w w:val="100"/>
        </w:rPr>
        <w:t> </w:t>
      </w:r>
      <w:r>
        <w:rPr/>
        <w:t>计划</w:t>
      </w:r>
      <w:r>
        <w:rPr>
          <w:rFonts w:ascii="Times New Roman" w:hAnsi="Times New Roman" w:cs="Times New Roman" w:eastAsia="Times New Roman" w:hint="default"/>
        </w:rPr>
        <w:t>”</w:t>
      </w:r>
      <w:r>
        <w:rPr/>
        <w:t>产品，融资本金</w:t>
      </w:r>
      <w:r>
        <w:rPr>
          <w:rFonts w:ascii="Times New Roman" w:hAnsi="Times New Roman" w:cs="Times New Roman" w:eastAsia="Times New Roman" w:hint="default"/>
        </w:rPr>
        <w:t>3</w:t>
      </w:r>
      <w:r>
        <w:rPr/>
        <w:t>亿元，融资利率不高于</w:t>
      </w:r>
      <w:r>
        <w:rPr>
          <w:rFonts w:ascii="Times New Roman" w:hAnsi="Times New Roman" w:cs="Times New Roman" w:eastAsia="Times New Roman" w:hint="default"/>
        </w:rPr>
        <w:t>7.2%</w:t>
      </w:r>
      <w:r>
        <w:rPr/>
        <w:t>，</w:t>
      </w:r>
      <w:r>
        <w:rPr>
          <w:rFonts w:ascii="Times New Roman" w:hAnsi="Times New Roman" w:cs="Times New Roman" w:eastAsia="Times New Roman" w:hint="default"/>
        </w:rPr>
        <w:t>6</w:t>
      </w:r>
      <w:r>
        <w:rPr/>
        <w:t>个月支付一次利息，到期还本，各期产品到期日在</w:t>
      </w:r>
      <w:r>
        <w:rPr>
          <w:rFonts w:ascii="Times New Roman" w:hAnsi="Times New Roman" w:cs="Times New Roman" w:eastAsia="Times New Roman" w:hint="default"/>
        </w:rPr>
        <w:t>2018</w:t>
      </w:r>
    </w:p>
    <w:p>
      <w:pPr>
        <w:spacing w:after="0" w:line="405" w:lineRule="auto"/>
        <w:jc w:val="left"/>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p>
      <w:pPr>
        <w:pStyle w:val="BodyText"/>
        <w:spacing w:line="240" w:lineRule="auto"/>
        <w:ind w:right="0"/>
        <w:jc w:val="left"/>
      </w:pP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月之间。产品由辉山乳业之控股股东中国辉山乳业控股有限公司提供连带责任保证担保。</w:t>
      </w:r>
    </w:p>
    <w:p>
      <w:pPr>
        <w:spacing w:line="240" w:lineRule="auto" w:before="8"/>
        <w:rPr>
          <w:rFonts w:ascii="宋体" w:hAnsi="宋体" w:cs="宋体" w:eastAsia="宋体" w:hint="default"/>
          <w:sz w:val="14"/>
          <w:szCs w:val="14"/>
        </w:rPr>
      </w:pPr>
    </w:p>
    <w:p>
      <w:pPr>
        <w:pStyle w:val="BodyText"/>
        <w:spacing w:line="412" w:lineRule="auto"/>
        <w:ind w:right="1129" w:firstLine="399"/>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11</w:t>
      </w:r>
      <w:r>
        <w:rPr>
          <w:spacing w:val="-2"/>
        </w:rPr>
        <w:t>日，大金所在其平台公告辉山乳业司法破产重整申请已于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日由法院裁定受理，即</w:t>
      </w:r>
      <w:r>
        <w:rPr>
          <w:w w:val="100"/>
        </w:rPr>
        <w:t> </w:t>
      </w:r>
      <w:r>
        <w:rPr/>
        <w:t>辉山乳业已经进入司法破产重整程序。辉山乳业产品的全部债务于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日视为到期，并于该日停止计</w:t>
      </w:r>
      <w:r>
        <w:rPr>
          <w:w w:val="100"/>
        </w:rPr>
        <w:t> </w:t>
      </w:r>
      <w:r>
        <w:rPr>
          <w:spacing w:val="-2"/>
        </w:rPr>
        <w:t>算利息，不再向投资人支付利息。为保障辉山乳业产品投资人的合法权益，大金所已于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19</w:t>
      </w:r>
      <w:r>
        <w:rPr>
          <w:spacing w:val="-2"/>
        </w:rPr>
        <w:t>日配合受托</w:t>
      </w:r>
      <w:r>
        <w:rPr>
          <w:spacing w:val="-69"/>
        </w:rPr>
        <w:t> </w:t>
      </w:r>
      <w:r>
        <w:rPr>
          <w:spacing w:val="-69"/>
        </w:rPr>
      </w:r>
      <w:r>
        <w:rPr/>
        <w:t>管理人大连震霖投资管理有限公司按照相关法律规定向辉山乳业破产管理人集中进行辉山乳业产品持有人债权</w:t>
      </w:r>
      <w:r>
        <w:rPr>
          <w:w w:val="100"/>
        </w:rPr>
        <w:t> </w:t>
      </w:r>
      <w:r>
        <w:rPr/>
        <w:t>申报，并收到破产重整案债权申报登记回执，投资人债权的确认及偿付最终经由司法裁决确定。</w:t>
      </w:r>
    </w:p>
    <w:p>
      <w:pPr>
        <w:pStyle w:val="BodyText"/>
        <w:spacing w:line="240" w:lineRule="auto" w:before="62"/>
        <w:ind w:left="553" w:right="0"/>
        <w:jc w:val="left"/>
      </w:pPr>
      <w:r>
        <w:rPr>
          <w:rFonts w:ascii="Times New Roman" w:hAnsi="Times New Roman" w:cs="Times New Roman" w:eastAsia="Times New Roman" w:hint="default"/>
        </w:rPr>
        <w:t>2.</w:t>
      </w:r>
      <w:r>
        <w:rPr/>
        <w:t>百融通达商业保理有限公司</w:t>
      </w:r>
      <w:r>
        <w:rPr>
          <w:rFonts w:ascii="Times New Roman" w:hAnsi="Times New Roman" w:cs="Times New Roman" w:eastAsia="Times New Roman" w:hint="default"/>
        </w:rPr>
        <w:t>“</w:t>
      </w:r>
      <w:r>
        <w:rPr/>
        <w:t>百融通达</w:t>
      </w:r>
      <w:r>
        <w:rPr>
          <w:rFonts w:ascii="Times New Roman" w:hAnsi="Times New Roman" w:cs="Times New Roman" w:eastAsia="Times New Roman" w:hint="default"/>
        </w:rPr>
        <w:t>”</w:t>
      </w:r>
      <w:r>
        <w:rPr/>
        <w:t>产品情况</w:t>
      </w:r>
    </w:p>
    <w:p>
      <w:pPr>
        <w:spacing w:line="240" w:lineRule="auto" w:before="8"/>
        <w:rPr>
          <w:rFonts w:ascii="宋体" w:hAnsi="宋体" w:cs="宋体" w:eastAsia="宋体" w:hint="default"/>
          <w:sz w:val="14"/>
          <w:szCs w:val="14"/>
        </w:rPr>
      </w:pPr>
    </w:p>
    <w:p>
      <w:pPr>
        <w:pStyle w:val="BodyText"/>
        <w:spacing w:line="415" w:lineRule="auto"/>
        <w:ind w:right="0" w:firstLine="399"/>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月，百融通达商业保理有限公司（以下简称“百融通达”）在大金所登记发行</w:t>
      </w:r>
      <w:r>
        <w:rPr>
          <w:rFonts w:ascii="Times New Roman" w:hAnsi="Times New Roman" w:cs="Times New Roman" w:eastAsia="Times New Roman" w:hint="default"/>
        </w:rPr>
        <w:t>“</w:t>
      </w:r>
      <w:r>
        <w:rPr/>
        <w:t>百融通达投资收益</w:t>
      </w:r>
      <w:r>
        <w:rPr>
          <w:w w:val="100"/>
        </w:rPr>
        <w:t> </w:t>
      </w:r>
      <w:r>
        <w:rPr/>
        <w:t>权</w:t>
      </w:r>
      <w:r>
        <w:rPr>
          <w:rFonts w:ascii="Times New Roman" w:hAnsi="Times New Roman" w:cs="Times New Roman" w:eastAsia="Times New Roman" w:hint="default"/>
        </w:rPr>
        <w:t>”</w:t>
      </w:r>
      <w:r>
        <w:rPr/>
        <w:t>产品，融资本金</w:t>
      </w:r>
      <w:r>
        <w:rPr>
          <w:rFonts w:ascii="Times New Roman" w:hAnsi="Times New Roman" w:cs="Times New Roman" w:eastAsia="Times New Roman" w:hint="default"/>
        </w:rPr>
        <w:t>5000</w:t>
      </w:r>
      <w:r>
        <w:rPr/>
        <w:t>万元，融资利率不高于</w:t>
      </w:r>
      <w:r>
        <w:rPr>
          <w:rFonts w:ascii="Times New Roman" w:hAnsi="Times New Roman" w:cs="Times New Roman" w:eastAsia="Times New Roman" w:hint="default"/>
        </w:rPr>
        <w:t>6.1%</w:t>
      </w:r>
      <w:r>
        <w:rPr/>
        <w:t>，到期一次还本付息，各期产品到期日在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2018</w:t>
      </w:r>
      <w:r>
        <w:rPr>
          <w:rFonts w:ascii="Times New Roman" w:hAnsi="Times New Roman" w:cs="Times New Roman" w:eastAsia="Times New Roman" w:hint="default"/>
          <w:w w:val="100"/>
        </w:rPr>
        <w:t> </w:t>
      </w:r>
      <w:r>
        <w:rPr>
          <w:spacing w:val="-2"/>
        </w:rPr>
        <w:t>年</w:t>
      </w:r>
      <w:r>
        <w:rPr>
          <w:rFonts w:ascii="Times New Roman" w:hAnsi="Times New Roman" w:cs="Times New Roman" w:eastAsia="Times New Roman" w:hint="default"/>
          <w:spacing w:val="-2"/>
        </w:rPr>
        <w:t>4</w:t>
      </w:r>
      <w:r>
        <w:rPr>
          <w:spacing w:val="-2"/>
        </w:rPr>
        <w:t>月之间。产品由辽宁国融担保有限公司（以下简称“辽宁国融”）提供连带责任保证担保。</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18</w:t>
      </w:r>
      <w:r>
        <w:rPr>
          <w:spacing w:val="-2"/>
        </w:rPr>
        <w:t>日，</w:t>
      </w:r>
      <w:r>
        <w:rPr>
          <w:spacing w:val="-68"/>
        </w:rPr>
        <w:t> </w:t>
      </w:r>
      <w:r>
        <w:rPr>
          <w:spacing w:val="-2"/>
        </w:rPr>
        <w:t>大金所与百融通达签订《借款合同》，借款金额</w:t>
      </w:r>
      <w:r>
        <w:rPr>
          <w:rFonts w:ascii="Times New Roman" w:hAnsi="Times New Roman" w:cs="Times New Roman" w:eastAsia="Times New Roman" w:hint="default"/>
          <w:spacing w:val="-2"/>
        </w:rPr>
        <w:t>5,160.78</w:t>
      </w:r>
      <w:r>
        <w:rPr>
          <w:spacing w:val="-2"/>
        </w:rPr>
        <w:t>万元，由王晶、辽宁国融投资有限公司、辽宁国融担保</w:t>
      </w:r>
      <w:r>
        <w:rPr>
          <w:spacing w:val="-70"/>
        </w:rPr>
        <w:t> </w:t>
      </w:r>
      <w:r>
        <w:rPr>
          <w:spacing w:val="-70"/>
        </w:rPr>
      </w:r>
      <w:r>
        <w:rPr/>
        <w:t>有限公司提供连带责任保证担保。借款用于偿还上述“百融通达投资收益权”产品本金及利息，按照产品到期</w:t>
      </w:r>
      <w:r>
        <w:rPr>
          <w:w w:val="100"/>
        </w:rPr>
        <w:t> </w:t>
      </w:r>
      <w:r>
        <w:rPr>
          <w:spacing w:val="-2"/>
        </w:rPr>
        <w:t>日逐笔支付给投资者。大金所已支付本金及利息合计</w:t>
      </w:r>
      <w:r>
        <w:rPr>
          <w:rFonts w:ascii="Times New Roman" w:hAnsi="Times New Roman" w:cs="Times New Roman" w:eastAsia="Times New Roman" w:hint="default"/>
          <w:spacing w:val="-2"/>
        </w:rPr>
        <w:t>5,160.78</w:t>
      </w:r>
      <w:r>
        <w:rPr>
          <w:spacing w:val="-2"/>
        </w:rPr>
        <w:t>万元。担保方辽宁国融将其持有的北京广聚福支付</w:t>
      </w:r>
      <w:r>
        <w:rPr>
          <w:spacing w:val="-70"/>
        </w:rPr>
        <w:t> </w:t>
      </w:r>
      <w:r>
        <w:rPr>
          <w:spacing w:val="-70"/>
        </w:rPr>
      </w:r>
      <w:r>
        <w:rPr/>
        <w:t>有限公司、大连光德粮食经贸有限公司、大连元丰粮食经贸有限公司、大连新港港湾国际物流有限公司、大连</w:t>
      </w:r>
      <w:r>
        <w:rPr>
          <w:w w:val="100"/>
        </w:rPr>
        <w:t> </w:t>
      </w:r>
      <w:r>
        <w:rPr/>
        <w:t>保税区天重国际贸易有限公司、大连鑫金城货运有限公司、大连九鼎自动化有限公司、大连嘉利德新材料有限</w:t>
      </w:r>
      <w:r>
        <w:rPr>
          <w:w w:val="100"/>
        </w:rPr>
        <w:t> </w:t>
      </w:r>
      <w:r>
        <w:rPr/>
        <w:t>公司合计债权</w:t>
      </w:r>
      <w:r>
        <w:rPr>
          <w:rFonts w:ascii="Times New Roman" w:hAnsi="Times New Roman" w:cs="Times New Roman" w:eastAsia="Times New Roman" w:hint="default"/>
        </w:rPr>
        <w:t>11,938.03</w:t>
      </w:r>
      <w:r>
        <w:rPr/>
        <w:t>万元转让给大金所，以债权的回款及自身经营收入作为对大金所的还款。</w:t>
      </w:r>
    </w:p>
    <w:p>
      <w:pPr>
        <w:pStyle w:val="BodyText"/>
        <w:spacing w:line="240" w:lineRule="auto" w:before="29"/>
        <w:ind w:left="553" w:right="0"/>
        <w:jc w:val="left"/>
      </w:pPr>
      <w:r>
        <w:rPr>
          <w:rFonts w:ascii="Times New Roman" w:hAnsi="Times New Roman" w:cs="Times New Roman" w:eastAsia="Times New Roman" w:hint="default"/>
        </w:rPr>
        <w:t>3.</w:t>
      </w:r>
      <w:r>
        <w:rPr/>
        <w:t>大股东股权质押情况</w:t>
      </w:r>
    </w:p>
    <w:p>
      <w:pPr>
        <w:spacing w:line="240" w:lineRule="auto" w:before="8"/>
        <w:rPr>
          <w:rFonts w:ascii="宋体" w:hAnsi="宋体" w:cs="宋体" w:eastAsia="宋体" w:hint="default"/>
          <w:sz w:val="14"/>
          <w:szCs w:val="14"/>
        </w:rPr>
      </w:pPr>
    </w:p>
    <w:p>
      <w:pPr>
        <w:pStyle w:val="BodyText"/>
        <w:spacing w:line="405" w:lineRule="auto"/>
        <w:ind w:right="0" w:firstLine="399"/>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日，公司第一大股东沈飒持有公司股份 </w:t>
      </w:r>
      <w:r>
        <w:rPr>
          <w:rFonts w:ascii="Times New Roman" w:hAnsi="Times New Roman" w:cs="Times New Roman" w:eastAsia="Times New Roman" w:hint="default"/>
        </w:rPr>
        <w:t>57,092,918 </w:t>
      </w:r>
      <w:r>
        <w:rPr/>
        <w:t>股，占公司总股本的</w:t>
      </w:r>
      <w:r>
        <w:rPr>
          <w:spacing w:val="-71"/>
        </w:rPr>
        <w:t> </w:t>
      </w:r>
      <w:r>
        <w:rPr>
          <w:rFonts w:ascii="Times New Roman" w:hAnsi="Times New Roman" w:cs="Times New Roman" w:eastAsia="Times New Roman" w:hint="default"/>
        </w:rPr>
        <w:t>16.91%</w:t>
      </w:r>
      <w:r>
        <w:rPr/>
        <w:t>，其中</w:t>
      </w:r>
      <w:r>
        <w:rPr>
          <w:w w:val="100"/>
        </w:rPr>
        <w:t> </w:t>
      </w:r>
      <w:r>
        <w:rPr/>
        <w:t>共质押公司股份</w:t>
      </w:r>
      <w:r>
        <w:rPr>
          <w:rFonts w:ascii="Times New Roman" w:hAnsi="Times New Roman" w:cs="Times New Roman" w:eastAsia="Times New Roman" w:hint="default"/>
        </w:rPr>
        <w:t>38,849,980</w:t>
      </w:r>
      <w:r>
        <w:rPr/>
        <w:t>股，占其持有公司股份总数的</w:t>
      </w:r>
      <w:r>
        <w:rPr>
          <w:rFonts w:ascii="Times New Roman" w:hAnsi="Times New Roman" w:cs="Times New Roman" w:eastAsia="Times New Roman" w:hint="default"/>
        </w:rPr>
        <w:t>68.05%</w:t>
      </w:r>
      <w:r>
        <w:rPr/>
        <w:t>，占公司总股本的</w:t>
      </w:r>
      <w:r>
        <w:rPr>
          <w:rFonts w:ascii="Times New Roman" w:hAnsi="Times New Roman" w:cs="Times New Roman" w:eastAsia="Times New Roman" w:hint="default"/>
        </w:rPr>
        <w:t>11.51%</w:t>
      </w:r>
      <w:r>
        <w:rPr/>
        <w:t>。</w:t>
      </w:r>
    </w:p>
    <w:p>
      <w:pPr>
        <w:pStyle w:val="BodyText"/>
        <w:spacing w:line="405" w:lineRule="auto" w:before="38"/>
        <w:ind w:left="553" w:right="0"/>
        <w:jc w:val="left"/>
        <w:rPr>
          <w:rFonts w:ascii="Times New Roman" w:hAnsi="Times New Roman" w:cs="Times New Roman" w:eastAsia="Times New Roman" w:hint="default"/>
        </w:rPr>
      </w:pPr>
      <w:r>
        <w:rPr>
          <w:rFonts w:ascii="Times New Roman" w:hAnsi="Times New Roman" w:cs="Times New Roman" w:eastAsia="Times New Roman" w:hint="default"/>
        </w:rPr>
        <w:t>4.</w:t>
      </w:r>
      <w:r>
        <w:rPr/>
        <w:t>大连金融资产交易所平台发行产品情况</w:t>
      </w:r>
      <w:r>
        <w:rPr>
          <w:w w:val="100"/>
        </w:rPr>
        <w:t> </w:t>
      </w:r>
      <w:r>
        <w:rPr>
          <w:spacing w:val="-1"/>
        </w:rPr>
        <w:t>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日，在大金所交易平台登记发行的产品未到期本金</w:t>
      </w:r>
      <w:r>
        <w:rPr>
          <w:rFonts w:ascii="Times New Roman" w:hAnsi="Times New Roman" w:cs="Times New Roman" w:eastAsia="Times New Roman" w:hint="default"/>
          <w:spacing w:val="-1"/>
        </w:rPr>
        <w:t>21,620.00</w:t>
      </w:r>
      <w:r>
        <w:rPr>
          <w:spacing w:val="-1"/>
        </w:rPr>
        <w:t>万元，未付利息金额</w:t>
      </w:r>
      <w:r>
        <w:rPr>
          <w:rFonts w:ascii="Times New Roman" w:hAnsi="Times New Roman" w:cs="Times New Roman" w:eastAsia="Times New Roman" w:hint="default"/>
          <w:spacing w:val="-1"/>
        </w:rPr>
        <w:t>828.30</w:t>
      </w:r>
    </w:p>
    <w:p>
      <w:pPr>
        <w:pStyle w:val="BodyText"/>
        <w:spacing w:line="429" w:lineRule="auto" w:before="38"/>
        <w:ind w:right="1267"/>
        <w:jc w:val="left"/>
      </w:pPr>
      <w:r>
        <w:rPr>
          <w:spacing w:val="-1"/>
        </w:rPr>
        <w:t>万元，已到期发行人未按期支付的产品有“辉山乳业定向融资计划”产品，未付本金</w:t>
      </w:r>
      <w:r>
        <w:rPr>
          <w:rFonts w:ascii="宋体" w:hAnsi="宋体" w:cs="宋体" w:eastAsia="宋体" w:hint="default"/>
          <w:spacing w:val="-1"/>
        </w:rPr>
        <w:t>3</w:t>
      </w:r>
      <w:r>
        <w:rPr>
          <w:spacing w:val="-1"/>
        </w:rPr>
        <w:t>亿元，未付利息</w:t>
      </w:r>
      <w:r>
        <w:rPr>
          <w:rFonts w:ascii="宋体" w:hAnsi="宋体" w:cs="宋体" w:eastAsia="宋体" w:hint="default"/>
          <w:spacing w:val="-1"/>
        </w:rPr>
        <w:t>368.80</w:t>
      </w:r>
      <w:r>
        <w:rPr>
          <w:rFonts w:ascii="宋体" w:hAnsi="宋体" w:cs="宋体" w:eastAsia="宋体" w:hint="default"/>
          <w:spacing w:val="-59"/>
        </w:rPr>
        <w:t> </w:t>
      </w:r>
      <w:r>
        <w:rPr/>
        <w:t>万元；“大连国资</w:t>
      </w:r>
      <w:r>
        <w:rPr>
          <w:rFonts w:ascii="宋体" w:hAnsi="宋体" w:cs="宋体" w:eastAsia="宋体" w:hint="default"/>
        </w:rPr>
        <w:t>-</w:t>
      </w:r>
      <w:r>
        <w:rPr/>
        <w:t>源溢投资定向融资计划”产品，未付本金</w:t>
      </w:r>
      <w:r>
        <w:rPr>
          <w:rFonts w:ascii="Times New Roman" w:hAnsi="Times New Roman" w:cs="Times New Roman" w:eastAsia="Times New Roman" w:hint="default"/>
        </w:rPr>
        <w:t>1327</w:t>
      </w:r>
      <w:r>
        <w:rPr/>
        <w:t>万元，未付利息</w:t>
      </w:r>
      <w:r>
        <w:rPr>
          <w:rFonts w:ascii="Times New Roman" w:hAnsi="Times New Roman" w:cs="Times New Roman" w:eastAsia="Times New Roman" w:hint="default"/>
        </w:rPr>
        <w:t>176.46</w:t>
      </w:r>
      <w:r>
        <w:rPr/>
        <w:t>万元。</w:t>
      </w:r>
    </w:p>
    <w:p>
      <w:pPr>
        <w:spacing w:line="240" w:lineRule="auto" w:before="11"/>
        <w:rPr>
          <w:rFonts w:ascii="宋体" w:hAnsi="宋体" w:cs="宋体" w:eastAsia="宋体" w:hint="default"/>
          <w:sz w:val="15"/>
          <w:szCs w:val="15"/>
        </w:rPr>
      </w:pPr>
    </w:p>
    <w:p>
      <w:pPr>
        <w:pStyle w:val="Heading2"/>
        <w:spacing w:line="240" w:lineRule="auto"/>
        <w:ind w:right="0"/>
        <w:jc w:val="left"/>
        <w:rPr>
          <w:b w:val="0"/>
          <w:bCs w:val="0"/>
        </w:rPr>
      </w:pPr>
      <w:bookmarkStart w:name="十五、母公司财务报表主要项目注释" w:id="344"/>
      <w:bookmarkEnd w:id="344"/>
      <w:r>
        <w:rPr>
          <w:b w:val="0"/>
          <w:bCs w:val="0"/>
        </w:rPr>
      </w:r>
      <w:r>
        <w:rPr/>
        <w:t>十五、母公司财务报表主要项目注释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及应收账款" w:id="345"/>
      <w:bookmarkEnd w:id="345"/>
      <w:r>
        <w:rPr>
          <w:b w:val="0"/>
          <w:bCs w:val="0"/>
        </w:rPr>
      </w:r>
      <w:r>
        <w:rPr>
          <w:rFonts w:ascii="Times New Roman" w:hAnsi="Times New Roman" w:cs="Times New Roman" w:eastAsia="Times New Roman" w:hint="default"/>
        </w:rPr>
        <w:t>1</w:t>
      </w:r>
      <w:r>
        <w:rPr/>
        <w:t>、应收票据及应收账款</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28,821,652.00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8,137,514.49</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98,039,076.04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67,534,743.14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126,860,728.04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75,672,257.63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票据" w:id="346"/>
      <w:bookmarkEnd w:id="346"/>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6"/>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7" w:footer="979" w:top="1060" w:bottom="1160" w:left="980" w:right="0"/>
        </w:sectPr>
      </w:pPr>
    </w:p>
    <w:p>
      <w:pPr>
        <w:pStyle w:val="BodyText"/>
        <w:spacing w:line="240" w:lineRule="auto" w:before="38"/>
        <w:ind w:right="-9"/>
        <w:jc w:val="left"/>
      </w:pPr>
      <w:r>
        <w:rPr>
          <w:rFonts w:ascii="Times New Roman" w:hAnsi="Times New Roman" w:cs="Times New Roman" w:eastAsia="Times New Roman" w:hint="default"/>
          <w:spacing w:val="-1"/>
        </w:rPr>
        <w:t>1)</w:t>
      </w:r>
      <w:r>
        <w:rPr>
          <w:spacing w:val="-1"/>
        </w:rPr>
        <w:t>应收票据分类列示</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22" w:space="6908"/>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28,821,652.00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8,137,514.49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28,821,652.00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8,137,514.49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收账款" w:id="347"/>
      <w:bookmarkEnd w:id="347"/>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5"/>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0"/>
        </w:sectPr>
      </w:pPr>
    </w:p>
    <w:p>
      <w:pPr>
        <w:pStyle w:val="BodyText"/>
        <w:spacing w:line="240" w:lineRule="auto" w:before="38"/>
        <w:ind w:right="-9"/>
        <w:jc w:val="left"/>
      </w:pPr>
      <w:r>
        <w:rPr>
          <w:rFonts w:ascii="Times New Roman" w:hAnsi="Times New Roman" w:cs="Times New Roman" w:eastAsia="Times New Roman" w:hint="default"/>
          <w:spacing w:val="-1"/>
        </w:rPr>
        <w:t>1)</w:t>
      </w:r>
      <w:r>
        <w:rPr>
          <w:spacing w:val="-1"/>
        </w:rPr>
        <w:t>应收账款分类披露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22" w:space="6908"/>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106,818,</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061.54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8,778,98</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5.50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8.22%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98,039,07</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6.04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73,206,</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750.28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5,672,007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7.75%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67,534,743.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14</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106,818,</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061.54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8,778,98</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5.50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8.22%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98,039,07</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6.04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73,206,</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750.28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5,672,007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7.75%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67,534,743.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14</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3"/>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93,868,787.60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4,693,439.38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93,868,787.60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4,693,439.38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6,538,500.13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653,850.01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2,543,010.97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508,602.19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3,867,762.84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2,923,093.92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75.58%</w:t>
            </w: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1,889,337.84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944,668.92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1,969,925.00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1,969,925.00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106,818,061.54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8,778,985.50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2"/>
          <w:szCs w:val="12"/>
        </w:rPr>
      </w:pPr>
    </w:p>
    <w:p>
      <w:pPr>
        <w:pStyle w:val="BodyText"/>
        <w:spacing w:line="240" w:lineRule="auto"/>
        <w:ind w:right="0"/>
        <w:jc w:val="left"/>
      </w:pPr>
      <w:r>
        <w:rPr>
          <w:rFonts w:ascii="Times New Roman" w:hAnsi="Times New Roman" w:cs="Times New Roman" w:eastAsia="Times New Roman" w:hint="default"/>
        </w:rPr>
        <w:t>2)</w:t>
      </w:r>
      <w:r>
        <w:rPr/>
        <w:t>本期计提、收回或转回的坏账准备情况</w:t>
      </w:r>
    </w:p>
    <w:p>
      <w:pPr>
        <w:spacing w:line="240" w:lineRule="auto" w:before="8"/>
        <w:rPr>
          <w:rFonts w:ascii="宋体" w:hAnsi="宋体" w:cs="宋体" w:eastAsia="宋体" w:hint="default"/>
          <w:sz w:val="14"/>
          <w:szCs w:val="14"/>
        </w:rPr>
      </w:pPr>
    </w:p>
    <w:p>
      <w:pPr>
        <w:pStyle w:val="BodyText"/>
        <w:spacing w:line="240" w:lineRule="auto"/>
        <w:ind w:left="553" w:right="0"/>
        <w:jc w:val="left"/>
      </w:pPr>
      <w:r>
        <w:rPr/>
        <w:t>本期计提坏账准备金额</w:t>
      </w:r>
      <w:r>
        <w:rPr>
          <w:spacing w:val="-53"/>
        </w:rPr>
        <w:t> </w:t>
      </w:r>
      <w:r>
        <w:rPr>
          <w:rFonts w:ascii="Times New Roman" w:hAnsi="Times New Roman" w:cs="Times New Roman" w:eastAsia="Times New Roman" w:hint="default"/>
        </w:rPr>
        <w:t>3,106,978.36</w:t>
      </w:r>
      <w:r>
        <w:rPr>
          <w:rFonts w:ascii="Times New Roman" w:hAnsi="Times New Roman" w:cs="Times New Roman" w:eastAsia="Times New Roman" w:hint="default"/>
          <w:spacing w:val="-3"/>
        </w:rPr>
        <w:t> </w:t>
      </w:r>
      <w:r>
        <w:rPr/>
        <w:t>元；本期收回或转回坏账准备金额</w:t>
      </w:r>
      <w:r>
        <w:rPr>
          <w:spacing w:val="-53"/>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p>
    <w:p>
      <w:pPr>
        <w:spacing w:line="240" w:lineRule="auto" w:before="8"/>
        <w:rPr>
          <w:rFonts w:ascii="宋体" w:hAnsi="宋体" w:cs="宋体" w:eastAsia="宋体" w:hint="default"/>
          <w:sz w:val="14"/>
          <w:szCs w:val="14"/>
        </w:rPr>
      </w:pPr>
    </w:p>
    <w:p>
      <w:pPr>
        <w:pStyle w:val="BodyText"/>
        <w:spacing w:line="405" w:lineRule="auto"/>
        <w:ind w:left="553" w:right="0" w:hanging="400"/>
        <w:jc w:val="left"/>
      </w:pPr>
      <w:r>
        <w:rPr>
          <w:rFonts w:ascii="Times New Roman" w:hAnsi="Times New Roman" w:cs="Times New Roman" w:eastAsia="Times New Roman" w:hint="default"/>
        </w:rPr>
        <w:t>3)</w:t>
      </w:r>
      <w:r>
        <w:rPr/>
        <w:t>按欠款方归集的期末余额前五名的应收账款情况</w:t>
      </w:r>
      <w:r>
        <w:rPr>
          <w:w w:val="100"/>
        </w:rPr>
        <w:t> </w:t>
      </w:r>
      <w:r>
        <w:rPr>
          <w:spacing w:val="-2"/>
        </w:rPr>
        <w:t>本报告期按欠款方归集的期末余额前五名应收账款汇总金额</w:t>
      </w:r>
      <w:r>
        <w:rPr>
          <w:rFonts w:ascii="宋体" w:hAnsi="宋体" w:cs="宋体" w:eastAsia="宋体" w:hint="default"/>
          <w:spacing w:val="-2"/>
        </w:rPr>
        <w:t>34,244,975.82</w:t>
      </w:r>
      <w:r>
        <w:rPr>
          <w:spacing w:val="-2"/>
        </w:rPr>
        <w:t>元，占应收账款期末余额合计数</w:t>
      </w:r>
    </w:p>
    <w:p>
      <w:pPr>
        <w:pStyle w:val="BodyText"/>
        <w:spacing w:line="240" w:lineRule="auto" w:before="68"/>
        <w:ind w:right="0"/>
        <w:jc w:val="left"/>
      </w:pPr>
      <w:r>
        <w:rPr/>
        <w:t>的比例</w:t>
      </w:r>
      <w:r>
        <w:rPr>
          <w:rFonts w:ascii="宋体" w:hAnsi="宋体" w:cs="宋体" w:eastAsia="宋体" w:hint="default"/>
        </w:rPr>
        <w:t>32.06</w:t>
      </w:r>
      <w:r>
        <w:rPr>
          <w:rFonts w:ascii="宋体" w:hAnsi="宋体" w:cs="宋体" w:eastAsia="宋体" w:hint="default"/>
          <w:spacing w:val="-6"/>
        </w:rPr>
        <w:t> </w:t>
      </w:r>
      <w:r>
        <w:rPr>
          <w:rFonts w:ascii="宋体" w:hAnsi="宋体" w:cs="宋体" w:eastAsia="宋体" w:hint="default"/>
        </w:rPr>
        <w:t>%</w:t>
      </w:r>
      <w:r>
        <w:rPr/>
        <w:t>，相应计提的坏账准备期末余额汇总金额</w:t>
      </w:r>
      <w:r>
        <w:rPr>
          <w:rFonts w:ascii="宋体" w:hAnsi="宋体" w:cs="宋体" w:eastAsia="宋体" w:hint="default"/>
        </w:rPr>
        <w:t>1,712,248.79</w:t>
      </w:r>
      <w:r>
        <w:rPr/>
        <w:t>元。</w:t>
      </w:r>
    </w:p>
    <w:p>
      <w:pPr>
        <w:spacing w:line="240" w:lineRule="auto" w:before="0"/>
        <w:rPr>
          <w:rFonts w:ascii="宋体" w:hAnsi="宋体" w:cs="宋体" w:eastAsia="宋体" w:hint="default"/>
          <w:sz w:val="20"/>
          <w:szCs w:val="20"/>
        </w:rPr>
      </w:pPr>
    </w:p>
    <w:p>
      <w:pPr>
        <w:pStyle w:val="Heading3"/>
        <w:spacing w:line="240" w:lineRule="auto" w:before="158"/>
        <w:ind w:right="0"/>
        <w:jc w:val="left"/>
        <w:rPr>
          <w:b w:val="0"/>
          <w:bCs w:val="0"/>
        </w:rPr>
      </w:pPr>
      <w:bookmarkStart w:name="2、其他应收款" w:id="348"/>
      <w:bookmarkEnd w:id="348"/>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235,424,934.28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524,568,713.44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235,424,934.28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524,568,713.44</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1）其他应收款" w:id="349"/>
      <w:bookmarkEnd w:id="349"/>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5"/>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7" w:footer="979" w:top="1060" w:bottom="1160" w:left="980" w:right="0"/>
        </w:sectPr>
      </w:pPr>
    </w:p>
    <w:p>
      <w:pPr>
        <w:pStyle w:val="BodyText"/>
        <w:spacing w:line="240" w:lineRule="auto" w:before="38"/>
        <w:ind w:right="-8"/>
        <w:jc w:val="left"/>
      </w:pPr>
      <w:r>
        <w:rPr>
          <w:rFonts w:ascii="Times New Roman" w:hAnsi="Times New Roman" w:cs="Times New Roman" w:eastAsia="Times New Roman" w:hint="default"/>
          <w:spacing w:val="-1"/>
        </w:rPr>
        <w:t>1)</w:t>
      </w:r>
      <w:r>
        <w:rPr>
          <w:spacing w:val="-1"/>
        </w:rPr>
        <w:t>其他应收款分类披露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122" w:space="6707"/>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243,672,</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368.52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8,247,43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3.38%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235,424,9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34.28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531,540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,007.89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6,971,294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1.31%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524,568,71</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3.44</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243,672,</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368.52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8,247,43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4.24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3.38%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235,424,9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34.28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531,540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,007.89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6,971,294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1.31%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524,568,71</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3.44</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2"/>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3"/>
        <w:gridCol w:w="7075"/>
      </w:tblGrid>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29,674,904.82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1,483,745.24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29,674,904.82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1,483,745.24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11,832,288.57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1,183,228.86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4,708,943.68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941,788.74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5,006,231.45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4,638,671.40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92.66%</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735,120.10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367,560.05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3,743,931.50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3,743,931.50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527,179.85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527,179.85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51,222,368.52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8,247,434.24</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154" w:right="6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398" w:type="dxa"/>
        <w:tblLayout w:type="fixed"/>
        <w:tblCellMar>
          <w:top w:w="0" w:type="dxa"/>
          <w:left w:w="0" w:type="dxa"/>
          <w:bottom w:w="0" w:type="dxa"/>
          <w:right w:w="0" w:type="dxa"/>
        </w:tblCellMar>
        <w:tblLook w:val="01E0"/>
      </w:tblPr>
      <w:tblGrid>
        <w:gridCol w:w="4117"/>
        <w:gridCol w:w="1702"/>
        <w:gridCol w:w="1360"/>
        <w:gridCol w:w="1961"/>
      </w:tblGrid>
      <w:tr>
        <w:trPr>
          <w:trHeight w:val="342" w:hRule="exact"/>
        </w:trPr>
        <w:tc>
          <w:tcPr>
            <w:tcW w:w="4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其他应收款内容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71" w:right="0"/>
              <w:jc w:val="left"/>
              <w:rPr>
                <w:rFonts w:ascii="宋体" w:hAnsi="宋体" w:cs="宋体" w:eastAsia="宋体" w:hint="default"/>
                <w:sz w:val="21"/>
                <w:szCs w:val="21"/>
              </w:rPr>
            </w:pPr>
            <w:r>
              <w:rPr>
                <w:rFonts w:ascii="宋体" w:hAnsi="宋体" w:cs="宋体" w:eastAsia="宋体" w:hint="default"/>
                <w:sz w:val="18"/>
                <w:szCs w:val="18"/>
              </w:rPr>
              <w:t>账面余额</w:t>
            </w:r>
            <w:r>
              <w:rPr>
                <w:rFonts w:ascii="宋体" w:hAnsi="宋体" w:cs="宋体" w:eastAsia="宋体" w:hint="default"/>
                <w:sz w:val="21"/>
                <w:szCs w:val="21"/>
              </w:rPr>
              <w:t>（元）</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5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86"/>
              <w:jc w:val="right"/>
              <w:rPr>
                <w:rFonts w:ascii="宋体" w:hAnsi="宋体" w:cs="宋体" w:eastAsia="宋体" w:hint="default"/>
                <w:sz w:val="18"/>
                <w:szCs w:val="18"/>
              </w:rPr>
            </w:pPr>
            <w:r>
              <w:rPr>
                <w:rFonts w:ascii="宋体" w:hAnsi="宋体" w:cs="宋体" w:eastAsia="宋体" w:hint="default"/>
                <w:sz w:val="18"/>
                <w:szCs w:val="18"/>
              </w:rPr>
              <w:t>不计提理由</w:t>
            </w:r>
          </w:p>
        </w:tc>
      </w:tr>
      <w:tr>
        <w:trPr>
          <w:trHeight w:val="342" w:hRule="exact"/>
        </w:trPr>
        <w:tc>
          <w:tcPr>
            <w:tcW w:w="4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9" w:right="0"/>
              <w:jc w:val="left"/>
              <w:rPr>
                <w:rFonts w:ascii="宋体" w:hAnsi="宋体" w:cs="宋体" w:eastAsia="宋体" w:hint="default"/>
                <w:sz w:val="18"/>
                <w:szCs w:val="18"/>
              </w:rPr>
            </w:pPr>
            <w:r>
              <w:rPr>
                <w:rFonts w:ascii="宋体" w:hAnsi="宋体" w:cs="宋体" w:eastAsia="宋体" w:hint="default"/>
                <w:sz w:val="18"/>
                <w:szCs w:val="18"/>
              </w:rPr>
              <w:t>华缔资产管理（北京）有限公司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163,950,000.00</w:t>
            </w:r>
          </w:p>
        </w:tc>
        <w:tc>
          <w:tcPr>
            <w:tcW w:w="1360"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542"/>
              <w:jc w:val="right"/>
              <w:rPr>
                <w:rFonts w:ascii="宋体" w:hAnsi="宋体" w:cs="宋体" w:eastAsia="宋体" w:hint="default"/>
                <w:sz w:val="20"/>
                <w:szCs w:val="20"/>
              </w:rPr>
            </w:pPr>
            <w:r>
              <w:rPr>
                <w:rFonts w:ascii="宋体" w:hAnsi="宋体" w:cs="宋体" w:eastAsia="宋体" w:hint="default"/>
                <w:spacing w:val="-1"/>
                <w:sz w:val="20"/>
                <w:szCs w:val="20"/>
              </w:rPr>
              <w:t>合并范围内往来</w:t>
            </w:r>
          </w:p>
        </w:tc>
      </w:tr>
      <w:tr>
        <w:trPr>
          <w:trHeight w:val="342" w:hRule="exact"/>
        </w:trPr>
        <w:tc>
          <w:tcPr>
            <w:tcW w:w="4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9" w:right="0"/>
              <w:jc w:val="left"/>
              <w:rPr>
                <w:rFonts w:ascii="宋体" w:hAnsi="宋体" w:cs="宋体" w:eastAsia="宋体" w:hint="default"/>
                <w:sz w:val="18"/>
                <w:szCs w:val="18"/>
              </w:rPr>
            </w:pPr>
            <w:r>
              <w:rPr>
                <w:rFonts w:ascii="宋体" w:hAnsi="宋体" w:cs="宋体" w:eastAsia="宋体" w:hint="default"/>
                <w:sz w:val="18"/>
                <w:szCs w:val="18"/>
              </w:rPr>
              <w:t>中科金财（上海）互联网金融信息服务有限公司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27,500,000.00</w:t>
            </w:r>
          </w:p>
        </w:tc>
        <w:tc>
          <w:tcPr>
            <w:tcW w:w="1360"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542"/>
              <w:jc w:val="right"/>
              <w:rPr>
                <w:rFonts w:ascii="宋体" w:hAnsi="宋体" w:cs="宋体" w:eastAsia="宋体" w:hint="default"/>
                <w:sz w:val="20"/>
                <w:szCs w:val="20"/>
              </w:rPr>
            </w:pPr>
            <w:r>
              <w:rPr>
                <w:rFonts w:ascii="宋体" w:hAnsi="宋体" w:cs="宋体" w:eastAsia="宋体" w:hint="default"/>
                <w:spacing w:val="-1"/>
                <w:sz w:val="20"/>
                <w:szCs w:val="20"/>
              </w:rPr>
              <w:t>合并范围内往来</w:t>
            </w:r>
          </w:p>
        </w:tc>
      </w:tr>
      <w:tr>
        <w:trPr>
          <w:trHeight w:val="342" w:hRule="exact"/>
        </w:trPr>
        <w:tc>
          <w:tcPr>
            <w:tcW w:w="4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9" w:right="0"/>
              <w:jc w:val="left"/>
              <w:rPr>
                <w:rFonts w:ascii="宋体" w:hAnsi="宋体" w:cs="宋体" w:eastAsia="宋体" w:hint="default"/>
                <w:sz w:val="18"/>
                <w:szCs w:val="18"/>
              </w:rPr>
            </w:pPr>
            <w:r>
              <w:rPr>
                <w:rFonts w:ascii="宋体" w:hAnsi="宋体" w:cs="宋体" w:eastAsia="宋体" w:hint="default"/>
                <w:sz w:val="18"/>
                <w:szCs w:val="18"/>
              </w:rPr>
              <w:t>北京中科金财投资管理有限公司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1,000,000.00</w:t>
            </w:r>
          </w:p>
        </w:tc>
        <w:tc>
          <w:tcPr>
            <w:tcW w:w="1360"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542"/>
              <w:jc w:val="right"/>
              <w:rPr>
                <w:rFonts w:ascii="宋体" w:hAnsi="宋体" w:cs="宋体" w:eastAsia="宋体" w:hint="default"/>
                <w:sz w:val="20"/>
                <w:szCs w:val="20"/>
              </w:rPr>
            </w:pPr>
            <w:r>
              <w:rPr>
                <w:rFonts w:ascii="宋体" w:hAnsi="宋体" w:cs="宋体" w:eastAsia="宋体" w:hint="default"/>
                <w:spacing w:val="-1"/>
                <w:sz w:val="20"/>
                <w:szCs w:val="20"/>
              </w:rPr>
              <w:t>合并范围内往来</w:t>
            </w:r>
          </w:p>
        </w:tc>
      </w:tr>
      <w:tr>
        <w:trPr>
          <w:trHeight w:val="342" w:hRule="exact"/>
        </w:trPr>
        <w:tc>
          <w:tcPr>
            <w:tcW w:w="4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192,450,000.00</w:t>
            </w:r>
          </w:p>
        </w:tc>
        <w:tc>
          <w:tcPr>
            <w:tcW w:w="1360"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6"/>
          <w:szCs w:val="26"/>
        </w:rPr>
      </w:pPr>
    </w:p>
    <w:p>
      <w:pPr>
        <w:pStyle w:val="BodyText"/>
        <w:spacing w:line="240" w:lineRule="auto" w:before="38"/>
        <w:ind w:right="0"/>
        <w:jc w:val="left"/>
      </w:pPr>
      <w:r>
        <w:rPr>
          <w:rFonts w:ascii="Times New Roman" w:hAnsi="Times New Roman" w:cs="Times New Roman" w:eastAsia="Times New Roman" w:hint="default"/>
        </w:rPr>
        <w:t>2)</w:t>
      </w:r>
      <w:r>
        <w:rPr/>
        <w:t>本期计提、收回或转回的坏账准备情况</w:t>
      </w:r>
    </w:p>
    <w:p>
      <w:pPr>
        <w:spacing w:line="240" w:lineRule="auto" w:before="8"/>
        <w:rPr>
          <w:rFonts w:ascii="宋体" w:hAnsi="宋体" w:cs="宋体" w:eastAsia="宋体" w:hint="default"/>
          <w:sz w:val="14"/>
          <w:szCs w:val="14"/>
        </w:rPr>
      </w:pPr>
    </w:p>
    <w:p>
      <w:pPr>
        <w:pStyle w:val="BodyText"/>
        <w:spacing w:line="240" w:lineRule="auto"/>
        <w:ind w:right="0"/>
        <w:jc w:val="left"/>
      </w:pPr>
      <w:r>
        <w:rPr/>
        <w:t>本期计提坏账准备金额</w:t>
      </w:r>
      <w:r>
        <w:rPr>
          <w:spacing w:val="-53"/>
        </w:rPr>
        <w:t> </w:t>
      </w:r>
      <w:r>
        <w:rPr>
          <w:rFonts w:ascii="Times New Roman" w:hAnsi="Times New Roman" w:cs="Times New Roman" w:eastAsia="Times New Roman" w:hint="default"/>
        </w:rPr>
        <w:t>1,276,139.79</w:t>
      </w:r>
      <w:r>
        <w:rPr>
          <w:rFonts w:ascii="Times New Roman" w:hAnsi="Times New Roman" w:cs="Times New Roman" w:eastAsia="Times New Roman" w:hint="default"/>
          <w:spacing w:val="-3"/>
        </w:rPr>
        <w:t> </w:t>
      </w:r>
      <w:r>
        <w:rPr/>
        <w:t>元；本期收回或转回坏账准备金额</w:t>
      </w:r>
      <w:r>
        <w:rPr>
          <w:spacing w:val="-53"/>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t>元。</w:t>
      </w:r>
    </w:p>
    <w:p>
      <w:pPr>
        <w:spacing w:line="240" w:lineRule="auto" w:before="8"/>
        <w:rPr>
          <w:rFonts w:ascii="宋体" w:hAnsi="宋体" w:cs="宋体" w:eastAsia="宋体" w:hint="default"/>
          <w:sz w:val="14"/>
          <w:szCs w:val="14"/>
        </w:rPr>
      </w:pPr>
    </w:p>
    <w:p>
      <w:pPr>
        <w:pStyle w:val="BodyText"/>
        <w:spacing w:line="240" w:lineRule="auto"/>
        <w:ind w:right="0"/>
        <w:jc w:val="left"/>
      </w:pPr>
      <w:r>
        <w:rPr>
          <w:rFonts w:ascii="Times New Roman" w:hAnsi="Times New Roman" w:cs="Times New Roman" w:eastAsia="Times New Roman" w:hint="default"/>
        </w:rPr>
        <w:t>3)</w:t>
      </w:r>
      <w:r>
        <w:rPr/>
        <w:t>其他应收款按款项性质分类情况</w:t>
      </w:r>
    </w:p>
    <w:p>
      <w:pPr>
        <w:spacing w:line="240" w:lineRule="auto" w:before="8"/>
        <w:rPr>
          <w:rFonts w:ascii="宋体" w:hAnsi="宋体" w:cs="宋体" w:eastAsia="宋体" w:hint="default"/>
          <w:sz w:val="9"/>
          <w:szCs w:val="9"/>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48,425,169.95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46,912,921.64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30,149.03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90,049.03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房租物业押金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2,191,876.60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2,228,652.00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192,450,000.00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482,000,000.00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575,172.94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308,385.22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243,672,368.52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531,540,007.89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35"/>
        <w:ind w:right="0"/>
        <w:jc w:val="left"/>
      </w:pPr>
      <w:r>
        <w:rPr>
          <w:rFonts w:ascii="Times New Roman" w:hAnsi="Times New Roman" w:cs="Times New Roman" w:eastAsia="Times New Roman" w:hint="default"/>
          <w:spacing w:val="-1"/>
        </w:rPr>
        <w:t>4)</w:t>
      </w:r>
      <w:r>
        <w:rPr>
          <w:spacing w:val="-1"/>
        </w:rPr>
        <w:t>按欠款方归集的期末余额前五名的其他应收款情况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722" w:space="4108"/>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5"/>
        <w:gridCol w:w="1551"/>
        <w:gridCol w:w="1552"/>
        <w:gridCol w:w="1553"/>
        <w:gridCol w:w="1614"/>
        <w:gridCol w:w="1604"/>
      </w:tblGrid>
      <w:tr>
        <w:trPr>
          <w:trHeight w:val="402"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81" w:right="0"/>
              <w:jc w:val="left"/>
              <w:rPr>
                <w:rFonts w:ascii="宋体" w:hAnsi="宋体" w:cs="宋体" w:eastAsia="宋体" w:hint="default"/>
                <w:sz w:val="18"/>
                <w:szCs w:val="18"/>
              </w:rPr>
            </w:pPr>
            <w:r>
              <w:rPr>
                <w:rFonts w:ascii="宋体" w:hAnsi="宋体" w:cs="宋体" w:eastAsia="宋体" w:hint="default"/>
                <w:sz w:val="18"/>
                <w:szCs w:val="18"/>
              </w:rPr>
              <w:t>占其他应收款期末</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36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81"/>
              <w:jc w:val="right"/>
              <w:rPr>
                <w:rFonts w:ascii="宋体" w:hAnsi="宋体" w:cs="宋体" w:eastAsia="宋体" w:hint="default"/>
                <w:sz w:val="18"/>
                <w:szCs w:val="18"/>
              </w:rPr>
            </w:pPr>
            <w:r>
              <w:rPr>
                <w:rFonts w:ascii="宋体" w:hAnsi="宋体" w:cs="宋体" w:eastAsia="宋体" w:hint="default"/>
                <w:sz w:val="18"/>
                <w:szCs w:val="18"/>
              </w:rPr>
              <w:t>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pacing w:val="-10"/>
                <w:sz w:val="18"/>
                <w:szCs w:val="18"/>
              </w:rPr>
              <w:t>华缔资产管理（北京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p>
            <w:pPr>
              <w:pStyle w:val="TableParagraph"/>
              <w:spacing w:line="560" w:lineRule="exact"/>
              <w:ind w:right="-36"/>
              <w:jc w:val="left"/>
              <w:rPr>
                <w:rFonts w:ascii="宋体" w:hAnsi="宋体" w:cs="宋体" w:eastAsia="宋体" w:hint="default"/>
                <w:sz w:val="20"/>
                <w:szCs w:val="20"/>
              </w:rPr>
            </w:pPr>
            <w:r>
              <w:rPr>
                <w:rFonts w:ascii="宋体" w:hAnsi="宋体" w:cs="宋体" w:eastAsia="宋体" w:hint="default"/>
                <w:position w:val="-10"/>
                <w:sz w:val="20"/>
                <w:szCs w:val="20"/>
              </w:rPr>
              <w:pict>
                <v:group style="width:77.1pt;height:28.05pt;mso-position-horizontal-relative:char;mso-position-vertical-relative:line" coordorigin="0,0" coordsize="1542,561">
                  <v:group style="position:absolute;left:0;top:0;width:1542;height:156" coordorigin="0,0" coordsize="1542,156">
                    <v:shape style="position:absolute;left:0;top:0;width:1542;height:156" coordorigin="0,0" coordsize="1542,156" path="m0,156l1542,156,1542,0,0,0,0,156xe" filled="true" fillcolor="#ffffff" stroked="false">
                      <v:path arrowok="t"/>
                      <v:fill type="solid"/>
                    </v:shape>
                  </v:group>
                  <v:group style="position:absolute;left:12;top:156;width:2;height:393" coordorigin="12,156" coordsize="2,393">
                    <v:shape style="position:absolute;left:12;top:156;width:2;height:393" coordorigin="12,156" coordsize="0,393" path="m12,156l12,548e" filled="false" stroked="true" strokeweight="1.2pt" strokecolor="#ffffff">
                      <v:path arrowok="t"/>
                    </v:shape>
                  </v:group>
                  <v:group style="position:absolute;left:24;top:156;width:1494;height:393" coordorigin="24,156" coordsize="1494,393">
                    <v:shape style="position:absolute;left:24;top:156;width:1494;height:393" coordorigin="24,156" coordsize="1494,393" path="m24,548l1518,548,1518,156,24,156,24,548xe" filled="true" fillcolor="#ffffff" stroked="false">
                      <v:path arrowok="t"/>
                      <v:fill type="solid"/>
                    </v:shape>
                  </v:group>
                </v:group>
              </w:pict>
            </w:r>
            <w:r>
              <w:rPr>
                <w:rFonts w:ascii="宋体" w:hAnsi="宋体" w:cs="宋体" w:eastAsia="宋体" w:hint="default"/>
                <w:position w:val="-10"/>
                <w:sz w:val="20"/>
                <w:szCs w:val="20"/>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163,950,000.00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67.28%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both"/>
              <w:rPr>
                <w:rFonts w:ascii="宋体" w:hAnsi="宋体" w:cs="宋体" w:eastAsia="宋体" w:hint="default"/>
                <w:sz w:val="18"/>
                <w:szCs w:val="18"/>
              </w:rPr>
            </w:pPr>
            <w:r>
              <w:rPr>
                <w:rFonts w:ascii="宋体" w:hAnsi="宋体" w:cs="宋体" w:eastAsia="宋体" w:hint="default"/>
                <w:sz w:val="18"/>
                <w:szCs w:val="18"/>
              </w:rPr>
              <w:t>中科金财（上海）互 联网金融信息服务有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11.29%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中科软科技股份有限 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6,536,831.55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810,806.99</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中捷通信有限公司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2,840,045.79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142,002.29</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锐讯科技（北京）有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203,586,877.34</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83.55%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1,090,809.28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长期股权投资" w:id="350"/>
      <w:bookmarkEnd w:id="350"/>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1,586,555,444.36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1,586,555,444.36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1,586,655,444.36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1,586,655,444.36</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313,875,715.27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313,875,715.27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306,299,607.14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306,299,607.14</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1,900,431,159.63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1,900,431,159.63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1,892,955,051.50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1,892,955,051.50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351"/>
      <w:bookmarkEnd w:id="351"/>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北京中科金财电 子商务有限公司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110,124,410.57</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110,124,410.57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北京中科金财软 件技术有限公司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天津中科金财科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798,000,000.00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798,000,000.00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北京国信金泽投 资中心（有限合 伙）</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1,299,870.00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1,299,870.00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北京中科金财互 联网服务有限公</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91" w:right="0"/>
              <w:jc w:val="left"/>
              <w:rPr>
                <w:rFonts w:ascii="Times New Roman" w:hAnsi="Times New Roman" w:cs="Times New Roman" w:eastAsia="Times New Roman" w:hint="default"/>
                <w:sz w:val="18"/>
                <w:szCs w:val="18"/>
              </w:rPr>
            </w:pPr>
            <w:r>
              <w:rPr>
                <w:rFonts w:ascii="Times New Roman"/>
                <w:sz w:val="18"/>
              </w:rPr>
              <w:t>100,000.00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大连金融资产交 易所有限公司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101,852,566.99</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101,852,566.99</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深圳中金财富互 联网金融服务有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200,210,236.43</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200,210,236.43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深圳前海中科金 财金控投资有限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318,000,000.00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霍尔果斯金财科 技服务有限公司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中科金财保险经 纪有限公司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香港中科金财科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68,360.37</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68,360.37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1,586,655,444.36</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1" w:right="0"/>
              <w:jc w:val="left"/>
              <w:rPr>
                <w:rFonts w:ascii="Times New Roman" w:hAnsi="Times New Roman" w:cs="Times New Roman" w:eastAsia="Times New Roman" w:hint="default"/>
                <w:sz w:val="18"/>
                <w:szCs w:val="18"/>
              </w:rPr>
            </w:pPr>
            <w:r>
              <w:rPr>
                <w:rFonts w:ascii="Times New Roman"/>
                <w:sz w:val="18"/>
              </w:rPr>
              <w:t>100,000.00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1,586,555,444.36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对联营、合营企业投资" w:id="352"/>
      <w:bookmarkEnd w:id="352"/>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中科环嘉 电子商务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1,693,346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-10,578.9</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1,682,767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北京中关 村互联网 金融信息 服务中心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3,465,937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46,636.05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3,512,573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安粮期货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267,149,5</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26.17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14,221,69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7.66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-3,863,80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277,507,4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23.83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金网络</w:t>
            </w:r>
          </w:p>
          <w:p>
            <w:pPr>
              <w:pStyle w:val="TableParagraph"/>
              <w:spacing w:line="316" w:lineRule="auto" w:before="75"/>
              <w:ind w:left="22" w:right="41"/>
              <w:jc w:val="left"/>
              <w:rPr>
                <w:rFonts w:ascii="宋体" w:hAnsi="宋体" w:cs="宋体" w:eastAsia="宋体" w:hint="default"/>
                <w:sz w:val="18"/>
                <w:szCs w:val="18"/>
              </w:rPr>
            </w:pPr>
            <w:r>
              <w:rPr>
                <w:rFonts w:ascii="宋体" w:hAnsi="宋体" w:cs="宋体" w:eastAsia="宋体" w:hint="default"/>
                <w:sz w:val="18"/>
                <w:szCs w:val="18"/>
              </w:rPr>
              <w:t>（北京） 电子商务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12,706,28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2.33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-2,407,73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3.54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10,298,54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8.79</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北京国信 新网通讯 技术有限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5,736,586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261,638.0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5,998,224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安金资产 管理有限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10,211,13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6.71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253,168.9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10,464,30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5.70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北京奥金 智策传媒 科技有限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1,520,431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128,122.2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1,648,553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深圳市金 方达信息 技术有限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3,816,361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-1,069,06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2,747,291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陕西金财 云商电子 商务有限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15,950.00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77.39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16,027.39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306,299,6</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07.14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15,950.00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11,423,95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8.13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-3,863,80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313,875,7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15.27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306,299,6</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07.14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15,950.00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11,423,95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8.13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-3,863,80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313,875,7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15.27</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营业收入和营业成本" w:id="353"/>
      <w:bookmarkEnd w:id="353"/>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1,408,116,955.81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1,176,088,729.45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1,090,108,052.41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834,759,392.06</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4,278,647.72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3,899,690.37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11,581,547.56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11,033,461.55</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1,412,395,603.53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1,179,988,419.82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1,101,689,599.97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845,792,853.61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投资收益" w:id="354"/>
      <w:bookmarkEnd w:id="354"/>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4,644,415.46</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97" w:right="0"/>
              <w:jc w:val="left"/>
              <w:rPr>
                <w:rFonts w:ascii="Times New Roman" w:hAnsi="Times New Roman" w:cs="Times New Roman" w:eastAsia="Times New Roman" w:hint="default"/>
                <w:sz w:val="18"/>
                <w:szCs w:val="18"/>
              </w:rPr>
            </w:pPr>
            <w:r>
              <w:rPr>
                <w:rFonts w:ascii="Times New Roman"/>
                <w:sz w:val="18"/>
              </w:rPr>
              <w:t>11,423,958.13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7,693,093.98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-96,942.32</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2,674,048.88</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2,722,178.72</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28,667,009.65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36,719,983.46</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39,994,025.46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54,453,720.50</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六、补充资料" w:id="355"/>
      <w:bookmarkEnd w:id="355"/>
      <w:r>
        <w:rPr>
          <w:b w:val="0"/>
          <w:bCs w:val="0"/>
        </w:rPr>
      </w:r>
      <w:r>
        <w:rPr/>
        <w:t>十六、补充资料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356"/>
      <w:bookmarkEnd w:id="356"/>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-1,071,335.81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11,386,453.73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62,502,477.08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-7,057,177.98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8,652,854.29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430,765.04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56,676,797.69</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94"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027"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软件增值税退税</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2,959,500.56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3"/>
              <w:jc w:val="both"/>
              <w:rPr>
                <w:rFonts w:ascii="宋体" w:hAnsi="宋体" w:cs="宋体" w:eastAsia="宋体" w:hint="default"/>
                <w:sz w:val="18"/>
                <w:szCs w:val="18"/>
              </w:rPr>
            </w:pPr>
            <w:r>
              <w:rPr>
                <w:rFonts w:ascii="宋体" w:hAnsi="宋体" w:cs="宋体" w:eastAsia="宋体" w:hint="default"/>
                <w:sz w:val="18"/>
                <w:szCs w:val="18"/>
              </w:rPr>
              <w:t>该项政府补助系与公司正常经营业务密 切相关，符合国家政策规定、按照一定 标准定额和定量持续享受的政府补助。</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净资产收益率及每股收益" w:id="357"/>
      <w:bookmarkEnd w:id="357"/>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01"/>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1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15"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0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-0.14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-0.14</w:t>
            </w:r>
            <w:r>
              <w:rPr>
                <w:rFonts w:ascii="Times New Roman"/>
                <w:sz w:val="18"/>
              </w:rPr>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其他" w:id="358"/>
      <w:bookmarkEnd w:id="358"/>
      <w:r>
        <w:rPr>
          <w:b w:val="0"/>
          <w:bCs w:val="0"/>
        </w:rPr>
      </w:r>
      <w:r>
        <w:rPr>
          <w:rFonts w:ascii="Times New Roman" w:hAnsi="Times New Roman" w:cs="Times New Roman" w:eastAsia="Times New Roman" w:hint="default"/>
        </w:rPr>
        <w:t>3</w:t>
      </w:r>
      <w:r>
        <w:rPr/>
        <w:t>、其他</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37" w:type="dxa"/>
        <w:tblLayout w:type="fixed"/>
        <w:tblCellMar>
          <w:top w:w="0" w:type="dxa"/>
          <w:left w:w="0" w:type="dxa"/>
          <w:bottom w:w="0" w:type="dxa"/>
          <w:right w:w="0" w:type="dxa"/>
        </w:tblCellMar>
        <w:tblLook w:val="01E0"/>
      </w:tblPr>
      <w:tblGrid>
        <w:gridCol w:w="1856"/>
        <w:gridCol w:w="1843"/>
        <w:gridCol w:w="1701"/>
        <w:gridCol w:w="1319"/>
        <w:gridCol w:w="2934"/>
      </w:tblGrid>
      <w:tr>
        <w:trPr>
          <w:trHeight w:val="550"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62" w:right="0"/>
              <w:jc w:val="left"/>
              <w:rPr>
                <w:rFonts w:ascii="宋体" w:hAnsi="宋体" w:cs="宋体" w:eastAsia="宋体" w:hint="default"/>
                <w:sz w:val="18"/>
                <w:szCs w:val="18"/>
              </w:rPr>
            </w:pPr>
            <w:r>
              <w:rPr>
                <w:rFonts w:ascii="宋体" w:hAnsi="宋体" w:cs="宋体" w:eastAsia="宋体" w:hint="default"/>
                <w:b/>
                <w:bCs/>
                <w:sz w:val="18"/>
                <w:szCs w:val="18"/>
              </w:rPr>
              <w:t>报表项目</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60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3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92" w:right="0"/>
              <w:jc w:val="left"/>
              <w:rPr>
                <w:rFonts w:ascii="宋体" w:hAnsi="宋体" w:cs="宋体" w:eastAsia="宋体" w:hint="default"/>
                <w:sz w:val="18"/>
                <w:szCs w:val="18"/>
              </w:rPr>
            </w:pPr>
            <w:r>
              <w:rPr>
                <w:rFonts w:ascii="宋体" w:hAnsi="宋体" w:cs="宋体" w:eastAsia="宋体" w:hint="default"/>
                <w:b/>
                <w:bCs/>
                <w:sz w:val="18"/>
                <w:szCs w:val="18"/>
              </w:rPr>
              <w:t>变化比例</w:t>
            </w:r>
            <w:r>
              <w:rPr>
                <w:rFonts w:ascii="宋体" w:hAnsi="宋体" w:cs="宋体" w:eastAsia="宋体" w:hint="default"/>
                <w:sz w:val="18"/>
                <w:szCs w:val="18"/>
              </w:rPr>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919" w:right="0"/>
              <w:jc w:val="left"/>
              <w:rPr>
                <w:rFonts w:ascii="宋体" w:hAnsi="宋体" w:cs="宋体" w:eastAsia="宋体" w:hint="default"/>
                <w:sz w:val="18"/>
                <w:szCs w:val="18"/>
              </w:rPr>
            </w:pPr>
            <w:r>
              <w:rPr>
                <w:rFonts w:ascii="宋体" w:hAnsi="宋体" w:cs="宋体" w:eastAsia="宋体" w:hint="default"/>
                <w:b/>
                <w:bCs/>
                <w:sz w:val="18"/>
                <w:szCs w:val="18"/>
              </w:rPr>
              <w:t>变动原因说明</w:t>
            </w:r>
            <w:r>
              <w:rPr>
                <w:rFonts w:ascii="宋体" w:hAnsi="宋体" w:cs="宋体" w:eastAsia="宋体" w:hint="default"/>
                <w:sz w:val="18"/>
                <w:szCs w:val="18"/>
              </w:rPr>
            </w:r>
          </w:p>
        </w:tc>
      </w:tr>
      <w:tr>
        <w:trPr>
          <w:trHeight w:val="634"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389,651,012.22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677,014,224.38</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-42.45%</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9"/>
              <w:jc w:val="left"/>
              <w:rPr>
                <w:rFonts w:ascii="宋体" w:hAnsi="宋体" w:cs="宋体" w:eastAsia="宋体" w:hint="default"/>
                <w:sz w:val="18"/>
                <w:szCs w:val="18"/>
              </w:rPr>
            </w:pPr>
            <w:r>
              <w:rPr>
                <w:rFonts w:ascii="宋体" w:hAnsi="宋体" w:cs="宋体" w:eastAsia="宋体" w:hint="default"/>
                <w:sz w:val="18"/>
                <w:szCs w:val="18"/>
              </w:rPr>
              <w:t>主要系本期偿还公司债及信托收益 权融资本金及利息所致。</w:t>
            </w:r>
          </w:p>
        </w:tc>
      </w:tr>
      <w:tr>
        <w:trPr>
          <w:trHeight w:val="635"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137,643,619.43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99,776,164.45</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37.95%</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19"/>
              <w:jc w:val="left"/>
              <w:rPr>
                <w:rFonts w:ascii="宋体" w:hAnsi="宋体" w:cs="宋体" w:eastAsia="宋体" w:hint="default"/>
                <w:sz w:val="18"/>
                <w:szCs w:val="18"/>
              </w:rPr>
            </w:pPr>
            <w:r>
              <w:rPr>
                <w:rFonts w:ascii="宋体" w:hAnsi="宋体" w:cs="宋体" w:eastAsia="宋体" w:hint="default"/>
                <w:sz w:val="18"/>
                <w:szCs w:val="18"/>
              </w:rPr>
              <w:t>主要系本期收到银行承兑汇票未到 期，应收账款未到收款期所致。</w:t>
            </w:r>
          </w:p>
        </w:tc>
      </w:tr>
      <w:tr>
        <w:trPr>
          <w:trHeight w:val="634"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19,999,663.24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6,159,904.41</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224.67%</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9"/>
              <w:jc w:val="left"/>
              <w:rPr>
                <w:rFonts w:ascii="宋体" w:hAnsi="宋体" w:cs="宋体" w:eastAsia="宋体" w:hint="default"/>
                <w:sz w:val="18"/>
                <w:szCs w:val="18"/>
              </w:rPr>
            </w:pPr>
            <w:r>
              <w:rPr>
                <w:rFonts w:ascii="宋体" w:hAnsi="宋体" w:cs="宋体" w:eastAsia="宋体" w:hint="default"/>
                <w:sz w:val="18"/>
                <w:szCs w:val="18"/>
              </w:rPr>
              <w:t>主要系公司为项目备货而预付采购 款增加所致。</w:t>
            </w:r>
          </w:p>
        </w:tc>
      </w:tr>
      <w:tr>
        <w:trPr>
          <w:trHeight w:val="550"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94,884,447.92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64,796,993.48</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46.43%</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主要系支付往来款增加所致。</w:t>
            </w:r>
          </w:p>
        </w:tc>
      </w:tr>
      <w:tr>
        <w:trPr>
          <w:trHeight w:val="635"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1,285,451,694.38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2,097,788,069.28</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-38.72%</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19"/>
              <w:jc w:val="left"/>
              <w:rPr>
                <w:rFonts w:ascii="宋体" w:hAnsi="宋体" w:cs="宋体" w:eastAsia="宋体" w:hint="default"/>
                <w:sz w:val="18"/>
                <w:szCs w:val="18"/>
              </w:rPr>
            </w:pPr>
            <w:r>
              <w:rPr>
                <w:rFonts w:ascii="宋体" w:hAnsi="宋体" w:cs="宋体" w:eastAsia="宋体" w:hint="default"/>
                <w:sz w:val="18"/>
                <w:szCs w:val="18"/>
              </w:rPr>
              <w:t>主要系本期赎回理财及信托产品所 致。</w:t>
            </w:r>
          </w:p>
        </w:tc>
      </w:tr>
      <w:tr>
        <w:trPr>
          <w:trHeight w:val="634"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19,093,358.06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28,697,969.27</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-33.47%</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9"/>
              <w:jc w:val="left"/>
              <w:rPr>
                <w:rFonts w:ascii="宋体" w:hAnsi="宋体" w:cs="宋体" w:eastAsia="宋体" w:hint="default"/>
                <w:sz w:val="18"/>
                <w:szCs w:val="18"/>
              </w:rPr>
            </w:pPr>
            <w:r>
              <w:rPr>
                <w:rFonts w:ascii="宋体" w:hAnsi="宋体" w:cs="宋体" w:eastAsia="宋体" w:hint="default"/>
                <w:sz w:val="18"/>
                <w:szCs w:val="18"/>
              </w:rPr>
              <w:t>主要系固定资产本期正常计提折旧 所致。</w:t>
            </w:r>
          </w:p>
        </w:tc>
      </w:tr>
      <w:tr>
        <w:trPr>
          <w:trHeight w:val="634"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76,282.04</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9"/>
              <w:jc w:val="left"/>
              <w:rPr>
                <w:rFonts w:ascii="宋体" w:hAnsi="宋体" w:cs="宋体" w:eastAsia="宋体" w:hint="default"/>
                <w:sz w:val="18"/>
                <w:szCs w:val="18"/>
              </w:rPr>
            </w:pPr>
            <w:r>
              <w:rPr>
                <w:rFonts w:ascii="宋体" w:hAnsi="宋体" w:cs="宋体" w:eastAsia="宋体" w:hint="default"/>
                <w:sz w:val="18"/>
                <w:szCs w:val="18"/>
              </w:rPr>
              <w:t>主要系期初未上线自助设备本期上 线转至固定资产所致。</w:t>
            </w:r>
          </w:p>
        </w:tc>
      </w:tr>
      <w:tr>
        <w:trPr>
          <w:trHeight w:val="635"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44,061,762.58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77,938,706.58</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-43.47%</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
              <w:ind w:left="103" w:right="119"/>
              <w:jc w:val="left"/>
              <w:rPr>
                <w:rFonts w:ascii="宋体" w:hAnsi="宋体" w:cs="宋体" w:eastAsia="宋体" w:hint="default"/>
                <w:sz w:val="18"/>
                <w:szCs w:val="18"/>
              </w:rPr>
            </w:pPr>
            <w:r>
              <w:rPr>
                <w:rFonts w:ascii="宋体" w:hAnsi="宋体" w:cs="宋体" w:eastAsia="宋体" w:hint="default"/>
                <w:sz w:val="18"/>
                <w:szCs w:val="18"/>
              </w:rPr>
              <w:t>主要系无形资产本期正常计提摊销 所致。</w:t>
            </w:r>
          </w:p>
        </w:tc>
      </w:tr>
      <w:tr>
        <w:trPr>
          <w:trHeight w:val="634"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68,098,288.60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42,594,598.91</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59.88%</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9"/>
              <w:jc w:val="left"/>
              <w:rPr>
                <w:rFonts w:ascii="宋体" w:hAnsi="宋体" w:cs="宋体" w:eastAsia="宋体" w:hint="default"/>
                <w:sz w:val="18"/>
                <w:szCs w:val="18"/>
              </w:rPr>
            </w:pPr>
            <w:r>
              <w:rPr>
                <w:rFonts w:ascii="宋体" w:hAnsi="宋体" w:cs="宋体" w:eastAsia="宋体" w:hint="default"/>
                <w:sz w:val="18"/>
                <w:szCs w:val="18"/>
              </w:rPr>
              <w:t>主要系本期开展产品及项目研发投 入增加所致。</w:t>
            </w:r>
          </w:p>
        </w:tc>
      </w:tr>
      <w:tr>
        <w:trPr>
          <w:trHeight w:val="550"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658,393.79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1,557,866.93</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-57.74%</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主要系装修费本期摊销所致。</w:t>
            </w:r>
          </w:p>
        </w:tc>
      </w:tr>
      <w:tr>
        <w:trPr>
          <w:trHeight w:val="635"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622,523,250.11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322,990,025.18</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92.74%</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299"/>
              <w:jc w:val="left"/>
              <w:rPr>
                <w:rFonts w:ascii="宋体" w:hAnsi="宋体" w:cs="宋体" w:eastAsia="宋体" w:hint="default"/>
                <w:sz w:val="18"/>
                <w:szCs w:val="18"/>
              </w:rPr>
            </w:pPr>
            <w:r>
              <w:rPr>
                <w:rFonts w:ascii="宋体" w:hAnsi="宋体" w:cs="宋体" w:eastAsia="宋体" w:hint="default"/>
                <w:sz w:val="18"/>
                <w:szCs w:val="18"/>
              </w:rPr>
              <w:t>主要系本期信托产品投资增加所 致。</w:t>
            </w:r>
          </w:p>
        </w:tc>
      </w:tr>
      <w:tr>
        <w:trPr>
          <w:trHeight w:val="634"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17,805,379.13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9,965,860.99</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78.66%</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9"/>
              <w:jc w:val="left"/>
              <w:rPr>
                <w:rFonts w:ascii="宋体" w:hAnsi="宋体" w:cs="宋体" w:eastAsia="宋体" w:hint="default"/>
                <w:sz w:val="18"/>
                <w:szCs w:val="18"/>
              </w:rPr>
            </w:pPr>
            <w:r>
              <w:rPr>
                <w:rFonts w:ascii="宋体" w:hAnsi="宋体" w:cs="宋体" w:eastAsia="宋体" w:hint="default"/>
                <w:sz w:val="18"/>
                <w:szCs w:val="18"/>
              </w:rPr>
              <w:t>主要系期末计提应付职工薪酬增加 所致。</w:t>
            </w:r>
          </w:p>
        </w:tc>
      </w:tr>
      <w:tr>
        <w:trPr>
          <w:trHeight w:val="634"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83,721,184.10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166,220,401.49</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-49.63%</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9"/>
              <w:jc w:val="left"/>
              <w:rPr>
                <w:rFonts w:ascii="宋体" w:hAnsi="宋体" w:cs="宋体" w:eastAsia="宋体" w:hint="default"/>
                <w:sz w:val="18"/>
                <w:szCs w:val="18"/>
              </w:rPr>
            </w:pPr>
            <w:r>
              <w:rPr>
                <w:rFonts w:ascii="宋体" w:hAnsi="宋体" w:cs="宋体" w:eastAsia="宋体" w:hint="default"/>
                <w:sz w:val="18"/>
                <w:szCs w:val="18"/>
              </w:rPr>
              <w:t>主要系本期退回合作方保证金增加 所致。</w:t>
            </w:r>
          </w:p>
        </w:tc>
      </w:tr>
      <w:tr>
        <w:trPr>
          <w:trHeight w:val="635"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20"/>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54,070,484.20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280,137,562.92</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-80.70%</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主要系本期偿还公司债所致。</w:t>
            </w:r>
          </w:p>
        </w:tc>
      </w:tr>
      <w:tr>
        <w:trPr>
          <w:trHeight w:val="634"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550,595,620.43</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9"/>
              <w:jc w:val="left"/>
              <w:rPr>
                <w:rFonts w:ascii="宋体" w:hAnsi="宋体" w:cs="宋体" w:eastAsia="宋体" w:hint="default"/>
                <w:sz w:val="18"/>
                <w:szCs w:val="18"/>
              </w:rPr>
            </w:pPr>
            <w:r>
              <w:rPr>
                <w:rFonts w:ascii="宋体" w:hAnsi="宋体" w:cs="宋体" w:eastAsia="宋体" w:hint="default"/>
                <w:sz w:val="18"/>
                <w:szCs w:val="18"/>
              </w:rPr>
              <w:t>主要系本期偿还信托收益权融资的 本金及利息所致。</w:t>
            </w:r>
          </w:p>
        </w:tc>
      </w:tr>
      <w:tr>
        <w:trPr>
          <w:trHeight w:val="634"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1,215,428,474.10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1,893,431,415.50</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-35.81%</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9"/>
              <w:jc w:val="left"/>
              <w:rPr>
                <w:rFonts w:ascii="宋体" w:hAnsi="宋体" w:cs="宋体" w:eastAsia="宋体" w:hint="default"/>
                <w:sz w:val="18"/>
                <w:szCs w:val="18"/>
              </w:rPr>
            </w:pPr>
            <w:r>
              <w:rPr>
                <w:rFonts w:ascii="宋体" w:hAnsi="宋体" w:cs="宋体" w:eastAsia="宋体" w:hint="default"/>
                <w:sz w:val="18"/>
                <w:szCs w:val="18"/>
              </w:rPr>
              <w:t>主要系本期偿还公司债及信托收益 权融资的本金及利息所致。</w:t>
            </w:r>
          </w:p>
        </w:tc>
      </w:tr>
      <w:tr>
        <w:trPr>
          <w:trHeight w:val="947"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pacing w:val="-1"/>
                <w:sz w:val="18"/>
              </w:rPr>
              <w:t>51,410,035.67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pacing w:val="-1"/>
                <w:sz w:val="18"/>
              </w:rPr>
              <w:t>94,617,770.41</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z w:val="18"/>
              </w:rPr>
              <w:t>-45.67%</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
              <w:ind w:left="103" w:right="119"/>
              <w:jc w:val="both"/>
              <w:rPr>
                <w:rFonts w:ascii="宋体" w:hAnsi="宋体" w:cs="宋体" w:eastAsia="宋体" w:hint="default"/>
                <w:sz w:val="18"/>
                <w:szCs w:val="18"/>
              </w:rPr>
            </w:pPr>
            <w:r>
              <w:rPr>
                <w:rFonts w:ascii="宋体" w:hAnsi="宋体" w:cs="宋体" w:eastAsia="宋体" w:hint="default"/>
                <w:sz w:val="18"/>
                <w:szCs w:val="18"/>
              </w:rPr>
              <w:t>主要系一年内到期的融资租赁借款 重分类至“一年内到期的非流动负 债”所致。</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tbl>
      <w:tblPr>
        <w:tblW w:w="0" w:type="auto"/>
        <w:jc w:val="left"/>
        <w:tblInd w:w="137" w:type="dxa"/>
        <w:tblLayout w:type="fixed"/>
        <w:tblCellMar>
          <w:top w:w="0" w:type="dxa"/>
          <w:left w:w="0" w:type="dxa"/>
          <w:bottom w:w="0" w:type="dxa"/>
          <w:right w:w="0" w:type="dxa"/>
        </w:tblCellMar>
        <w:tblLook w:val="01E0"/>
      </w:tblPr>
      <w:tblGrid>
        <w:gridCol w:w="1856"/>
        <w:gridCol w:w="1843"/>
        <w:gridCol w:w="1701"/>
        <w:gridCol w:w="1319"/>
        <w:gridCol w:w="2934"/>
      </w:tblGrid>
      <w:tr>
        <w:trPr>
          <w:trHeight w:val="629" w:hRule="exact"/>
        </w:trPr>
        <w:tc>
          <w:tcPr>
            <w:tcW w:w="18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1,745,711.37</w:t>
            </w:r>
          </w:p>
        </w:tc>
        <w:tc>
          <w:tcPr>
            <w:tcW w:w="17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7,634,245.36</w:t>
            </w:r>
          </w:p>
        </w:tc>
        <w:tc>
          <w:tcPr>
            <w:tcW w:w="13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-77.13%</w:t>
            </w:r>
          </w:p>
        </w:tc>
        <w:tc>
          <w:tcPr>
            <w:tcW w:w="2934"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10"/>
              <w:ind w:left="103" w:right="119"/>
              <w:jc w:val="left"/>
              <w:rPr>
                <w:rFonts w:ascii="宋体" w:hAnsi="宋体" w:cs="宋体" w:eastAsia="宋体" w:hint="default"/>
                <w:sz w:val="18"/>
                <w:szCs w:val="18"/>
              </w:rPr>
            </w:pPr>
            <w:r>
              <w:rPr>
                <w:rFonts w:ascii="宋体" w:hAnsi="宋体" w:cs="宋体" w:eastAsia="宋体" w:hint="default"/>
                <w:sz w:val="18"/>
                <w:szCs w:val="18"/>
              </w:rPr>
              <w:t>主要系与资产相关政府补助本期确 认为其他收益所致。</w:t>
            </w:r>
          </w:p>
        </w:tc>
      </w:tr>
      <w:tr>
        <w:trPr>
          <w:trHeight w:val="946"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pacing w:val="-1"/>
                <w:sz w:val="18"/>
              </w:rPr>
              <w:t>53,155,747.04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0"/>
              <w:jc w:val="right"/>
              <w:rPr>
                <w:rFonts w:ascii="Times New Roman" w:hAnsi="Times New Roman" w:cs="Times New Roman" w:eastAsia="Times New Roman" w:hint="default"/>
                <w:sz w:val="18"/>
                <w:szCs w:val="18"/>
              </w:rPr>
            </w:pPr>
            <w:r>
              <w:rPr>
                <w:rFonts w:ascii="Times New Roman"/>
                <w:spacing w:val="-1"/>
                <w:sz w:val="18"/>
              </w:rPr>
              <w:t>102,252,015.77</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0"/>
              <w:jc w:val="right"/>
              <w:rPr>
                <w:rFonts w:ascii="Times New Roman" w:hAnsi="Times New Roman" w:cs="Times New Roman" w:eastAsia="Times New Roman" w:hint="default"/>
                <w:sz w:val="18"/>
                <w:szCs w:val="18"/>
              </w:rPr>
            </w:pPr>
            <w:r>
              <w:rPr>
                <w:rFonts w:ascii="Times New Roman"/>
                <w:sz w:val="18"/>
              </w:rPr>
              <w:t>-48.01%</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19"/>
              <w:jc w:val="both"/>
              <w:rPr>
                <w:rFonts w:ascii="宋体" w:hAnsi="宋体" w:cs="宋体" w:eastAsia="宋体" w:hint="default"/>
                <w:sz w:val="18"/>
                <w:szCs w:val="18"/>
              </w:rPr>
            </w:pPr>
            <w:r>
              <w:rPr>
                <w:rFonts w:ascii="宋体" w:hAnsi="宋体" w:cs="宋体" w:eastAsia="宋体" w:hint="default"/>
                <w:sz w:val="18"/>
                <w:szCs w:val="18"/>
              </w:rPr>
              <w:t>主要系一年内到期的融资租赁借款 重分类至“一年内到期的非流动负 债”所致。</w:t>
            </w:r>
          </w:p>
        </w:tc>
      </w:tr>
      <w:tr>
        <w:trPr>
          <w:trHeight w:val="551"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1,268,584,221.14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1,995,683,431.27</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-36.43%</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主要系以上因素综合影响所致。</w:t>
            </w:r>
          </w:p>
        </w:tc>
      </w:tr>
      <w:tr>
        <w:trPr>
          <w:trHeight w:val="634"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2,451.07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1,121.95</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118.47%</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9"/>
              <w:jc w:val="left"/>
              <w:rPr>
                <w:rFonts w:ascii="宋体" w:hAnsi="宋体" w:cs="宋体" w:eastAsia="宋体" w:hint="default"/>
                <w:sz w:val="18"/>
                <w:szCs w:val="18"/>
              </w:rPr>
            </w:pPr>
            <w:r>
              <w:rPr>
                <w:rFonts w:ascii="宋体" w:hAnsi="宋体" w:cs="宋体" w:eastAsia="宋体" w:hint="default"/>
                <w:sz w:val="18"/>
                <w:szCs w:val="18"/>
              </w:rPr>
              <w:t>主要系香港子公司外币报表折算差 额所致。</w:t>
            </w:r>
          </w:p>
        </w:tc>
      </w:tr>
      <w:tr>
        <w:trPr>
          <w:trHeight w:val="634"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15,196,074.21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36,355,654.53</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-58.20%</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9"/>
              <w:jc w:val="left"/>
              <w:rPr>
                <w:rFonts w:ascii="宋体" w:hAnsi="宋体" w:cs="宋体" w:eastAsia="宋体" w:hint="default"/>
                <w:sz w:val="18"/>
                <w:szCs w:val="18"/>
              </w:rPr>
            </w:pPr>
            <w:r>
              <w:rPr>
                <w:rFonts w:ascii="宋体" w:hAnsi="宋体" w:cs="宋体" w:eastAsia="宋体" w:hint="default"/>
                <w:sz w:val="18"/>
                <w:szCs w:val="18"/>
              </w:rPr>
              <w:t>主要系公司非全资子公司大金所亏 损所致。</w:t>
            </w:r>
          </w:p>
        </w:tc>
      </w:tr>
      <w:tr>
        <w:trPr>
          <w:trHeight w:val="551"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21" w:right="0"/>
              <w:jc w:val="left"/>
              <w:rPr>
                <w:rFonts w:ascii="宋体" w:hAnsi="宋体" w:cs="宋体" w:eastAsia="宋体" w:hint="default"/>
                <w:sz w:val="20"/>
                <w:szCs w:val="20"/>
              </w:rPr>
            </w:pPr>
            <w:r>
              <w:rPr>
                <w:rFonts w:ascii="宋体" w:hAnsi="宋体" w:cs="宋体" w:eastAsia="宋体" w:hint="default"/>
                <w:b/>
                <w:bCs/>
                <w:sz w:val="20"/>
                <w:szCs w:val="20"/>
              </w:rPr>
              <w:t>报表项目</w:t>
            </w:r>
            <w:r>
              <w:rPr>
                <w:rFonts w:ascii="宋体" w:hAnsi="宋体" w:cs="宋体" w:eastAsia="宋体" w:hint="default"/>
                <w:sz w:val="20"/>
                <w:szCs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465" w:right="0"/>
              <w:jc w:val="left"/>
              <w:rPr>
                <w:rFonts w:ascii="宋体" w:hAnsi="宋体" w:cs="宋体" w:eastAsia="宋体" w:hint="default"/>
                <w:sz w:val="20"/>
                <w:szCs w:val="20"/>
              </w:rPr>
            </w:pPr>
            <w:r>
              <w:rPr>
                <w:rFonts w:ascii="宋体" w:hAnsi="宋体" w:cs="宋体" w:eastAsia="宋体" w:hint="default"/>
                <w:b/>
                <w:bCs/>
                <w:sz w:val="20"/>
                <w:szCs w:val="20"/>
              </w:rPr>
              <w:t>本期发生额</w:t>
            </w:r>
            <w:r>
              <w:rPr>
                <w:rFonts w:ascii="宋体" w:hAnsi="宋体" w:cs="宋体" w:eastAsia="宋体" w:hint="default"/>
                <w:sz w:val="20"/>
                <w:szCs w:val="20"/>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395" w:right="0"/>
              <w:jc w:val="left"/>
              <w:rPr>
                <w:rFonts w:ascii="宋体" w:hAnsi="宋体" w:cs="宋体" w:eastAsia="宋体" w:hint="default"/>
                <w:sz w:val="20"/>
                <w:szCs w:val="20"/>
              </w:rPr>
            </w:pPr>
            <w:r>
              <w:rPr>
                <w:rFonts w:ascii="宋体" w:hAnsi="宋体" w:cs="宋体" w:eastAsia="宋体" w:hint="default"/>
                <w:b/>
                <w:bCs/>
                <w:sz w:val="20"/>
                <w:szCs w:val="20"/>
              </w:rPr>
              <w:t>上期发生额</w:t>
            </w:r>
            <w:r>
              <w:rPr>
                <w:rFonts w:ascii="宋体" w:hAnsi="宋体" w:cs="宋体" w:eastAsia="宋体" w:hint="default"/>
                <w:sz w:val="20"/>
                <w:szCs w:val="20"/>
              </w:rPr>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53" w:right="0"/>
              <w:jc w:val="left"/>
              <w:rPr>
                <w:rFonts w:ascii="宋体" w:hAnsi="宋体" w:cs="宋体" w:eastAsia="宋体" w:hint="default"/>
                <w:sz w:val="20"/>
                <w:szCs w:val="20"/>
              </w:rPr>
            </w:pPr>
            <w:r>
              <w:rPr>
                <w:rFonts w:ascii="宋体" w:hAnsi="宋体" w:cs="宋体" w:eastAsia="宋体" w:hint="default"/>
                <w:b/>
                <w:bCs/>
                <w:sz w:val="20"/>
                <w:szCs w:val="20"/>
              </w:rPr>
              <w:t>变化比例</w:t>
            </w:r>
            <w:r>
              <w:rPr>
                <w:rFonts w:ascii="宋体" w:hAnsi="宋体" w:cs="宋体" w:eastAsia="宋体" w:hint="default"/>
                <w:sz w:val="20"/>
                <w:szCs w:val="20"/>
              </w:rPr>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59" w:right="0"/>
              <w:jc w:val="left"/>
              <w:rPr>
                <w:rFonts w:ascii="宋体" w:hAnsi="宋体" w:cs="宋体" w:eastAsia="宋体" w:hint="default"/>
                <w:sz w:val="20"/>
                <w:szCs w:val="20"/>
              </w:rPr>
            </w:pPr>
            <w:r>
              <w:rPr>
                <w:rFonts w:ascii="宋体" w:hAnsi="宋体" w:cs="宋体" w:eastAsia="宋体" w:hint="default"/>
                <w:b/>
                <w:bCs/>
                <w:sz w:val="20"/>
                <w:szCs w:val="20"/>
              </w:rPr>
              <w:t>变动原因说明</w:t>
            </w:r>
            <w:r>
              <w:rPr>
                <w:rFonts w:ascii="宋体" w:hAnsi="宋体" w:cs="宋体" w:eastAsia="宋体" w:hint="default"/>
                <w:sz w:val="20"/>
                <w:szCs w:val="20"/>
              </w:rPr>
            </w:r>
          </w:p>
        </w:tc>
      </w:tr>
      <w:tr>
        <w:trPr>
          <w:trHeight w:val="634"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1,193,705,000.59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872,785,100.34</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36.77%</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09" w:firstLine="90"/>
              <w:jc w:val="left"/>
              <w:rPr>
                <w:rFonts w:ascii="宋体" w:hAnsi="宋体" w:cs="宋体" w:eastAsia="宋体" w:hint="default"/>
                <w:sz w:val="18"/>
                <w:szCs w:val="18"/>
              </w:rPr>
            </w:pPr>
            <w:r>
              <w:rPr>
                <w:rFonts w:ascii="宋体" w:hAnsi="宋体" w:cs="宋体" w:eastAsia="宋体" w:hint="default"/>
                <w:sz w:val="18"/>
                <w:szCs w:val="18"/>
              </w:rPr>
              <w:t>主要系本期营业收入较上期增加 所致。</w:t>
            </w:r>
          </w:p>
        </w:tc>
      </w:tr>
      <w:tr>
        <w:trPr>
          <w:trHeight w:val="634"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25,150,338.72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10,499,115.45</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139.55%</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firstLine="90"/>
              <w:jc w:val="left"/>
              <w:rPr>
                <w:rFonts w:ascii="宋体" w:hAnsi="宋体" w:cs="宋体" w:eastAsia="宋体" w:hint="default"/>
                <w:sz w:val="18"/>
                <w:szCs w:val="18"/>
              </w:rPr>
            </w:pPr>
            <w:r>
              <w:rPr>
                <w:rFonts w:ascii="宋体" w:hAnsi="宋体" w:cs="宋体" w:eastAsia="宋体" w:hint="default"/>
                <w:spacing w:val="-5"/>
                <w:sz w:val="18"/>
                <w:szCs w:val="18"/>
              </w:rPr>
              <w:t>主要系本期利息支出增加、利息收</w:t>
            </w:r>
            <w:r>
              <w:rPr>
                <w:rFonts w:ascii="宋体" w:hAnsi="宋体" w:cs="宋体" w:eastAsia="宋体" w:hint="default"/>
                <w:sz w:val="18"/>
                <w:szCs w:val="18"/>
              </w:rPr>
              <w:t> 入减少所致。</w:t>
            </w:r>
          </w:p>
        </w:tc>
      </w:tr>
      <w:tr>
        <w:trPr>
          <w:trHeight w:val="635"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78,514,253.49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389,188,128.64</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-79.83%</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209" w:firstLine="90"/>
              <w:jc w:val="left"/>
              <w:rPr>
                <w:rFonts w:ascii="宋体" w:hAnsi="宋体" w:cs="宋体" w:eastAsia="宋体" w:hint="default"/>
                <w:sz w:val="18"/>
                <w:szCs w:val="18"/>
              </w:rPr>
            </w:pPr>
            <w:r>
              <w:rPr>
                <w:rFonts w:ascii="宋体" w:hAnsi="宋体" w:cs="宋体" w:eastAsia="宋体" w:hint="default"/>
                <w:sz w:val="18"/>
                <w:szCs w:val="18"/>
              </w:rPr>
              <w:t>主要系上期部分子公司计提商誉 减值准备金额较大所致。</w:t>
            </w:r>
          </w:p>
        </w:tc>
      </w:tr>
      <w:tr>
        <w:trPr>
          <w:trHeight w:val="634"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109,670,963.17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74,304,927.09</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47.60%</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09" w:firstLine="90"/>
              <w:jc w:val="left"/>
              <w:rPr>
                <w:rFonts w:ascii="宋体" w:hAnsi="宋体" w:cs="宋体" w:eastAsia="宋体" w:hint="default"/>
                <w:sz w:val="18"/>
                <w:szCs w:val="18"/>
              </w:rPr>
            </w:pPr>
            <w:r>
              <w:rPr>
                <w:rFonts w:ascii="宋体" w:hAnsi="宋体" w:cs="宋体" w:eastAsia="宋体" w:hint="default"/>
                <w:sz w:val="18"/>
                <w:szCs w:val="18"/>
              </w:rPr>
              <w:t>主要系本期信托产品收益较上期 增加所致。</w:t>
            </w:r>
          </w:p>
        </w:tc>
      </w:tr>
      <w:tr>
        <w:trPr>
          <w:trHeight w:val="550"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-1,071,335.81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-340,290.42</w:t>
            </w:r>
            <w:r>
              <w:rPr>
                <w:rFonts w:ascii="Times New Roman"/>
                <w:sz w:val="18"/>
              </w:rPr>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-214.83%</w:t>
            </w:r>
            <w:r>
              <w:rPr>
                <w:rFonts w:ascii="Times New Roman"/>
                <w:sz w:val="18"/>
              </w:rPr>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9"/>
              <w:jc w:val="right"/>
              <w:rPr>
                <w:rFonts w:ascii="宋体" w:hAnsi="宋体" w:cs="宋体" w:eastAsia="宋体" w:hint="default"/>
                <w:sz w:val="18"/>
                <w:szCs w:val="18"/>
              </w:rPr>
            </w:pPr>
            <w:r>
              <w:rPr>
                <w:rFonts w:ascii="宋体" w:hAnsi="宋体" w:cs="宋体" w:eastAsia="宋体" w:hint="default"/>
                <w:sz w:val="18"/>
                <w:szCs w:val="18"/>
              </w:rPr>
              <w:t>主要系本期处置固定资产所致。</w:t>
            </w:r>
          </w:p>
        </w:tc>
      </w:tr>
      <w:tr>
        <w:trPr>
          <w:trHeight w:val="635"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-2,890,164.02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-245,571,589.10</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98.82%</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209" w:firstLine="90"/>
              <w:jc w:val="left"/>
              <w:rPr>
                <w:rFonts w:ascii="宋体" w:hAnsi="宋体" w:cs="宋体" w:eastAsia="宋体" w:hint="default"/>
                <w:sz w:val="18"/>
                <w:szCs w:val="18"/>
              </w:rPr>
            </w:pPr>
            <w:r>
              <w:rPr>
                <w:rFonts w:ascii="宋体" w:hAnsi="宋体" w:cs="宋体" w:eastAsia="宋体" w:hint="default"/>
                <w:sz w:val="18"/>
                <w:szCs w:val="18"/>
              </w:rPr>
              <w:t>主要系上期部分子公司计提商誉 减值准备金额较大所致。</w:t>
            </w:r>
          </w:p>
        </w:tc>
      </w:tr>
      <w:tr>
        <w:trPr>
          <w:trHeight w:val="634"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3,668,758.95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551,747.66</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564.93%</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09" w:firstLine="90"/>
              <w:jc w:val="left"/>
              <w:rPr>
                <w:rFonts w:ascii="宋体" w:hAnsi="宋体" w:cs="宋体" w:eastAsia="宋体" w:hint="default"/>
                <w:sz w:val="18"/>
                <w:szCs w:val="18"/>
              </w:rPr>
            </w:pPr>
            <w:r>
              <w:rPr>
                <w:rFonts w:ascii="宋体" w:hAnsi="宋体" w:cs="宋体" w:eastAsia="宋体" w:hint="default"/>
                <w:sz w:val="18"/>
                <w:szCs w:val="18"/>
              </w:rPr>
              <w:t>主要系本期收到合作方补偿款所 致。</w:t>
            </w:r>
          </w:p>
        </w:tc>
      </w:tr>
      <w:tr>
        <w:trPr>
          <w:trHeight w:val="550"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10,725,936.93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114,798.79</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9243.25%</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9"/>
              <w:jc w:val="right"/>
              <w:rPr>
                <w:rFonts w:ascii="宋体" w:hAnsi="宋体" w:cs="宋体" w:eastAsia="宋体" w:hint="default"/>
                <w:sz w:val="18"/>
                <w:szCs w:val="18"/>
              </w:rPr>
            </w:pPr>
            <w:r>
              <w:rPr>
                <w:rFonts w:ascii="宋体" w:hAnsi="宋体" w:cs="宋体" w:eastAsia="宋体" w:hint="default"/>
                <w:sz w:val="18"/>
                <w:szCs w:val="18"/>
              </w:rPr>
              <w:t>主要系本期处置积压存货所致。</w:t>
            </w:r>
          </w:p>
        </w:tc>
      </w:tr>
      <w:tr>
        <w:trPr>
          <w:trHeight w:val="635"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-9,947,342.00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-245,134,640.23</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95.94%</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209" w:firstLine="90"/>
              <w:jc w:val="left"/>
              <w:rPr>
                <w:rFonts w:ascii="宋体" w:hAnsi="宋体" w:cs="宋体" w:eastAsia="宋体" w:hint="default"/>
                <w:sz w:val="18"/>
                <w:szCs w:val="18"/>
              </w:rPr>
            </w:pPr>
            <w:r>
              <w:rPr>
                <w:rFonts w:ascii="宋体" w:hAnsi="宋体" w:cs="宋体" w:eastAsia="宋体" w:hint="default"/>
                <w:sz w:val="18"/>
                <w:szCs w:val="18"/>
              </w:rPr>
              <w:t>主要系上期部分子公司计提商誉 减值准备金额较大所致。</w:t>
            </w:r>
          </w:p>
        </w:tc>
      </w:tr>
      <w:tr>
        <w:trPr>
          <w:trHeight w:val="946"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pacing w:val="-1"/>
                <w:sz w:val="18"/>
              </w:rPr>
              <w:t>3,002,723.59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0"/>
              <w:jc w:val="right"/>
              <w:rPr>
                <w:rFonts w:ascii="Times New Roman" w:hAnsi="Times New Roman" w:cs="Times New Roman" w:eastAsia="Times New Roman" w:hint="default"/>
                <w:sz w:val="18"/>
                <w:szCs w:val="18"/>
              </w:rPr>
            </w:pPr>
            <w:r>
              <w:rPr>
                <w:rFonts w:ascii="Times New Roman"/>
                <w:spacing w:val="-1"/>
                <w:sz w:val="18"/>
              </w:rPr>
              <w:t>12,966,372.70</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0"/>
              <w:jc w:val="right"/>
              <w:rPr>
                <w:rFonts w:ascii="Times New Roman" w:hAnsi="Times New Roman" w:cs="Times New Roman" w:eastAsia="Times New Roman" w:hint="default"/>
                <w:sz w:val="18"/>
                <w:szCs w:val="18"/>
              </w:rPr>
            </w:pPr>
            <w:r>
              <w:rPr>
                <w:rFonts w:ascii="Times New Roman"/>
                <w:sz w:val="18"/>
              </w:rPr>
              <w:t>-76.84%</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9" w:firstLine="90"/>
              <w:jc w:val="left"/>
              <w:rPr>
                <w:rFonts w:ascii="宋体" w:hAnsi="宋体" w:cs="宋体" w:eastAsia="宋体" w:hint="default"/>
                <w:sz w:val="18"/>
                <w:szCs w:val="18"/>
              </w:rPr>
            </w:pPr>
            <w:r>
              <w:rPr>
                <w:rFonts w:ascii="宋体" w:hAnsi="宋体" w:cs="宋体" w:eastAsia="宋体" w:hint="default"/>
                <w:sz w:val="18"/>
                <w:szCs w:val="18"/>
              </w:rPr>
              <w:t>主要系国家企业所得税优惠政策 落实及本期剔除商誉减值后的利润 总额较上年同期减少所致。</w:t>
            </w:r>
          </w:p>
        </w:tc>
      </w:tr>
      <w:tr>
        <w:trPr>
          <w:trHeight w:val="550"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-12,950,065.59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-258,101,012.93</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94.98%</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9"/>
              <w:jc w:val="right"/>
              <w:rPr>
                <w:rFonts w:ascii="宋体" w:hAnsi="宋体" w:cs="宋体" w:eastAsia="宋体" w:hint="default"/>
                <w:sz w:val="18"/>
                <w:szCs w:val="18"/>
              </w:rPr>
            </w:pPr>
            <w:r>
              <w:rPr>
                <w:rFonts w:ascii="宋体" w:hAnsi="宋体" w:cs="宋体" w:eastAsia="宋体" w:hint="default"/>
                <w:sz w:val="18"/>
                <w:szCs w:val="18"/>
              </w:rPr>
              <w:t>主要系以上因素综合影响所致。</w:t>
            </w:r>
          </w:p>
        </w:tc>
      </w:tr>
      <w:tr>
        <w:trPr>
          <w:trHeight w:val="551"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持续经营净利润</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-12,950,065.59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-258,101,012.93</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94.98%</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9"/>
              <w:jc w:val="right"/>
              <w:rPr>
                <w:rFonts w:ascii="宋体" w:hAnsi="宋体" w:cs="宋体" w:eastAsia="宋体" w:hint="default"/>
                <w:sz w:val="18"/>
                <w:szCs w:val="18"/>
              </w:rPr>
            </w:pPr>
            <w:r>
              <w:rPr>
                <w:rFonts w:ascii="宋体" w:hAnsi="宋体" w:cs="宋体" w:eastAsia="宋体" w:hint="default"/>
                <w:sz w:val="18"/>
                <w:szCs w:val="18"/>
              </w:rPr>
              <w:t>主要系以上因素综合影响所致。</w:t>
            </w:r>
          </w:p>
        </w:tc>
      </w:tr>
      <w:tr>
        <w:trPr>
          <w:trHeight w:val="634"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20"/>
              <w:jc w:val="left"/>
              <w:rPr>
                <w:rFonts w:ascii="宋体" w:hAnsi="宋体" w:cs="宋体" w:eastAsia="宋体" w:hint="default"/>
                <w:sz w:val="18"/>
                <w:szCs w:val="18"/>
              </w:rPr>
            </w:pPr>
            <w:r>
              <w:rPr>
                <w:rFonts w:ascii="宋体" w:hAnsi="宋体" w:cs="宋体" w:eastAsia="宋体" w:hint="default"/>
                <w:sz w:val="18"/>
                <w:szCs w:val="18"/>
              </w:rPr>
              <w:t>归属于母公司股东的 净利润</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8,209,514.73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-236,661,197.94</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103.47%</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9"/>
              <w:jc w:val="right"/>
              <w:rPr>
                <w:rFonts w:ascii="宋体" w:hAnsi="宋体" w:cs="宋体" w:eastAsia="宋体" w:hint="default"/>
                <w:sz w:val="18"/>
                <w:szCs w:val="18"/>
              </w:rPr>
            </w:pPr>
            <w:r>
              <w:rPr>
                <w:rFonts w:ascii="宋体" w:hAnsi="宋体" w:cs="宋体" w:eastAsia="宋体" w:hint="default"/>
                <w:sz w:val="18"/>
                <w:szCs w:val="18"/>
              </w:rPr>
              <w:t>主要系以上因素综合影响所致。</w:t>
            </w:r>
          </w:p>
        </w:tc>
      </w:tr>
      <w:tr>
        <w:trPr>
          <w:trHeight w:val="550"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521" w:right="0"/>
              <w:jc w:val="left"/>
              <w:rPr>
                <w:rFonts w:ascii="宋体" w:hAnsi="宋体" w:cs="宋体" w:eastAsia="宋体" w:hint="default"/>
                <w:sz w:val="20"/>
                <w:szCs w:val="20"/>
              </w:rPr>
            </w:pPr>
            <w:r>
              <w:rPr>
                <w:rFonts w:ascii="宋体" w:hAnsi="宋体" w:cs="宋体" w:eastAsia="宋体" w:hint="default"/>
                <w:b/>
                <w:bCs/>
                <w:sz w:val="20"/>
                <w:szCs w:val="20"/>
              </w:rPr>
              <w:t>报表项目</w:t>
            </w:r>
            <w:r>
              <w:rPr>
                <w:rFonts w:ascii="宋体" w:hAnsi="宋体" w:cs="宋体" w:eastAsia="宋体" w:hint="default"/>
                <w:sz w:val="20"/>
                <w:szCs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465" w:right="0"/>
              <w:jc w:val="left"/>
              <w:rPr>
                <w:rFonts w:ascii="宋体" w:hAnsi="宋体" w:cs="宋体" w:eastAsia="宋体" w:hint="default"/>
                <w:sz w:val="20"/>
                <w:szCs w:val="20"/>
              </w:rPr>
            </w:pPr>
            <w:r>
              <w:rPr>
                <w:rFonts w:ascii="宋体" w:hAnsi="宋体" w:cs="宋体" w:eastAsia="宋体" w:hint="default"/>
                <w:b/>
                <w:bCs/>
                <w:sz w:val="20"/>
                <w:szCs w:val="20"/>
              </w:rPr>
              <w:t>本期发生额</w:t>
            </w:r>
            <w:r>
              <w:rPr>
                <w:rFonts w:ascii="宋体" w:hAnsi="宋体" w:cs="宋体" w:eastAsia="宋体" w:hint="default"/>
                <w:sz w:val="20"/>
                <w:szCs w:val="20"/>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395" w:right="0"/>
              <w:jc w:val="left"/>
              <w:rPr>
                <w:rFonts w:ascii="宋体" w:hAnsi="宋体" w:cs="宋体" w:eastAsia="宋体" w:hint="default"/>
                <w:sz w:val="20"/>
                <w:szCs w:val="20"/>
              </w:rPr>
            </w:pPr>
            <w:r>
              <w:rPr>
                <w:rFonts w:ascii="宋体" w:hAnsi="宋体" w:cs="宋体" w:eastAsia="宋体" w:hint="default"/>
                <w:b/>
                <w:bCs/>
                <w:sz w:val="20"/>
                <w:szCs w:val="20"/>
              </w:rPr>
              <w:t>上期发生额</w:t>
            </w:r>
            <w:r>
              <w:rPr>
                <w:rFonts w:ascii="宋体" w:hAnsi="宋体" w:cs="宋体" w:eastAsia="宋体" w:hint="default"/>
                <w:sz w:val="20"/>
                <w:szCs w:val="20"/>
              </w:rPr>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53" w:right="0"/>
              <w:jc w:val="left"/>
              <w:rPr>
                <w:rFonts w:ascii="宋体" w:hAnsi="宋体" w:cs="宋体" w:eastAsia="宋体" w:hint="default"/>
                <w:sz w:val="20"/>
                <w:szCs w:val="20"/>
              </w:rPr>
            </w:pPr>
            <w:r>
              <w:rPr>
                <w:rFonts w:ascii="宋体" w:hAnsi="宋体" w:cs="宋体" w:eastAsia="宋体" w:hint="default"/>
                <w:b/>
                <w:bCs/>
                <w:sz w:val="20"/>
                <w:szCs w:val="20"/>
              </w:rPr>
              <w:t>变化比例</w:t>
            </w:r>
            <w:r>
              <w:rPr>
                <w:rFonts w:ascii="宋体" w:hAnsi="宋体" w:cs="宋体" w:eastAsia="宋体" w:hint="default"/>
                <w:sz w:val="20"/>
                <w:szCs w:val="20"/>
              </w:rPr>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859" w:right="0"/>
              <w:jc w:val="left"/>
              <w:rPr>
                <w:rFonts w:ascii="宋体" w:hAnsi="宋体" w:cs="宋体" w:eastAsia="宋体" w:hint="default"/>
                <w:sz w:val="20"/>
                <w:szCs w:val="20"/>
              </w:rPr>
            </w:pPr>
            <w:r>
              <w:rPr>
                <w:rFonts w:ascii="宋体" w:hAnsi="宋体" w:cs="宋体" w:eastAsia="宋体" w:hint="default"/>
                <w:b/>
                <w:bCs/>
                <w:sz w:val="20"/>
                <w:szCs w:val="20"/>
              </w:rPr>
              <w:t>变动原因说明</w:t>
            </w:r>
            <w:r>
              <w:rPr>
                <w:rFonts w:ascii="宋体" w:hAnsi="宋体" w:cs="宋体" w:eastAsia="宋体" w:hint="default"/>
                <w:sz w:val="20"/>
                <w:szCs w:val="20"/>
              </w:rPr>
            </w:r>
          </w:p>
        </w:tc>
      </w:tr>
      <w:tr>
        <w:trPr>
          <w:trHeight w:val="635"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20"/>
              <w:jc w:val="left"/>
              <w:rPr>
                <w:rFonts w:ascii="宋体" w:hAnsi="宋体" w:cs="宋体" w:eastAsia="宋体" w:hint="default"/>
                <w:sz w:val="18"/>
                <w:szCs w:val="18"/>
              </w:rPr>
            </w:pPr>
            <w:r>
              <w:rPr>
                <w:rFonts w:ascii="宋体" w:hAnsi="宋体" w:cs="宋体" w:eastAsia="宋体" w:hint="default"/>
                <w:sz w:val="18"/>
                <w:szCs w:val="18"/>
              </w:rPr>
              <w:t>购买商品、接受劳务 支付的现金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1,386,611,067.21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1,057,385,345.95</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31.14%</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209" w:firstLine="90"/>
              <w:jc w:val="left"/>
              <w:rPr>
                <w:rFonts w:ascii="宋体" w:hAnsi="宋体" w:cs="宋体" w:eastAsia="宋体" w:hint="default"/>
                <w:sz w:val="18"/>
                <w:szCs w:val="18"/>
              </w:rPr>
            </w:pPr>
            <w:r>
              <w:rPr>
                <w:rFonts w:ascii="宋体" w:hAnsi="宋体" w:cs="宋体" w:eastAsia="宋体" w:hint="default"/>
                <w:sz w:val="18"/>
                <w:szCs w:val="18"/>
              </w:rPr>
              <w:t>主要系本期业务增长引起的成本 及存货增加所致。</w:t>
            </w:r>
          </w:p>
        </w:tc>
      </w:tr>
      <w:tr>
        <w:trPr>
          <w:trHeight w:val="550"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支付其他与经营活动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437,471,591.29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307,357,121.75</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42.33%</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9"/>
              <w:jc w:val="right"/>
              <w:rPr>
                <w:rFonts w:ascii="宋体" w:hAnsi="宋体" w:cs="宋体" w:eastAsia="宋体" w:hint="default"/>
                <w:sz w:val="18"/>
                <w:szCs w:val="18"/>
              </w:rPr>
            </w:pPr>
            <w:r>
              <w:rPr>
                <w:rFonts w:ascii="宋体" w:hAnsi="宋体" w:cs="宋体" w:eastAsia="宋体" w:hint="default"/>
                <w:sz w:val="18"/>
                <w:szCs w:val="18"/>
              </w:rPr>
              <w:t>主要系本期支付的往来款及退回</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tbl>
      <w:tblPr>
        <w:tblW w:w="0" w:type="auto"/>
        <w:jc w:val="left"/>
        <w:tblInd w:w="137" w:type="dxa"/>
        <w:tblLayout w:type="fixed"/>
        <w:tblCellMar>
          <w:top w:w="0" w:type="dxa"/>
          <w:left w:w="0" w:type="dxa"/>
          <w:bottom w:w="0" w:type="dxa"/>
          <w:right w:w="0" w:type="dxa"/>
        </w:tblCellMar>
        <w:tblLook w:val="01E0"/>
      </w:tblPr>
      <w:tblGrid>
        <w:gridCol w:w="1856"/>
        <w:gridCol w:w="1843"/>
        <w:gridCol w:w="1701"/>
        <w:gridCol w:w="1319"/>
        <w:gridCol w:w="2934"/>
      </w:tblGrid>
      <w:tr>
        <w:trPr>
          <w:trHeight w:val="545" w:hRule="exact"/>
        </w:trPr>
        <w:tc>
          <w:tcPr>
            <w:tcW w:w="18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有关的现金</w:t>
            </w:r>
          </w:p>
        </w:tc>
        <w:tc>
          <w:tcPr>
            <w:tcW w:w="1843" w:type="dxa"/>
            <w:tcBorders>
              <w:top w:val="nil" w:sz="6" w:space="0" w:color="auto"/>
              <w:left w:val="single" w:sz="4" w:space="0" w:color="000000"/>
              <w:bottom w:val="single" w:sz="4" w:space="0" w:color="000000"/>
              <w:right w:val="single" w:sz="4" w:space="0" w:color="000000"/>
            </w:tcBorders>
          </w:tcPr>
          <w:p>
            <w:pPr/>
          </w:p>
        </w:tc>
        <w:tc>
          <w:tcPr>
            <w:tcW w:w="1701" w:type="dxa"/>
            <w:tcBorders>
              <w:top w:val="nil" w:sz="6" w:space="0" w:color="auto"/>
              <w:left w:val="single" w:sz="4" w:space="0" w:color="000000"/>
              <w:bottom w:val="single" w:sz="4" w:space="0" w:color="000000"/>
              <w:right w:val="single" w:sz="4" w:space="0" w:color="000000"/>
            </w:tcBorders>
          </w:tcPr>
          <w:p>
            <w:pPr/>
          </w:p>
        </w:tc>
        <w:tc>
          <w:tcPr>
            <w:tcW w:w="1319" w:type="dxa"/>
            <w:tcBorders>
              <w:top w:val="nil" w:sz="6" w:space="0" w:color="auto"/>
              <w:left w:val="single" w:sz="4" w:space="0" w:color="000000"/>
              <w:bottom w:val="single" w:sz="4" w:space="0" w:color="000000"/>
              <w:right w:val="single" w:sz="4" w:space="0" w:color="000000"/>
            </w:tcBorders>
          </w:tcPr>
          <w:p>
            <w:pPr/>
          </w:p>
        </w:tc>
        <w:tc>
          <w:tcPr>
            <w:tcW w:w="29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保证金增加所致。</w:t>
            </w:r>
          </w:p>
        </w:tc>
      </w:tr>
      <w:tr>
        <w:trPr>
          <w:trHeight w:val="634"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20"/>
              <w:jc w:val="left"/>
              <w:rPr>
                <w:rFonts w:ascii="宋体" w:hAnsi="宋体" w:cs="宋体" w:eastAsia="宋体" w:hint="default"/>
                <w:sz w:val="18"/>
                <w:szCs w:val="18"/>
              </w:rPr>
            </w:pPr>
            <w:r>
              <w:rPr>
                <w:rFonts w:ascii="宋体" w:hAnsi="宋体" w:cs="宋体" w:eastAsia="宋体" w:hint="default"/>
                <w:sz w:val="18"/>
                <w:szCs w:val="18"/>
              </w:rPr>
              <w:t>经营活动产生的现金 流量净额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-28,251,608.70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108,428,190.60</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-126.06%</w:t>
            </w:r>
            <w:r>
              <w:rPr>
                <w:rFonts w:ascii="Times New Roman"/>
                <w:sz w:val="18"/>
              </w:rPr>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主要系以上因素综合影响所致。</w:t>
            </w:r>
          </w:p>
        </w:tc>
      </w:tr>
      <w:tr>
        <w:trPr>
          <w:trHeight w:val="947"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
              <w:ind w:left="103" w:right="120"/>
              <w:jc w:val="both"/>
              <w:rPr>
                <w:rFonts w:ascii="宋体" w:hAnsi="宋体" w:cs="宋体" w:eastAsia="宋体" w:hint="default"/>
                <w:sz w:val="18"/>
                <w:szCs w:val="18"/>
              </w:rPr>
            </w:pPr>
            <w:r>
              <w:rPr>
                <w:rFonts w:ascii="宋体" w:hAnsi="宋体" w:cs="宋体" w:eastAsia="宋体" w:hint="default"/>
                <w:sz w:val="18"/>
                <w:szCs w:val="18"/>
              </w:rPr>
              <w:t>处置固定资产、无形 资产和其他长期资产 收回的现金净额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1"/>
              <w:jc w:val="right"/>
              <w:rPr>
                <w:rFonts w:ascii="Times New Roman" w:hAnsi="Times New Roman" w:cs="Times New Roman" w:eastAsia="Times New Roman" w:hint="default"/>
                <w:sz w:val="18"/>
                <w:szCs w:val="18"/>
              </w:rPr>
            </w:pPr>
            <w:r>
              <w:rPr>
                <w:rFonts w:ascii="Times New Roman"/>
                <w:sz w:val="18"/>
              </w:rPr>
              <w:t>288,529.06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0"/>
              <w:jc w:val="right"/>
              <w:rPr>
                <w:rFonts w:ascii="Times New Roman" w:hAnsi="Times New Roman" w:cs="Times New Roman" w:eastAsia="Times New Roman" w:hint="default"/>
                <w:sz w:val="18"/>
                <w:szCs w:val="18"/>
              </w:rPr>
            </w:pPr>
            <w:r>
              <w:rPr>
                <w:rFonts w:ascii="Times New Roman"/>
                <w:sz w:val="18"/>
              </w:rPr>
              <w:t>143,650.00</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0"/>
              <w:jc w:val="right"/>
              <w:rPr>
                <w:rFonts w:ascii="Times New Roman" w:hAnsi="Times New Roman" w:cs="Times New Roman" w:eastAsia="Times New Roman" w:hint="default"/>
                <w:sz w:val="18"/>
                <w:szCs w:val="18"/>
              </w:rPr>
            </w:pPr>
            <w:r>
              <w:rPr>
                <w:rFonts w:ascii="Times New Roman"/>
                <w:sz w:val="18"/>
              </w:rPr>
              <w:t>100.86%</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103" w:right="209" w:firstLine="90"/>
              <w:jc w:val="left"/>
              <w:rPr>
                <w:rFonts w:ascii="宋体" w:hAnsi="宋体" w:cs="宋体" w:eastAsia="宋体" w:hint="default"/>
                <w:sz w:val="18"/>
                <w:szCs w:val="18"/>
              </w:rPr>
            </w:pPr>
            <w:r>
              <w:rPr>
                <w:rFonts w:ascii="宋体" w:hAnsi="宋体" w:cs="宋体" w:eastAsia="宋体" w:hint="default"/>
                <w:sz w:val="18"/>
                <w:szCs w:val="18"/>
              </w:rPr>
              <w:t>主要系本期处置固定资产收到的 现金较上期增加所致。</w:t>
            </w:r>
          </w:p>
        </w:tc>
      </w:tr>
      <w:tr>
        <w:trPr>
          <w:trHeight w:val="634"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20"/>
              <w:jc w:val="left"/>
              <w:rPr>
                <w:rFonts w:ascii="宋体" w:hAnsi="宋体" w:cs="宋体" w:eastAsia="宋体" w:hint="default"/>
                <w:sz w:val="18"/>
                <w:szCs w:val="18"/>
              </w:rPr>
            </w:pPr>
            <w:r>
              <w:rPr>
                <w:rFonts w:ascii="宋体" w:hAnsi="宋体" w:cs="宋体" w:eastAsia="宋体" w:hint="default"/>
                <w:sz w:val="18"/>
                <w:szCs w:val="18"/>
              </w:rPr>
              <w:t>收到其他与投资活动 有关的现金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41,405,771.20</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主要系上期合并范围变化所致。</w:t>
            </w:r>
          </w:p>
        </w:tc>
      </w:tr>
      <w:tr>
        <w:trPr>
          <w:trHeight w:val="946"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20"/>
              <w:jc w:val="both"/>
              <w:rPr>
                <w:rFonts w:ascii="宋体" w:hAnsi="宋体" w:cs="宋体" w:eastAsia="宋体" w:hint="default"/>
                <w:sz w:val="18"/>
                <w:szCs w:val="18"/>
              </w:rPr>
            </w:pPr>
            <w:r>
              <w:rPr>
                <w:rFonts w:ascii="宋体" w:hAnsi="宋体" w:cs="宋体" w:eastAsia="宋体" w:hint="default"/>
                <w:sz w:val="18"/>
                <w:szCs w:val="18"/>
              </w:rPr>
              <w:t>取得子公司及其他营 业单位支付的现金净 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z w:val="18"/>
              </w:rPr>
              <w:t>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0"/>
              <w:jc w:val="right"/>
              <w:rPr>
                <w:rFonts w:ascii="Times New Roman" w:hAnsi="Times New Roman" w:cs="Times New Roman" w:eastAsia="Times New Roman" w:hint="default"/>
                <w:sz w:val="18"/>
                <w:szCs w:val="18"/>
              </w:rPr>
            </w:pPr>
            <w:r>
              <w:rPr>
                <w:rFonts w:ascii="Times New Roman"/>
                <w:spacing w:val="-1"/>
                <w:sz w:val="18"/>
              </w:rPr>
              <w:t>22,101,116.23</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3" w:right="209" w:firstLine="90"/>
              <w:jc w:val="left"/>
              <w:rPr>
                <w:rFonts w:ascii="宋体" w:hAnsi="宋体" w:cs="宋体" w:eastAsia="宋体" w:hint="default"/>
                <w:sz w:val="18"/>
                <w:szCs w:val="18"/>
              </w:rPr>
            </w:pPr>
            <w:r>
              <w:rPr>
                <w:rFonts w:ascii="宋体" w:hAnsi="宋体" w:cs="宋体" w:eastAsia="宋体" w:hint="default"/>
                <w:sz w:val="18"/>
                <w:szCs w:val="18"/>
              </w:rPr>
              <w:t>主要系上期支付天津中科股权对 价所致。</w:t>
            </w:r>
          </w:p>
        </w:tc>
      </w:tr>
      <w:tr>
        <w:trPr>
          <w:trHeight w:val="635"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20"/>
              <w:jc w:val="left"/>
              <w:rPr>
                <w:rFonts w:ascii="宋体" w:hAnsi="宋体" w:cs="宋体" w:eastAsia="宋体" w:hint="default"/>
                <w:sz w:val="18"/>
                <w:szCs w:val="18"/>
              </w:rPr>
            </w:pPr>
            <w:r>
              <w:rPr>
                <w:rFonts w:ascii="宋体" w:hAnsi="宋体" w:cs="宋体" w:eastAsia="宋体" w:hint="default"/>
                <w:sz w:val="18"/>
                <w:szCs w:val="18"/>
              </w:rPr>
              <w:t>支付其他与投资活动 有关的现金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11,231,600.00</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主要系上期支付信托保证金所致。</w:t>
            </w:r>
          </w:p>
        </w:tc>
      </w:tr>
      <w:tr>
        <w:trPr>
          <w:trHeight w:val="634"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20"/>
              <w:jc w:val="left"/>
              <w:rPr>
                <w:rFonts w:ascii="宋体" w:hAnsi="宋体" w:cs="宋体" w:eastAsia="宋体" w:hint="default"/>
                <w:sz w:val="18"/>
                <w:szCs w:val="18"/>
              </w:rPr>
            </w:pPr>
            <w:r>
              <w:rPr>
                <w:rFonts w:ascii="宋体" w:hAnsi="宋体" w:cs="宋体" w:eastAsia="宋体" w:hint="default"/>
                <w:sz w:val="18"/>
                <w:szCs w:val="18"/>
              </w:rPr>
              <w:t>投资活动产生的现金 流量净额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477,540,708.80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-666,136,154.56</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171.69%</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09" w:firstLine="90"/>
              <w:jc w:val="left"/>
              <w:rPr>
                <w:rFonts w:ascii="宋体" w:hAnsi="宋体" w:cs="宋体" w:eastAsia="宋体" w:hint="default"/>
                <w:sz w:val="18"/>
                <w:szCs w:val="18"/>
              </w:rPr>
            </w:pPr>
            <w:r>
              <w:rPr>
                <w:rFonts w:ascii="宋体" w:hAnsi="宋体" w:cs="宋体" w:eastAsia="宋体" w:hint="default"/>
                <w:sz w:val="18"/>
                <w:szCs w:val="18"/>
              </w:rPr>
              <w:t>主要系本期投资支付的现金减少 所致。</w:t>
            </w:r>
          </w:p>
        </w:tc>
      </w:tr>
      <w:tr>
        <w:trPr>
          <w:trHeight w:val="634"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385,266,649.23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594,729,365.89</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-35.22%</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09" w:firstLine="90"/>
              <w:jc w:val="left"/>
              <w:rPr>
                <w:rFonts w:ascii="宋体" w:hAnsi="宋体" w:cs="宋体" w:eastAsia="宋体" w:hint="default"/>
                <w:sz w:val="18"/>
                <w:szCs w:val="18"/>
              </w:rPr>
            </w:pPr>
            <w:r>
              <w:rPr>
                <w:rFonts w:ascii="宋体" w:hAnsi="宋体" w:cs="宋体" w:eastAsia="宋体" w:hint="default"/>
                <w:sz w:val="18"/>
                <w:szCs w:val="18"/>
              </w:rPr>
              <w:t>主要系本期信托收益权融资减少 所致</w:t>
            </w:r>
          </w:p>
        </w:tc>
      </w:tr>
      <w:tr>
        <w:trPr>
          <w:trHeight w:val="635"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20"/>
              <w:jc w:val="left"/>
              <w:rPr>
                <w:rFonts w:ascii="宋体" w:hAnsi="宋体" w:cs="宋体" w:eastAsia="宋体" w:hint="default"/>
                <w:sz w:val="18"/>
                <w:szCs w:val="18"/>
              </w:rPr>
            </w:pPr>
            <w:r>
              <w:rPr>
                <w:rFonts w:ascii="宋体" w:hAnsi="宋体" w:cs="宋体" w:eastAsia="宋体" w:hint="default"/>
                <w:sz w:val="18"/>
                <w:szCs w:val="18"/>
              </w:rPr>
              <w:t>收到其他与筹资活动 有关的现金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4,770,189.90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160,367,043.86</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-97.03%</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209" w:firstLine="90"/>
              <w:jc w:val="left"/>
              <w:rPr>
                <w:rFonts w:ascii="宋体" w:hAnsi="宋体" w:cs="宋体" w:eastAsia="宋体" w:hint="default"/>
                <w:sz w:val="18"/>
                <w:szCs w:val="18"/>
              </w:rPr>
            </w:pPr>
            <w:r>
              <w:rPr>
                <w:rFonts w:ascii="宋体" w:hAnsi="宋体" w:cs="宋体" w:eastAsia="宋体" w:hint="default"/>
                <w:sz w:val="18"/>
                <w:szCs w:val="18"/>
              </w:rPr>
              <w:t>主要系上期收到融资租赁借款所 致。</w:t>
            </w:r>
          </w:p>
        </w:tc>
      </w:tr>
      <w:tr>
        <w:trPr>
          <w:trHeight w:val="634"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20"/>
              <w:jc w:val="left"/>
              <w:rPr>
                <w:rFonts w:ascii="宋体" w:hAnsi="宋体" w:cs="宋体" w:eastAsia="宋体" w:hint="default"/>
                <w:sz w:val="18"/>
                <w:szCs w:val="18"/>
              </w:rPr>
            </w:pPr>
            <w:r>
              <w:rPr>
                <w:rFonts w:ascii="宋体" w:hAnsi="宋体" w:cs="宋体" w:eastAsia="宋体" w:hint="default"/>
                <w:sz w:val="18"/>
                <w:szCs w:val="18"/>
              </w:rPr>
              <w:t>筹资活动现金流入小 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390,036,839.13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755,096,409.75</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-48.35%</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09" w:firstLine="90"/>
              <w:jc w:val="left"/>
              <w:rPr>
                <w:rFonts w:ascii="宋体" w:hAnsi="宋体" w:cs="宋体" w:eastAsia="宋体" w:hint="default"/>
                <w:sz w:val="18"/>
                <w:szCs w:val="18"/>
              </w:rPr>
            </w:pPr>
            <w:r>
              <w:rPr>
                <w:rFonts w:ascii="宋体" w:hAnsi="宋体" w:cs="宋体" w:eastAsia="宋体" w:hint="default"/>
                <w:sz w:val="18"/>
                <w:szCs w:val="18"/>
              </w:rPr>
              <w:t>主要系本期信托收益权融资减少 所致</w:t>
            </w:r>
          </w:p>
        </w:tc>
      </w:tr>
      <w:tr>
        <w:trPr>
          <w:trHeight w:val="634"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999,675,994.86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312,851,000.00</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219.54%</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209" w:firstLine="90"/>
              <w:jc w:val="left"/>
              <w:rPr>
                <w:rFonts w:ascii="宋体" w:hAnsi="宋体" w:cs="宋体" w:eastAsia="宋体" w:hint="default"/>
                <w:sz w:val="18"/>
                <w:szCs w:val="18"/>
              </w:rPr>
            </w:pPr>
            <w:r>
              <w:rPr>
                <w:rFonts w:ascii="宋体" w:hAnsi="宋体" w:cs="宋体" w:eastAsia="宋体" w:hint="default"/>
                <w:sz w:val="18"/>
                <w:szCs w:val="18"/>
              </w:rPr>
              <w:t>主要系本期偿还公司债及信托收 益权融资款所致。</w:t>
            </w:r>
          </w:p>
        </w:tc>
      </w:tr>
      <w:tr>
        <w:trPr>
          <w:trHeight w:val="635"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20"/>
              <w:jc w:val="left"/>
              <w:rPr>
                <w:rFonts w:ascii="宋体" w:hAnsi="宋体" w:cs="宋体" w:eastAsia="宋体" w:hint="default"/>
                <w:sz w:val="18"/>
                <w:szCs w:val="18"/>
              </w:rPr>
            </w:pPr>
            <w:r>
              <w:rPr>
                <w:rFonts w:ascii="宋体" w:hAnsi="宋体" w:cs="宋体" w:eastAsia="宋体" w:hint="default"/>
                <w:sz w:val="18"/>
                <w:szCs w:val="18"/>
              </w:rPr>
              <w:t>支付其他与筹资活动 有关的现金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11,810.73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12,757,675.24</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-99.91%</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209" w:firstLine="90"/>
              <w:jc w:val="left"/>
              <w:rPr>
                <w:rFonts w:ascii="宋体" w:hAnsi="宋体" w:cs="宋体" w:eastAsia="宋体" w:hint="default"/>
                <w:sz w:val="18"/>
                <w:szCs w:val="18"/>
              </w:rPr>
            </w:pPr>
            <w:r>
              <w:rPr>
                <w:rFonts w:ascii="宋体" w:hAnsi="宋体" w:cs="宋体" w:eastAsia="宋体" w:hint="default"/>
                <w:sz w:val="18"/>
                <w:szCs w:val="18"/>
              </w:rPr>
              <w:t>主要系上期支付融资租赁借款服 务费及保证金所致。</w:t>
            </w:r>
          </w:p>
        </w:tc>
      </w:tr>
      <w:tr>
        <w:trPr>
          <w:trHeight w:val="634"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20"/>
              <w:jc w:val="left"/>
              <w:rPr>
                <w:rFonts w:ascii="宋体" w:hAnsi="宋体" w:cs="宋体" w:eastAsia="宋体" w:hint="default"/>
                <w:sz w:val="18"/>
                <w:szCs w:val="18"/>
              </w:rPr>
            </w:pPr>
            <w:r>
              <w:rPr>
                <w:rFonts w:ascii="宋体" w:hAnsi="宋体" w:cs="宋体" w:eastAsia="宋体" w:hint="default"/>
                <w:sz w:val="18"/>
                <w:szCs w:val="18"/>
              </w:rPr>
              <w:t>筹资活动现金流出小 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1,057,352,328.14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373,687,688.56</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182.95%</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09" w:firstLine="90"/>
              <w:jc w:val="left"/>
              <w:rPr>
                <w:rFonts w:ascii="宋体" w:hAnsi="宋体" w:cs="宋体" w:eastAsia="宋体" w:hint="default"/>
                <w:sz w:val="18"/>
                <w:szCs w:val="18"/>
              </w:rPr>
            </w:pPr>
            <w:r>
              <w:rPr>
                <w:rFonts w:ascii="宋体" w:hAnsi="宋体" w:cs="宋体" w:eastAsia="宋体" w:hint="default"/>
                <w:sz w:val="18"/>
                <w:szCs w:val="18"/>
              </w:rPr>
              <w:t>主要系本期偿还公司债及信托收 益权融资款所致。</w:t>
            </w:r>
          </w:p>
        </w:tc>
      </w:tr>
      <w:tr>
        <w:trPr>
          <w:trHeight w:val="635"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20"/>
              <w:jc w:val="left"/>
              <w:rPr>
                <w:rFonts w:ascii="宋体" w:hAnsi="宋体" w:cs="宋体" w:eastAsia="宋体" w:hint="default"/>
                <w:sz w:val="18"/>
                <w:szCs w:val="18"/>
              </w:rPr>
            </w:pPr>
            <w:r>
              <w:rPr>
                <w:rFonts w:ascii="宋体" w:hAnsi="宋体" w:cs="宋体" w:eastAsia="宋体" w:hint="default"/>
                <w:sz w:val="18"/>
                <w:szCs w:val="18"/>
              </w:rPr>
              <w:t>筹资活动产生的现金 流量净额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-667,315,489.01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381,408,721.19</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-274.96%</w:t>
            </w:r>
            <w:r>
              <w:rPr>
                <w:rFonts w:ascii="Times New Roman"/>
                <w:sz w:val="18"/>
              </w:rPr>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主要系以上因素综合影响所致。</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3286" w:right="0"/>
        <w:jc w:val="left"/>
        <w:rPr>
          <w:b w:val="0"/>
          <w:bCs w:val="0"/>
        </w:rPr>
      </w:pPr>
      <w:bookmarkStart w:name="_TOC_250000" w:id="359"/>
      <w:bookmarkStart w:name="第十二节 备查文件目录" w:id="360"/>
      <w:r>
        <w:rPr>
          <w:b w:val="0"/>
          <w:bCs w:val="0"/>
        </w:rPr>
      </w:r>
      <w:r>
        <w:rPr/>
        <w:t>第十二节</w:t>
      </w:r>
      <w:r>
        <w:rPr>
          <w:spacing w:val="-8"/>
        </w:rPr>
        <w:t> </w:t>
      </w:r>
      <w:r>
        <w:rPr/>
        <w:t>备查文件目录</w:t>
      </w:r>
      <w:bookmarkEnd w:id="359"/>
      <w:r>
        <w:rPr>
          <w:b w:val="0"/>
          <w:bCs w:val="0"/>
        </w:rPr>
      </w:r>
    </w:p>
    <w:p>
      <w:pPr>
        <w:spacing w:line="240" w:lineRule="auto" w:before="3"/>
        <w:rPr>
          <w:rFonts w:ascii="宋体" w:hAnsi="宋体" w:cs="宋体" w:eastAsia="宋体" w:hint="default"/>
          <w:b/>
          <w:bCs/>
          <w:sz w:val="47"/>
          <w:szCs w:val="47"/>
        </w:rPr>
      </w:pPr>
    </w:p>
    <w:p>
      <w:pPr>
        <w:pStyle w:val="BodyText"/>
        <w:spacing w:line="240" w:lineRule="auto"/>
        <w:ind w:right="0"/>
        <w:jc w:val="left"/>
      </w:pPr>
      <w:r>
        <w:rPr>
          <w:rFonts w:ascii="Times New Roman" w:hAnsi="Times New Roman" w:cs="Times New Roman" w:eastAsia="Times New Roman" w:hint="default"/>
        </w:rPr>
        <w:t>1.</w:t>
      </w:r>
      <w:r>
        <w:rPr/>
        <w:t>载有法定代表人、财务负责人、会计机构负责人签名并盖章的财务报表。</w:t>
      </w:r>
    </w:p>
    <w:p>
      <w:pPr>
        <w:spacing w:line="240" w:lineRule="auto" w:before="8"/>
        <w:rPr>
          <w:rFonts w:ascii="宋体" w:hAnsi="宋体" w:cs="宋体" w:eastAsia="宋体" w:hint="default"/>
          <w:sz w:val="14"/>
          <w:szCs w:val="14"/>
        </w:rPr>
      </w:pPr>
    </w:p>
    <w:p>
      <w:pPr>
        <w:pStyle w:val="BodyText"/>
        <w:spacing w:line="240" w:lineRule="auto"/>
        <w:ind w:right="0"/>
        <w:jc w:val="left"/>
      </w:pPr>
      <w:r>
        <w:rPr>
          <w:rFonts w:ascii="Times New Roman" w:hAnsi="Times New Roman" w:cs="Times New Roman" w:eastAsia="Times New Roman" w:hint="default"/>
        </w:rPr>
        <w:t>2.</w:t>
      </w:r>
      <w:r>
        <w:rPr/>
        <w:t>载有会计师事务所盖章、注册会计师签名并盖章的审计报告原件。</w:t>
      </w:r>
    </w:p>
    <w:p>
      <w:pPr>
        <w:spacing w:line="240" w:lineRule="auto" w:before="8"/>
        <w:rPr>
          <w:rFonts w:ascii="宋体" w:hAnsi="宋体" w:cs="宋体" w:eastAsia="宋体" w:hint="default"/>
          <w:sz w:val="14"/>
          <w:szCs w:val="14"/>
        </w:rPr>
      </w:pPr>
    </w:p>
    <w:p>
      <w:pPr>
        <w:pStyle w:val="BodyText"/>
        <w:spacing w:line="240" w:lineRule="auto"/>
        <w:ind w:right="0"/>
        <w:jc w:val="left"/>
      </w:pPr>
      <w:r>
        <w:rPr>
          <w:rFonts w:ascii="Times New Roman" w:hAnsi="Times New Roman" w:cs="Times New Roman" w:eastAsia="Times New Roman" w:hint="default"/>
        </w:rPr>
        <w:t>3.</w:t>
      </w:r>
      <w:r>
        <w:rPr/>
        <w:t>报告期内在中国证监会指定报纸上公开披露过的所有公司文件的正本及公告原稿。</w:t>
      </w:r>
    </w:p>
    <w:p>
      <w:pPr>
        <w:spacing w:line="240" w:lineRule="auto" w:before="8"/>
        <w:rPr>
          <w:rFonts w:ascii="宋体" w:hAnsi="宋体" w:cs="宋体" w:eastAsia="宋体" w:hint="default"/>
          <w:sz w:val="14"/>
          <w:szCs w:val="14"/>
        </w:rPr>
      </w:pPr>
    </w:p>
    <w:p>
      <w:pPr>
        <w:pStyle w:val="BodyText"/>
        <w:spacing w:line="240" w:lineRule="auto"/>
        <w:ind w:right="0"/>
        <w:jc w:val="left"/>
      </w:pPr>
      <w:r>
        <w:rPr>
          <w:rFonts w:ascii="Times New Roman" w:hAnsi="Times New Roman" w:cs="Times New Roman" w:eastAsia="Times New Roman" w:hint="default"/>
        </w:rPr>
        <w:t>4.</w:t>
      </w:r>
      <w:r>
        <w:rPr/>
        <w:t>载有董事长签名的</w:t>
      </w:r>
      <w:r>
        <w:rPr>
          <w:rFonts w:ascii="Times New Roman" w:hAnsi="Times New Roman" w:cs="Times New Roman" w:eastAsia="Times New Roman" w:hint="default"/>
        </w:rPr>
        <w:t>2018</w:t>
      </w:r>
      <w:r>
        <w:rPr/>
        <w:t>年年度报告文本原件。</w:t>
      </w:r>
    </w:p>
    <w:p>
      <w:pPr>
        <w:spacing w:line="240" w:lineRule="auto" w:before="8"/>
        <w:rPr>
          <w:rFonts w:ascii="宋体" w:hAnsi="宋体" w:cs="宋体" w:eastAsia="宋体" w:hint="default"/>
          <w:sz w:val="14"/>
          <w:szCs w:val="14"/>
        </w:rPr>
      </w:pPr>
    </w:p>
    <w:p>
      <w:pPr>
        <w:pStyle w:val="BodyText"/>
        <w:spacing w:line="240" w:lineRule="auto"/>
        <w:ind w:right="0"/>
        <w:jc w:val="left"/>
      </w:pPr>
      <w:r>
        <w:rPr>
          <w:rFonts w:ascii="Times New Roman" w:hAnsi="Times New Roman" w:cs="Times New Roman" w:eastAsia="Times New Roman" w:hint="default"/>
        </w:rPr>
        <w:t>5.</w:t>
      </w:r>
      <w:r>
        <w:rPr/>
        <w:t>以上备查文件的备置地点：公司董事会办公室。</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0176" type="#_x0000_t75" stroked="false">
          <v:imagedata r:id="rId1" o:title=""/>
        </v:shape>
      </w:pict>
    </w:r>
    <w:r>
      <w:rPr/>
      <w:pict>
        <v:shape style="position:absolute;margin-left:533.179993pt;margin-top:795.517944pt;width:6.5pt;height:11pt;mso-position-horizontal-relative:page;mso-position-vertical-relative:page;z-index:-10401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0128" type="#_x0000_t75" stroked="false">
          <v:imagedata r:id="rId1" o:title=""/>
        </v:shape>
      </w:pict>
    </w:r>
    <w:r>
      <w:rPr/>
      <w:pict>
        <v:shape style="position:absolute;margin-left:527.679993pt;margin-top:781.957947pt;width:13pt;height:11pt;mso-position-horizontal-relative:page;mso-position-vertical-relative:page;z-index:-10401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0080" type="#_x0000_t75" stroked="false">
          <v:imagedata r:id="rId1" o:title=""/>
        </v:shape>
      </w:pict>
    </w:r>
    <w:r>
      <w:rPr/>
      <w:pict>
        <v:shape style="position:absolute;margin-left:524.179993pt;margin-top:781.957947pt;width:15.5pt;height:11pt;mso-position-horizontal-relative:page;mso-position-vertical-relative:page;z-index:-10400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0032" type="#_x0000_t75" stroked="false">
          <v:imagedata r:id="rId1" o:title=""/>
        </v:shape>
      </w:pict>
    </w:r>
    <w:r>
      <w:rPr/>
      <w:pict>
        <v:shape style="position:absolute;margin-left:523.179993pt;margin-top:781.957947pt;width:17.5pt;height:11pt;mso-position-horizontal-relative:page;mso-position-vertical-relative:page;z-index:-10400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10402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北京中科金财科技股份有限公司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20"/>
      <w:szCs w:val="20"/>
    </w:rPr>
  </w:style>
  <w:style w:styleId="Heading1" w:type="paragraph">
    <w:name w:val="Heading 1"/>
    <w:basedOn w:val="Normal"/>
    <w:uiPriority w:val="1"/>
    <w:qFormat/>
    <w:pPr>
      <w:spacing w:before="1"/>
      <w:ind w:left="2423"/>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sinodata.net.cn/" TargetMode="External"/><Relationship Id="rId10" Type="http://schemas.openxmlformats.org/officeDocument/2006/relationships/hyperlink" Target="mailto:zkjc@sinodata.net.cn" TargetMode="External"/><Relationship Id="rId11" Type="http://schemas.openxmlformats.org/officeDocument/2006/relationships/hyperlink" Target="http://www.cninfo.com.cn/" TargetMode="External"/><Relationship Id="rId12" Type="http://schemas.openxmlformats.org/officeDocument/2006/relationships/hyperlink" Target="http://www/" TargetMode="External"/><Relationship Id="rId13" Type="http://schemas.openxmlformats.org/officeDocument/2006/relationships/image" Target="media/image3.jpeg"/><Relationship Id="rId14" Type="http://schemas.openxmlformats.org/officeDocument/2006/relationships/hyperlink" Target="http://www.cninfo.co/" TargetMode="External"/><Relationship Id="rId15" Type="http://schemas.openxmlformats.org/officeDocument/2006/relationships/footer" Target="footer3.xml"/><Relationship Id="rId16"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北京中科金财科技股份有限公司</dc:creator>
  <dc:title>北京中科金财科技股份有限公司2018年年度报告全文</dc:title>
  <dcterms:created xsi:type="dcterms:W3CDTF">2020-05-05T00:20:24Z</dcterms:created>
  <dcterms:modified xsi:type="dcterms:W3CDTF">2020-05-05T00:20:24Z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2019-04-18T00:00:00Z</vt:filetime>
  </property>
  <property fmtid="{D5CDD505-2E9C-101B-9397-08002B2CF9AE}" pid="3" name="Creator">
    <vt:lpwstr>Microsoft® Office Word 2007</vt:lpwstr>
  </property>
  <property fmtid="{D5CDD505-2E9C-101B-9397-08002B2CF9AE}" pid="4" name="LastSaved">
    <vt:filetime>2020-05-04T00:00:00Z</vt:filetime>
  </property>
</Properties>
</file>