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1368" w:lineRule="exact"/>
        <w:ind w:left="40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6"/>
          <w:sz w:val="20"/>
          <w:szCs w:val="20"/>
        </w:rPr>
        <w:drawing>
          <wp:inline distT="0" distB="0" distL="0" distR="0">
            <wp:extent cx="1127760" cy="868679"/>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127760" cy="868679"/>
                    </a:xfrm>
                    <a:prstGeom prst="rect">
                      <a:avLst/>
                    </a:prstGeom>
                  </pic:spPr>
                </pic:pic>
              </a:graphicData>
            </a:graphic>
          </wp:inline>
        </w:drawing>
      </w:r>
      <w:r>
        <w:rPr>
          <w:rFonts w:ascii="Times New Roman" w:hAnsi="Times New Roman" w:cs="Times New Roman" w:eastAsia="Times New Roman" w:hint="default"/>
          <w:position w:val="-26"/>
          <w:sz w:val="20"/>
          <w:szCs w:val="20"/>
        </w:rPr>
      </w:r>
    </w:p>
    <w:p>
      <w:pPr>
        <w:spacing w:line="240" w:lineRule="auto" w:before="5"/>
        <w:rPr>
          <w:rFonts w:ascii="Times New Roman" w:hAnsi="Times New Roman" w:cs="Times New Roman" w:eastAsia="Times New Roman" w:hint="default"/>
          <w:sz w:val="13"/>
          <w:szCs w:val="13"/>
        </w:rPr>
      </w:pPr>
    </w:p>
    <w:p>
      <w:pPr>
        <w:spacing w:line="460" w:lineRule="exact" w:before="0"/>
        <w:ind w:left="0" w:right="984" w:firstLine="0"/>
        <w:jc w:val="center"/>
        <w:rPr>
          <w:rFonts w:ascii="宋体" w:hAnsi="宋体" w:cs="宋体" w:eastAsia="宋体" w:hint="default"/>
          <w:sz w:val="36"/>
          <w:szCs w:val="36"/>
        </w:rPr>
      </w:pPr>
      <w:r>
        <w:rPr>
          <w:rFonts w:ascii="宋体" w:hAnsi="宋体" w:cs="宋体" w:eastAsia="宋体" w:hint="default"/>
          <w:b/>
          <w:bCs/>
          <w:sz w:val="36"/>
          <w:szCs w:val="36"/>
        </w:rPr>
        <w:t>北京中科金财科技股份有限公司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0" w:right="98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3"/>
        <w:rPr>
          <w:rFonts w:ascii="宋体" w:hAnsi="宋体" w:cs="宋体" w:eastAsia="宋体" w:hint="default"/>
          <w:b/>
          <w:bCs/>
          <w:sz w:val="48"/>
          <w:szCs w:val="48"/>
        </w:rPr>
      </w:pPr>
    </w:p>
    <w:p>
      <w:pPr>
        <w:spacing w:before="0"/>
        <w:ind w:left="0" w:right="97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1133"/>
        <w:jc w:val="left"/>
        <w:rPr>
          <w:b w:val="0"/>
          <w:bCs w:val="0"/>
        </w:rPr>
      </w:pPr>
      <w:bookmarkStart w:name="_TOC_250012" w:id="1"/>
      <w:bookmarkStart w:name="第一节 重要提示、目录和释义" w:id="2"/>
      <w:r>
        <w:rPr>
          <w:b w:val="0"/>
          <w:bCs w:val="0"/>
        </w:rPr>
      </w:r>
      <w:r>
        <w:rPr/>
        <w:t>第一节</w:t>
      </w:r>
      <w:r>
        <w:rPr>
          <w:spacing w:val="-6"/>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1133" w:firstLine="562"/>
        <w:jc w:val="left"/>
        <w:rPr>
          <w:rFonts w:ascii="宋体" w:hAnsi="宋体" w:cs="宋体" w:eastAsia="宋体" w:hint="default"/>
          <w:sz w:val="28"/>
          <w:szCs w:val="28"/>
        </w:rPr>
      </w:pPr>
      <w:r>
        <w:rPr>
          <w:rFonts w:ascii="宋体" w:hAnsi="宋体" w:cs="宋体" w:eastAsia="宋体" w:hint="default"/>
          <w:b/>
          <w:bCs/>
          <w:w w:val="95"/>
          <w:sz w:val="28"/>
          <w:szCs w:val="28"/>
        </w:rPr>
        <w:t>公司负责人朱烨东、主管会计工作负责人洪珊及会计机构负责人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滕立宁声明：保证年度报告中财务报告的真实、准确、完整。</w:t>
      </w:r>
      <w:r>
        <w:rPr>
          <w:rFonts w:ascii="宋体" w:hAnsi="宋体" w:cs="宋体" w:eastAsia="宋体" w:hint="default"/>
          <w:sz w:val="28"/>
          <w:szCs w:val="28"/>
        </w:rPr>
      </w:r>
    </w:p>
    <w:p>
      <w:pPr>
        <w:spacing w:line="472" w:lineRule="auto" w:before="148"/>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本年度报告涉及的未来发展规划和经营目标等前瞻性陈述，属于公司计划</w:t>
      </w:r>
      <w:r>
        <w:rPr>
          <w:rFonts w:ascii="宋体" w:hAnsi="宋体" w:cs="宋体" w:eastAsia="宋体" w:hint="default"/>
          <w:spacing w:val="2"/>
          <w:sz w:val="28"/>
          <w:szCs w:val="28"/>
        </w:rPr>
      </w:r>
    </w:p>
    <w:p>
      <w:pPr>
        <w:spacing w:line="408" w:lineRule="auto" w:before="0"/>
        <w:ind w:left="152" w:right="1129" w:firstLine="0"/>
        <w:jc w:val="left"/>
        <w:rPr>
          <w:rFonts w:ascii="宋体" w:hAnsi="宋体" w:cs="宋体" w:eastAsia="宋体" w:hint="default"/>
          <w:sz w:val="28"/>
          <w:szCs w:val="28"/>
        </w:rPr>
      </w:pPr>
      <w:r>
        <w:rPr>
          <w:rFonts w:ascii="宋体" w:hAnsi="宋体" w:cs="宋体" w:eastAsia="宋体" w:hint="default"/>
          <w:b/>
          <w:bCs/>
          <w:spacing w:val="2"/>
          <w:sz w:val="28"/>
          <w:szCs w:val="28"/>
        </w:rPr>
        <w:t>性事务，不构成对投资者的实质承诺，请投资者及相关人士对此保持足够的风</w:t>
      </w:r>
      <w:r>
        <w:rPr>
          <w:rFonts w:ascii="宋体" w:hAnsi="宋体" w:cs="宋体" w:eastAsia="宋体" w:hint="default"/>
          <w:b/>
          <w:bCs/>
          <w:w w:val="99"/>
          <w:sz w:val="28"/>
          <w:szCs w:val="28"/>
        </w:rPr>
        <w:t> </w:t>
      </w:r>
      <w:r>
        <w:rPr>
          <w:rFonts w:ascii="宋体" w:hAnsi="宋体" w:cs="宋体" w:eastAsia="宋体" w:hint="default"/>
          <w:b/>
          <w:bCs/>
          <w:sz w:val="28"/>
          <w:szCs w:val="28"/>
        </w:rPr>
        <w:t>险认识，理解计划、预测与承诺之间的差异，注意投资风险。</w:t>
      </w:r>
      <w:r>
        <w:rPr>
          <w:rFonts w:ascii="宋体" w:hAnsi="宋体" w:cs="宋体" w:eastAsia="宋体" w:hint="default"/>
          <w:sz w:val="28"/>
          <w:szCs w:val="28"/>
        </w:rPr>
      </w:r>
    </w:p>
    <w:p>
      <w:pPr>
        <w:spacing w:line="398" w:lineRule="auto" w:before="162"/>
        <w:ind w:left="152" w:right="982" w:firstLine="562"/>
        <w:jc w:val="left"/>
        <w:rPr>
          <w:rFonts w:ascii="宋体" w:hAnsi="宋体" w:cs="宋体" w:eastAsia="宋体" w:hint="default"/>
          <w:sz w:val="28"/>
          <w:szCs w:val="28"/>
        </w:rPr>
      </w:pPr>
      <w:r>
        <w:rPr>
          <w:rFonts w:ascii="宋体" w:hAnsi="宋体" w:cs="宋体" w:eastAsia="宋体" w:hint="default"/>
          <w:b/>
          <w:bCs/>
          <w:spacing w:val="-2"/>
          <w:sz w:val="28"/>
          <w:szCs w:val="28"/>
        </w:rPr>
        <w:t>公司存在的风险因素主要有市场竞争风险、行业技术风险、人力资源风险、</w:t>
      </w:r>
      <w:r>
        <w:rPr>
          <w:rFonts w:ascii="宋体" w:hAnsi="宋体" w:cs="宋体" w:eastAsia="宋体" w:hint="default"/>
          <w:b/>
          <w:bCs/>
          <w:w w:val="99"/>
          <w:sz w:val="28"/>
          <w:szCs w:val="28"/>
        </w:rPr>
        <w:t> </w:t>
      </w:r>
      <w:r>
        <w:rPr>
          <w:rFonts w:ascii="宋体" w:hAnsi="宋体" w:cs="宋体" w:eastAsia="宋体" w:hint="default"/>
          <w:b/>
          <w:bCs/>
          <w:sz w:val="28"/>
          <w:szCs w:val="28"/>
        </w:rPr>
        <w:t>政策风险等，有关主要风险因素及公司应对措施已在本报告第四节</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经营情况讨</w:t>
      </w:r>
      <w:r>
        <w:rPr>
          <w:rFonts w:ascii="宋体" w:hAnsi="宋体" w:cs="宋体" w:eastAsia="宋体" w:hint="default"/>
          <w:b/>
          <w:bCs/>
          <w:w w:val="99"/>
          <w:sz w:val="28"/>
          <w:szCs w:val="28"/>
        </w:rPr>
        <w:t> </w:t>
      </w:r>
      <w:r>
        <w:rPr>
          <w:rFonts w:ascii="宋体" w:hAnsi="宋体" w:cs="宋体" w:eastAsia="宋体" w:hint="default"/>
          <w:b/>
          <w:bCs/>
          <w:sz w:val="28"/>
          <w:szCs w:val="28"/>
        </w:rPr>
        <w:t>论与分析</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中</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公司面临的风险和应对措施</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详细阐述。</w:t>
      </w:r>
      <w:r>
        <w:rPr>
          <w:rFonts w:ascii="宋体" w:hAnsi="宋体" w:cs="宋体" w:eastAsia="宋体" w:hint="default"/>
          <w:sz w:val="28"/>
          <w:szCs w:val="28"/>
        </w:rPr>
      </w:r>
    </w:p>
    <w:p>
      <w:pPr>
        <w:spacing w:before="132"/>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80"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0" w:right="978"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2">
            <w:r>
              <w:rPr/>
              <w:t>第一节</w:t>
            </w:r>
            <w:r>
              <w:rPr>
                <w:spacing w:val="-18"/>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11">
            <w:r>
              <w:rPr/>
              <w:t>第二节</w:t>
            </w:r>
            <w:r>
              <w:rPr>
                <w:spacing w:val="-18"/>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第三节</w:t>
            </w:r>
            <w:r>
              <w:rPr>
                <w:spacing w:val="-18"/>
              </w:rPr>
              <w:t> </w:t>
            </w:r>
            <w:r>
              <w:rPr/>
              <w:t>公司业务概要</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第四节</w:t>
            </w:r>
            <w:r>
              <w:rPr>
                <w:spacing w:val="-18"/>
              </w:rPr>
              <w:t> </w:t>
            </w:r>
            <w:r>
              <w:rPr/>
              <w:t>经营情况讨论与分析</w:t>
            </w:r>
            <w:r>
              <w:rPr>
                <w:rFonts w:ascii="Times New Roman" w:hAnsi="Times New Roman" w:cs="Times New Roman" w:eastAsia="Times New Roman" w:hint="default"/>
              </w:rPr>
              <w:tab/>
              <w:t>35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第五节</w:t>
            </w:r>
            <w:r>
              <w:rPr>
                <w:spacing w:val="-18"/>
              </w:rPr>
              <w:t> </w:t>
            </w:r>
            <w:r>
              <w:rPr/>
              <w:t>重要事项</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第六节</w:t>
            </w:r>
            <w:r>
              <w:rPr>
                <w:spacing w:val="-18"/>
              </w:rPr>
              <w:t> </w:t>
            </w:r>
            <w:r>
              <w:rPr/>
              <w:t>股份变动及股东情况</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第七节</w:t>
            </w:r>
            <w:r>
              <w:rPr>
                <w:spacing w:val="-18"/>
              </w:rPr>
              <w:t> </w:t>
            </w:r>
            <w:r>
              <w:rPr/>
              <w:t>优先股相关情况</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第八节</w:t>
            </w:r>
            <w:r>
              <w:rPr>
                <w:spacing w:val="-18"/>
              </w:rPr>
              <w:t> </w:t>
            </w:r>
            <w:r>
              <w:rPr/>
              <w:t>可转换公司债券相关情况</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4">
            <w:r>
              <w:rPr/>
              <w:t>第九节</w:t>
            </w:r>
            <w:r>
              <w:rPr>
                <w:spacing w:val="-18"/>
              </w:rPr>
              <w:t> </w:t>
            </w:r>
            <w:r>
              <w:rPr/>
              <w:t>董事、监事、高级管理人员和员工情况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第十节</w:t>
            </w:r>
            <w:r>
              <w:rPr>
                <w:spacing w:val="-18"/>
              </w:rPr>
              <w:t> </w:t>
            </w:r>
            <w:r>
              <w:rPr/>
              <w:t>公司治理</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第十一节</w:t>
            </w:r>
            <w:r>
              <w:rPr>
                <w:spacing w:val="-18"/>
              </w:rPr>
              <w:t> </w:t>
            </w:r>
            <w:r>
              <w:rPr/>
              <w:t>公司债券相关情况</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第十二节</w:t>
            </w:r>
            <w:r>
              <w:rPr>
                <w:spacing w:val="-17"/>
              </w:rPr>
              <w:t> </w:t>
            </w:r>
            <w:r>
              <w:rPr/>
              <w:t>财务报告</w:t>
            </w:r>
            <w:r>
              <w:rPr>
                <w:rFonts w:ascii="Times New Roman" w:hAnsi="Times New Roman" w:cs="Times New Roman" w:eastAsia="Times New Roman" w:hint="default"/>
              </w:rPr>
              <w:tab/>
              <w:t>77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第十三节</w:t>
            </w:r>
            <w:r>
              <w:rPr>
                <w:spacing w:val="-18"/>
              </w:rPr>
              <w:t> </w:t>
            </w:r>
            <w:r>
              <w:rPr/>
              <w:t>备查文件目录</w:t>
            </w:r>
            <w:r>
              <w:rPr>
                <w:rFonts w:ascii="Times New Roman" w:hAnsi="Times New Roman" w:cs="Times New Roman" w:eastAsia="Times New Roman" w:hint="default"/>
              </w:rPr>
              <w:tab/>
              <w:t>78</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80" w:top="1060" w:bottom="1160" w:left="980" w:right="0"/>
        </w:sectPr>
      </w:pPr>
    </w:p>
    <w:p>
      <w:pPr>
        <w:spacing w:before="945"/>
        <w:ind w:left="0" w:right="97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中科金财、公司、母公司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北京中科金财科技股份有限公司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天津中科、滨河创新</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9"/>
              <w:jc w:val="left"/>
              <w:rPr>
                <w:rFonts w:ascii="宋体" w:hAnsi="宋体" w:cs="宋体" w:eastAsia="宋体" w:hint="default"/>
                <w:sz w:val="18"/>
                <w:szCs w:val="18"/>
              </w:rPr>
            </w:pPr>
            <w:r>
              <w:rPr>
                <w:rFonts w:ascii="宋体" w:hAnsi="宋体" w:cs="宋体" w:eastAsia="宋体" w:hint="default"/>
                <w:sz w:val="18"/>
                <w:szCs w:val="18"/>
              </w:rPr>
              <w:t>天津中科金财科技有限公司（原名称为天津滨河创新科技有限公司， 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月变更为现名称）</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中科信息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北京中科金财信息科技有限公司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中科软件</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北京中科金财软件技术有限公司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北京志东方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北京志东方科技有限责任公司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前海中科</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深圳前海中科金财金控投资有限公司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中科保险经纪</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中科金财保险经纪有限公司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中金财富</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深圳中金财富科技有限有限公司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华缔资管</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华缔资产管理（北京）有限公司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安粮期货</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安粮期货股份有限公司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大金所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大连金融资产交易所有限公司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《北京中科金财科技股份有限公司章程》</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《股票上市规则》</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《深圳证券交易所股票上市规则》</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《规范运作指引》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《深圳证券交易所上市公司规范运作指引》</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本报告</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北京中科金财科技股份有限公司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公司指定信息披露媒体</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20"/>
              <w:jc w:val="left"/>
              <w:rPr>
                <w:rFonts w:ascii="宋体" w:hAnsi="宋体" w:cs="宋体" w:eastAsia="宋体" w:hint="default"/>
                <w:sz w:val="18"/>
                <w:szCs w:val="18"/>
              </w:rPr>
            </w:pPr>
            <w:r>
              <w:rPr>
                <w:rFonts w:ascii="宋体" w:hAnsi="宋体" w:cs="宋体" w:eastAsia="宋体" w:hint="default"/>
                <w:spacing w:val="-18"/>
                <w:sz w:val="18"/>
                <w:szCs w:val="18"/>
              </w:rPr>
              <w:t>《中国证券报》、《证券时报》、《证券日报》、《上海证券报》和巨潮资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讯网</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72.809998pt;width:361.55pt;height:19.6pt;mso-position-horizontal-relative:page;mso-position-vertical-relative:page;z-index:-1105960" coordorigin="3447,5456" coordsize="7231,392">
            <v:shape style="position:absolute;left:3447;top:5456;width:7231;height:392" coordorigin="3447,5456" coordsize="7231,392" path="m3447,5847l10677,5847,10677,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2" w:right="1133"/>
        <w:jc w:val="left"/>
        <w:rPr>
          <w:b w:val="0"/>
          <w:bCs w:val="0"/>
        </w:rPr>
      </w:pPr>
      <w:bookmarkStart w:name="_TOC_250011" w:id="3"/>
      <w:bookmarkStart w:name="第二节 公司简介和主要财务指标" w:id="4"/>
      <w:r>
        <w:rPr>
          <w:b w:val="0"/>
          <w:bCs w:val="0"/>
        </w:rPr>
      </w:r>
      <w:r>
        <w:rPr/>
        <w:t>第二节</w:t>
      </w:r>
      <w:r>
        <w:rPr>
          <w:spacing w:val="-5"/>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中科金财</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002657</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北京中科金财科技股份有限公司</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中科金财</w:t>
            </w:r>
          </w:p>
        </w:tc>
      </w:tr>
      <w:tr>
        <w:trPr>
          <w:trHeight w:val="404"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pacing w:val="-5"/>
                <w:sz w:val="18"/>
              </w:rPr>
              <w:t>SINODATA </w:t>
            </w:r>
            <w:r>
              <w:rPr>
                <w:rFonts w:ascii="Times New Roman"/>
                <w:sz w:val="18"/>
              </w:rPr>
              <w:t>CO.,</w:t>
            </w:r>
            <w:r>
              <w:rPr>
                <w:rFonts w:ascii="Times New Roman"/>
                <w:spacing w:val="-3"/>
                <w:sz w:val="18"/>
              </w:rPr>
              <w:t> </w:t>
            </w:r>
            <w:r>
              <w:rPr>
                <w:rFonts w:ascii="Times New Roman"/>
                <w:spacing w:val="-5"/>
                <w:sz w:val="18"/>
              </w:rPr>
              <w:t>LTD.</w:t>
            </w:r>
          </w:p>
        </w:tc>
      </w:tr>
      <w:tr>
        <w:trPr>
          <w:trHeight w:val="401"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pacing w:val="-5"/>
                <w:sz w:val="18"/>
              </w:rPr>
              <w:t>SINODATA</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朱烨东</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北京市海淀区学院路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39 </w:t>
            </w:r>
            <w:r>
              <w:rPr>
                <w:rFonts w:ascii="宋体" w:hAnsi="宋体" w:cs="宋体" w:eastAsia="宋体" w:hint="default"/>
                <w:sz w:val="18"/>
                <w:szCs w:val="18"/>
              </w:rPr>
              <w:t>号唯实大厦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100191</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北京市海淀区学院路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 </w:t>
            </w:r>
            <w:r>
              <w:rPr>
                <w:rFonts w:ascii="宋体" w:hAnsi="宋体" w:cs="宋体" w:eastAsia="宋体" w:hint="default"/>
                <w:sz w:val="18"/>
                <w:szCs w:val="18"/>
              </w:rPr>
              <w:t>号唯实大厦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100191</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www.sinodata.net.cn</w:t>
              </w:r>
            </w:hyperlink>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zkjc@sinodata.net.cn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赵剑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李燕</w:t>
            </w:r>
          </w:p>
        </w:tc>
      </w:tr>
      <w:tr>
        <w:trPr>
          <w:trHeight w:val="161" w:hRule="exact"/>
        </w:trPr>
        <w:tc>
          <w:tcPr>
            <w:tcW w:w="31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9" w:space="0" w:color="D2D2D2"/>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北京市海淀区学院路</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号唯实大厦</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1006</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室</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北京市海淀区学院路</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号唯实大厦</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室</w:t>
            </w:r>
          </w:p>
        </w:tc>
      </w:tr>
      <w:tr>
        <w:trPr>
          <w:trHeight w:val="394" w:hRule="exact"/>
        </w:trPr>
        <w:tc>
          <w:tcPr>
            <w:tcW w:w="31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6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010-62309608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010-62309608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010-62309595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010-62309595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zkjc@sinodata.net.cn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zkjc@sinodata.net.cn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《证券日报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《证券时报》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董事会办公室</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b/>
          <w:bCs/>
          <w:sz w:val="23"/>
          <w:szCs w:val="23"/>
        </w:rPr>
      </w:pPr>
      <w:r>
        <w:rPr/>
        <w:pict>
          <v:group style="position:absolute;margin-left:139.580002pt;margin-top:636.940002pt;width:68.350pt;height:15.6pt;mso-position-horizontal-relative:page;mso-position-vertical-relative:page;z-index:-1105936" coordorigin="2792,12739" coordsize="1367,312">
            <v:shape style="position:absolute;left:2792;top:12739;width:1367;height:312" coordorigin="2792,12739" coordsize="1367,312" path="m2792,13051l4158,13051,4158,12739,2792,12739,2792,13051xe" filled="true" fillcolor="#ffffff" stroked="false">
              <v:path arrowok="t"/>
              <v:fill type="solid"/>
            </v:shape>
            <w10:wrap type="none"/>
          </v:group>
        </w:pict>
      </w:r>
    </w:p>
    <w:p>
      <w:pPr>
        <w:pStyle w:val="Heading2"/>
        <w:spacing w:line="240" w:lineRule="auto" w:before="26"/>
        <w:ind w:right="1133"/>
        <w:jc w:val="left"/>
        <w:rPr>
          <w:b w:val="0"/>
          <w:bCs w:val="0"/>
        </w:rPr>
      </w:pPr>
      <w:bookmarkStart w:name="四、注册变更情况" w:id="8"/>
      <w:bookmarkEnd w:id="8"/>
      <w:r>
        <w:rPr>
          <w:b w:val="0"/>
          <w:bCs w:val="0"/>
        </w:rPr>
      </w: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63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91110000757740123M</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五、其他有关资料" w:id="9"/>
      <w:bookmarkEnd w:id="9"/>
      <w:r>
        <w:rPr>
          <w:b w:val="0"/>
          <w:bCs w:val="0"/>
        </w:rPr>
      </w:r>
      <w:r>
        <w:rPr/>
        <w:t>五、其他有关资料</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33"/>
        <w:jc w:val="left"/>
      </w:pPr>
      <w:r>
        <w:rPr/>
        <w:t>公司聘请的会计师事务所</w:t>
      </w:r>
    </w:p>
    <w:p>
      <w:pPr>
        <w:spacing w:line="240" w:lineRule="auto" w:before="5"/>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张金华、郭晓清</w:t>
            </w:r>
          </w:p>
        </w:tc>
      </w:tr>
    </w:tbl>
    <w:p>
      <w:pPr>
        <w:pStyle w:val="BodyText"/>
        <w:spacing w:line="240" w:lineRule="auto" w:before="33"/>
        <w:ind w:right="1133"/>
        <w:jc w:val="left"/>
      </w:pPr>
      <w:r>
        <w:rPr/>
        <w:t>公司聘请的报告期内履行持续督导职责的保荐机构</w:t>
      </w:r>
    </w:p>
    <w:p>
      <w:pPr>
        <w:pStyle w:val="BodyText"/>
        <w:spacing w:line="304" w:lineRule="auto" w:before="88"/>
        <w:ind w:right="599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w w:val="95"/>
        </w:rPr>
        <w:t>公司聘请的报告期内履行持续督导职责的财务顾问</w:t>
      </w:r>
      <w:r>
        <w:rPr/>
      </w:r>
    </w:p>
    <w:p>
      <w:pPr>
        <w:pStyle w:val="BodyText"/>
        <w:spacing w:line="240" w:lineRule="auto" w:before="3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2"/>
        <w:rPr>
          <w:rFonts w:ascii="宋体" w:hAnsi="宋体" w:cs="宋体" w:eastAsia="宋体" w:hint="default"/>
          <w:sz w:val="23"/>
          <w:szCs w:val="23"/>
        </w:rPr>
      </w:pPr>
    </w:p>
    <w:p>
      <w:pPr>
        <w:pStyle w:val="Heading2"/>
        <w:spacing w:line="240" w:lineRule="auto"/>
        <w:ind w:right="1133"/>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33"/>
        <w:jc w:val="left"/>
      </w:pPr>
      <w:r>
        <w:rPr/>
        <w:t>公司是否需追溯调整或重述以前年度会计数据</w:t>
      </w:r>
    </w:p>
    <w:p>
      <w:pPr>
        <w:pStyle w:val="BodyText"/>
        <w:spacing w:line="314" w:lineRule="auto" w:before="91"/>
        <w:ind w:right="89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w:t>
      </w:r>
      <w:r>
        <w:rPr>
          <w:w w:val="99"/>
        </w:rPr>
        <w:t> </w:t>
      </w:r>
      <w:r>
        <w:rPr/>
        <w:t>追溯调整或重述原因</w:t>
      </w:r>
      <w:r>
        <w:rPr>
          <w:w w:val="99"/>
        </w:rPr>
        <w:t> </w:t>
      </w:r>
      <w:r>
        <w:rPr/>
        <w:t>会计政策变更</w:t>
      </w:r>
    </w:p>
    <w:p>
      <w:pPr>
        <w:spacing w:line="240" w:lineRule="auto" w:before="11"/>
        <w:rPr>
          <w:rFonts w:ascii="宋体" w:hAnsi="宋体" w:cs="宋体" w:eastAsia="宋体" w:hint="default"/>
          <w:sz w:val="2"/>
          <w:szCs w:val="2"/>
        </w:rPr>
      </w:pPr>
    </w:p>
    <w:tbl>
      <w:tblPr>
        <w:tblW w:w="0" w:type="auto"/>
        <w:jc w:val="left"/>
        <w:tblInd w:w="193" w:type="dxa"/>
        <w:tblLayout w:type="fixed"/>
        <w:tblCellMar>
          <w:top w:w="0" w:type="dxa"/>
          <w:left w:w="0" w:type="dxa"/>
          <w:bottom w:w="0" w:type="dxa"/>
          <w:right w:w="0" w:type="dxa"/>
        </w:tblCellMar>
        <w:tblLook w:val="01E0"/>
      </w:tblPr>
      <w:tblGrid>
        <w:gridCol w:w="1598"/>
        <w:gridCol w:w="1387"/>
        <w:gridCol w:w="1440"/>
        <w:gridCol w:w="1395"/>
        <w:gridCol w:w="1044"/>
        <w:gridCol w:w="1378"/>
        <w:gridCol w:w="1320"/>
      </w:tblGrid>
      <w:tr>
        <w:trPr>
          <w:trHeight w:val="161" w:hRule="exact"/>
        </w:trPr>
        <w:tc>
          <w:tcPr>
            <w:tcW w:w="1598" w:type="dxa"/>
            <w:vMerge w:val="restart"/>
            <w:tcBorders>
              <w:top w:val="single" w:sz="4" w:space="0" w:color="000000"/>
              <w:left w:val="single" w:sz="4" w:space="0" w:color="000000"/>
              <w:right w:val="single" w:sz="4" w:space="0" w:color="000000"/>
            </w:tcBorders>
            <w:shd w:val="clear" w:color="auto" w:fill="D2D2D2"/>
          </w:tcPr>
          <w:p>
            <w:pPr/>
          </w:p>
        </w:tc>
        <w:tc>
          <w:tcPr>
            <w:tcW w:w="1387" w:type="dxa"/>
            <w:vMerge w:val="restart"/>
            <w:tcBorders>
              <w:top w:val="single" w:sz="4" w:space="0" w:color="000000"/>
              <w:left w:val="single" w:sz="4" w:space="0" w:color="000000"/>
              <w:right w:val="single" w:sz="4" w:space="0" w:color="000000"/>
            </w:tcBorders>
            <w:shd w:val="clear" w:color="auto" w:fill="D2D2D2"/>
          </w:tcPr>
          <w:p>
            <w:pPr/>
          </w:p>
        </w:tc>
        <w:tc>
          <w:tcPr>
            <w:tcW w:w="28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35" w:right="65" w:hanging="269"/>
              <w:jc w:val="left"/>
              <w:rPr>
                <w:rFonts w:ascii="宋体" w:hAnsi="宋体" w:cs="宋体" w:eastAsia="宋体" w:hint="default"/>
                <w:sz w:val="18"/>
                <w:szCs w:val="18"/>
              </w:rPr>
            </w:pPr>
            <w:r>
              <w:rPr>
                <w:rFonts w:ascii="宋体" w:hAnsi="宋体" w:cs="宋体" w:eastAsia="宋体" w:hint="default"/>
                <w:sz w:val="18"/>
                <w:szCs w:val="18"/>
              </w:rPr>
              <w:t>本年比上年 增减</w:t>
            </w:r>
          </w:p>
        </w:tc>
        <w:tc>
          <w:tcPr>
            <w:tcW w:w="2698"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1598" w:type="dxa"/>
            <w:vMerge/>
            <w:tcBorders>
              <w:left w:val="single" w:sz="4" w:space="0" w:color="000000"/>
              <w:bottom w:val="nil" w:sz="6" w:space="0" w:color="auto"/>
              <w:right w:val="single" w:sz="4" w:space="0" w:color="000000"/>
            </w:tcBorders>
            <w:shd w:val="clear" w:color="auto" w:fill="D2D2D2"/>
          </w:tcPr>
          <w:p>
            <w:pPr/>
          </w:p>
        </w:tc>
        <w:tc>
          <w:tcPr>
            <w:tcW w:w="1387" w:type="dxa"/>
            <w:vMerge/>
            <w:tcBorders>
              <w:left w:val="single" w:sz="4" w:space="0" w:color="000000"/>
              <w:bottom w:val="nil" w:sz="6" w:space="0" w:color="auto"/>
              <w:right w:val="single" w:sz="4" w:space="0" w:color="000000"/>
            </w:tcBorders>
            <w:shd w:val="clear" w:color="auto" w:fill="D2D2D2"/>
          </w:tcPr>
          <w:p>
            <w:pPr/>
          </w:p>
        </w:tc>
        <w:tc>
          <w:tcPr>
            <w:tcW w:w="283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44" w:type="dxa"/>
            <w:vMerge/>
            <w:tcBorders>
              <w:left w:val="single" w:sz="4" w:space="0" w:color="000000"/>
              <w:right w:val="single" w:sz="4" w:space="0" w:color="000000"/>
            </w:tcBorders>
            <w:shd w:val="clear" w:color="auto" w:fill="D2D2D2"/>
          </w:tcPr>
          <w:p>
            <w:pPr/>
          </w:p>
        </w:tc>
        <w:tc>
          <w:tcPr>
            <w:tcW w:w="269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190" w:hRule="exact"/>
        </w:trPr>
        <w:tc>
          <w:tcPr>
            <w:tcW w:w="1598" w:type="dxa"/>
            <w:vMerge w:val="restart"/>
            <w:tcBorders>
              <w:top w:val="nil" w:sz="6" w:space="0" w:color="auto"/>
              <w:left w:val="single" w:sz="4" w:space="0" w:color="000000"/>
              <w:right w:val="single" w:sz="4" w:space="0" w:color="000000"/>
            </w:tcBorders>
            <w:shd w:val="clear" w:color="auto" w:fill="D2D2D2"/>
          </w:tcPr>
          <w:p>
            <w:pPr/>
          </w:p>
        </w:tc>
        <w:tc>
          <w:tcPr>
            <w:tcW w:w="13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35" w:type="dxa"/>
            <w:gridSpan w:val="2"/>
            <w:vMerge/>
            <w:tcBorders>
              <w:left w:val="single" w:sz="4" w:space="0" w:color="000000"/>
              <w:bottom w:val="nil" w:sz="6" w:space="0" w:color="auto"/>
              <w:right w:val="single" w:sz="4" w:space="0" w:color="000000"/>
            </w:tcBorders>
            <w:shd w:val="clear" w:color="auto" w:fill="D2D2D2"/>
          </w:tcPr>
          <w:p>
            <w:pPr/>
          </w:p>
        </w:tc>
        <w:tc>
          <w:tcPr>
            <w:tcW w:w="1044" w:type="dxa"/>
            <w:vMerge/>
            <w:tcBorders>
              <w:left w:val="single" w:sz="4" w:space="0" w:color="000000"/>
              <w:right w:val="single" w:sz="4" w:space="0" w:color="000000"/>
            </w:tcBorders>
            <w:shd w:val="clear" w:color="auto" w:fill="D2D2D2"/>
          </w:tcPr>
          <w:p>
            <w:pPr/>
          </w:p>
        </w:tc>
        <w:tc>
          <w:tcPr>
            <w:tcW w:w="2698" w:type="dxa"/>
            <w:gridSpan w:val="2"/>
            <w:vMerge/>
            <w:tcBorders>
              <w:left w:val="single" w:sz="4" w:space="0" w:color="000000"/>
              <w:bottom w:val="nil" w:sz="6" w:space="0" w:color="auto"/>
              <w:right w:val="single" w:sz="4" w:space="0" w:color="000000"/>
            </w:tcBorders>
            <w:shd w:val="clear" w:color="auto" w:fill="D2D2D2"/>
          </w:tcPr>
          <w:p>
            <w:pPr/>
          </w:p>
        </w:tc>
      </w:tr>
      <w:tr>
        <w:trPr>
          <w:trHeight w:val="162" w:hRule="exact"/>
        </w:trPr>
        <w:tc>
          <w:tcPr>
            <w:tcW w:w="1598" w:type="dxa"/>
            <w:vMerge/>
            <w:tcBorders>
              <w:left w:val="single" w:sz="4" w:space="0" w:color="000000"/>
              <w:bottom w:val="nil" w:sz="6" w:space="0" w:color="auto"/>
              <w:right w:val="single" w:sz="4" w:space="0" w:color="000000"/>
            </w:tcBorders>
            <w:shd w:val="clear" w:color="auto" w:fill="D2D2D2"/>
          </w:tcPr>
          <w:p>
            <w:pPr/>
          </w:p>
        </w:tc>
        <w:tc>
          <w:tcPr>
            <w:tcW w:w="1387" w:type="dxa"/>
            <w:vMerge/>
            <w:tcBorders>
              <w:left w:val="single" w:sz="4" w:space="0" w:color="000000"/>
              <w:bottom w:val="nil" w:sz="6" w:space="0" w:color="auto"/>
              <w:right w:val="single" w:sz="4" w:space="0" w:color="000000"/>
            </w:tcBorders>
            <w:shd w:val="clear" w:color="auto" w:fill="D2D2D2"/>
          </w:tcPr>
          <w:p>
            <w:pPr/>
          </w:p>
        </w:tc>
        <w:tc>
          <w:tcPr>
            <w:tcW w:w="28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44" w:type="dxa"/>
            <w:vMerge/>
            <w:tcBorders>
              <w:left w:val="single" w:sz="4" w:space="0" w:color="000000"/>
              <w:bottom w:val="single" w:sz="4" w:space="0" w:color="000000"/>
              <w:right w:val="single" w:sz="4" w:space="0" w:color="000000"/>
            </w:tcBorders>
            <w:shd w:val="clear" w:color="auto" w:fill="D2D2D2"/>
          </w:tcPr>
          <w:p>
            <w:pPr/>
          </w:p>
        </w:tc>
        <w:tc>
          <w:tcPr>
            <w:tcW w:w="2698"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4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7"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6"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3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1,672,394,416.43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1,485,625,293.81</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1,485,625,293.81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12.57%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1,226,017,671.63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1,226,017,671.63</w:t>
            </w: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35"/>
              <w:jc w:val="left"/>
              <w:rPr>
                <w:rFonts w:ascii="宋体" w:hAnsi="宋体" w:cs="宋体" w:eastAsia="宋体" w:hint="default"/>
                <w:sz w:val="18"/>
                <w:szCs w:val="18"/>
              </w:rPr>
            </w:pPr>
            <w:r>
              <w:rPr>
                <w:rFonts w:ascii="宋体" w:hAnsi="宋体" w:cs="宋体" w:eastAsia="宋体" w:hint="default"/>
                <w:sz w:val="18"/>
                <w:szCs w:val="18"/>
              </w:rPr>
              <w:t>归属于上市公司股 东的净利润（元）</w:t>
            </w:r>
          </w:p>
        </w:tc>
        <w:tc>
          <w:tcPr>
            <w:tcW w:w="13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-281,841,963.94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8,209,514.73</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8,209,514.73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-3,533.11%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-236,661,197.94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-236,661,197.94</w:t>
            </w:r>
          </w:p>
        </w:tc>
      </w:tr>
      <w:tr>
        <w:trPr>
          <w:trHeight w:val="1025"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5"/>
              <w:jc w:val="left"/>
              <w:rPr>
                <w:rFonts w:ascii="宋体" w:hAnsi="宋体" w:cs="宋体" w:eastAsia="宋体" w:hint="default"/>
                <w:sz w:val="18"/>
                <w:szCs w:val="18"/>
              </w:rPr>
            </w:pPr>
            <w:r>
              <w:rPr>
                <w:rFonts w:ascii="宋体" w:hAnsi="宋体" w:cs="宋体" w:eastAsia="宋体" w:hint="default"/>
                <w:sz w:val="18"/>
                <w:szCs w:val="18"/>
              </w:rPr>
              <w:t>归属于上市公司股 东的扣除非经常性 损益的净利润（元）</w:t>
            </w:r>
          </w:p>
        </w:tc>
        <w:tc>
          <w:tcPr>
            <w:tcW w:w="13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-425,204,607.28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-48,467,282.96</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-48,467,282.96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-777.30%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-298,834,351.89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-298,834,351.89</w:t>
            </w: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35"/>
              <w:jc w:val="left"/>
              <w:rPr>
                <w:rFonts w:ascii="宋体" w:hAnsi="宋体" w:cs="宋体" w:eastAsia="宋体" w:hint="default"/>
                <w:sz w:val="18"/>
                <w:szCs w:val="18"/>
              </w:rPr>
            </w:pPr>
            <w:r>
              <w:rPr>
                <w:rFonts w:ascii="宋体" w:hAnsi="宋体" w:cs="宋体" w:eastAsia="宋体" w:hint="default"/>
                <w:sz w:val="18"/>
                <w:szCs w:val="18"/>
              </w:rPr>
              <w:t>经营活动产生的现 金流量净额（元）</w:t>
            </w:r>
          </w:p>
        </w:tc>
        <w:tc>
          <w:tcPr>
            <w:tcW w:w="13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-136,562,562.86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-28,251,608.70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-28,251,608.70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-383.38%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108,428,190.60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108,428,190.60</w:t>
            </w:r>
          </w:p>
        </w:tc>
      </w:tr>
      <w:tr>
        <w:trPr>
          <w:trHeight w:val="713"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3"/>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13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-0.83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0.02</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-4,250.00%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-0.70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-0.70</w:t>
            </w: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3"/>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13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-0.83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0.02</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-4,250.00%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-0.70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-0.70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620"/>
        <w:gridCol w:w="1376"/>
        <w:gridCol w:w="1440"/>
        <w:gridCol w:w="1395"/>
        <w:gridCol w:w="1044"/>
        <w:gridCol w:w="1378"/>
        <w:gridCol w:w="1320"/>
      </w:tblGrid>
      <w:tr>
        <w:trPr>
          <w:trHeight w:val="713" w:hRule="exact"/>
        </w:trPr>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加权平均净资产收 益率</w:t>
            </w:r>
          </w:p>
        </w:tc>
        <w:tc>
          <w:tcPr>
            <w:tcW w:w="137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-11.80%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0.33%</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-12.13%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-8.95%</w:t>
            </w:r>
          </w:p>
        </w:tc>
      </w:tr>
      <w:tr>
        <w:trPr>
          <w:trHeight w:val="163" w:hRule="exact"/>
        </w:trPr>
        <w:tc>
          <w:tcPr>
            <w:tcW w:w="1620" w:type="dxa"/>
            <w:vMerge w:val="restart"/>
            <w:tcBorders>
              <w:top w:val="single" w:sz="4" w:space="0" w:color="000000"/>
              <w:left w:val="single" w:sz="4" w:space="0" w:color="000000"/>
              <w:right w:val="single" w:sz="4" w:space="0" w:color="000000"/>
            </w:tcBorders>
            <w:shd w:val="clear" w:color="auto" w:fill="D2D2D2"/>
          </w:tcPr>
          <w:p>
            <w:pPr/>
          </w:p>
        </w:tc>
        <w:tc>
          <w:tcPr>
            <w:tcW w:w="1376" w:type="dxa"/>
            <w:vMerge w:val="restart"/>
            <w:tcBorders>
              <w:top w:val="single" w:sz="4" w:space="0" w:color="000000"/>
              <w:left w:val="single" w:sz="4" w:space="0" w:color="000000"/>
              <w:right w:val="single" w:sz="4" w:space="0" w:color="000000"/>
            </w:tcBorders>
            <w:shd w:val="clear" w:color="auto" w:fill="D2D2D2"/>
          </w:tcPr>
          <w:p>
            <w:pPr/>
          </w:p>
        </w:tc>
        <w:tc>
          <w:tcPr>
            <w:tcW w:w="28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4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155" w:right="65" w:hanging="89"/>
              <w:jc w:val="left"/>
              <w:rPr>
                <w:rFonts w:ascii="宋体" w:hAnsi="宋体" w:cs="宋体" w:eastAsia="宋体" w:hint="default"/>
                <w:sz w:val="18"/>
                <w:szCs w:val="18"/>
              </w:rPr>
            </w:pPr>
            <w:r>
              <w:rPr>
                <w:rFonts w:ascii="宋体" w:hAnsi="宋体" w:cs="宋体" w:eastAsia="宋体" w:hint="default"/>
                <w:sz w:val="18"/>
                <w:szCs w:val="18"/>
              </w:rPr>
              <w:t>本年末比上 年末增减</w:t>
            </w:r>
          </w:p>
        </w:tc>
        <w:tc>
          <w:tcPr>
            <w:tcW w:w="2698"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9" w:hRule="exact"/>
        </w:trPr>
        <w:tc>
          <w:tcPr>
            <w:tcW w:w="1620" w:type="dxa"/>
            <w:vMerge/>
            <w:tcBorders>
              <w:left w:val="single" w:sz="4" w:space="0" w:color="000000"/>
              <w:bottom w:val="nil" w:sz="6" w:space="0" w:color="auto"/>
              <w:right w:val="single" w:sz="4" w:space="0" w:color="000000"/>
            </w:tcBorders>
            <w:shd w:val="clear" w:color="auto" w:fill="D2D2D2"/>
          </w:tcPr>
          <w:p>
            <w:pPr/>
          </w:p>
        </w:tc>
        <w:tc>
          <w:tcPr>
            <w:tcW w:w="1376" w:type="dxa"/>
            <w:vMerge/>
            <w:tcBorders>
              <w:left w:val="single" w:sz="4" w:space="0" w:color="000000"/>
              <w:bottom w:val="nil" w:sz="6" w:space="0" w:color="auto"/>
              <w:right w:val="single" w:sz="4" w:space="0" w:color="000000"/>
            </w:tcBorders>
            <w:shd w:val="clear" w:color="auto" w:fill="D2D2D2"/>
          </w:tcPr>
          <w:p>
            <w:pPr/>
          </w:p>
        </w:tc>
        <w:tc>
          <w:tcPr>
            <w:tcW w:w="283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044" w:type="dxa"/>
            <w:vMerge/>
            <w:tcBorders>
              <w:left w:val="single" w:sz="4" w:space="0" w:color="000000"/>
              <w:right w:val="single" w:sz="4" w:space="0" w:color="000000"/>
            </w:tcBorders>
            <w:shd w:val="clear" w:color="auto" w:fill="D2D2D2"/>
          </w:tcPr>
          <w:p>
            <w:pPr/>
          </w:p>
        </w:tc>
        <w:tc>
          <w:tcPr>
            <w:tcW w:w="269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92" w:hRule="exact"/>
        </w:trPr>
        <w:tc>
          <w:tcPr>
            <w:tcW w:w="1620" w:type="dxa"/>
            <w:vMerge w:val="restart"/>
            <w:tcBorders>
              <w:top w:val="nil" w:sz="6" w:space="0" w:color="auto"/>
              <w:left w:val="single" w:sz="4" w:space="0" w:color="000000"/>
              <w:right w:val="single" w:sz="4" w:space="0" w:color="000000"/>
            </w:tcBorders>
            <w:shd w:val="clear" w:color="auto" w:fill="D2D2D2"/>
          </w:tcPr>
          <w:p>
            <w:pPr/>
          </w:p>
        </w:tc>
        <w:tc>
          <w:tcPr>
            <w:tcW w:w="13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835" w:type="dxa"/>
            <w:gridSpan w:val="2"/>
            <w:vMerge/>
            <w:tcBorders>
              <w:left w:val="single" w:sz="4" w:space="0" w:color="000000"/>
              <w:bottom w:val="nil" w:sz="6" w:space="0" w:color="auto"/>
              <w:right w:val="single" w:sz="4" w:space="0" w:color="000000"/>
            </w:tcBorders>
            <w:shd w:val="clear" w:color="auto" w:fill="D2D2D2"/>
          </w:tcPr>
          <w:p>
            <w:pPr/>
          </w:p>
        </w:tc>
        <w:tc>
          <w:tcPr>
            <w:tcW w:w="1044" w:type="dxa"/>
            <w:vMerge/>
            <w:tcBorders>
              <w:left w:val="single" w:sz="4" w:space="0" w:color="000000"/>
              <w:right w:val="single" w:sz="4" w:space="0" w:color="000000"/>
            </w:tcBorders>
            <w:shd w:val="clear" w:color="auto" w:fill="D2D2D2"/>
          </w:tcPr>
          <w:p>
            <w:pPr/>
          </w:p>
        </w:tc>
        <w:tc>
          <w:tcPr>
            <w:tcW w:w="2698"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620" w:type="dxa"/>
            <w:vMerge/>
            <w:tcBorders>
              <w:left w:val="single" w:sz="4" w:space="0" w:color="000000"/>
              <w:bottom w:val="nil" w:sz="6" w:space="0" w:color="auto"/>
              <w:right w:val="single" w:sz="4" w:space="0" w:color="000000"/>
            </w:tcBorders>
            <w:shd w:val="clear" w:color="auto" w:fill="D2D2D2"/>
          </w:tcPr>
          <w:p>
            <w:pPr/>
          </w:p>
        </w:tc>
        <w:tc>
          <w:tcPr>
            <w:tcW w:w="1376" w:type="dxa"/>
            <w:vMerge/>
            <w:tcBorders>
              <w:left w:val="single" w:sz="4" w:space="0" w:color="000000"/>
              <w:bottom w:val="nil" w:sz="6" w:space="0" w:color="auto"/>
              <w:right w:val="single" w:sz="4" w:space="0" w:color="000000"/>
            </w:tcBorders>
            <w:shd w:val="clear" w:color="auto" w:fill="D2D2D2"/>
          </w:tcPr>
          <w:p>
            <w:pPr/>
          </w:p>
        </w:tc>
        <w:tc>
          <w:tcPr>
            <w:tcW w:w="28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44" w:type="dxa"/>
            <w:vMerge/>
            <w:tcBorders>
              <w:left w:val="single" w:sz="4" w:space="0" w:color="000000"/>
              <w:bottom w:val="single" w:sz="4" w:space="0" w:color="000000"/>
              <w:right w:val="single" w:sz="4" w:space="0" w:color="000000"/>
            </w:tcBorders>
            <w:shd w:val="clear" w:color="auto" w:fill="D2D2D2"/>
          </w:tcPr>
          <w:p>
            <w:pPr/>
          </w:p>
        </w:tc>
        <w:tc>
          <w:tcPr>
            <w:tcW w:w="2698"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6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4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7"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6"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3" w:hRule="exact"/>
        </w:trPr>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37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3,150,369,309.38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3,809,522,710.57</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3,809,522,710.57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-17.30%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4,549,570,657.17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4,549,570,657.17</w:t>
            </w:r>
          </w:p>
        </w:tc>
      </w:tr>
      <w:tr>
        <w:trPr>
          <w:trHeight w:val="715" w:hRule="exact"/>
        </w:trPr>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归属于上市公司股 东的净资产（元）</w:t>
            </w:r>
          </w:p>
        </w:tc>
        <w:tc>
          <w:tcPr>
            <w:tcW w:w="137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2,246,128,858.35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2,525,742,415.22</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2,525,742,415.22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-11.07%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2,517,531,571.37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2,517,531,571.37</w:t>
            </w:r>
          </w:p>
        </w:tc>
      </w:tr>
    </w:tbl>
    <w:p>
      <w:pPr>
        <w:spacing w:line="240" w:lineRule="auto" w:before="9"/>
        <w:rPr>
          <w:rFonts w:ascii="宋体" w:hAnsi="宋体" w:cs="宋体" w:eastAsia="宋体" w:hint="default"/>
          <w:sz w:val="5"/>
          <w:szCs w:val="5"/>
        </w:rPr>
      </w:pPr>
    </w:p>
    <w:p>
      <w:pPr>
        <w:pStyle w:val="BodyText"/>
        <w:spacing w:line="240" w:lineRule="auto" w:before="37"/>
        <w:ind w:right="0"/>
        <w:jc w:val="both"/>
      </w:pPr>
      <w:r>
        <w:rPr/>
        <w:t>会计政策变更的原因及会计差错更正的情况</w:t>
      </w:r>
    </w:p>
    <w:p>
      <w:pPr>
        <w:spacing w:line="240" w:lineRule="auto" w:before="9"/>
        <w:rPr>
          <w:rFonts w:ascii="宋体" w:hAnsi="宋体" w:cs="宋体" w:eastAsia="宋体" w:hint="default"/>
          <w:sz w:val="18"/>
          <w:szCs w:val="18"/>
        </w:rPr>
      </w:pPr>
    </w:p>
    <w:p>
      <w:pPr>
        <w:pStyle w:val="BodyText"/>
        <w:spacing w:line="240" w:lineRule="auto"/>
        <w:ind w:left="554" w:right="982"/>
        <w:jc w:val="left"/>
      </w:pPr>
      <w:r>
        <w:rPr>
          <w:w w:val="99"/>
        </w:rPr>
        <w:t>财政部于</w:t>
      </w:r>
      <w:r>
        <w:rPr>
          <w:spacing w:val="-50"/>
        </w:rPr>
        <w:t> </w:t>
      </w:r>
      <w:r>
        <w:rPr>
          <w:rFonts w:ascii="Times New Roman" w:hAnsi="Times New Roman" w:cs="Times New Roman" w:eastAsia="Times New Roman" w:hint="default"/>
          <w:spacing w:val="1"/>
          <w:w w:val="99"/>
        </w:rPr>
        <w:t>201</w:t>
      </w:r>
      <w:r>
        <w:rPr>
          <w:rFonts w:ascii="Times New Roman" w:hAnsi="Times New Roman" w:cs="Times New Roman" w:eastAsia="Times New Roman" w:hint="default"/>
          <w:w w:val="99"/>
        </w:rPr>
        <w:t>7</w:t>
      </w:r>
      <w:r>
        <w:rPr>
          <w:rFonts w:ascii="Times New Roman" w:hAnsi="Times New Roman" w:cs="Times New Roman" w:eastAsia="Times New Roman" w:hint="default"/>
          <w:spacing w:val="1"/>
        </w:rPr>
        <w:t> </w:t>
      </w:r>
      <w:r>
        <w:rPr>
          <w:w w:val="99"/>
        </w:rPr>
        <w:t>年修订</w:t>
      </w:r>
      <w:r>
        <w:rPr>
          <w:spacing w:val="-32"/>
          <w:w w:val="99"/>
        </w:rPr>
        <w:t>了</w:t>
      </w:r>
      <w:r>
        <w:rPr>
          <w:spacing w:val="2"/>
          <w:w w:val="99"/>
        </w:rPr>
        <w:t>《</w:t>
      </w:r>
      <w:r>
        <w:rPr>
          <w:w w:val="99"/>
        </w:rPr>
        <w:t>企业会</w:t>
      </w:r>
      <w:r>
        <w:rPr>
          <w:spacing w:val="2"/>
          <w:w w:val="99"/>
        </w:rPr>
        <w:t>计</w:t>
      </w:r>
      <w:r>
        <w:rPr>
          <w:w w:val="99"/>
        </w:rPr>
        <w:t>准则第</w:t>
      </w:r>
      <w:r>
        <w:rPr>
          <w:spacing w:val="-49"/>
        </w:rPr>
        <w:t> </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2</w:t>
      </w:r>
      <w:r>
        <w:rPr>
          <w:rFonts w:ascii="Times New Roman" w:hAnsi="Times New Roman" w:cs="Times New Roman" w:eastAsia="Times New Roman" w:hint="default"/>
          <w:spacing w:val="1"/>
        </w:rPr>
        <w:t> </w:t>
      </w:r>
      <w:r>
        <w:rPr>
          <w:w w:val="99"/>
        </w:rPr>
        <w:t>号</w:t>
      </w:r>
      <w:r>
        <w:rPr>
          <w:rFonts w:ascii="Times New Roman" w:hAnsi="Times New Roman" w:cs="Times New Roman" w:eastAsia="Times New Roman" w:hint="default"/>
          <w:w w:val="99"/>
        </w:rPr>
        <w:t>—</w:t>
      </w:r>
      <w:r>
        <w:rPr>
          <w:rFonts w:ascii="Times New Roman" w:hAnsi="Times New Roman" w:cs="Times New Roman" w:eastAsia="Times New Roman" w:hint="default"/>
          <w:spacing w:val="2"/>
          <w:w w:val="99"/>
        </w:rPr>
        <w:t>—</w:t>
      </w:r>
      <w:r>
        <w:rPr>
          <w:w w:val="99"/>
        </w:rPr>
        <w:t>金融工</w:t>
      </w:r>
      <w:r>
        <w:rPr>
          <w:spacing w:val="2"/>
          <w:w w:val="99"/>
        </w:rPr>
        <w:t>具</w:t>
      </w:r>
      <w:r>
        <w:rPr>
          <w:w w:val="99"/>
        </w:rPr>
        <w:t>确认</w:t>
      </w:r>
      <w:r>
        <w:rPr>
          <w:spacing w:val="2"/>
          <w:w w:val="99"/>
        </w:rPr>
        <w:t>和</w:t>
      </w:r>
      <w:r>
        <w:rPr>
          <w:w w:val="99"/>
        </w:rPr>
        <w:t>计</w:t>
      </w:r>
      <w:r>
        <w:rPr>
          <w:spacing w:val="2"/>
          <w:w w:val="99"/>
        </w:rPr>
        <w:t>量</w:t>
      </w:r>
      <w:r>
        <w:rPr>
          <w:spacing w:val="-101"/>
          <w:w w:val="99"/>
        </w:rPr>
        <w:t>》</w:t>
      </w:r>
      <w:r>
        <w:rPr>
          <w:spacing w:val="-130"/>
          <w:w w:val="99"/>
        </w:rPr>
        <w:t>、</w:t>
      </w:r>
      <w:r>
        <w:rPr>
          <w:w w:val="99"/>
        </w:rPr>
        <w:t>《</w:t>
      </w:r>
      <w:r>
        <w:rPr>
          <w:spacing w:val="2"/>
          <w:w w:val="99"/>
        </w:rPr>
        <w:t>企</w:t>
      </w:r>
      <w:r>
        <w:rPr>
          <w:w w:val="99"/>
        </w:rPr>
        <w:t>业会计</w:t>
      </w:r>
      <w:r>
        <w:rPr>
          <w:spacing w:val="2"/>
          <w:w w:val="99"/>
        </w:rPr>
        <w:t>准</w:t>
      </w:r>
      <w:r>
        <w:rPr>
          <w:w w:val="99"/>
        </w:rPr>
        <w:t>则第</w:t>
      </w:r>
      <w:r>
        <w:rPr>
          <w:spacing w:val="-48"/>
        </w:rPr>
        <w:t> </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3</w:t>
      </w:r>
      <w:r>
        <w:rPr>
          <w:rFonts w:ascii="Times New Roman" w:hAnsi="Times New Roman" w:cs="Times New Roman" w:eastAsia="Times New Roman" w:hint="default"/>
          <w:spacing w:val="1"/>
        </w:rPr>
        <w:t> </w:t>
      </w:r>
      <w:r>
        <w:rPr>
          <w:w w:val="99"/>
        </w:rPr>
        <w:t>号</w:t>
      </w:r>
      <w:r>
        <w:rPr>
          <w:rFonts w:ascii="Times New Roman" w:hAnsi="Times New Roman" w:cs="Times New Roman" w:eastAsia="Times New Roman" w:hint="default"/>
          <w:w w:val="99"/>
        </w:rPr>
        <w:t>——</w:t>
      </w:r>
      <w:r>
        <w:rPr>
          <w:w w:val="99"/>
        </w:rPr>
        <w:t>金</w:t>
      </w:r>
      <w:r>
        <w:rPr/>
      </w:r>
    </w:p>
    <w:p>
      <w:pPr>
        <w:spacing w:line="240" w:lineRule="auto" w:before="9"/>
        <w:rPr>
          <w:rFonts w:ascii="宋体" w:hAnsi="宋体" w:cs="宋体" w:eastAsia="宋体" w:hint="default"/>
          <w:sz w:val="14"/>
          <w:szCs w:val="14"/>
        </w:rPr>
      </w:pPr>
    </w:p>
    <w:p>
      <w:pPr>
        <w:pStyle w:val="BodyText"/>
        <w:spacing w:line="422" w:lineRule="auto"/>
        <w:ind w:right="1132"/>
        <w:jc w:val="both"/>
      </w:pPr>
      <w:r>
        <w:rPr>
          <w:spacing w:val="-14"/>
          <w:w w:val="99"/>
        </w:rPr>
        <w:t>融资产转移》、《企业会计准则第</w:t>
      </w:r>
      <w:r>
        <w:rPr>
          <w:spacing w:val="-41"/>
          <w:w w:val="99"/>
        </w:rPr>
        <w:t> </w:t>
      </w:r>
      <w:r>
        <w:rPr>
          <w:rFonts w:ascii="Times New Roman" w:hAnsi="Times New Roman" w:cs="Times New Roman" w:eastAsia="Times New Roman" w:hint="default"/>
          <w:w w:val="99"/>
        </w:rPr>
        <w:t>24</w:t>
      </w:r>
      <w:r>
        <w:rPr>
          <w:rFonts w:ascii="Times New Roman" w:hAnsi="Times New Roman" w:cs="Times New Roman" w:eastAsia="Times New Roman" w:hint="default"/>
          <w:spacing w:val="8"/>
          <w:w w:val="99"/>
        </w:rPr>
        <w:t> </w:t>
      </w:r>
      <w:r>
        <w:rPr>
          <w:spacing w:val="-2"/>
          <w:w w:val="99"/>
        </w:rPr>
        <w:t>号</w:t>
      </w:r>
      <w:r>
        <w:rPr>
          <w:rFonts w:ascii="Times New Roman" w:hAnsi="Times New Roman" w:cs="Times New Roman" w:eastAsia="Times New Roman" w:hint="default"/>
          <w:spacing w:val="-2"/>
          <w:w w:val="99"/>
        </w:rPr>
        <w:t>——</w:t>
      </w:r>
      <w:r>
        <w:rPr>
          <w:spacing w:val="-2"/>
          <w:w w:val="99"/>
        </w:rPr>
        <w:t>套期会计》和《企业会计准则第</w:t>
      </w:r>
      <w:r>
        <w:rPr>
          <w:spacing w:val="-42"/>
          <w:w w:val="99"/>
        </w:rPr>
        <w:t> </w:t>
      </w:r>
      <w:r>
        <w:rPr>
          <w:rFonts w:ascii="Times New Roman" w:hAnsi="Times New Roman" w:cs="Times New Roman" w:eastAsia="Times New Roman" w:hint="default"/>
          <w:w w:val="99"/>
        </w:rPr>
        <w:t>37</w:t>
      </w:r>
      <w:r>
        <w:rPr>
          <w:rFonts w:ascii="Times New Roman" w:hAnsi="Times New Roman" w:cs="Times New Roman" w:eastAsia="Times New Roman" w:hint="default"/>
          <w:spacing w:val="8"/>
          <w:w w:val="99"/>
        </w:rPr>
        <w:t> </w:t>
      </w:r>
      <w:r>
        <w:rPr>
          <w:spacing w:val="-8"/>
          <w:w w:val="99"/>
        </w:rPr>
        <w:t>号</w:t>
      </w:r>
      <w:r>
        <w:rPr>
          <w:rFonts w:ascii="Times New Roman" w:hAnsi="Times New Roman" w:cs="Times New Roman" w:eastAsia="Times New Roman" w:hint="default"/>
          <w:spacing w:val="-8"/>
          <w:w w:val="99"/>
        </w:rPr>
        <w:t>——</w:t>
      </w:r>
      <w:r>
        <w:rPr>
          <w:spacing w:val="-8"/>
          <w:w w:val="99"/>
        </w:rPr>
        <w:t>金融工具列报》。修订后的</w:t>
      </w:r>
      <w:r>
        <w:rPr>
          <w:w w:val="99"/>
        </w:rPr>
        <w:t> </w:t>
      </w:r>
      <w:r>
        <w:rPr/>
        <w:t>准则规定，对于首次执行日尚未终止确认的金融工具，之前的确认和计量与修订后的准则要求不一致的，应当</w:t>
      </w:r>
      <w:r>
        <w:rPr>
          <w:spacing w:val="-72"/>
        </w:rPr>
        <w:t> </w:t>
      </w:r>
      <w:r>
        <w:rPr>
          <w:spacing w:val="-72"/>
        </w:rPr>
      </w:r>
      <w:r>
        <w:rPr/>
        <w:t>追溯调整。涉及前期比较财务报表数据与修订后的准则要求不一致的，无需调整。本公司将因追溯调整产生的</w:t>
      </w:r>
      <w:r>
        <w:rPr>
          <w:spacing w:val="-77"/>
        </w:rPr>
        <w:t> </w:t>
      </w:r>
      <w:r>
        <w:rPr>
          <w:spacing w:val="-77"/>
        </w:rPr>
      </w:r>
      <w:r>
        <w:rPr/>
        <w:t>累积影响数调整当年年初留存收益和其他综合收益。</w:t>
      </w:r>
    </w:p>
    <w:p>
      <w:pPr>
        <w:pStyle w:val="BodyText"/>
        <w:spacing w:line="240" w:lineRule="auto" w:before="54"/>
        <w:ind w:left="554" w:right="1133"/>
        <w:jc w:val="left"/>
      </w:pPr>
      <w:r>
        <w:rPr/>
        <w:t>上述会计政策变更已经第四届董事会第二十一次会议审议通过。</w:t>
      </w:r>
    </w:p>
    <w:p>
      <w:pPr>
        <w:spacing w:line="240" w:lineRule="auto" w:before="0"/>
        <w:rPr>
          <w:rFonts w:ascii="宋体" w:hAnsi="宋体" w:cs="宋体" w:eastAsia="宋体" w:hint="default"/>
          <w:sz w:val="20"/>
          <w:szCs w:val="20"/>
        </w:rPr>
      </w:pPr>
    </w:p>
    <w:p>
      <w:pPr>
        <w:pStyle w:val="Heading2"/>
        <w:spacing w:line="240" w:lineRule="auto" w:before="135"/>
        <w:ind w:right="0"/>
        <w:jc w:val="both"/>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12"/>
        <w:rPr>
          <w:rFonts w:ascii="宋体" w:hAnsi="宋体" w:cs="宋体" w:eastAsia="宋体" w:hint="default"/>
          <w:b/>
          <w:bCs/>
          <w:sz w:val="24"/>
          <w:szCs w:val="24"/>
        </w:rPr>
      </w:pPr>
    </w:p>
    <w:p>
      <w:pPr>
        <w:pStyle w:val="BodyText"/>
        <w:spacing w:line="304"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w w:val="95"/>
        </w:rPr>
        <w:t>公司报告期不存在按照国际会计准则与按照中国会计准则披露的财务报告中净利润和净资产差异情况。</w:t>
      </w:r>
      <w:r>
        <w:rPr/>
      </w:r>
    </w:p>
    <w:p>
      <w:pPr>
        <w:spacing w:line="240" w:lineRule="auto" w:before="2"/>
        <w:rPr>
          <w:rFonts w:ascii="宋体" w:hAnsi="宋体" w:cs="宋体" w:eastAsia="宋体" w:hint="default"/>
          <w:sz w:val="22"/>
          <w:szCs w:val="22"/>
        </w:rPr>
      </w:pPr>
    </w:p>
    <w:p>
      <w:pPr>
        <w:pStyle w:val="Heading3"/>
        <w:spacing w:line="240" w:lineRule="auto"/>
        <w:ind w:right="0"/>
        <w:jc w:val="both"/>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1"/>
        <w:rPr>
          <w:rFonts w:ascii="宋体" w:hAnsi="宋体" w:cs="宋体" w:eastAsia="宋体" w:hint="default"/>
          <w:b/>
          <w:bCs/>
          <w:sz w:val="25"/>
          <w:szCs w:val="25"/>
        </w:rPr>
      </w:pPr>
    </w:p>
    <w:p>
      <w:pPr>
        <w:pStyle w:val="BodyText"/>
        <w:spacing w:line="304"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w w:val="95"/>
        </w:rPr>
        <w:t>公司报告期不存在按照境外会计准则与按照中国会计准则披露的财务报告中净利润和净资产差异情况。</w:t>
      </w:r>
      <w:r>
        <w:rPr/>
      </w:r>
    </w:p>
    <w:p>
      <w:pPr>
        <w:spacing w:line="240" w:lineRule="auto" w:before="5"/>
        <w:rPr>
          <w:rFonts w:ascii="宋体" w:hAnsi="宋体" w:cs="宋体" w:eastAsia="宋体" w:hint="default"/>
          <w:sz w:val="20"/>
          <w:szCs w:val="20"/>
        </w:rPr>
      </w:pPr>
    </w:p>
    <w:p>
      <w:pPr>
        <w:pStyle w:val="Heading2"/>
        <w:spacing w:line="240" w:lineRule="auto"/>
        <w:ind w:right="0"/>
        <w:jc w:val="both"/>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264,278,507.60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359,456,292.84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331,684,721.26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716,974,894.73</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97,845,085.72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-1,785,422.68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4,338,875.85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-382,240,502.83</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-50,389,082.85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-3,304,782.66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-9,818,943.94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-361,691,797.83</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-194,793,269.20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-100,631,553.67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-70,688,871.38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229,551,131.39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5"/>
          <w:szCs w:val="25"/>
        </w:rPr>
      </w:pPr>
    </w:p>
    <w:p>
      <w:pPr>
        <w:pStyle w:val="BodyText"/>
        <w:spacing w:line="240" w:lineRule="auto" w:before="37"/>
        <w:ind w:right="1133"/>
        <w:jc w:val="left"/>
      </w:pPr>
      <w:r>
        <w:rPr/>
        <w:t>上述财务指标或其加总数是否与公司已披露季度报告、半年度报告相关财务指标存在重大差异</w:t>
      </w:r>
    </w:p>
    <w:p>
      <w:pPr>
        <w:pStyle w:val="BodyText"/>
        <w:spacing w:line="240" w:lineRule="auto" w:before="91"/>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否</w:t>
      </w:r>
    </w:p>
    <w:p>
      <w:pPr>
        <w:spacing w:line="240" w:lineRule="auto" w:before="2"/>
        <w:rPr>
          <w:rFonts w:ascii="宋体" w:hAnsi="宋体" w:cs="宋体" w:eastAsia="宋体" w:hint="default"/>
          <w:sz w:val="23"/>
          <w:szCs w:val="23"/>
        </w:rPr>
      </w:pPr>
    </w:p>
    <w:p>
      <w:pPr>
        <w:pStyle w:val="Heading2"/>
        <w:spacing w:line="240" w:lineRule="auto"/>
        <w:ind w:right="1133"/>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5"/>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37"/>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683" w:space="7238"/>
            <w:col w:w="2009"/>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1,778,466.33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-1,071,335.81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736,933.19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7,507,093.70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11,386,453.73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9,054,871.43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2,250,179.50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59,862,815.08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62,502,477.08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62,332,059.40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-2,956,084.13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-7,057,177.98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235,371.42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81,553,115.71</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4,189,841.23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8,652,854.29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10,560,284.32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192,922.12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430,765.04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1,875,976.67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143,362,643.34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56,676,797.69</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62,173,153.95</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33"/>
        <w:ind w:right="1133"/>
        <w:jc w:val="left"/>
      </w:pPr>
      <w:r>
        <w:rPr/>
        <w:t>对公司根据《公开发行证券的公司信息披露解释性公告第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非经常性损益》定义界定的非经常性损益项</w:t>
      </w:r>
    </w:p>
    <w:p>
      <w:pPr>
        <w:pStyle w:val="BodyText"/>
        <w:spacing w:line="271" w:lineRule="auto" w:before="32"/>
        <w:ind w:right="1159"/>
        <w:jc w:val="left"/>
      </w:pPr>
      <w:r>
        <w:rPr/>
        <w:t>目，以及把《公开发行证券的公司信息披露解释性公告第</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非经常性损益》中列举的非经常性损益项目</w:t>
      </w:r>
      <w:r>
        <w:rPr>
          <w:w w:val="99"/>
        </w:rPr>
        <w:t> </w:t>
      </w:r>
      <w:r>
        <w:rPr/>
        <w:t>界定为经常性损益的项目，应说明原因</w:t>
      </w:r>
    </w:p>
    <w:p>
      <w:pPr>
        <w:pStyle w:val="BodyText"/>
        <w:spacing w:line="240" w:lineRule="auto" w:before="6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t>不适用</w:t>
      </w:r>
    </w:p>
    <w:p>
      <w:pPr>
        <w:spacing w:line="240" w:lineRule="auto" w:before="6"/>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264"/>
        <w:gridCol w:w="2127"/>
        <w:gridCol w:w="5180"/>
      </w:tblGrid>
      <w:tr>
        <w:trPr>
          <w:trHeight w:val="401"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3"/>
              <w:jc w:val="right"/>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0"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69"/>
              <w:jc w:val="right"/>
              <w:rPr>
                <w:rFonts w:ascii="宋体" w:hAnsi="宋体" w:cs="宋体" w:eastAsia="宋体" w:hint="default"/>
                <w:sz w:val="18"/>
                <w:szCs w:val="18"/>
              </w:rPr>
            </w:pPr>
            <w:r>
              <w:rPr>
                <w:rFonts w:ascii="宋体" w:hAnsi="宋体" w:cs="宋体" w:eastAsia="宋体" w:hint="default"/>
                <w:sz w:val="18"/>
                <w:szCs w:val="18"/>
              </w:rPr>
              <w:t>软件增值税退税</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4" w:right="0"/>
              <w:jc w:val="left"/>
              <w:rPr>
                <w:rFonts w:ascii="Times New Roman" w:hAnsi="Times New Roman" w:cs="Times New Roman" w:eastAsia="Times New Roman" w:hint="default"/>
                <w:sz w:val="18"/>
                <w:szCs w:val="18"/>
              </w:rPr>
            </w:pPr>
            <w:r>
              <w:rPr>
                <w:rFonts w:ascii="Times New Roman"/>
                <w:sz w:val="18"/>
              </w:rPr>
              <w:t>167,189.75</w:t>
            </w:r>
          </w:p>
        </w:tc>
        <w:tc>
          <w:tcPr>
            <w:tcW w:w="51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该项政府补助系与公司正常经营业务密切相关，符合国家政策规 定、按照一定标准定额和定量持续享受的政府补助。</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46" w:right="1133"/>
        <w:jc w:val="left"/>
        <w:rPr>
          <w:b w:val="0"/>
          <w:bCs w:val="0"/>
        </w:rPr>
      </w:pPr>
      <w:bookmarkStart w:name="_TOC_250010" w:id="16"/>
      <w:bookmarkStart w:name="第三节 公司业务概要" w:id="17"/>
      <w:r>
        <w:rPr>
          <w:b w:val="0"/>
          <w:bCs w:val="0"/>
        </w:rPr>
      </w:r>
      <w:r>
        <w:rPr/>
        <w:t>第三节</w:t>
      </w:r>
      <w:r>
        <w:rPr>
          <w:spacing w:val="-6"/>
        </w:rPr>
        <w:t> </w:t>
      </w:r>
      <w:r>
        <w:rPr/>
        <w:t>公司业务概要</w:t>
      </w:r>
      <w:bookmarkEnd w:id="16"/>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1"/>
        <w:rPr>
          <w:rFonts w:ascii="宋体" w:hAnsi="宋体" w:cs="宋体" w:eastAsia="宋体" w:hint="default"/>
          <w:b/>
          <w:bCs/>
          <w:sz w:val="25"/>
          <w:szCs w:val="25"/>
        </w:rPr>
      </w:pPr>
    </w:p>
    <w:p>
      <w:pPr>
        <w:pStyle w:val="BodyText"/>
        <w:spacing w:line="271" w:lineRule="auto"/>
        <w:ind w:right="1117"/>
        <w:jc w:val="left"/>
      </w:pPr>
      <w:r>
        <w:rPr/>
        <w:t>公司需遵守《深圳证券交易所行业信息披露指引第</w:t>
      </w:r>
      <w:r>
        <w:rPr>
          <w:spacing w:val="-81"/>
        </w:rPr>
        <w:t> </w:t>
      </w:r>
      <w:r>
        <w:rPr>
          <w:rFonts w:ascii="Times New Roman" w:hAnsi="Times New Roman" w:cs="Times New Roman" w:eastAsia="Times New Roman" w:hint="default"/>
        </w:rPr>
        <w:t>12</w:t>
      </w:r>
      <w:r>
        <w:rPr>
          <w:rFonts w:ascii="Times New Roman" w:hAnsi="Times New Roman" w:cs="Times New Roman" w:eastAsia="Times New Roman" w:hint="default"/>
          <w:spacing w:val="-32"/>
        </w:rPr>
        <w:t> </w:t>
      </w:r>
      <w:r>
        <w:rPr/>
        <w:t>号</w:t>
      </w:r>
      <w:r>
        <w:rPr>
          <w:rFonts w:ascii="Times New Roman" w:hAnsi="Times New Roman" w:cs="Times New Roman" w:eastAsia="Times New Roman" w:hint="default"/>
        </w:rPr>
        <w:t>——</w:t>
      </w:r>
      <w:r>
        <w:rPr/>
        <w:t>上市公司从事软件与信息技术服务业务》的披露要</w:t>
      </w:r>
      <w:r>
        <w:rPr>
          <w:w w:val="99"/>
        </w:rPr>
        <w:t> </w:t>
      </w:r>
      <w:r>
        <w:rPr/>
        <w:t>求</w:t>
      </w:r>
    </w:p>
    <w:p>
      <w:pPr>
        <w:pStyle w:val="BodyText"/>
        <w:spacing w:line="405" w:lineRule="auto" w:before="144"/>
        <w:ind w:right="1037" w:firstLine="401"/>
        <w:jc w:val="left"/>
      </w:pPr>
      <w:r>
        <w:rPr>
          <w:rFonts w:ascii="Times New Roman" w:hAnsi="Times New Roman" w:cs="Times New Roman" w:eastAsia="Times New Roman" w:hint="default"/>
          <w:spacing w:val="-1"/>
          <w:w w:val="95"/>
        </w:rPr>
        <w:t>2019</w:t>
      </w:r>
      <w:r>
        <w:rPr>
          <w:spacing w:val="-1"/>
          <w:w w:val="95"/>
        </w:rPr>
        <w:t>年，公司继续坚持以金融科技整体解决方案和数据中心综合服务为基础，深入推进区块链、人工智能、</w:t>
      </w:r>
      <w:r>
        <w:rPr>
          <w:spacing w:val="-50"/>
          <w:w w:val="95"/>
        </w:rPr>
        <w:t> </w:t>
      </w:r>
      <w:r>
        <w:rPr>
          <w:spacing w:val="-50"/>
          <w:w w:val="95"/>
        </w:rPr>
      </w:r>
      <w:r>
        <w:rPr>
          <w:w w:val="95"/>
        </w:rPr>
        <w:t>大数据、云服务等科技创新业务，打造价值共享的产业互联网科技赋能平台，引导产业客户实现从</w:t>
      </w:r>
      <w:r>
        <w:rPr>
          <w:rFonts w:ascii="Times New Roman" w:hAnsi="Times New Roman" w:cs="Times New Roman" w:eastAsia="Times New Roman" w:hint="default"/>
          <w:w w:val="95"/>
        </w:rPr>
        <w:t>IT</w:t>
      </w:r>
      <w:r>
        <w:rPr>
          <w:w w:val="95"/>
        </w:rPr>
        <w:t>到</w:t>
      </w:r>
      <w:r>
        <w:rPr>
          <w:rFonts w:ascii="Times New Roman" w:hAnsi="Times New Roman" w:cs="Times New Roman" w:eastAsia="Times New Roman" w:hint="default"/>
          <w:w w:val="95"/>
        </w:rPr>
        <w:t>DT</w:t>
      </w:r>
      <w:r>
        <w:rPr>
          <w:w w:val="95"/>
        </w:rPr>
        <w:t>到</w:t>
      </w:r>
      <w:r>
        <w:rPr>
          <w:rFonts w:ascii="Times New Roman" w:hAnsi="Times New Roman" w:cs="Times New Roman" w:eastAsia="Times New Roman" w:hint="default"/>
          <w:w w:val="95"/>
        </w:rPr>
        <w:t>AT</w:t>
      </w:r>
      <w:r>
        <w:rPr>
          <w:rFonts w:ascii="Times New Roman" w:hAnsi="Times New Roman" w:cs="Times New Roman" w:eastAsia="Times New Roman" w:hint="default"/>
          <w:spacing w:val="16"/>
          <w:w w:val="95"/>
        </w:rPr>
        <w:t> </w:t>
      </w:r>
      <w:r>
        <w:rPr/>
        <w:t>的技术升级。报告期内，公司实现营业收入</w:t>
      </w:r>
      <w:r>
        <w:rPr>
          <w:rFonts w:ascii="Times New Roman" w:hAnsi="Times New Roman" w:cs="Times New Roman" w:eastAsia="Times New Roman" w:hint="default"/>
        </w:rPr>
        <w:t>1,672,394,416.43</w:t>
      </w:r>
      <w:r>
        <w:rPr/>
        <w:t>元，较上年同期增长</w:t>
      </w:r>
      <w:r>
        <w:rPr>
          <w:rFonts w:ascii="Times New Roman" w:hAnsi="Times New Roman" w:cs="Times New Roman" w:eastAsia="Times New Roman" w:hint="default"/>
        </w:rPr>
        <w:t>12.57%</w:t>
      </w:r>
      <w:r>
        <w:rPr/>
        <w:t>；受资产减值影响，实</w:t>
      </w:r>
      <w:r>
        <w:rPr>
          <w:spacing w:val="-89"/>
        </w:rPr>
        <w:t> </w:t>
      </w:r>
      <w:r>
        <w:rPr>
          <w:spacing w:val="-89"/>
        </w:rPr>
      </w:r>
      <w:r>
        <w:rPr/>
        <w:t>现归属于上市公司股东的净利润</w:t>
      </w:r>
      <w:r>
        <w:rPr>
          <w:rFonts w:ascii="Times New Roman" w:hAnsi="Times New Roman" w:cs="Times New Roman" w:eastAsia="Times New Roman" w:hint="default"/>
        </w:rPr>
        <w:t>-281,841,963.94</w:t>
      </w:r>
      <w:r>
        <w:rPr/>
        <w:t>元，较上年同期下降</w:t>
      </w:r>
      <w:r>
        <w:rPr>
          <w:rFonts w:ascii="Times New Roman" w:hAnsi="Times New Roman" w:cs="Times New Roman" w:eastAsia="Times New Roman" w:hint="default"/>
        </w:rPr>
        <w:t>3,533.11%</w:t>
      </w:r>
      <w:r>
        <w:rPr/>
        <w:t>。</w:t>
      </w:r>
    </w:p>
    <w:p>
      <w:pPr>
        <w:pStyle w:val="BodyText"/>
        <w:spacing w:line="420" w:lineRule="auto" w:before="38"/>
        <w:ind w:right="1130" w:firstLine="401"/>
        <w:jc w:val="both"/>
      </w:pPr>
      <w:r>
        <w:rPr/>
        <w:t>公司主要为中小银行等金融机构提供金融科技综合服务，以及为政府与公用事业、企业等领域客户提供数</w:t>
      </w:r>
      <w:r>
        <w:rPr>
          <w:w w:val="99"/>
        </w:rPr>
        <w:t> </w:t>
      </w:r>
      <w:r>
        <w:rPr/>
        <w:t>据中心综合服务。国家战略层面高度重视发展软件和信息技术服务业。软件和信息技术服务业步入加速创新、</w:t>
      </w:r>
      <w:r>
        <w:rPr>
          <w:spacing w:val="-72"/>
        </w:rPr>
        <w:t> </w:t>
      </w:r>
      <w:r>
        <w:rPr>
          <w:spacing w:val="-72"/>
        </w:rPr>
      </w:r>
      <w:r>
        <w:rPr/>
        <w:t>快速迭代、群体突破的爆发期，加快向网络化、平台化、服务化、智能化、生态化演进。云计算、大数据、移</w:t>
      </w:r>
      <w:r>
        <w:rPr>
          <w:spacing w:val="-77"/>
        </w:rPr>
        <w:t> </w:t>
      </w:r>
      <w:r>
        <w:rPr>
          <w:spacing w:val="-77"/>
        </w:rPr>
      </w:r>
      <w:r>
        <w:rPr/>
        <w:t>动互联网、物联网等快速发展和融合创新，先进计算、高端存储、人工智能、虚拟现实、神经科学等新技术加</w:t>
      </w:r>
      <w:r>
        <w:rPr>
          <w:spacing w:val="-77"/>
        </w:rPr>
        <w:t> </w:t>
      </w:r>
      <w:r>
        <w:rPr>
          <w:spacing w:val="-77"/>
        </w:rPr>
      </w:r>
      <w:r>
        <w:rPr/>
        <w:t>速突破和应用，进一步重塑软件的技术架构、计算模式、开发模式、产品形态和商业模式，新技术、新产品、</w:t>
      </w:r>
      <w:r>
        <w:rPr>
          <w:spacing w:val="-77"/>
        </w:rPr>
        <w:t> </w:t>
      </w:r>
      <w:r>
        <w:rPr>
          <w:spacing w:val="-77"/>
        </w:rPr>
      </w:r>
      <w:r>
        <w:rPr>
          <w:spacing w:val="-1"/>
          <w:w w:val="95"/>
        </w:rPr>
        <w:t>新模式、新业态日益成熟，加速步入质变期。</w:t>
      </w:r>
      <w:r>
        <w:rPr>
          <w:rFonts w:ascii="Times New Roman" w:hAnsi="Times New Roman" w:cs="Times New Roman" w:eastAsia="Times New Roman" w:hint="default"/>
          <w:spacing w:val="-1"/>
          <w:w w:val="95"/>
        </w:rPr>
        <w:t>IT</w:t>
      </w:r>
      <w:r>
        <w:rPr>
          <w:spacing w:val="-1"/>
          <w:w w:val="95"/>
        </w:rPr>
        <w:t>运维经历了从</w:t>
      </w:r>
      <w:r>
        <w:rPr>
          <w:rFonts w:ascii="Times New Roman" w:hAnsi="Times New Roman" w:cs="Times New Roman" w:eastAsia="Times New Roman" w:hint="default"/>
          <w:spacing w:val="-1"/>
          <w:w w:val="95"/>
        </w:rPr>
        <w:t>ITSS1.0</w:t>
      </w:r>
      <w:r>
        <w:rPr>
          <w:spacing w:val="-1"/>
          <w:w w:val="95"/>
        </w:rPr>
        <w:t>到</w:t>
      </w:r>
      <w:r>
        <w:rPr>
          <w:rFonts w:ascii="Times New Roman" w:hAnsi="Times New Roman" w:cs="Times New Roman" w:eastAsia="Times New Roman" w:hint="default"/>
          <w:spacing w:val="-1"/>
          <w:w w:val="95"/>
        </w:rPr>
        <w:t>4.0</w:t>
      </w:r>
      <w:r>
        <w:rPr>
          <w:spacing w:val="-1"/>
          <w:w w:val="95"/>
        </w:rPr>
        <w:t>的发展变革，从传统运维服务向智能</w:t>
      </w:r>
      <w:r>
        <w:rPr>
          <w:spacing w:val="92"/>
          <w:w w:val="95"/>
        </w:rPr>
        <w:t> </w:t>
      </w:r>
      <w:r>
        <w:rPr>
          <w:spacing w:val="92"/>
          <w:w w:val="95"/>
        </w:rPr>
      </w:r>
      <w:r>
        <w:rPr/>
        <w:t>运维服务转变既是产业发展的必然，也是技术发展的必然。同时，世界产业格局正在发生深刻变化，围绕技术</w:t>
      </w:r>
      <w:r>
        <w:rPr>
          <w:spacing w:val="-71"/>
        </w:rPr>
        <w:t> </w:t>
      </w:r>
      <w:r>
        <w:rPr>
          <w:spacing w:val="-71"/>
        </w:rPr>
      </w:r>
      <w:r>
        <w:rPr/>
        <w:t>路线主导权、价值链分工、产业生态的竞争日益激烈，建设强大的软件和信息技术服务业，是我国构建全球竞</w:t>
      </w:r>
      <w:r>
        <w:rPr>
          <w:spacing w:val="-77"/>
        </w:rPr>
        <w:t> </w:t>
      </w:r>
      <w:r>
        <w:rPr>
          <w:spacing w:val="-77"/>
        </w:rPr>
      </w:r>
      <w:r>
        <w:rPr/>
        <w:t>争新优势、抢占新工业革命制高点的必然选择。根据工信部于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月发布的《软件和信息技术服务业发展</w:t>
      </w:r>
      <w:r>
        <w:rPr>
          <w:spacing w:val="-73"/>
        </w:rPr>
        <w:t> </w:t>
      </w:r>
      <w:r>
        <w:rPr>
          <w:spacing w:val="-73"/>
        </w:rPr>
      </w:r>
      <w:r>
        <w:rPr/>
        <w:t>规划（</w:t>
      </w:r>
      <w:r>
        <w:rPr>
          <w:rFonts w:ascii="Times New Roman" w:hAnsi="Times New Roman" w:cs="Times New Roman" w:eastAsia="Times New Roman" w:hint="default"/>
        </w:rPr>
        <w:t>2016-2020</w:t>
      </w:r>
      <w:r>
        <w:rPr/>
        <w:t>年）》，到</w:t>
      </w:r>
      <w:r>
        <w:rPr>
          <w:rFonts w:ascii="Times New Roman" w:hAnsi="Times New Roman" w:cs="Times New Roman" w:eastAsia="Times New Roman" w:hint="default"/>
        </w:rPr>
        <w:t>2020</w:t>
      </w:r>
      <w:r>
        <w:rPr/>
        <w:t>年，软件和信息技术服务业务收入突破</w:t>
      </w:r>
      <w:r>
        <w:rPr>
          <w:rFonts w:ascii="Times New Roman" w:hAnsi="Times New Roman" w:cs="Times New Roman" w:eastAsia="Times New Roman" w:hint="default"/>
        </w:rPr>
        <w:t>8</w:t>
      </w:r>
      <w:r>
        <w:rPr/>
        <w:t>万亿元，年均增长</w:t>
      </w:r>
      <w:r>
        <w:rPr>
          <w:rFonts w:ascii="Times New Roman" w:hAnsi="Times New Roman" w:cs="Times New Roman" w:eastAsia="Times New Roman" w:hint="default"/>
        </w:rPr>
        <w:t>13%</w:t>
      </w:r>
      <w:r>
        <w:rPr/>
        <w:t>以上。</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rFonts w:ascii="Times New Roman" w:hAnsi="Times New Roman" w:cs="Times New Roman" w:eastAsia="Times New Roman" w:hint="default"/>
          <w:w w:val="99"/>
        </w:rPr>
        <w:t> </w:t>
      </w:r>
      <w:r>
        <w:rPr>
          <w:w w:val="95"/>
        </w:rPr>
        <w:t>月，工信部和发改委发布《扩大和升级信息消费三年行动计划（</w:t>
      </w:r>
      <w:r>
        <w:rPr>
          <w:rFonts w:ascii="Times New Roman" w:hAnsi="Times New Roman" w:cs="Times New Roman" w:eastAsia="Times New Roman" w:hint="default"/>
          <w:w w:val="95"/>
        </w:rPr>
        <w:t>2018-2020</w:t>
      </w:r>
      <w:r>
        <w:rPr>
          <w:w w:val="95"/>
        </w:rPr>
        <w:t>年）》，要求到</w:t>
      </w:r>
      <w:r>
        <w:rPr>
          <w:rFonts w:ascii="Times New Roman" w:hAnsi="Times New Roman" w:cs="Times New Roman" w:eastAsia="Times New Roman" w:hint="default"/>
          <w:w w:val="95"/>
        </w:rPr>
        <w:t>2020</w:t>
      </w:r>
      <w:r>
        <w:rPr>
          <w:w w:val="95"/>
        </w:rPr>
        <w:t>年，信息消费规</w:t>
      </w:r>
      <w:r>
        <w:rPr>
          <w:spacing w:val="66"/>
          <w:w w:val="95"/>
        </w:rPr>
        <w:t> </w:t>
      </w:r>
      <w:r>
        <w:rPr>
          <w:spacing w:val="66"/>
          <w:w w:val="95"/>
        </w:rPr>
      </w:r>
      <w:r>
        <w:rPr>
          <w:w w:val="95"/>
        </w:rPr>
        <w:t>模达到</w:t>
      </w:r>
      <w:r>
        <w:rPr>
          <w:rFonts w:ascii="Times New Roman" w:hAnsi="Times New Roman" w:cs="Times New Roman" w:eastAsia="Times New Roman" w:hint="default"/>
          <w:w w:val="95"/>
        </w:rPr>
        <w:t>6</w:t>
      </w:r>
      <w:r>
        <w:rPr>
          <w:w w:val="95"/>
        </w:rPr>
        <w:t>万亿元，年均增长</w:t>
      </w:r>
      <w:r>
        <w:rPr>
          <w:rFonts w:ascii="Times New Roman" w:hAnsi="Times New Roman" w:cs="Times New Roman" w:eastAsia="Times New Roman" w:hint="default"/>
          <w:w w:val="95"/>
        </w:rPr>
        <w:t>11%</w:t>
      </w:r>
      <w:r>
        <w:rPr>
          <w:w w:val="95"/>
        </w:rPr>
        <w:t>以上。根据工信部的统计，</w:t>
      </w:r>
      <w:r>
        <w:rPr>
          <w:rFonts w:ascii="Times New Roman" w:hAnsi="Times New Roman" w:cs="Times New Roman" w:eastAsia="Times New Roman" w:hint="default"/>
          <w:w w:val="95"/>
        </w:rPr>
        <w:t>2019</w:t>
      </w:r>
      <w:r>
        <w:rPr>
          <w:w w:val="95"/>
        </w:rPr>
        <w:t>年我国软件和信息技术服务业呈现平稳向好发展</w:t>
      </w:r>
      <w:r>
        <w:rPr>
          <w:spacing w:val="68"/>
          <w:w w:val="95"/>
        </w:rPr>
        <w:t> </w:t>
      </w:r>
      <w:r>
        <w:rPr>
          <w:spacing w:val="68"/>
          <w:w w:val="95"/>
        </w:rPr>
      </w:r>
      <w:r>
        <w:rPr/>
        <w:t>态势，累计完成软件业务收入</w:t>
      </w:r>
      <w:r>
        <w:rPr>
          <w:rFonts w:ascii="Times New Roman" w:hAnsi="Times New Roman" w:cs="Times New Roman" w:eastAsia="Times New Roman" w:hint="default"/>
        </w:rPr>
        <w:t>7.18</w:t>
      </w:r>
      <w:r>
        <w:rPr/>
        <w:t>万亿元，同比增长</w:t>
      </w:r>
      <w:r>
        <w:rPr>
          <w:rFonts w:ascii="Times New Roman" w:hAnsi="Times New Roman" w:cs="Times New Roman" w:eastAsia="Times New Roman" w:hint="default"/>
        </w:rPr>
        <w:t>15.4%</w:t>
      </w:r>
      <w:r>
        <w:rPr/>
        <w:t>。</w:t>
      </w:r>
    </w:p>
    <w:p>
      <w:pPr>
        <w:pStyle w:val="BodyText"/>
        <w:spacing w:line="420" w:lineRule="auto" w:before="25"/>
        <w:ind w:right="1133" w:firstLine="401"/>
        <w:jc w:val="both"/>
      </w:pPr>
      <w:r>
        <w:rPr/>
        <w:t>区块链成为核心技术自主创新的重要突破口，区块链应用迎来高速发展期。</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月，习总书记在中央</w:t>
      </w:r>
      <w:r>
        <w:rPr>
          <w:w w:val="99"/>
        </w:rPr>
        <w:t> </w:t>
      </w:r>
      <w:r>
        <w:rPr/>
        <w:t>政治局第十八次集体学习时强调，把区块链作为核心技术自主创新的重要突破口，明确主攻方向，加大投入力</w:t>
      </w:r>
      <w:r>
        <w:rPr>
          <w:spacing w:val="-77"/>
        </w:rPr>
        <w:t> </w:t>
      </w:r>
      <w:r>
        <w:rPr>
          <w:spacing w:val="-77"/>
        </w:rPr>
      </w:r>
      <w:r>
        <w:rPr/>
        <w:t>度，着力攻克一批关键核心技术，加快推动区块链技术和产业创新发展。习总书记还指出，要提高运用和管理</w:t>
      </w:r>
      <w:r>
        <w:rPr>
          <w:spacing w:val="-77"/>
        </w:rPr>
        <w:t> </w:t>
      </w:r>
      <w:r>
        <w:rPr>
          <w:spacing w:val="-77"/>
        </w:rPr>
      </w:r>
      <w:r>
        <w:rPr/>
        <w:t>区块链技术能力，使区块链技术在建设网络强国、发展数字经济、助力经济社会发展等方面发挥更大作用。未</w:t>
      </w:r>
      <w:r>
        <w:rPr>
          <w:spacing w:val="-77"/>
        </w:rPr>
        <w:t> </w:t>
      </w:r>
      <w:r>
        <w:rPr>
          <w:spacing w:val="-77"/>
        </w:rPr>
      </w:r>
      <w:r>
        <w:rPr>
          <w:spacing w:val="2"/>
          <w:w w:val="95"/>
        </w:rPr>
        <w:t>来，区块链在金融、商业、民生、政务等各大领域及细分领域应用的广度和深度将进一步提升。根据</w:t>
      </w:r>
      <w:r>
        <w:rPr>
          <w:rFonts w:ascii="Times New Roman" w:hAnsi="Times New Roman" w:cs="Times New Roman" w:eastAsia="Times New Roman" w:hint="default"/>
          <w:spacing w:val="2"/>
          <w:w w:val="95"/>
        </w:rPr>
        <w:t>IDC</w:t>
      </w:r>
      <w:r>
        <w:rPr>
          <w:spacing w:val="2"/>
          <w:w w:val="95"/>
        </w:rPr>
        <w:t>的预</w:t>
      </w:r>
      <w:r>
        <w:rPr>
          <w:spacing w:val="73"/>
          <w:w w:val="95"/>
        </w:rPr>
        <w:t> </w:t>
      </w:r>
      <w:r>
        <w:rPr/>
        <w:t>测，到</w:t>
      </w:r>
      <w:r>
        <w:rPr>
          <w:rFonts w:ascii="Times New Roman" w:hAnsi="Times New Roman" w:cs="Times New Roman" w:eastAsia="Times New Roman" w:hint="default"/>
        </w:rPr>
        <w:t>2023</w:t>
      </w:r>
      <w:r>
        <w:rPr/>
        <w:t>年，中国企业将在区块链服务（咨询、实施、维护、支持等）上投入</w:t>
      </w:r>
      <w:r>
        <w:rPr>
          <w:rFonts w:ascii="Times New Roman" w:hAnsi="Times New Roman" w:cs="Times New Roman" w:eastAsia="Times New Roman" w:hint="default"/>
        </w:rPr>
        <w:t>27</w:t>
      </w:r>
      <w:r>
        <w:rPr/>
        <w:t>亿美元。</w:t>
      </w:r>
    </w:p>
    <w:p>
      <w:pPr>
        <w:pStyle w:val="BodyText"/>
        <w:spacing w:line="240" w:lineRule="auto" w:before="25"/>
        <w:ind w:left="554" w:right="1129"/>
        <w:jc w:val="left"/>
      </w:pPr>
      <w:r>
        <w:rPr/>
        <w:t>金融行业是我国信息化程度最高的行业之一，信息技术系统已成为我国金融业的重要基础设施。以银行业</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17" w:lineRule="auto"/>
        <w:ind w:right="1128"/>
        <w:jc w:val="both"/>
      </w:pPr>
      <w:r>
        <w:rPr/>
        <w:t>为代表，随着银行业务和信息技术的不断融合，银行业信息技术系统已从服务支持的角色转变为银行发展创新</w:t>
      </w:r>
      <w:r>
        <w:rPr>
          <w:spacing w:val="-77"/>
        </w:rPr>
        <w:t> </w:t>
      </w:r>
      <w:r>
        <w:rPr>
          <w:spacing w:val="-77"/>
        </w:rPr>
      </w:r>
      <w:r>
        <w:rPr>
          <w:w w:val="95"/>
        </w:rPr>
        <w:t>的重要手段。</w:t>
      </w:r>
      <w:r>
        <w:rPr>
          <w:rFonts w:ascii="Times New Roman" w:hAnsi="Times New Roman" w:cs="Times New Roman" w:eastAsia="Times New Roman" w:hint="default"/>
          <w:w w:val="95"/>
        </w:rPr>
        <w:t>2017</w:t>
      </w:r>
      <w:r>
        <w:rPr>
          <w:w w:val="95"/>
        </w:rPr>
        <w:t>年</w:t>
      </w:r>
      <w:r>
        <w:rPr>
          <w:rFonts w:ascii="Times New Roman" w:hAnsi="Times New Roman" w:cs="Times New Roman" w:eastAsia="Times New Roman" w:hint="default"/>
          <w:w w:val="95"/>
        </w:rPr>
        <w:t>6</w:t>
      </w:r>
      <w:r>
        <w:rPr>
          <w:w w:val="95"/>
        </w:rPr>
        <w:t>月，央行印发了《中国金融业信息技术</w:t>
      </w:r>
      <w:r>
        <w:rPr>
          <w:rFonts w:ascii="Times New Roman" w:hAnsi="Times New Roman" w:cs="Times New Roman" w:eastAsia="Times New Roman" w:hint="default"/>
          <w:w w:val="95"/>
        </w:rPr>
        <w:t>“</w:t>
      </w:r>
      <w:r>
        <w:rPr>
          <w:w w:val="95"/>
        </w:rPr>
        <w:t>十三五</w:t>
      </w:r>
      <w:r>
        <w:rPr>
          <w:rFonts w:ascii="Times New Roman" w:hAnsi="Times New Roman" w:cs="Times New Roman" w:eastAsia="Times New Roman" w:hint="default"/>
          <w:w w:val="95"/>
        </w:rPr>
        <w:t>”</w:t>
      </w:r>
      <w:r>
        <w:rPr>
          <w:w w:val="95"/>
        </w:rPr>
        <w:t>发展规划》，确立了金融信息基础设施达</w:t>
      </w:r>
      <w:r>
        <w:rPr>
          <w:spacing w:val="57"/>
          <w:w w:val="95"/>
        </w:rPr>
        <w:t> </w:t>
      </w:r>
      <w:r>
        <w:rPr>
          <w:spacing w:val="57"/>
          <w:w w:val="95"/>
        </w:rPr>
      </w:r>
      <w:r>
        <w:rPr/>
        <w:t>到国际领先水平、信息技术持续驱动金融创新等发展目标，提出要加强金融科技和监管科技研究与应用，推进</w:t>
      </w:r>
      <w:r>
        <w:rPr>
          <w:spacing w:val="-72"/>
        </w:rPr>
        <w:t> </w:t>
      </w:r>
      <w:r>
        <w:rPr>
          <w:spacing w:val="-72"/>
        </w:rPr>
      </w:r>
      <w:r>
        <w:rPr>
          <w:spacing w:val="-3"/>
          <w:w w:val="95"/>
        </w:rPr>
        <w:t>系统架构、云计算、大数据、区块链、人工智能等新技术应用研究，规范与普及互联网金融相关技术应用。</w:t>
      </w:r>
      <w:r>
        <w:rPr>
          <w:rFonts w:ascii="Times New Roman" w:hAnsi="Times New Roman" w:cs="Times New Roman" w:eastAsia="Times New Roman" w:hint="default"/>
          <w:spacing w:val="-3"/>
          <w:w w:val="95"/>
        </w:rPr>
        <w:t>2019</w:t>
      </w:r>
      <w:r>
        <w:rPr>
          <w:rFonts w:ascii="Times New Roman" w:hAnsi="Times New Roman" w:cs="Times New Roman" w:eastAsia="Times New Roman" w:hint="default"/>
          <w:spacing w:val="33"/>
          <w:w w:val="95"/>
        </w:rPr>
        <w:t> </w:t>
      </w:r>
      <w:r>
        <w:rPr>
          <w:rFonts w:ascii="Times New Roman" w:hAnsi="Times New Roman" w:cs="Times New Roman" w:eastAsia="Times New Roman" w:hint="default"/>
          <w:spacing w:val="33"/>
          <w:w w:val="95"/>
        </w:rPr>
      </w:r>
      <w:r>
        <w:rPr/>
        <w:t>年</w:t>
      </w:r>
      <w:r>
        <w:rPr>
          <w:rFonts w:ascii="Times New Roman" w:hAnsi="Times New Roman" w:cs="Times New Roman" w:eastAsia="Times New Roman" w:hint="default"/>
        </w:rPr>
        <w:t>8</w:t>
      </w:r>
      <w:r>
        <w:rPr/>
        <w:t>月，中国人民银行印发《金融科技（</w:t>
      </w:r>
      <w:r>
        <w:rPr>
          <w:rFonts w:ascii="Times New Roman" w:hAnsi="Times New Roman" w:cs="Times New Roman" w:eastAsia="Times New Roman" w:hint="default"/>
        </w:rPr>
        <w:t>FinTech</w:t>
      </w:r>
      <w:r>
        <w:rPr/>
        <w:t>）发展规划（</w:t>
      </w:r>
      <w:r>
        <w:rPr>
          <w:rFonts w:ascii="Times New Roman" w:hAnsi="Times New Roman" w:cs="Times New Roman" w:eastAsia="Times New Roman" w:hint="default"/>
        </w:rPr>
        <w:t>2019-2021</w:t>
      </w:r>
      <w:r>
        <w:rPr/>
        <w:t>年）》，明确提出未来三年金融科技工</w:t>
      </w:r>
      <w:r>
        <w:rPr>
          <w:w w:val="99"/>
        </w:rPr>
        <w:t> </w:t>
      </w:r>
      <w:r>
        <w:rPr/>
        <w:t>作的发展目标，到</w:t>
      </w:r>
      <w:r>
        <w:rPr>
          <w:rFonts w:ascii="Times New Roman" w:hAnsi="Times New Roman" w:cs="Times New Roman" w:eastAsia="Times New Roman" w:hint="default"/>
        </w:rPr>
        <w:t>2021</w:t>
      </w:r>
      <w:r>
        <w:rPr/>
        <w:t>年，建立健全我国金融科技发展的</w:t>
      </w:r>
      <w:r>
        <w:rPr>
          <w:rFonts w:ascii="Times New Roman" w:hAnsi="Times New Roman" w:cs="Times New Roman" w:eastAsia="Times New Roman" w:hint="default"/>
        </w:rPr>
        <w:t>“</w:t>
      </w:r>
      <w:r>
        <w:rPr/>
        <w:t>四梁八柱</w:t>
      </w:r>
      <w:r>
        <w:rPr>
          <w:rFonts w:ascii="Times New Roman" w:hAnsi="Times New Roman" w:cs="Times New Roman" w:eastAsia="Times New Roman" w:hint="default"/>
        </w:rPr>
        <w:t>”</w:t>
      </w:r>
      <w:r>
        <w:rPr/>
        <w:t>，进一步增强金融业科技应用能力，实现</w:t>
      </w:r>
      <w:r>
        <w:rPr>
          <w:spacing w:val="-52"/>
        </w:rPr>
        <w:t> </w:t>
      </w:r>
      <w:r>
        <w:rPr>
          <w:spacing w:val="-52"/>
        </w:rPr>
      </w:r>
      <w:r>
        <w:rPr/>
        <w:t>金融与科技深度融合、协调发展，明显增强人民群众对数字化、网络化、智能化金融产品和服务的满意度，使</w:t>
      </w:r>
      <w:r>
        <w:rPr>
          <w:spacing w:val="-77"/>
        </w:rPr>
        <w:t> </w:t>
      </w:r>
      <w:r>
        <w:rPr>
          <w:spacing w:val="-77"/>
        </w:rPr>
      </w:r>
      <w:r>
        <w:rPr/>
        <w:t>我国金融科技发展居于国际领先水平。在此背景下，社会组织和专业服务机构对金融科技发展支撑作用有望不</w:t>
      </w:r>
      <w:r>
        <w:rPr>
          <w:spacing w:val="-72"/>
        </w:rPr>
        <w:t> </w:t>
      </w:r>
      <w:r>
        <w:rPr>
          <w:spacing w:val="-72"/>
        </w:rPr>
      </w:r>
      <w:r>
        <w:rPr/>
        <w:t>断强化，开放、合作、共赢的金融科技产业生态体系正在逐步形成。</w:t>
      </w:r>
    </w:p>
    <w:p>
      <w:pPr>
        <w:pStyle w:val="BodyText"/>
        <w:spacing w:line="422" w:lineRule="auto" w:before="58"/>
        <w:ind w:right="1131" w:firstLine="401"/>
        <w:jc w:val="both"/>
      </w:pPr>
      <w:r>
        <w:rPr/>
        <w:t>对于银行尤其是中小银行而言，持续加强金融与科技的深度融合，积极推进全面数字化转型是大势所趋。</w:t>
      </w:r>
      <w:r>
        <w:rPr>
          <w:w w:val="99"/>
        </w:rPr>
        <w:t> </w:t>
      </w:r>
      <w:r>
        <w:rPr>
          <w:spacing w:val="-4"/>
        </w:rPr>
        <w:t>根据中国银行业协会发布的《</w:t>
      </w:r>
      <w:r>
        <w:rPr>
          <w:rFonts w:ascii="Times New Roman" w:hAnsi="Times New Roman" w:cs="Times New Roman" w:eastAsia="Times New Roman" w:hint="default"/>
          <w:spacing w:val="-4"/>
        </w:rPr>
        <w:t>2019</w:t>
      </w:r>
      <w:r>
        <w:rPr>
          <w:spacing w:val="-4"/>
        </w:rPr>
        <w:t>年中国银行业服务报告》，</w:t>
      </w:r>
      <w:r>
        <w:rPr>
          <w:rFonts w:ascii="Times New Roman" w:hAnsi="Times New Roman" w:cs="Times New Roman" w:eastAsia="Times New Roman" w:hint="default"/>
          <w:spacing w:val="-4"/>
        </w:rPr>
        <w:t>2019</w:t>
      </w:r>
      <w:r>
        <w:rPr>
          <w:spacing w:val="-4"/>
        </w:rPr>
        <w:t>年银行业金融机构网上银行交易笔数达</w:t>
      </w:r>
      <w:r>
        <w:rPr>
          <w:rFonts w:ascii="Times New Roman" w:hAnsi="Times New Roman" w:cs="Times New Roman" w:eastAsia="Times New Roman" w:hint="default"/>
          <w:spacing w:val="-4"/>
        </w:rPr>
        <w:t>1637.84</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w w:val="95"/>
        </w:rPr>
        <w:t>亿笔，交易金额达</w:t>
      </w:r>
      <w:r>
        <w:rPr>
          <w:rFonts w:ascii="Times New Roman" w:hAnsi="Times New Roman" w:cs="Times New Roman" w:eastAsia="Times New Roman" w:hint="default"/>
          <w:w w:val="95"/>
        </w:rPr>
        <w:t>1657.75</w:t>
      </w:r>
      <w:r>
        <w:rPr>
          <w:w w:val="95"/>
        </w:rPr>
        <w:t>万亿元；手机银行交易笔数达</w:t>
      </w:r>
      <w:r>
        <w:rPr>
          <w:rFonts w:ascii="Times New Roman" w:hAnsi="Times New Roman" w:cs="Times New Roman" w:eastAsia="Times New Roman" w:hint="default"/>
          <w:w w:val="95"/>
        </w:rPr>
        <w:t>1214.51</w:t>
      </w:r>
      <w:r>
        <w:rPr>
          <w:w w:val="95"/>
        </w:rPr>
        <w:t>亿笔，交易金额达</w:t>
      </w:r>
      <w:r>
        <w:rPr>
          <w:rFonts w:ascii="Times New Roman" w:hAnsi="Times New Roman" w:cs="Times New Roman" w:eastAsia="Times New Roman" w:hint="default"/>
          <w:w w:val="95"/>
        </w:rPr>
        <w:t>335.63</w:t>
      </w:r>
      <w:r>
        <w:rPr>
          <w:w w:val="95"/>
        </w:rPr>
        <w:t>万亿元；全行业离柜率</w:t>
      </w:r>
      <w:r>
        <w:rPr>
          <w:spacing w:val="84"/>
          <w:w w:val="95"/>
        </w:rPr>
        <w:t> </w:t>
      </w:r>
      <w:r>
        <w:rPr>
          <w:spacing w:val="84"/>
          <w:w w:val="95"/>
        </w:rPr>
      </w:r>
      <w:r>
        <w:rPr/>
        <w:t>为</w:t>
      </w:r>
      <w:r>
        <w:rPr>
          <w:rFonts w:ascii="Times New Roman" w:hAnsi="Times New Roman" w:cs="Times New Roman" w:eastAsia="Times New Roman" w:hint="default"/>
        </w:rPr>
        <w:t>89.77%</w:t>
      </w:r>
      <w:r>
        <w:rPr/>
        <w:t>。进入</w:t>
      </w:r>
      <w:r>
        <w:rPr>
          <w:rFonts w:ascii="Times New Roman" w:hAnsi="Times New Roman" w:cs="Times New Roman" w:eastAsia="Times New Roman" w:hint="default"/>
        </w:rPr>
        <w:t>Bank</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2"/>
        </w:rPr>
        <w:t>4.0</w:t>
      </w:r>
      <w:r>
        <w:rPr>
          <w:spacing w:val="2"/>
        </w:rPr>
        <w:t>时代，金融科技正在从技术应用、服务模式、业务模式全方位重塑银行业。近年来，</w:t>
      </w:r>
      <w:r>
        <w:rPr>
          <w:spacing w:val="2"/>
          <w:w w:val="99"/>
        </w:rPr>
        <w:t> </w:t>
      </w:r>
      <w:r>
        <w:rPr/>
        <w:t>由于利率市场化导致的息差收窄、存款保险制度放开、民营银行牌照放开、互联网及金融科技等因素的冲击，</w:t>
      </w:r>
      <w:r>
        <w:rPr>
          <w:spacing w:val="-77"/>
        </w:rPr>
        <w:t> </w:t>
      </w:r>
      <w:r>
        <w:rPr>
          <w:spacing w:val="-77"/>
        </w:rPr>
      </w:r>
      <w:r>
        <w:rPr/>
        <w:t>中小银行逐步开始重视有效降低运营成本、控制风险、提高经营效益，积极推进数字化转型，着力打造开放银</w:t>
      </w:r>
      <w:r>
        <w:rPr>
          <w:spacing w:val="-77"/>
        </w:rPr>
        <w:t> </w:t>
      </w:r>
      <w:r>
        <w:rPr>
          <w:spacing w:val="-77"/>
        </w:rPr>
      </w:r>
      <w:r>
        <w:rPr/>
        <w:t>行，为用户提供智能化、场景化、便捷化、精细化的金融产品与服务。事实证明，受限于人才、资金、资产等</w:t>
      </w:r>
      <w:r>
        <w:rPr>
          <w:spacing w:val="-77"/>
        </w:rPr>
        <w:t> </w:t>
      </w:r>
      <w:r>
        <w:rPr>
          <w:spacing w:val="-77"/>
        </w:rPr>
      </w:r>
      <w:r>
        <w:rPr/>
        <w:t>资源的缺乏，风险控制、产品设计等能力的不足，以及财务、激励等机制的制约，中小银行在独立发展金融科</w:t>
      </w:r>
      <w:r>
        <w:rPr>
          <w:spacing w:val="-77"/>
        </w:rPr>
        <w:t> </w:t>
      </w:r>
      <w:r>
        <w:rPr>
          <w:spacing w:val="-77"/>
        </w:rPr>
      </w:r>
      <w:r>
        <w:rPr/>
        <w:t>技相关创新业态的过程中困难重重，鲜有成功案例。独立发展道路受阻，使得与专业的第三方科技服务机构合</w:t>
      </w:r>
      <w:r>
        <w:rPr>
          <w:spacing w:val="-77"/>
        </w:rPr>
        <w:t> </w:t>
      </w:r>
      <w:r>
        <w:rPr>
          <w:spacing w:val="-77"/>
        </w:rPr>
      </w:r>
      <w:r>
        <w:rPr/>
        <w:t>作成为中小银行数字化转型的最佳方式之一。</w:t>
      </w:r>
    </w:p>
    <w:p>
      <w:pPr>
        <w:pStyle w:val="BodyText"/>
        <w:spacing w:line="424" w:lineRule="auto" w:before="54"/>
        <w:ind w:right="1133" w:firstLine="401"/>
        <w:jc w:val="both"/>
      </w:pPr>
      <w:r>
        <w:rPr/>
        <w:t>政府和企业信息化投资需求保持持续增长。政府行业是国内信息化应用较为成熟的领域之一，近年来，在</w:t>
      </w:r>
      <w:r>
        <w:rPr>
          <w:w w:val="99"/>
        </w:rPr>
        <w:t> </w:t>
      </w:r>
      <w:r>
        <w:rPr/>
        <w:t>国家大力加强智慧城市建设、鼓励利用信息化手段提升政务管理和政务服务水平的背景下，政府信息化市场保</w:t>
      </w:r>
      <w:r>
        <w:rPr>
          <w:spacing w:val="-77"/>
        </w:rPr>
        <w:t> </w:t>
      </w:r>
      <w:r>
        <w:rPr>
          <w:spacing w:val="-77"/>
        </w:rPr>
      </w:r>
      <w:r>
        <w:rPr/>
        <w:t>持较快增长态势。企业信息化是推动国民经济增长、提升社会生产效率的强大动力，在企业转型升级、劳动力</w:t>
      </w:r>
      <w:r>
        <w:rPr>
          <w:spacing w:val="-77"/>
        </w:rPr>
        <w:t> </w:t>
      </w:r>
      <w:r>
        <w:rPr>
          <w:spacing w:val="-77"/>
        </w:rPr>
      </w:r>
      <w:r>
        <w:rPr/>
        <w:t>成本上升的背景下，越来越多企业意识到智能化、信息化与自身业务融合的重要性，从而催生出企业持续的信</w:t>
      </w:r>
      <w:r>
        <w:rPr>
          <w:spacing w:val="-77"/>
        </w:rPr>
        <w:t> </w:t>
      </w:r>
      <w:r>
        <w:rPr>
          <w:spacing w:val="-77"/>
        </w:rPr>
      </w:r>
      <w:r>
        <w:rPr/>
        <w:t>息化建设需求；当前，互联网行业机会正在从</w:t>
      </w:r>
      <w:r>
        <w:rPr>
          <w:rFonts w:ascii="Times New Roman" w:hAnsi="Times New Roman" w:cs="Times New Roman" w:eastAsia="Times New Roman" w:hint="default"/>
        </w:rPr>
        <w:t>To C</w:t>
      </w:r>
      <w:r>
        <w:rPr/>
        <w:t>转向</w:t>
      </w:r>
      <w:r>
        <w:rPr>
          <w:rFonts w:ascii="Times New Roman" w:hAnsi="Times New Roman" w:cs="Times New Roman" w:eastAsia="Times New Roman" w:hint="default"/>
        </w:rPr>
        <w:t>To</w:t>
      </w:r>
      <w:r>
        <w:rPr>
          <w:rFonts w:ascii="Times New Roman" w:hAnsi="Times New Roman" w:cs="Times New Roman" w:eastAsia="Times New Roman" w:hint="default"/>
          <w:spacing w:val="22"/>
        </w:rPr>
        <w:t> </w:t>
      </w:r>
      <w:r>
        <w:rPr>
          <w:rFonts w:ascii="Times New Roman" w:hAnsi="Times New Roman" w:cs="Times New Roman" w:eastAsia="Times New Roman" w:hint="default"/>
        </w:rPr>
        <w:t>B</w:t>
      </w:r>
      <w:r>
        <w:rPr/>
        <w:t>的产业互联网，也为企业级服务提供了巨大的市场</w:t>
      </w:r>
      <w:r>
        <w:rPr>
          <w:w w:val="99"/>
        </w:rPr>
        <w:t> </w:t>
      </w:r>
      <w:r>
        <w:rPr/>
        <w:t>空间。</w:t>
      </w:r>
    </w:p>
    <w:p>
      <w:pPr>
        <w:spacing w:line="240" w:lineRule="auto" w:before="8"/>
        <w:rPr>
          <w:rFonts w:ascii="宋体" w:hAnsi="宋体" w:cs="宋体" w:eastAsia="宋体" w:hint="default"/>
          <w:sz w:val="18"/>
          <w:szCs w:val="18"/>
        </w:rPr>
      </w:pPr>
    </w:p>
    <w:p>
      <w:pPr>
        <w:pStyle w:val="Heading2"/>
        <w:spacing w:line="240" w:lineRule="auto"/>
        <w:ind w:right="0"/>
        <w:jc w:val="both"/>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0"/>
        <w:gridCol w:w="6519"/>
      </w:tblGrid>
      <w:tr>
        <w:trPr>
          <w:trHeight w:val="362"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3029"/>
        <w:gridCol w:w="6530"/>
      </w:tblGrid>
      <w:tr>
        <w:trPr>
          <w:trHeight w:val="404"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3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主要系公司研发项目完成结转至无形资产所致</w:t>
            </w:r>
          </w:p>
        </w:tc>
      </w:tr>
      <w:tr>
        <w:trPr>
          <w:trHeight w:val="403"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both"/>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4"/>
        <w:rPr>
          <w:rFonts w:ascii="宋体" w:hAnsi="宋体" w:cs="宋体" w:eastAsia="宋体" w:hint="default"/>
          <w:sz w:val="23"/>
          <w:szCs w:val="23"/>
        </w:rPr>
      </w:pPr>
    </w:p>
    <w:p>
      <w:pPr>
        <w:pStyle w:val="Heading2"/>
        <w:spacing w:line="240" w:lineRule="auto"/>
        <w:ind w:right="0"/>
        <w:jc w:val="both"/>
        <w:rPr>
          <w:b w:val="0"/>
          <w:bCs w:val="0"/>
        </w:rPr>
      </w:pPr>
      <w:bookmarkStart w:name="三、核心竞争力分析" w:id="22"/>
      <w:bookmarkEnd w:id="22"/>
      <w:r>
        <w:rPr>
          <w:b w:val="0"/>
          <w:bCs w:val="0"/>
        </w:rPr>
      </w:r>
      <w:r>
        <w:rPr/>
        <w:t>三、核心竞争力分析</w:t>
      </w:r>
      <w:r>
        <w:rPr>
          <w:b w:val="0"/>
          <w:bCs w:val="0"/>
        </w:rPr>
      </w:r>
    </w:p>
    <w:p>
      <w:pPr>
        <w:spacing w:line="240" w:lineRule="auto" w:before="4"/>
        <w:rPr>
          <w:rFonts w:ascii="宋体" w:hAnsi="宋体" w:cs="宋体" w:eastAsia="宋体" w:hint="default"/>
          <w:b/>
          <w:bCs/>
          <w:sz w:val="31"/>
          <w:szCs w:val="31"/>
        </w:rPr>
      </w:pPr>
    </w:p>
    <w:p>
      <w:pPr>
        <w:pStyle w:val="BodyText"/>
        <w:spacing w:line="405" w:lineRule="auto"/>
        <w:ind w:left="554" w:right="1133"/>
        <w:jc w:val="left"/>
      </w:pPr>
      <w:r>
        <w:rPr>
          <w:rFonts w:ascii="Times New Roman" w:hAnsi="Times New Roman" w:cs="Times New Roman" w:eastAsia="Times New Roman" w:hint="default"/>
        </w:rPr>
        <w:t>1.</w:t>
      </w:r>
      <w:r>
        <w:rPr/>
        <w:t>坚定的发展战略和健康的品牌形象</w:t>
      </w:r>
      <w:r>
        <w:rPr>
          <w:w w:val="99"/>
        </w:rPr>
        <w:t> </w:t>
      </w:r>
      <w:r>
        <w:rPr/>
        <w:t>公司坚持实施以金融科技综合服务为核心的发展战略，深入推进相关业务落地，得到政府部门、资本市场</w:t>
      </w:r>
    </w:p>
    <w:p>
      <w:pPr>
        <w:pStyle w:val="BodyText"/>
        <w:spacing w:line="412" w:lineRule="auto" w:before="68"/>
        <w:ind w:right="1128"/>
        <w:jc w:val="both"/>
      </w:pPr>
      <w:r>
        <w:rPr/>
        <w:t>与社会各界的广泛认可。公司是北京区块链技术应用协会会长单位，首批</w:t>
      </w:r>
      <w:r>
        <w:rPr>
          <w:rFonts w:ascii="Times New Roman" w:hAnsi="Times New Roman" w:cs="Times New Roman" w:eastAsia="Times New Roman" w:hint="default"/>
        </w:rPr>
        <w:t>2019</w:t>
      </w:r>
      <w:r>
        <w:rPr/>
        <w:t>北京金融科技与专业服务创新示</w:t>
      </w:r>
      <w:r>
        <w:rPr>
          <w:spacing w:val="-70"/>
        </w:rPr>
        <w:t> </w:t>
      </w:r>
      <w:r>
        <w:rPr>
          <w:spacing w:val="-70"/>
        </w:rPr>
      </w:r>
      <w:r>
        <w:rPr/>
        <w:t>范区协同创新平台成员单位，</w:t>
      </w:r>
      <w:r>
        <w:rPr>
          <w:rFonts w:ascii="Times New Roman" w:hAnsi="Times New Roman" w:cs="Times New Roman" w:eastAsia="Times New Roman" w:hint="default"/>
        </w:rPr>
        <w:t>2019</w:t>
      </w:r>
      <w:r>
        <w:rPr/>
        <w:t>北京软件和信息服务业综合实力百强企业，</w:t>
      </w:r>
      <w:r>
        <w:rPr>
          <w:rFonts w:ascii="Times New Roman" w:hAnsi="Times New Roman" w:cs="Times New Roman" w:eastAsia="Times New Roman" w:hint="default"/>
        </w:rPr>
        <w:t>AAA</w:t>
      </w:r>
      <w:r>
        <w:rPr/>
        <w:t>级重合同守信用单位，</w:t>
      </w:r>
      <w:r>
        <w:rPr>
          <w:rFonts w:ascii="Times New Roman" w:hAnsi="Times New Roman" w:cs="Times New Roman" w:eastAsia="Times New Roman" w:hint="default"/>
        </w:rPr>
        <w:t>2019</w:t>
      </w:r>
      <w:r>
        <w:rPr>
          <w:rFonts w:ascii="Times New Roman" w:hAnsi="Times New Roman" w:cs="Times New Roman" w:eastAsia="Times New Roman" w:hint="default"/>
          <w:spacing w:val="-47"/>
        </w:rPr>
        <w:t> </w:t>
      </w:r>
      <w:r>
        <w:rPr/>
        <w:t>中关村金融科技</w:t>
      </w:r>
      <w:r>
        <w:rPr>
          <w:rFonts w:ascii="Times New Roman" w:hAnsi="Times New Roman" w:cs="Times New Roman" w:eastAsia="Times New Roman" w:hint="default"/>
        </w:rPr>
        <w:t>30</w:t>
      </w:r>
      <w:r>
        <w:rPr/>
        <w:t>强，</w:t>
      </w:r>
      <w:r>
        <w:rPr>
          <w:rFonts w:ascii="Times New Roman" w:hAnsi="Times New Roman" w:cs="Times New Roman" w:eastAsia="Times New Roman" w:hint="default"/>
        </w:rPr>
        <w:t>2019</w:t>
      </w:r>
      <w:r>
        <w:rPr/>
        <w:t>中国金融科技竞争力</w:t>
      </w:r>
      <w:r>
        <w:rPr>
          <w:rFonts w:ascii="Times New Roman" w:hAnsi="Times New Roman" w:cs="Times New Roman" w:eastAsia="Times New Roman" w:hint="default"/>
        </w:rPr>
        <w:t>100</w:t>
      </w:r>
      <w:r>
        <w:rPr/>
        <w:t>强，</w:t>
      </w:r>
      <w:r>
        <w:rPr>
          <w:rFonts w:ascii="Times New Roman" w:hAnsi="Times New Roman" w:cs="Times New Roman" w:eastAsia="Times New Roman" w:hint="default"/>
        </w:rPr>
        <w:t>2019</w:t>
      </w:r>
      <w:r>
        <w:rPr/>
        <w:t>中国智能运维</w:t>
      </w:r>
      <w:r>
        <w:rPr>
          <w:rFonts w:ascii="Times New Roman" w:hAnsi="Times New Roman" w:cs="Times New Roman" w:eastAsia="Times New Roman" w:hint="default"/>
        </w:rPr>
        <w:t>100</w:t>
      </w:r>
      <w:r>
        <w:rPr/>
        <w:t>强等荣誉。公司董事长朱烨东还</w:t>
      </w:r>
      <w:r>
        <w:rPr>
          <w:spacing w:val="-75"/>
        </w:rPr>
        <w:t> </w:t>
      </w:r>
      <w:r>
        <w:rPr>
          <w:spacing w:val="-75"/>
        </w:rPr>
      </w:r>
      <w:r>
        <w:rPr/>
        <w:t>入选了新金融联盟理事，并获得</w:t>
      </w:r>
      <w:r>
        <w:rPr>
          <w:rFonts w:ascii="Times New Roman" w:hAnsi="Times New Roman" w:cs="Times New Roman" w:eastAsia="Times New Roman" w:hint="default"/>
        </w:rPr>
        <w:t>2019</w:t>
      </w:r>
      <w:r>
        <w:rPr/>
        <w:t>年十大</w:t>
      </w:r>
      <w:r>
        <w:rPr>
          <w:rFonts w:ascii="Times New Roman" w:hAnsi="Times New Roman" w:cs="Times New Roman" w:eastAsia="Times New Roman" w:hint="default"/>
        </w:rPr>
        <w:t>IT</w:t>
      </w:r>
      <w:r>
        <w:rPr/>
        <w:t>服务领军人物称号。公司与中国人民银行金融研究所等单位合作</w:t>
      </w:r>
      <w:r>
        <w:rPr>
          <w:spacing w:val="-67"/>
        </w:rPr>
        <w:t> </w:t>
      </w:r>
      <w:r>
        <w:rPr>
          <w:spacing w:val="-67"/>
        </w:rPr>
      </w:r>
      <w:r>
        <w:rPr/>
        <w:t>撰写的《中国金融科技发展报告》、《中国区块链发展报告》、《中国监管科技发展报告》系列报告，均由公</w:t>
      </w:r>
      <w:r>
        <w:rPr>
          <w:spacing w:val="-77"/>
        </w:rPr>
        <w:t> </w:t>
      </w:r>
      <w:r>
        <w:rPr>
          <w:spacing w:val="-77"/>
        </w:rPr>
      </w:r>
      <w:r>
        <w:rPr/>
        <w:t>司董事长朱烨东博士担任执行主编，获得了诸多业内专家的一致认可及行业用户的高度重视。此外，近年来公</w:t>
      </w:r>
      <w:r>
        <w:rPr>
          <w:spacing w:val="-69"/>
        </w:rPr>
        <w:t> </w:t>
      </w:r>
      <w:r>
        <w:rPr>
          <w:spacing w:val="-69"/>
        </w:rPr>
      </w:r>
      <w:r>
        <w:rPr/>
        <w:t>司实行的多层级合伙人经营责任制在行业内的影响力不断提升，吸引诸多知名企业到公司参观学习，</w:t>
      </w:r>
      <w:r>
        <w:rPr>
          <w:rFonts w:ascii="Times New Roman" w:hAnsi="Times New Roman" w:cs="Times New Roman" w:eastAsia="Times New Roman" w:hint="default"/>
        </w:rPr>
        <w:t>2019</w:t>
      </w:r>
      <w:r>
        <w:rPr/>
        <w:t>年，</w:t>
      </w:r>
      <w:r>
        <w:rPr>
          <w:spacing w:val="-68"/>
        </w:rPr>
        <w:t> </w:t>
      </w:r>
      <w:r>
        <w:rPr>
          <w:w w:val="95"/>
        </w:rPr>
        <w:t>公司董事长朱烨东博士以多层级合伙人经营责任制创新实践案例，获《哈佛商业评论》主办的拉姆</w:t>
      </w:r>
      <w:r>
        <w:rPr>
          <w:rFonts w:ascii="Times New Roman" w:hAnsi="Times New Roman" w:cs="Times New Roman" w:eastAsia="Times New Roman" w:hint="default"/>
          <w:w w:val="95"/>
        </w:rPr>
        <w:t>·</w:t>
      </w:r>
      <w:r>
        <w:rPr>
          <w:w w:val="95"/>
        </w:rPr>
        <w:t>查兰管理实</w:t>
      </w:r>
      <w:r>
        <w:rPr>
          <w:spacing w:val="71"/>
          <w:w w:val="95"/>
        </w:rPr>
        <w:t> </w:t>
      </w:r>
      <w:r>
        <w:rPr>
          <w:spacing w:val="71"/>
          <w:w w:val="95"/>
        </w:rPr>
      </w:r>
      <w:r>
        <w:rPr/>
        <w:t>践优秀奖殊荣，进一步提升了公司的良好企业形象，形成了公司新的核心竞争力。</w:t>
      </w:r>
    </w:p>
    <w:p>
      <w:pPr>
        <w:pStyle w:val="BodyText"/>
        <w:spacing w:line="405" w:lineRule="auto" w:before="62"/>
        <w:ind w:left="554" w:right="1133"/>
        <w:jc w:val="left"/>
      </w:pPr>
      <w:r>
        <w:rPr>
          <w:rFonts w:ascii="Times New Roman" w:hAnsi="Times New Roman" w:cs="Times New Roman" w:eastAsia="Times New Roman" w:hint="default"/>
        </w:rPr>
        <w:t>2.</w:t>
      </w:r>
      <w:r>
        <w:rPr/>
        <w:t>前瞻性及完备的金融科技服务能力</w:t>
      </w:r>
      <w:r>
        <w:rPr>
          <w:w w:val="99"/>
        </w:rPr>
        <w:t> </w:t>
      </w:r>
      <w:r>
        <w:rPr/>
        <w:t>公司长期以来为人民银行、银保监会、证监会、银行间交易商协会、支付清算协会以及华夏银行、上海银</w:t>
      </w:r>
    </w:p>
    <w:p>
      <w:pPr>
        <w:pStyle w:val="BodyText"/>
        <w:spacing w:line="422" w:lineRule="auto" w:before="68"/>
        <w:ind w:right="1131"/>
        <w:jc w:val="both"/>
      </w:pPr>
      <w:r>
        <w:rPr/>
        <w:t>行、邮储银行、光大银行、银联、农信银等上百家银行及金融机构客户提供金融科技综合服务，基于对金融行</w:t>
      </w:r>
      <w:r>
        <w:rPr>
          <w:spacing w:val="-77"/>
        </w:rPr>
        <w:t> </w:t>
      </w:r>
      <w:r>
        <w:rPr>
          <w:spacing w:val="-77"/>
        </w:rPr>
      </w:r>
      <w:r>
        <w:rPr/>
        <w:t>业尤其是银行行业的深刻理解，公司能够敏锐地洞察传统金融行业的需求，前瞻性地规划发展布局，抢占市场</w:t>
      </w:r>
      <w:r>
        <w:rPr>
          <w:spacing w:val="-77"/>
        </w:rPr>
        <w:t> </w:t>
      </w:r>
      <w:r>
        <w:rPr>
          <w:spacing w:val="-77"/>
        </w:rPr>
      </w:r>
      <w:r>
        <w:rPr/>
        <w:t>先机，在智能银行、开放银行等领域持续保持领先优势，并深入推进区块链、人工智能、大数据、云服务等科</w:t>
      </w:r>
      <w:r>
        <w:rPr>
          <w:spacing w:val="-77"/>
        </w:rPr>
        <w:t> </w:t>
      </w:r>
      <w:r>
        <w:rPr>
          <w:spacing w:val="-77"/>
        </w:rPr>
      </w:r>
      <w:r>
        <w:rPr/>
        <w:t>技创新业务，基本具备金融科技全业务链的服务能力。公司还与清华大学五道口金融学院、南开大学金融学院</w:t>
      </w:r>
      <w:r>
        <w:rPr>
          <w:spacing w:val="-77"/>
        </w:rPr>
        <w:t> </w:t>
      </w:r>
      <w:r>
        <w:rPr>
          <w:spacing w:val="-77"/>
        </w:rPr>
      </w:r>
      <w:r>
        <w:rPr>
          <w:spacing w:val="-1"/>
        </w:rPr>
        <w:t>开展战略合作，以及和昆山杜克大学建立了人工智能联合实验室，形成了金融机构尤其是银行转型的整套</w:t>
      </w:r>
      <w:r>
        <w:rPr>
          <w:rFonts w:ascii="Times New Roman" w:hAnsi="Times New Roman" w:cs="Times New Roman" w:eastAsia="Times New Roman" w:hint="default"/>
          <w:spacing w:val="-1"/>
        </w:rPr>
        <w:t>“</w:t>
      </w:r>
      <w:r>
        <w:rPr>
          <w:spacing w:val="-1"/>
        </w:rPr>
        <w:t>产学</w:t>
      </w:r>
      <w:r>
        <w:rPr>
          <w:spacing w:val="2"/>
          <w:w w:val="99"/>
        </w:rPr>
        <w:t> </w:t>
      </w:r>
      <w:r>
        <w:rPr>
          <w:spacing w:val="-1"/>
        </w:rPr>
        <w:t>研用</w:t>
      </w:r>
      <w:r>
        <w:rPr>
          <w:rFonts w:ascii="Times New Roman" w:hAnsi="Times New Roman" w:cs="Times New Roman" w:eastAsia="Times New Roman" w:hint="default"/>
          <w:spacing w:val="-1"/>
        </w:rPr>
        <w:t>”</w:t>
      </w:r>
      <w:r>
        <w:rPr>
          <w:spacing w:val="-1"/>
        </w:rPr>
        <w:t>研发培训、协同创新体系。以客户为中心的经营理念，以及实力雄厚的学术支持，使公司的经营者能够深</w:t>
      </w:r>
      <w:r>
        <w:rPr>
          <w:w w:val="99"/>
        </w:rPr>
        <w:t> </w:t>
      </w:r>
      <w:r>
        <w:rPr/>
        <w:t>刻的理解银行及金融机构在转型过程中的需求，是目前国内为银行及金融机构提供数字化转型服务能力最全面</w:t>
      </w:r>
      <w:r>
        <w:rPr>
          <w:spacing w:val="-74"/>
        </w:rPr>
        <w:t> </w:t>
      </w:r>
      <w:r>
        <w:rPr>
          <w:spacing w:val="-74"/>
        </w:rPr>
      </w:r>
      <w:r>
        <w:rPr/>
        <w:t>的公司之一。</w:t>
      </w:r>
    </w:p>
    <w:p>
      <w:pPr>
        <w:spacing w:after="0" w:line="422"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05" w:lineRule="auto"/>
        <w:ind w:left="554" w:right="1133"/>
        <w:jc w:val="left"/>
      </w:pPr>
      <w:r>
        <w:rPr>
          <w:rFonts w:ascii="Times New Roman" w:hAnsi="Times New Roman" w:cs="Times New Roman" w:eastAsia="Times New Roman" w:hint="default"/>
        </w:rPr>
        <w:t>3.</w:t>
      </w:r>
      <w:r>
        <w:rPr/>
        <w:t>专业的技术实力</w:t>
      </w:r>
      <w:r>
        <w:rPr>
          <w:w w:val="99"/>
        </w:rPr>
        <w:t> </w:t>
      </w:r>
      <w:r>
        <w:rPr/>
        <w:t>公司具备国家规划布局内重点软件企业、国家火炬计划重点高新技术企业、国家高新技术企业、北京市火</w:t>
      </w:r>
    </w:p>
    <w:p>
      <w:pPr>
        <w:pStyle w:val="BodyText"/>
        <w:spacing w:line="405" w:lineRule="auto" w:before="68"/>
        <w:ind w:right="1126"/>
        <w:jc w:val="both"/>
      </w:pPr>
      <w:r>
        <w:rPr/>
        <w:t>炬计划企业、北京市经信委</w:t>
      </w:r>
      <w:r>
        <w:rPr>
          <w:rFonts w:ascii="Times New Roman" w:hAnsi="Times New Roman" w:cs="Times New Roman" w:eastAsia="Times New Roman" w:hint="default"/>
        </w:rPr>
        <w:t>“</w:t>
      </w:r>
      <w:r>
        <w:rPr/>
        <w:t>四个一批</w:t>
      </w:r>
      <w:r>
        <w:rPr>
          <w:rFonts w:ascii="Times New Roman" w:hAnsi="Times New Roman" w:cs="Times New Roman" w:eastAsia="Times New Roman" w:hint="default"/>
        </w:rPr>
        <w:t>”</w:t>
      </w:r>
      <w:r>
        <w:rPr/>
        <w:t>工程企业、中关村</w:t>
      </w:r>
      <w:r>
        <w:rPr>
          <w:rFonts w:ascii="Times New Roman" w:hAnsi="Times New Roman" w:cs="Times New Roman" w:eastAsia="Times New Roman" w:hint="default"/>
        </w:rPr>
        <w:t>“</w:t>
      </w:r>
      <w:r>
        <w:rPr/>
        <w:t>十百千工程</w:t>
      </w:r>
      <w:r>
        <w:rPr>
          <w:rFonts w:ascii="Times New Roman" w:hAnsi="Times New Roman" w:cs="Times New Roman" w:eastAsia="Times New Roman" w:hint="default"/>
        </w:rPr>
        <w:t>”</w:t>
      </w:r>
      <w:r>
        <w:rPr/>
        <w:t>企业等系列资质。公司是</w:t>
      </w:r>
      <w:r>
        <w:rPr>
          <w:rFonts w:ascii="Times New Roman" w:hAnsi="Times New Roman" w:cs="Times New Roman" w:eastAsia="Times New Roman" w:hint="default"/>
        </w:rPr>
        <w:t>ITSS</w:t>
      </w:r>
      <w:r>
        <w:rPr/>
        <w:t>分会副会</w:t>
      </w:r>
      <w:r>
        <w:rPr>
          <w:spacing w:val="-43"/>
        </w:rPr>
        <w:t> </w:t>
      </w:r>
      <w:r>
        <w:rPr/>
        <w:t>长单位、中国信息协会常务理事单位和信息技术服务专业委员会副会长单位。公司还通过了</w:t>
      </w:r>
      <w:r>
        <w:rPr>
          <w:rFonts w:ascii="Times New Roman" w:hAnsi="Times New Roman" w:cs="Times New Roman" w:eastAsia="Times New Roman" w:hint="default"/>
        </w:rPr>
        <w:t>ISO20000</w:t>
      </w:r>
      <w:r>
        <w:rPr/>
        <w:t>服务管理</w:t>
      </w:r>
      <w:r>
        <w:rPr>
          <w:spacing w:val="-89"/>
        </w:rPr>
        <w:t> </w:t>
      </w:r>
      <w:r>
        <w:rPr>
          <w:spacing w:val="-89"/>
        </w:rPr>
      </w:r>
      <w:r>
        <w:rPr>
          <w:spacing w:val="-5"/>
          <w:w w:val="99"/>
        </w:rPr>
        <w:t>体系认证、</w:t>
      </w:r>
      <w:r>
        <w:rPr>
          <w:rFonts w:ascii="Times New Roman" w:hAnsi="Times New Roman" w:cs="Times New Roman" w:eastAsia="Times New Roman" w:hint="default"/>
          <w:spacing w:val="-5"/>
          <w:w w:val="99"/>
        </w:rPr>
        <w:t>ISO27001</w:t>
      </w:r>
      <w:r>
        <w:rPr>
          <w:spacing w:val="-5"/>
          <w:w w:val="99"/>
        </w:rPr>
        <w:t>信息安全管理体系认证、</w:t>
      </w:r>
      <w:r>
        <w:rPr>
          <w:rFonts w:ascii="Times New Roman" w:hAnsi="Times New Roman" w:cs="Times New Roman" w:eastAsia="Times New Roman" w:hint="default"/>
          <w:spacing w:val="-5"/>
          <w:w w:val="99"/>
        </w:rPr>
        <w:t>ISO9001</w:t>
      </w:r>
      <w:r>
        <w:rPr>
          <w:spacing w:val="-5"/>
          <w:w w:val="99"/>
        </w:rPr>
        <w:t>质量管理体系认证、</w:t>
      </w:r>
      <w:r>
        <w:rPr>
          <w:rFonts w:ascii="Times New Roman" w:hAnsi="Times New Roman" w:cs="Times New Roman" w:eastAsia="Times New Roman" w:hint="default"/>
          <w:spacing w:val="-5"/>
          <w:w w:val="99"/>
        </w:rPr>
        <w:t>ISO14001</w:t>
      </w:r>
      <w:r>
        <w:rPr>
          <w:spacing w:val="-5"/>
          <w:w w:val="99"/>
        </w:rPr>
        <w:t>环境管理体系认证、</w:t>
      </w:r>
      <w:r>
        <w:rPr>
          <w:rFonts w:ascii="Times New Roman" w:hAnsi="Times New Roman" w:cs="Times New Roman" w:eastAsia="Times New Roman" w:hint="default"/>
          <w:spacing w:val="-5"/>
          <w:w w:val="99"/>
        </w:rPr>
        <w:t>ISO45001</w:t>
      </w:r>
      <w:r>
        <w:rPr>
          <w:rFonts w:ascii="Times New Roman" w:hAnsi="Times New Roman" w:cs="Times New Roman" w:eastAsia="Times New Roman" w:hint="default"/>
          <w:spacing w:val="-45"/>
          <w:w w:val="99"/>
        </w:rPr>
        <w:t> </w:t>
      </w:r>
      <w:r>
        <w:rPr>
          <w:rFonts w:ascii="Times New Roman" w:hAnsi="Times New Roman" w:cs="Times New Roman" w:eastAsia="Times New Roman" w:hint="default"/>
          <w:spacing w:val="-45"/>
          <w:w w:val="99"/>
        </w:rPr>
      </w:r>
      <w:r>
        <w:rPr>
          <w:spacing w:val="2"/>
          <w:w w:val="95"/>
        </w:rPr>
        <w:t>职业健康管理体系认证、软件能力成熟度模型</w:t>
      </w:r>
      <w:r>
        <w:rPr>
          <w:rFonts w:ascii="Times New Roman" w:hAnsi="Times New Roman" w:cs="Times New Roman" w:eastAsia="Times New Roman" w:hint="default"/>
          <w:spacing w:val="2"/>
          <w:w w:val="95"/>
        </w:rPr>
        <w:t>CMMI</w:t>
      </w:r>
      <w:r>
        <w:rPr>
          <w:spacing w:val="2"/>
          <w:w w:val="95"/>
        </w:rPr>
        <w:t>三级认证，获得了计算机信息系统集成及服务一级资质、</w:t>
      </w:r>
      <w:r>
        <w:rPr>
          <w:spacing w:val="53"/>
          <w:w w:val="95"/>
        </w:rPr>
        <w:t> </w:t>
      </w:r>
      <w:r>
        <w:rPr>
          <w:spacing w:val="53"/>
          <w:w w:val="95"/>
        </w:rPr>
      </w:r>
      <w:r>
        <w:rPr>
          <w:rFonts w:ascii="Times New Roman" w:hAnsi="Times New Roman" w:cs="Times New Roman" w:eastAsia="Times New Roman" w:hint="default"/>
        </w:rPr>
        <w:t>ITSS</w:t>
      </w:r>
      <w:r>
        <w:rPr/>
        <w:t>信息技术服务运行维护能力成熟度一级证书、安防工程企业一级资质、音视频智能系统集成工程资质证书</w:t>
      </w:r>
    </w:p>
    <w:p>
      <w:pPr>
        <w:pStyle w:val="BodyText"/>
        <w:spacing w:line="429" w:lineRule="auto" w:before="38"/>
        <w:ind w:right="1142"/>
        <w:jc w:val="both"/>
      </w:pPr>
      <w:r>
        <w:rPr/>
        <w:t>（一级）、信息安全服务资质证书（安全工程一级）、电信与信息服务业务经营许可证等系列行业核心资质，</w:t>
      </w:r>
      <w:r>
        <w:rPr>
          <w:spacing w:val="-77"/>
        </w:rPr>
        <w:t> </w:t>
      </w:r>
      <w:r>
        <w:rPr>
          <w:spacing w:val="-77"/>
        </w:rPr>
      </w:r>
      <w:r>
        <w:rPr/>
        <w:t>被认定为</w:t>
      </w:r>
      <w:r>
        <w:rPr>
          <w:rFonts w:ascii="Times New Roman" w:hAnsi="Times New Roman" w:cs="Times New Roman" w:eastAsia="Times New Roman" w:hint="default"/>
        </w:rPr>
        <w:t>“</w:t>
      </w:r>
      <w:r>
        <w:rPr/>
        <w:t>北京市企业技术中心</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北京工程实验室</w:t>
      </w:r>
      <w:r>
        <w:rPr>
          <w:rFonts w:ascii="Times New Roman" w:hAnsi="Times New Roman" w:cs="Times New Roman" w:eastAsia="Times New Roman" w:hint="default"/>
        </w:rPr>
        <w:t>”</w:t>
      </w:r>
      <w:r>
        <w:rPr/>
        <w:t>。公司软件服务业资质完整性目前居中国软件行业前列。</w:t>
      </w:r>
    </w:p>
    <w:p>
      <w:pPr>
        <w:pStyle w:val="BodyText"/>
        <w:spacing w:line="405" w:lineRule="auto" w:before="16"/>
        <w:ind w:left="554" w:right="1133"/>
        <w:jc w:val="left"/>
      </w:pPr>
      <w:r>
        <w:rPr>
          <w:rFonts w:ascii="Times New Roman" w:hAnsi="Times New Roman" w:cs="Times New Roman" w:eastAsia="Times New Roman" w:hint="default"/>
        </w:rPr>
        <w:t>4.</w:t>
      </w:r>
      <w:r>
        <w:rPr/>
        <w:t>开放的经营理念和卓越的经营人才吸引和培养能力</w:t>
      </w:r>
      <w:r>
        <w:rPr>
          <w:w w:val="99"/>
        </w:rPr>
        <w:t> </w:t>
      </w:r>
      <w:r>
        <w:rPr/>
        <w:t>经过多年摸索，在公司建立并推行了</w:t>
      </w:r>
      <w:r>
        <w:rPr>
          <w:rFonts w:ascii="Times New Roman" w:hAnsi="Times New Roman" w:cs="Times New Roman" w:eastAsia="Times New Roman" w:hint="default"/>
        </w:rPr>
        <w:t>“</w:t>
      </w:r>
      <w:r>
        <w:rPr/>
        <w:t>中科金财多层级合伙人经营责任制</w:t>
      </w:r>
      <w:r>
        <w:rPr>
          <w:rFonts w:ascii="Times New Roman" w:hAnsi="Times New Roman" w:cs="Times New Roman" w:eastAsia="Times New Roman" w:hint="default"/>
        </w:rPr>
        <w:t>”</w:t>
      </w:r>
      <w:r>
        <w:rPr/>
        <w:t>，将公司划分为独立经营单元，</w:t>
      </w:r>
    </w:p>
    <w:p>
      <w:pPr>
        <w:pStyle w:val="BodyText"/>
        <w:spacing w:line="429" w:lineRule="auto" w:before="38"/>
        <w:ind w:right="1134"/>
        <w:jc w:val="both"/>
      </w:pPr>
      <w:r>
        <w:rPr/>
        <w:t>通过建立与市场直接联系的独立核算制进行运营，调动员工参与经营管理，从而实现全员参与的经营模式。中</w:t>
      </w:r>
      <w:r>
        <w:rPr>
          <w:spacing w:val="-77"/>
        </w:rPr>
        <w:t> </w:t>
      </w:r>
      <w:r>
        <w:rPr>
          <w:spacing w:val="-77"/>
        </w:rPr>
      </w:r>
      <w:r>
        <w:rPr/>
        <w:t>科金财多层级合伙人经营责任制注重发现及培养经营人才，强调以客户为中心、全局观及组织协同性，打破了</w:t>
      </w:r>
      <w:r>
        <w:rPr>
          <w:spacing w:val="-77"/>
        </w:rPr>
        <w:t> </w:t>
      </w:r>
      <w:r>
        <w:rPr>
          <w:spacing w:val="-77"/>
        </w:rPr>
      </w:r>
      <w:r>
        <w:rPr/>
        <w:t>传统企业部门间的隔阂，有效调动员工参与经营管理的自主性和积极性，极大提升了员工的经营热情及主人翁</w:t>
      </w:r>
      <w:r>
        <w:rPr>
          <w:spacing w:val="-77"/>
        </w:rPr>
        <w:t> </w:t>
      </w:r>
      <w:r>
        <w:rPr>
          <w:spacing w:val="-77"/>
        </w:rPr>
      </w:r>
      <w:r>
        <w:rPr/>
        <w:t>意识。在实际经营过程中各经营单元体现出极强的经营智慧与合作意识，大大降低了沟通成本、交易成本、营</w:t>
      </w:r>
      <w:r>
        <w:rPr>
          <w:spacing w:val="-77"/>
        </w:rPr>
        <w:t> </w:t>
      </w:r>
      <w:r>
        <w:rPr>
          <w:spacing w:val="-77"/>
        </w:rPr>
      </w:r>
      <w:r>
        <w:rPr/>
        <w:t>销成本及运营成本，操作风险大幅降低，劳动生产率大幅提高，同时吸引了大量的各领域精英加盟中科金财。</w:t>
      </w:r>
      <w:r>
        <w:rPr>
          <w:spacing w:val="-69"/>
        </w:rPr>
        <w:t> </w:t>
      </w:r>
      <w:r>
        <w:rPr>
          <w:spacing w:val="-69"/>
        </w:rPr>
      </w:r>
      <w:r>
        <w:rPr/>
        <w:t>开放且共享的经营理念，以及经营人才的吸引、发掘、培养能力已经成为公司重要的核心竞争力之一。</w:t>
      </w:r>
    </w:p>
    <w:p>
      <w:pPr>
        <w:pStyle w:val="BodyText"/>
        <w:spacing w:line="405" w:lineRule="auto" w:before="48"/>
        <w:ind w:left="554" w:right="1133"/>
        <w:jc w:val="left"/>
      </w:pPr>
      <w:r>
        <w:rPr>
          <w:rFonts w:ascii="Times New Roman" w:hAnsi="Times New Roman" w:cs="Times New Roman" w:eastAsia="Times New Roman" w:hint="default"/>
        </w:rPr>
        <w:t>5.</w:t>
      </w:r>
      <w:r>
        <w:rPr/>
        <w:t>价值共享的产业互联网科技赋能能力</w:t>
      </w:r>
      <w:r>
        <w:rPr>
          <w:w w:val="99"/>
        </w:rPr>
        <w:t> </w:t>
      </w:r>
      <w:r>
        <w:rPr/>
        <w:t>公司依托长年扎根金融、政府与公共事业、企业业务领域所积累的丰富专业经验和优质客户资源，立足于</w:t>
      </w:r>
    </w:p>
    <w:p>
      <w:pPr>
        <w:pStyle w:val="BodyText"/>
        <w:spacing w:line="429" w:lineRule="auto" w:before="68"/>
        <w:ind w:right="1142"/>
        <w:jc w:val="both"/>
      </w:pPr>
      <w:r>
        <w:rPr/>
        <w:t>产业链上中小企业的需求，能够为产业链上下游的优秀行业销售合作伙伴、产品与解决方案合作伙伴提供科技</w:t>
      </w:r>
      <w:r>
        <w:rPr>
          <w:spacing w:val="-77"/>
        </w:rPr>
        <w:t> </w:t>
      </w:r>
      <w:r>
        <w:rPr>
          <w:spacing w:val="-77"/>
        </w:rPr>
      </w:r>
      <w:r>
        <w:rPr/>
        <w:t>赋能、经营赋能、管理赋能、商业模式赋能、资本赋能等整套赋能服务体系，以提升合作伙伴竞争力，促进合</w:t>
      </w:r>
      <w:r>
        <w:rPr>
          <w:spacing w:val="-77"/>
        </w:rPr>
        <w:t> </w:t>
      </w:r>
      <w:r>
        <w:rPr>
          <w:spacing w:val="-77"/>
        </w:rPr>
      </w:r>
      <w:r>
        <w:rPr/>
        <w:t>作伙伴实现业绩增长。</w:t>
      </w:r>
    </w:p>
    <w:p>
      <w:pPr>
        <w:spacing w:after="0" w:line="429"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1133"/>
        <w:jc w:val="left"/>
        <w:rPr>
          <w:b w:val="0"/>
          <w:bCs w:val="0"/>
        </w:rPr>
      </w:pPr>
      <w:bookmarkStart w:name="_TOC_250009" w:id="23"/>
      <w:bookmarkStart w:name="第四节 经营情况讨论与分析" w:id="24"/>
      <w:r>
        <w:rPr>
          <w:b w:val="0"/>
          <w:bCs w:val="0"/>
        </w:rPr>
      </w:r>
      <w:r>
        <w:rPr/>
        <w:t>第四节</w:t>
      </w:r>
      <w:r>
        <w:rPr>
          <w:spacing w:val="-6"/>
        </w:rPr>
        <w:t> </w:t>
      </w:r>
      <w:r>
        <w:rPr/>
        <w:t>经营情况讨论与分析</w:t>
      </w:r>
      <w:bookmarkEnd w:id="23"/>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5"/>
      <w:bookmarkEnd w:id="25"/>
      <w:r>
        <w:rPr>
          <w:b w:val="0"/>
          <w:bCs w:val="0"/>
        </w:rPr>
      </w:r>
      <w:r>
        <w:rPr/>
        <w:t>一、概述</w:t>
      </w:r>
      <w:r>
        <w:rPr>
          <w:b w:val="0"/>
          <w:bCs w:val="0"/>
        </w:rPr>
      </w:r>
    </w:p>
    <w:p>
      <w:pPr>
        <w:spacing w:line="240" w:lineRule="auto" w:before="4"/>
        <w:rPr>
          <w:rFonts w:ascii="宋体" w:hAnsi="宋体" w:cs="宋体" w:eastAsia="宋体" w:hint="default"/>
          <w:b/>
          <w:bCs/>
          <w:sz w:val="31"/>
          <w:szCs w:val="31"/>
        </w:rPr>
      </w:pPr>
    </w:p>
    <w:p>
      <w:pPr>
        <w:pStyle w:val="BodyText"/>
        <w:spacing w:line="405" w:lineRule="auto"/>
        <w:ind w:right="1038" w:firstLine="401"/>
        <w:jc w:val="left"/>
      </w:pPr>
      <w:r>
        <w:rPr>
          <w:rFonts w:ascii="Times New Roman" w:hAnsi="Times New Roman" w:cs="Times New Roman" w:eastAsia="Times New Roman" w:hint="default"/>
          <w:spacing w:val="-1"/>
          <w:w w:val="95"/>
        </w:rPr>
        <w:t>2019</w:t>
      </w:r>
      <w:r>
        <w:rPr>
          <w:spacing w:val="-1"/>
          <w:w w:val="95"/>
        </w:rPr>
        <w:t>年，公司继续坚持以金融科技整体解决方案和数据中心综合服务为基础，深入推进区块链、人工智能、</w:t>
      </w:r>
      <w:r>
        <w:rPr>
          <w:spacing w:val="-51"/>
          <w:w w:val="95"/>
        </w:rPr>
        <w:t> </w:t>
      </w:r>
      <w:r>
        <w:rPr>
          <w:spacing w:val="-51"/>
          <w:w w:val="95"/>
        </w:rPr>
      </w:r>
      <w:r>
        <w:rPr>
          <w:w w:val="95"/>
        </w:rPr>
        <w:t>大数据、云服务等科技创新业务，打造价值共享的产业互联网科技赋能平台，引导产业客户实现从</w:t>
      </w:r>
      <w:r>
        <w:rPr>
          <w:rFonts w:ascii="Times New Roman" w:hAnsi="Times New Roman" w:cs="Times New Roman" w:eastAsia="Times New Roman" w:hint="default"/>
          <w:w w:val="95"/>
        </w:rPr>
        <w:t>IT</w:t>
      </w:r>
      <w:r>
        <w:rPr>
          <w:w w:val="95"/>
        </w:rPr>
        <w:t>到</w:t>
      </w:r>
      <w:r>
        <w:rPr>
          <w:rFonts w:ascii="Times New Roman" w:hAnsi="Times New Roman" w:cs="Times New Roman" w:eastAsia="Times New Roman" w:hint="default"/>
          <w:w w:val="95"/>
        </w:rPr>
        <w:t>DT</w:t>
      </w:r>
      <w:r>
        <w:rPr>
          <w:w w:val="95"/>
        </w:rPr>
        <w:t>到</w:t>
      </w:r>
      <w:r>
        <w:rPr>
          <w:rFonts w:ascii="Times New Roman" w:hAnsi="Times New Roman" w:cs="Times New Roman" w:eastAsia="Times New Roman" w:hint="default"/>
          <w:w w:val="95"/>
        </w:rPr>
        <w:t>AT</w:t>
      </w:r>
      <w:r>
        <w:rPr>
          <w:rFonts w:ascii="Times New Roman" w:hAnsi="Times New Roman" w:cs="Times New Roman" w:eastAsia="Times New Roman" w:hint="default"/>
          <w:spacing w:val="16"/>
          <w:w w:val="95"/>
        </w:rPr>
        <w:t> </w:t>
      </w:r>
      <w:r>
        <w:rPr/>
        <w:t>的技术升级。报告期内，公司实现营业收入</w:t>
      </w:r>
      <w:r>
        <w:rPr>
          <w:rFonts w:ascii="Times New Roman" w:hAnsi="Times New Roman" w:cs="Times New Roman" w:eastAsia="Times New Roman" w:hint="default"/>
        </w:rPr>
        <w:t>1,672,394,416.43</w:t>
      </w:r>
      <w:r>
        <w:rPr/>
        <w:t>元，较上年同期增长</w:t>
      </w:r>
      <w:r>
        <w:rPr>
          <w:rFonts w:ascii="Times New Roman" w:hAnsi="Times New Roman" w:cs="Times New Roman" w:eastAsia="Times New Roman" w:hint="default"/>
        </w:rPr>
        <w:t>12.57%</w:t>
      </w:r>
      <w:r>
        <w:rPr/>
        <w:t>；受资产减值影响，实</w:t>
      </w:r>
      <w:r>
        <w:rPr>
          <w:spacing w:val="-89"/>
        </w:rPr>
        <w:t> </w:t>
      </w:r>
      <w:r>
        <w:rPr>
          <w:spacing w:val="-89"/>
        </w:rPr>
      </w:r>
      <w:r>
        <w:rPr/>
        <w:t>现归属于上市公司股东的净利润</w:t>
      </w:r>
      <w:r>
        <w:rPr>
          <w:rFonts w:ascii="Times New Roman" w:hAnsi="Times New Roman" w:cs="Times New Roman" w:eastAsia="Times New Roman" w:hint="default"/>
        </w:rPr>
        <w:t>-281,841,963.94</w:t>
      </w:r>
      <w:r>
        <w:rPr/>
        <w:t>元，较上年同期下降</w:t>
      </w:r>
      <w:r>
        <w:rPr>
          <w:rFonts w:ascii="Times New Roman" w:hAnsi="Times New Roman" w:cs="Times New Roman" w:eastAsia="Times New Roman" w:hint="default"/>
        </w:rPr>
        <w:t>3,533.11%</w:t>
      </w:r>
      <w:r>
        <w:rPr/>
        <w:t>。</w:t>
      </w:r>
    </w:p>
    <w:p>
      <w:pPr>
        <w:pStyle w:val="BodyText"/>
        <w:spacing w:line="240" w:lineRule="auto" w:before="39"/>
        <w:ind w:left="554" w:right="1133"/>
        <w:jc w:val="left"/>
      </w:pPr>
      <w:r>
        <w:rPr/>
        <w:t>报告期内，公司继续在金融科技领域深化转型，稳扎稳打，主要开展了以下工作：</w:t>
      </w:r>
    </w:p>
    <w:p>
      <w:pPr>
        <w:spacing w:line="240" w:lineRule="auto" w:before="10"/>
        <w:rPr>
          <w:rFonts w:ascii="宋体" w:hAnsi="宋体" w:cs="宋体" w:eastAsia="宋体" w:hint="default"/>
          <w:sz w:val="15"/>
          <w:szCs w:val="15"/>
        </w:rPr>
      </w:pPr>
    </w:p>
    <w:p>
      <w:pPr>
        <w:pStyle w:val="BodyText"/>
        <w:spacing w:line="240" w:lineRule="auto"/>
        <w:ind w:left="554" w:right="1133"/>
        <w:jc w:val="left"/>
      </w:pPr>
      <w:r>
        <w:rPr>
          <w:rFonts w:ascii="Times New Roman" w:hAnsi="Times New Roman" w:cs="Times New Roman" w:eastAsia="Times New Roman" w:hint="default"/>
        </w:rPr>
        <w:t>1.</w:t>
      </w:r>
      <w:r>
        <w:rPr/>
        <w:t>稳步推进中小银行金融科技转型服务</w:t>
      </w:r>
    </w:p>
    <w:p>
      <w:pPr>
        <w:spacing w:line="240" w:lineRule="auto" w:before="8"/>
        <w:rPr>
          <w:rFonts w:ascii="宋体" w:hAnsi="宋体" w:cs="宋体" w:eastAsia="宋体" w:hint="default"/>
          <w:sz w:val="14"/>
          <w:szCs w:val="14"/>
        </w:rPr>
      </w:pPr>
    </w:p>
    <w:p>
      <w:pPr>
        <w:pStyle w:val="BodyText"/>
        <w:spacing w:line="412" w:lineRule="auto"/>
        <w:ind w:right="1131" w:firstLine="401"/>
        <w:jc w:val="both"/>
      </w:pPr>
      <w:r>
        <w:rPr>
          <w:rFonts w:ascii="Times New Roman" w:hAnsi="Times New Roman" w:cs="Times New Roman" w:eastAsia="Times New Roman" w:hint="default"/>
        </w:rPr>
        <w:t>2019</w:t>
      </w:r>
      <w:r>
        <w:rPr/>
        <w:t>年，公司继续致力于帮助国内众多中小银行数字化转型，提供开放银行整体解决方案、</w:t>
      </w:r>
      <w:r>
        <w:rPr>
          <w:rFonts w:ascii="Times New Roman" w:hAnsi="Times New Roman" w:cs="Times New Roman" w:eastAsia="Times New Roman" w:hint="default"/>
        </w:rPr>
        <w:t>IT</w:t>
      </w:r>
      <w:r>
        <w:rPr/>
        <w:t>支持等金融</w:t>
      </w:r>
      <w:r>
        <w:rPr>
          <w:w w:val="99"/>
        </w:rPr>
        <w:t> </w:t>
      </w:r>
      <w:r>
        <w:rPr/>
        <w:t>科技综合服务。公司已基本具备金融科技全业务链的服务能力，通过协助银行客户梳理数字化</w:t>
      </w:r>
      <w:r>
        <w:rPr>
          <w:rFonts w:ascii="Times New Roman" w:hAnsi="Times New Roman" w:cs="Times New Roman" w:eastAsia="Times New Roman" w:hint="default"/>
        </w:rPr>
        <w:t>IT</w:t>
      </w:r>
      <w:r>
        <w:rPr/>
        <w:t>战略框架，从</w:t>
      </w:r>
      <w:r>
        <w:rPr>
          <w:spacing w:val="-62"/>
        </w:rPr>
        <w:t> </w:t>
      </w:r>
      <w:r>
        <w:rPr>
          <w:spacing w:val="-62"/>
        </w:rPr>
      </w:r>
      <w:r>
        <w:rPr/>
        <w:t>体验创新、科技创新、生态创新及组织创新四条路径切入，为银行客户量身定制符合其自身战略发展需要的数</w:t>
      </w:r>
      <w:r>
        <w:rPr>
          <w:spacing w:val="-77"/>
        </w:rPr>
        <w:t> </w:t>
      </w:r>
      <w:r>
        <w:rPr>
          <w:spacing w:val="-77"/>
        </w:rPr>
      </w:r>
      <w:r>
        <w:rPr/>
        <w:t>字化银行</w:t>
      </w:r>
      <w:r>
        <w:rPr>
          <w:rFonts w:ascii="Times New Roman" w:hAnsi="Times New Roman" w:cs="Times New Roman" w:eastAsia="Times New Roman" w:hint="default"/>
        </w:rPr>
        <w:t>IT</w:t>
      </w:r>
      <w:r>
        <w:rPr/>
        <w:t>架构体系，为商业银行尤其是中小银行数字化转型提供持续动力。</w:t>
      </w:r>
    </w:p>
    <w:p>
      <w:pPr>
        <w:pStyle w:val="BodyText"/>
        <w:spacing w:line="405" w:lineRule="auto" w:before="31"/>
        <w:ind w:left="554" w:right="1133"/>
        <w:jc w:val="left"/>
      </w:pPr>
      <w:r>
        <w:rPr>
          <w:rFonts w:ascii="Times New Roman" w:hAnsi="Times New Roman" w:cs="Times New Roman" w:eastAsia="Times New Roman" w:hint="default"/>
        </w:rPr>
        <w:t>2.</w:t>
      </w:r>
      <w:r>
        <w:rPr/>
        <w:t>积极探索区块链相关技术及应用领域</w:t>
      </w:r>
      <w:r>
        <w:rPr>
          <w:w w:val="99"/>
        </w:rPr>
        <w:t> </w:t>
      </w:r>
      <w:r>
        <w:rPr/>
        <w:t>公司一直以来高度关注区块链技术的应用及发展，在区块链技术及应用等领域进行积极研究，目前公司已</w:t>
      </w:r>
    </w:p>
    <w:p>
      <w:pPr>
        <w:pStyle w:val="BodyText"/>
        <w:spacing w:line="417" w:lineRule="auto" w:before="68"/>
        <w:ind w:right="1129"/>
        <w:jc w:val="both"/>
      </w:pPr>
      <w:r>
        <w:rPr/>
        <w:t>经取得了多项计算机软件著作权。公司连续三年发布《中国区块链发展报告》，该书由中国人民银行等权威机</w:t>
      </w:r>
      <w:r>
        <w:rPr>
          <w:spacing w:val="-77"/>
        </w:rPr>
        <w:t> </w:t>
      </w:r>
      <w:r>
        <w:rPr>
          <w:spacing w:val="-77"/>
        </w:rPr>
      </w:r>
      <w:r>
        <w:rPr/>
        <w:t>构指导，中国社科院授权出版，公司董事长朱烨东担任执行主编。目前，公司正在金融、政务监管、民生三大</w:t>
      </w:r>
      <w:r>
        <w:rPr>
          <w:spacing w:val="-77"/>
        </w:rPr>
        <w:t> </w:t>
      </w:r>
      <w:r>
        <w:rPr>
          <w:spacing w:val="-77"/>
        </w:rPr>
      </w:r>
      <w:r>
        <w:rPr/>
        <w:t>领域进行区块链应用的探索。</w:t>
      </w:r>
      <w:r>
        <w:rPr>
          <w:rFonts w:ascii="Times New Roman" w:hAnsi="Times New Roman" w:cs="Times New Roman" w:eastAsia="Times New Roman" w:hint="default"/>
        </w:rPr>
        <w:t>2019</w:t>
      </w:r>
      <w:r>
        <w:rPr/>
        <w:t>年，公司成功中标首都机场集团公司 </w:t>
      </w:r>
      <w:r>
        <w:rPr>
          <w:rFonts w:ascii="Times New Roman" w:hAnsi="Times New Roman" w:cs="Times New Roman" w:eastAsia="Times New Roman" w:hint="default"/>
        </w:rPr>
        <w:t>“</w:t>
      </w:r>
      <w:r>
        <w:rPr/>
        <w:t>基于区块链技术旅客身份认证研究服</w:t>
      </w:r>
      <w:r>
        <w:rPr>
          <w:spacing w:val="-67"/>
        </w:rPr>
        <w:t> </w:t>
      </w:r>
      <w:r>
        <w:rPr>
          <w:spacing w:val="-1"/>
        </w:rPr>
        <w:t>务</w:t>
      </w:r>
      <w:r>
        <w:rPr>
          <w:rFonts w:ascii="Times New Roman" w:hAnsi="Times New Roman" w:cs="Times New Roman" w:eastAsia="Times New Roman" w:hint="default"/>
          <w:spacing w:val="-1"/>
        </w:rPr>
        <w:t>”</w:t>
      </w:r>
      <w:r>
        <w:rPr>
          <w:spacing w:val="-1"/>
        </w:rPr>
        <w:t>项目，利用区块链技术对旅客入口进行标记，建立自由安全的数据交互平台，确保用户的访问权限及数据安</w:t>
      </w:r>
      <w:r>
        <w:rPr>
          <w:w w:val="99"/>
        </w:rPr>
        <w:t> </w:t>
      </w:r>
      <w:r>
        <w:rPr/>
        <w:t>全。</w:t>
      </w:r>
    </w:p>
    <w:p>
      <w:pPr>
        <w:pStyle w:val="BodyText"/>
        <w:spacing w:line="240" w:lineRule="auto" w:before="58"/>
        <w:ind w:left="554" w:right="1133"/>
        <w:jc w:val="left"/>
      </w:pPr>
      <w:r>
        <w:rPr>
          <w:rFonts w:ascii="Times New Roman" w:hAnsi="Times New Roman" w:cs="Times New Roman" w:eastAsia="Times New Roman" w:hint="default"/>
        </w:rPr>
        <w:t>3.</w:t>
      </w:r>
      <w:r>
        <w:rPr/>
        <w:t>持续推进技术创新，</w:t>
      </w:r>
      <w:r>
        <w:rPr>
          <w:rFonts w:ascii="Times New Roman" w:hAnsi="Times New Roman" w:cs="Times New Roman" w:eastAsia="Times New Roman" w:hint="default"/>
        </w:rPr>
        <w:t>SINORPA</w:t>
      </w:r>
      <w:r>
        <w:rPr/>
        <w:t>系列产品已在多地上线运营</w:t>
      </w:r>
    </w:p>
    <w:p>
      <w:pPr>
        <w:spacing w:line="240" w:lineRule="auto" w:before="8"/>
        <w:rPr>
          <w:rFonts w:ascii="宋体" w:hAnsi="宋体" w:cs="宋体" w:eastAsia="宋体" w:hint="default"/>
          <w:sz w:val="14"/>
          <w:szCs w:val="14"/>
        </w:rPr>
      </w:pPr>
    </w:p>
    <w:p>
      <w:pPr>
        <w:pStyle w:val="BodyText"/>
        <w:spacing w:line="420" w:lineRule="auto"/>
        <w:ind w:right="1134" w:firstLine="401"/>
        <w:jc w:val="both"/>
      </w:pPr>
      <w:r>
        <w:rPr>
          <w:rFonts w:ascii="Times New Roman" w:hAnsi="Times New Roman" w:cs="Times New Roman" w:eastAsia="Times New Roman" w:hint="default"/>
          <w:spacing w:val="-2"/>
        </w:rPr>
        <w:t>2019</w:t>
      </w:r>
      <w:r>
        <w:rPr>
          <w:spacing w:val="-2"/>
        </w:rPr>
        <w:t>年，公司继续推进技术创新，以人工智能和</w:t>
      </w:r>
      <w:r>
        <w:rPr>
          <w:rFonts w:ascii="Times New Roman" w:hAnsi="Times New Roman" w:cs="Times New Roman" w:eastAsia="Times New Roman" w:hint="default"/>
          <w:spacing w:val="-2"/>
        </w:rPr>
        <w:t>RPA(</w:t>
      </w:r>
      <w:r>
        <w:rPr>
          <w:spacing w:val="-2"/>
        </w:rPr>
        <w:t>机器人流程自动化</w:t>
      </w:r>
      <w:r>
        <w:rPr>
          <w:rFonts w:ascii="Times New Roman" w:hAnsi="Times New Roman" w:cs="Times New Roman" w:eastAsia="Times New Roman" w:hint="default"/>
          <w:spacing w:val="-2"/>
        </w:rPr>
        <w:t>)</w:t>
      </w:r>
      <w:r>
        <w:rPr>
          <w:spacing w:val="-2"/>
        </w:rPr>
        <w:t>技术为基础，运用中科金财自主知</w:t>
      </w:r>
      <w:r>
        <w:rPr>
          <w:w w:val="99"/>
        </w:rPr>
        <w:t> </w:t>
      </w:r>
      <w:r>
        <w:rPr/>
        <w:t>识产权的</w:t>
      </w:r>
      <w:r>
        <w:rPr>
          <w:rFonts w:ascii="Times New Roman" w:hAnsi="Times New Roman" w:cs="Times New Roman" w:eastAsia="Times New Roman" w:hint="default"/>
        </w:rPr>
        <w:t>SINORPA</w:t>
      </w:r>
      <w:r>
        <w:rPr/>
        <w:t>平台自主研发了</w:t>
      </w:r>
      <w:r>
        <w:rPr>
          <w:rFonts w:ascii="Times New Roman" w:hAnsi="Times New Roman" w:cs="Times New Roman" w:eastAsia="Times New Roman" w:hint="default"/>
        </w:rPr>
        <w:t>SINORPA</w:t>
      </w:r>
      <w:r>
        <w:rPr/>
        <w:t>账户管理机器人、</w:t>
      </w:r>
      <w:r>
        <w:rPr>
          <w:rFonts w:ascii="Times New Roman" w:hAnsi="Times New Roman" w:cs="Times New Roman" w:eastAsia="Times New Roman" w:hint="default"/>
        </w:rPr>
        <w:t>SINORPA</w:t>
      </w:r>
      <w:r>
        <w:rPr/>
        <w:t>智能跑批机器人、</w:t>
      </w:r>
      <w:r>
        <w:rPr>
          <w:rFonts w:ascii="Times New Roman" w:hAnsi="Times New Roman" w:cs="Times New Roman" w:eastAsia="Times New Roman" w:hint="default"/>
        </w:rPr>
        <w:t>SINORPA</w:t>
      </w:r>
      <w:r>
        <w:rPr/>
        <w:t>超级银企</w:t>
      </w:r>
      <w:r>
        <w:rPr>
          <w:spacing w:val="-98"/>
        </w:rPr>
        <w:t> </w:t>
      </w:r>
      <w:r>
        <w:rPr>
          <w:spacing w:val="-98"/>
        </w:rPr>
      </w:r>
      <w:r>
        <w:rPr/>
        <w:t>直连机器人等产品，帮助银行、企业的业务部门和科技部门对现有流程进行诊断，通过智能软件机器人构建标</w:t>
      </w:r>
      <w:r>
        <w:rPr>
          <w:spacing w:val="-77"/>
        </w:rPr>
        <w:t> </w:t>
      </w:r>
      <w:r>
        <w:rPr>
          <w:spacing w:val="-77"/>
        </w:rPr>
      </w:r>
      <w:r>
        <w:rPr/>
        <w:t>准化流程解决方案，助力客户提升办公智慧化水平，进而提升工作效率、降低成本。目前已应用在商业银行对</w:t>
      </w:r>
      <w:r>
        <w:rPr>
          <w:spacing w:val="-77"/>
        </w:rPr>
        <w:t> </w:t>
      </w:r>
      <w:r>
        <w:rPr>
          <w:spacing w:val="-77"/>
        </w:rPr>
      </w:r>
      <w:r>
        <w:rPr/>
        <w:t>公开户、企业账户年检、银企对账、票据查重验真等多个领域，并已在多家商业银行和企业客户的办公环境中</w:t>
      </w:r>
      <w:r>
        <w:rPr>
          <w:spacing w:val="-70"/>
        </w:rPr>
        <w:t> </w:t>
      </w:r>
      <w:r>
        <w:rPr>
          <w:spacing w:val="-70"/>
        </w:rPr>
      </w:r>
      <w:r>
        <w:rPr/>
        <w:t>成功上线运营。</w:t>
      </w:r>
    </w:p>
    <w:p>
      <w:pPr>
        <w:pStyle w:val="BodyText"/>
        <w:spacing w:line="240" w:lineRule="auto" w:before="56"/>
        <w:ind w:left="554" w:right="1133"/>
        <w:jc w:val="left"/>
      </w:pPr>
      <w:r>
        <w:rPr>
          <w:rFonts w:ascii="Times New Roman" w:hAnsi="Times New Roman" w:cs="Times New Roman" w:eastAsia="Times New Roman" w:hint="default"/>
        </w:rPr>
        <w:t>4.</w:t>
      </w:r>
      <w:r>
        <w:rPr/>
        <w:t>进一步夯实优势业务，增强客户粘性</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24" w:lineRule="auto"/>
        <w:ind w:right="1136" w:firstLine="401"/>
        <w:jc w:val="both"/>
      </w:pPr>
      <w:r>
        <w:rPr>
          <w:rFonts w:ascii="Times New Roman" w:hAnsi="Times New Roman" w:cs="Times New Roman" w:eastAsia="Times New Roman" w:hint="default"/>
        </w:rPr>
        <w:t>2019</w:t>
      </w:r>
      <w:r>
        <w:rPr/>
        <w:t>年，公司继续积极研究和推进智能银行转型管理咨询服务、渠道整合、轻型网点、金融大数据分析、</w:t>
      </w:r>
      <w:r>
        <w:rPr>
          <w:w w:val="99"/>
        </w:rPr>
        <w:t> </w:t>
      </w:r>
      <w:r>
        <w:rPr/>
        <w:t>供应链融资、产业链融资、移动支付和数据中心综合服务等一系列解决方案和服务，进一步夯实公司在智能银</w:t>
      </w:r>
      <w:r>
        <w:rPr>
          <w:spacing w:val="-77"/>
        </w:rPr>
        <w:t> </w:t>
      </w:r>
      <w:r>
        <w:rPr>
          <w:spacing w:val="-77"/>
        </w:rPr>
      </w:r>
      <w:r>
        <w:rPr/>
        <w:t>行领域和数据中心综合解决方案领域的优势业务。同时，深入了解挖掘现有客户需求，利用公司长年的技术和</w:t>
      </w:r>
      <w:r>
        <w:rPr>
          <w:spacing w:val="-77"/>
        </w:rPr>
        <w:t> </w:t>
      </w:r>
      <w:r>
        <w:rPr>
          <w:spacing w:val="-77"/>
        </w:rPr>
      </w:r>
      <w:r>
        <w:rPr/>
        <w:t>经验的积累对客户的需求加以引领、合理规划，引导客户形成及完善新的需求，以获取继续与客户进行深入合</w:t>
      </w:r>
      <w:r>
        <w:rPr>
          <w:spacing w:val="-77"/>
        </w:rPr>
        <w:t> </w:t>
      </w:r>
      <w:r>
        <w:rPr>
          <w:spacing w:val="-77"/>
        </w:rPr>
      </w:r>
      <w:r>
        <w:rPr/>
        <w:t>作的机会，增强客户粘性。公司依托长年扎根金融、政府与公共事业、企业业务领域所积累的丰富专业经验和</w:t>
      </w:r>
      <w:r>
        <w:rPr>
          <w:spacing w:val="-72"/>
        </w:rPr>
        <w:t> </w:t>
      </w:r>
      <w:r>
        <w:rPr>
          <w:spacing w:val="-72"/>
        </w:rPr>
      </w:r>
      <w:r>
        <w:rPr/>
        <w:t>优质客户资源，进一步打造价值共享的产业互联网科技赋能平台，将公司在客户资源、技术实力、经营管理等</w:t>
      </w:r>
      <w:r>
        <w:rPr>
          <w:spacing w:val="-77"/>
        </w:rPr>
        <w:t> </w:t>
      </w:r>
      <w:r>
        <w:rPr>
          <w:spacing w:val="-77"/>
        </w:rPr>
      </w:r>
      <w:r>
        <w:rPr/>
        <w:t>领域的能力向产业链上下游合作伙伴开放，推出高附加值和客户粘性的服务和产品。</w:t>
      </w:r>
    </w:p>
    <w:p>
      <w:pPr>
        <w:pStyle w:val="BodyText"/>
        <w:spacing w:line="240" w:lineRule="auto" w:before="52"/>
        <w:ind w:left="554" w:right="1133"/>
        <w:jc w:val="left"/>
      </w:pPr>
      <w:r>
        <w:rPr>
          <w:rFonts w:ascii="Times New Roman" w:hAnsi="Times New Roman" w:cs="Times New Roman" w:eastAsia="Times New Roman" w:hint="default"/>
        </w:rPr>
        <w:t>5.</w:t>
      </w:r>
      <w:r>
        <w:rPr/>
        <w:t>企业文化深入一线，增强公司组织能力</w:t>
      </w:r>
    </w:p>
    <w:p>
      <w:pPr>
        <w:spacing w:line="240" w:lineRule="auto" w:before="9"/>
        <w:rPr>
          <w:rFonts w:ascii="宋体" w:hAnsi="宋体" w:cs="宋体" w:eastAsia="宋体" w:hint="default"/>
          <w:sz w:val="14"/>
          <w:szCs w:val="14"/>
        </w:rPr>
      </w:pPr>
    </w:p>
    <w:p>
      <w:pPr>
        <w:pStyle w:val="BodyText"/>
        <w:spacing w:line="422" w:lineRule="auto"/>
        <w:ind w:right="1135" w:firstLine="401"/>
        <w:jc w:val="both"/>
      </w:pPr>
      <w:r>
        <w:rPr>
          <w:rFonts w:ascii="Times New Roman" w:hAnsi="Times New Roman" w:cs="Times New Roman" w:eastAsia="Times New Roman" w:hint="default"/>
        </w:rPr>
        <w:t>2019</w:t>
      </w:r>
      <w:r>
        <w:rPr/>
        <w:t>年，公司在企业文化建设和经营人才培养方面持续投入，举办多场品牌文化活动、总裁训练营、总裁</w:t>
      </w:r>
      <w:r>
        <w:rPr>
          <w:w w:val="99"/>
        </w:rPr>
        <w:t> </w:t>
      </w:r>
      <w:r>
        <w:rPr/>
        <w:t>见面日、年陈文化活动，持续增强公司组织能力；党建方面，支部积极开展了多项主题活动，为公司的企业文</w:t>
      </w:r>
      <w:r>
        <w:rPr>
          <w:spacing w:val="-77"/>
        </w:rPr>
        <w:t> </w:t>
      </w:r>
      <w:r>
        <w:rPr>
          <w:spacing w:val="-77"/>
        </w:rPr>
      </w:r>
      <w:r>
        <w:rPr/>
        <w:t>化注入了新活力，发挥党员的先锋模范作用，进一步加强了管理人员领导能力建设，提升了员工的凝聚力和公</w:t>
      </w:r>
      <w:r>
        <w:rPr>
          <w:spacing w:val="-71"/>
        </w:rPr>
        <w:t> </w:t>
      </w:r>
      <w:r>
        <w:rPr>
          <w:spacing w:val="-71"/>
        </w:rPr>
      </w:r>
      <w:r>
        <w:rPr/>
        <w:t>司竞争力，推进党建工作和企业经营深度融合。</w:t>
      </w:r>
    </w:p>
    <w:p>
      <w:pPr>
        <w:spacing w:line="240" w:lineRule="auto" w:before="10"/>
        <w:rPr>
          <w:rFonts w:ascii="宋体" w:hAnsi="宋体" w:cs="宋体" w:eastAsia="宋体" w:hint="default"/>
          <w:sz w:val="18"/>
          <w:szCs w:val="18"/>
        </w:rPr>
      </w:pPr>
    </w:p>
    <w:p>
      <w:pPr>
        <w:pStyle w:val="Heading2"/>
        <w:spacing w:line="240" w:lineRule="auto"/>
        <w:ind w:right="1133"/>
        <w:jc w:val="left"/>
        <w:rPr>
          <w:b w:val="0"/>
          <w:bCs w:val="0"/>
        </w:rPr>
      </w:pPr>
      <w:bookmarkStart w:name="二、主营业务分析" w:id="26"/>
      <w:bookmarkEnd w:id="26"/>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spacing w:line="518" w:lineRule="auto" w:before="0"/>
        <w:ind w:left="152" w:right="5999"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20"/>
          <w:szCs w:val="20"/>
        </w:rPr>
        <w:t>参见</w:t>
      </w:r>
      <w:r>
        <w:rPr>
          <w:rFonts w:ascii="Times New Roman" w:hAnsi="Times New Roman" w:cs="Times New Roman" w:eastAsia="Times New Roman" w:hint="default"/>
          <w:sz w:val="20"/>
          <w:szCs w:val="20"/>
        </w:rPr>
        <w:t>“</w:t>
      </w:r>
      <w:r>
        <w:rPr>
          <w:rFonts w:ascii="宋体" w:hAnsi="宋体" w:cs="宋体" w:eastAsia="宋体" w:hint="default"/>
          <w:sz w:val="20"/>
          <w:szCs w:val="20"/>
        </w:rPr>
        <w:t>经营情况讨论与分析</w:t>
      </w:r>
      <w:r>
        <w:rPr>
          <w:rFonts w:ascii="Times New Roman" w:hAnsi="Times New Roman" w:cs="Times New Roman" w:eastAsia="Times New Roman" w:hint="default"/>
          <w:sz w:val="20"/>
          <w:szCs w:val="20"/>
        </w:rPr>
        <w:t>”</w:t>
      </w:r>
      <w:r>
        <w:rPr>
          <w:rFonts w:ascii="宋体" w:hAnsi="宋体" w:cs="宋体" w:eastAsia="宋体" w:hint="default"/>
          <w:sz w:val="20"/>
          <w:szCs w:val="20"/>
        </w:rPr>
        <w:t>中的</w:t>
      </w:r>
      <w:r>
        <w:rPr>
          <w:rFonts w:ascii="Times New Roman" w:hAnsi="Times New Roman" w:cs="Times New Roman" w:eastAsia="Times New Roman" w:hint="default"/>
          <w:sz w:val="20"/>
          <w:szCs w:val="20"/>
        </w:rPr>
        <w:t>“</w:t>
      </w:r>
      <w:r>
        <w:rPr>
          <w:rFonts w:ascii="宋体" w:hAnsi="宋体" w:cs="宋体" w:eastAsia="宋体" w:hint="default"/>
          <w:sz w:val="20"/>
          <w:szCs w:val="20"/>
        </w:rPr>
        <w:t>一、概述</w:t>
      </w:r>
      <w:r>
        <w:rPr>
          <w:rFonts w:ascii="Times New Roman" w:hAnsi="Times New Roman" w:cs="Times New Roman" w:eastAsia="Times New Roman" w:hint="default"/>
          <w:sz w:val="20"/>
          <w:szCs w:val="20"/>
        </w:rPr>
        <w:t>”</w:t>
      </w:r>
      <w:r>
        <w:rPr>
          <w:rFonts w:ascii="宋体" w:hAnsi="宋体" w:cs="宋体" w:eastAsia="宋体" w:hint="default"/>
          <w:sz w:val="20"/>
          <w:szCs w:val="20"/>
        </w:rPr>
        <w:t>相关内容。</w:t>
      </w:r>
      <w:r>
        <w:rPr>
          <w:rFonts w:ascii="宋体" w:hAnsi="宋体" w:cs="宋体" w:eastAsia="宋体" w:hint="default"/>
          <w:w w:val="99"/>
          <w:sz w:val="20"/>
          <w:szCs w:val="20"/>
        </w:rPr>
        <w:t> </w:t>
      </w:r>
      <w:bookmarkStart w:name="2、收入与成本" w:id="28"/>
      <w:bookmarkEnd w:id="28"/>
      <w:r>
        <w:rPr>
          <w:rFonts w:ascii="宋体" w:hAnsi="宋体" w:cs="宋体" w:eastAsia="宋体" w:hint="default"/>
          <w:w w:val="99"/>
          <w:sz w:val="20"/>
          <w:szCs w:val="20"/>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54"/>
        <w:ind w:right="1133"/>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0"/>
        <w:gridCol w:w="1594"/>
        <w:gridCol w:w="1590"/>
        <w:gridCol w:w="1600"/>
        <w:gridCol w:w="1586"/>
        <w:gridCol w:w="1598"/>
      </w:tblGrid>
      <w:tr>
        <w:trPr>
          <w:trHeight w:val="206" w:hRule="exact"/>
        </w:trPr>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600" w:type="dxa"/>
            <w:vMerge w:val="restart"/>
            <w:tcBorders>
              <w:top w:val="nil" w:sz="6" w:space="0" w:color="auto"/>
              <w:left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600"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0"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1,672,394,416.43</w:t>
            </w:r>
          </w:p>
        </w:tc>
        <w:tc>
          <w:tcPr>
            <w:tcW w:w="1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600"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1,485,625,293.81</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100%</w:t>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12.57%</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634,538,334.73</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37.94%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554,636,946.13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37.33%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14.41%</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政府与公共事业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592,731,761.98</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35.44%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337,203,802.25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22.70%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75.78%</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445,124,319.72</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26.62%</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593,784,545.43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39.97%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-25.04%</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金融科技综合服务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643,520,055.99</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38.48%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569,178,709.88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38.31%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13.06%</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数据中心综合服务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982,243,377.03</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58.73%</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912,167,936.21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61.40%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7.68%</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46,630,983.41</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4,278,647.72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0.29%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989.85%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1,203,850,935.66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71.98%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1,137,249,441.22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76.55%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5.86%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468,543,480.77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348,375,852.59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34.49%</w:t>
            </w:r>
          </w:p>
        </w:tc>
      </w:tr>
    </w:tbl>
    <w:p>
      <w:pPr>
        <w:pStyle w:val="BodyText"/>
        <w:spacing w:line="268" w:lineRule="auto" w:before="33"/>
        <w:ind w:right="1117"/>
        <w:jc w:val="left"/>
      </w:pPr>
      <w:r>
        <w:rPr/>
        <w:t>公司需遵守《深圳证券交易所行业信息披露指引第</w:t>
      </w:r>
      <w:r>
        <w:rPr>
          <w:spacing w:val="-81"/>
        </w:rPr>
        <w:t> </w:t>
      </w:r>
      <w:r>
        <w:rPr>
          <w:rFonts w:ascii="Times New Roman" w:hAnsi="Times New Roman" w:cs="Times New Roman" w:eastAsia="Times New Roman" w:hint="default"/>
        </w:rPr>
        <w:t>12</w:t>
      </w:r>
      <w:r>
        <w:rPr>
          <w:rFonts w:ascii="Times New Roman" w:hAnsi="Times New Roman" w:cs="Times New Roman" w:eastAsia="Times New Roman" w:hint="default"/>
          <w:spacing w:val="-32"/>
        </w:rPr>
        <w:t> </w:t>
      </w:r>
      <w:r>
        <w:rPr/>
        <w:t>号</w:t>
      </w:r>
      <w:r>
        <w:rPr>
          <w:rFonts w:ascii="Times New Roman" w:hAnsi="Times New Roman" w:cs="Times New Roman" w:eastAsia="Times New Roman" w:hint="default"/>
        </w:rPr>
        <w:t>——</w:t>
      </w:r>
      <w:r>
        <w:rPr/>
        <w:t>上市公司从事软件与信息技术服务业务》的披露要</w:t>
      </w:r>
      <w:r>
        <w:rPr>
          <w:w w:val="99"/>
        </w:rPr>
        <w:t> </w:t>
      </w:r>
      <w:r>
        <w:rPr/>
        <w:t>求</w:t>
      </w:r>
    </w:p>
    <w:p>
      <w:pPr>
        <w:spacing w:before="8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96"/>
        <w:gridCol w:w="1020"/>
        <w:gridCol w:w="1009"/>
        <w:gridCol w:w="1013"/>
        <w:gridCol w:w="1011"/>
        <w:gridCol w:w="1003"/>
        <w:gridCol w:w="1006"/>
        <w:gridCol w:w="1001"/>
        <w:gridCol w:w="1003"/>
      </w:tblGrid>
      <w:tr>
        <w:trPr>
          <w:trHeight w:val="206" w:hRule="exact"/>
        </w:trPr>
        <w:tc>
          <w:tcPr>
            <w:tcW w:w="1496" w:type="dxa"/>
            <w:tcBorders>
              <w:top w:val="single" w:sz="4" w:space="0" w:color="000000"/>
              <w:left w:val="single" w:sz="4" w:space="0" w:color="000000"/>
              <w:bottom w:val="nil" w:sz="6" w:space="0" w:color="auto"/>
              <w:right w:val="single" w:sz="4" w:space="0" w:color="000000"/>
            </w:tcBorders>
            <w:shd w:val="clear" w:color="auto" w:fill="D2D2D2"/>
          </w:tcPr>
          <w:p>
            <w:pPr/>
          </w:p>
        </w:tc>
        <w:tc>
          <w:tcPr>
            <w:tcW w:w="405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013"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190" w:hRule="exact"/>
        </w:trPr>
        <w:tc>
          <w:tcPr>
            <w:tcW w:w="1496" w:type="dxa"/>
            <w:vMerge w:val="restart"/>
            <w:tcBorders>
              <w:top w:val="nil" w:sz="6" w:space="0" w:color="auto"/>
              <w:left w:val="single" w:sz="4" w:space="0" w:color="000000"/>
              <w:right w:val="single" w:sz="4" w:space="0" w:color="000000"/>
            </w:tcBorders>
            <w:shd w:val="clear" w:color="auto" w:fill="D2D2D2"/>
          </w:tcPr>
          <w:p>
            <w:pPr/>
          </w:p>
        </w:tc>
        <w:tc>
          <w:tcPr>
            <w:tcW w:w="4052" w:type="dxa"/>
            <w:gridSpan w:val="4"/>
            <w:vMerge/>
            <w:tcBorders>
              <w:left w:val="single" w:sz="4" w:space="0" w:color="000000"/>
              <w:bottom w:val="single" w:sz="4" w:space="0" w:color="000000"/>
              <w:right w:val="single" w:sz="4" w:space="0" w:color="000000"/>
            </w:tcBorders>
            <w:shd w:val="clear" w:color="auto" w:fill="D2D2D2"/>
          </w:tcPr>
          <w:p>
            <w:pPr/>
          </w:p>
        </w:tc>
        <w:tc>
          <w:tcPr>
            <w:tcW w:w="4013"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496" w:type="dxa"/>
            <w:vMerge/>
            <w:tcBorders>
              <w:left w:val="single" w:sz="4" w:space="0" w:color="000000"/>
              <w:bottom w:val="nil" w:sz="6" w:space="0" w:color="auto"/>
              <w:right w:val="single" w:sz="4" w:space="0" w:color="000000"/>
            </w:tcBorders>
            <w:shd w:val="clear" w:color="auto" w:fill="D2D2D2"/>
          </w:tcPr>
          <w:p>
            <w:pPr/>
          </w:p>
        </w:tc>
        <w:tc>
          <w:tcPr>
            <w:tcW w:w="10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1"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7"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6" w:hRule="exact"/>
        </w:trPr>
        <w:tc>
          <w:tcPr>
            <w:tcW w:w="14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0" w:type="dxa"/>
            <w:vMerge/>
            <w:tcBorders>
              <w:left w:val="single" w:sz="4" w:space="0" w:color="000000"/>
              <w:bottom w:val="single" w:sz="4" w:space="0" w:color="000000"/>
              <w:right w:val="single" w:sz="4" w:space="0" w:color="000000"/>
            </w:tcBorders>
            <w:shd w:val="clear" w:color="auto" w:fill="D2D2D2"/>
          </w:tcPr>
          <w:p>
            <w:pPr/>
          </w:p>
        </w:tc>
        <w:tc>
          <w:tcPr>
            <w:tcW w:w="1009" w:type="dxa"/>
            <w:vMerge/>
            <w:tcBorders>
              <w:left w:val="single" w:sz="4" w:space="0" w:color="000000"/>
              <w:bottom w:val="single" w:sz="4" w:space="0" w:color="000000"/>
              <w:right w:val="single" w:sz="4" w:space="0" w:color="000000"/>
            </w:tcBorders>
            <w:shd w:val="clear" w:color="auto" w:fill="D2D2D2"/>
          </w:tcPr>
          <w:p>
            <w:pPr/>
          </w:p>
        </w:tc>
        <w:tc>
          <w:tcPr>
            <w:tcW w:w="1013"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6"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0" w:type="dxa"/>
            <w:vMerge w:val="restart"/>
            <w:tcBorders>
              <w:top w:val="single" w:sz="4" w:space="0" w:color="000000"/>
              <w:left w:val="single" w:sz="10"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264,278,507.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60</w:t>
            </w:r>
          </w:p>
        </w:tc>
        <w:tc>
          <w:tcPr>
            <w:tcW w:w="1009"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359,456,292.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84</w:t>
            </w:r>
          </w:p>
        </w:tc>
        <w:tc>
          <w:tcPr>
            <w:tcW w:w="101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331,684,721.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26</w:t>
            </w:r>
          </w:p>
        </w:tc>
        <w:tc>
          <w:tcPr>
            <w:tcW w:w="101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716,974,894.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73</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225,669,963.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34</w:t>
            </w:r>
          </w:p>
        </w:tc>
        <w:tc>
          <w:tcPr>
            <w:tcW w:w="100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386,118,495.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55</w:t>
            </w:r>
          </w:p>
        </w:tc>
        <w:tc>
          <w:tcPr>
            <w:tcW w:w="100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211,240,261.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06</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662,596,573.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86</w:t>
            </w:r>
          </w:p>
        </w:tc>
      </w:tr>
      <w:tr>
        <w:trPr>
          <w:trHeight w:val="391" w:hRule="exact"/>
        </w:trPr>
        <w:tc>
          <w:tcPr>
            <w:tcW w:w="14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20" w:type="dxa"/>
            <w:vMerge/>
            <w:tcBorders>
              <w:left w:val="single" w:sz="10" w:space="0" w:color="D2D2D2"/>
              <w:right w:val="single" w:sz="4" w:space="0" w:color="000000"/>
            </w:tcBorders>
          </w:tcPr>
          <w:p>
            <w:pPr/>
          </w:p>
        </w:tc>
        <w:tc>
          <w:tcPr>
            <w:tcW w:w="1009" w:type="dxa"/>
            <w:vMerge/>
            <w:tcBorders>
              <w:left w:val="single" w:sz="4" w:space="0" w:color="000000"/>
              <w:right w:val="single" w:sz="4" w:space="0" w:color="000000"/>
            </w:tcBorders>
          </w:tcPr>
          <w:p>
            <w:pPr/>
          </w:p>
        </w:tc>
        <w:tc>
          <w:tcPr>
            <w:tcW w:w="1013"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c>
          <w:tcPr>
            <w:tcW w:w="100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r>
      <w:tr>
        <w:trPr>
          <w:trHeight w:val="161" w:hRule="exact"/>
        </w:trPr>
        <w:tc>
          <w:tcPr>
            <w:tcW w:w="14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0" w:type="dxa"/>
            <w:vMerge/>
            <w:tcBorders>
              <w:left w:val="single" w:sz="10" w:space="0" w:color="D2D2D2"/>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6"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r>
      <w:tr>
        <w:trPr>
          <w:trHeight w:val="716"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3"/>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97,845,085.7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-1,785,422.6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4,338,875.85</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sz w:val="18"/>
              </w:rPr>
              <w:t>-382,240,50</w:t>
            </w:r>
          </w:p>
          <w:p>
            <w:pPr>
              <w:pStyle w:val="TableParagraph"/>
              <w:spacing w:line="240" w:lineRule="auto" w:before="105"/>
              <w:ind w:left="665" w:right="0"/>
              <w:jc w:val="left"/>
              <w:rPr>
                <w:rFonts w:ascii="Times New Roman" w:hAnsi="Times New Roman" w:cs="Times New Roman" w:eastAsia="Times New Roman" w:hint="default"/>
                <w:sz w:val="18"/>
                <w:szCs w:val="18"/>
              </w:rPr>
            </w:pPr>
            <w:r>
              <w:rPr>
                <w:rFonts w:ascii="Times New Roman"/>
                <w:sz w:val="18"/>
              </w:rPr>
              <w:t>2.83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29,490,648.4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38,000,622.8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0" w:right="0"/>
              <w:jc w:val="left"/>
              <w:rPr>
                <w:rFonts w:ascii="Times New Roman" w:hAnsi="Times New Roman" w:cs="Times New Roman" w:eastAsia="Times New Roman" w:hint="default"/>
                <w:sz w:val="18"/>
                <w:szCs w:val="18"/>
              </w:rPr>
            </w:pPr>
            <w:r>
              <w:rPr>
                <w:rFonts w:ascii="Times New Roman"/>
                <w:sz w:val="18"/>
              </w:rPr>
              <w:t>69,525.23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-59,351,281.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r>
    </w:tbl>
    <w:p>
      <w:pPr>
        <w:pStyle w:val="BodyText"/>
        <w:spacing w:line="393" w:lineRule="auto" w:before="33"/>
        <w:ind w:left="554" w:right="1133" w:hanging="402"/>
        <w:jc w:val="left"/>
      </w:pPr>
      <w:r>
        <w:rPr/>
        <w:t>说明经营季节性（或周期性）发生的原因及波动风险</w:t>
      </w:r>
      <w:r>
        <w:rPr>
          <w:w w:val="99"/>
        </w:rPr>
        <w:t> </w:t>
      </w:r>
      <w:r>
        <w:rPr/>
        <w:t>公司主营业务经营具有一定的季节性特征。公司的金融科技综合服务和数据中心综合服务业务主要面向金</w:t>
      </w:r>
    </w:p>
    <w:p>
      <w:pPr>
        <w:pStyle w:val="BodyText"/>
        <w:spacing w:line="429" w:lineRule="auto" w:before="78"/>
        <w:ind w:right="1142"/>
        <w:jc w:val="both"/>
      </w:pPr>
      <w:r>
        <w:rPr/>
        <w:t>融机构、政府与公共事业和企业客户，该类客户大多执行预算决算体制，其预算、立项、招标、采购和实施都</w:t>
      </w:r>
      <w:r>
        <w:rPr>
          <w:spacing w:val="-77"/>
        </w:rPr>
        <w:t> </w:t>
      </w:r>
      <w:r>
        <w:rPr>
          <w:spacing w:val="-77"/>
        </w:rPr>
      </w:r>
      <w:r>
        <w:rPr/>
        <w:t>有明显的季节性特征，尤其是第四季度业务收入高于前三季度。总体上看，公司经营具有一定的季节性特征，</w:t>
      </w:r>
      <w:r>
        <w:rPr>
          <w:spacing w:val="-77"/>
        </w:rPr>
        <w:t> </w:t>
      </w:r>
      <w:r>
        <w:rPr>
          <w:spacing w:val="-77"/>
        </w:rPr>
      </w:r>
      <w:r>
        <w:rPr/>
        <w:t>主营业务收入第四季度相对集中，全年收入分布不均衡，存在业绩季节性波动的风险。</w:t>
      </w:r>
    </w:p>
    <w:p>
      <w:pPr>
        <w:spacing w:line="240" w:lineRule="auto" w:before="3"/>
        <w:rPr>
          <w:rFonts w:ascii="宋体" w:hAnsi="宋体" w:cs="宋体" w:eastAsia="宋体" w:hint="default"/>
          <w:sz w:val="20"/>
          <w:szCs w:val="20"/>
        </w:rPr>
      </w:pPr>
    </w:p>
    <w:p>
      <w:pPr>
        <w:pStyle w:val="Heading3"/>
        <w:spacing w:line="240" w:lineRule="auto"/>
        <w:ind w:right="0"/>
        <w:jc w:val="both"/>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4"/>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t>不适用</w:t>
      </w:r>
    </w:p>
    <w:p>
      <w:pPr>
        <w:pStyle w:val="BodyText"/>
        <w:spacing w:line="271" w:lineRule="auto" w:before="73"/>
        <w:ind w:right="1135"/>
        <w:jc w:val="both"/>
      </w:pPr>
      <w:r>
        <w:rPr/>
        <w:t>公司需遵守《深圳证券交易所行业信息披露指引第</w:t>
      </w:r>
      <w:r>
        <w:rPr>
          <w:spacing w:val="-81"/>
        </w:rPr>
        <w:t> </w:t>
      </w:r>
      <w:r>
        <w:rPr>
          <w:rFonts w:ascii="Times New Roman" w:hAnsi="Times New Roman" w:cs="Times New Roman" w:eastAsia="Times New Roman" w:hint="default"/>
        </w:rPr>
        <w:t>12</w:t>
      </w:r>
      <w:r>
        <w:rPr>
          <w:rFonts w:ascii="Times New Roman" w:hAnsi="Times New Roman" w:cs="Times New Roman" w:eastAsia="Times New Roman" w:hint="default"/>
          <w:spacing w:val="-32"/>
        </w:rPr>
        <w:t> </w:t>
      </w:r>
      <w:r>
        <w:rPr/>
        <w:t>号</w:t>
      </w:r>
      <w:r>
        <w:rPr>
          <w:rFonts w:ascii="Times New Roman" w:hAnsi="Times New Roman" w:cs="Times New Roman" w:eastAsia="Times New Roman" w:hint="default"/>
        </w:rPr>
        <w:t>——</w:t>
      </w:r>
      <w:r>
        <w:rPr/>
        <w:t>上市公司从事软件与信息技术服务业务》的披露要</w:t>
      </w:r>
      <w:r>
        <w:rPr>
          <w:w w:val="99"/>
        </w:rPr>
        <w:t> </w:t>
      </w:r>
      <w:r>
        <w:rPr/>
        <w:t>求</w:t>
      </w:r>
    </w:p>
    <w:p>
      <w:pPr>
        <w:spacing w:before="8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634,538,334.73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497,815,996.51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政府与公共事业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592,731,761.98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530,427,472.23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89.44%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445,124,319.72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407,127,124.12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-8.70%</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金融科技综合服 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643,520,055.99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511,399,341.61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17.88%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数据中心综合服 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982,243,377.03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875,093,833.68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15.76%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-6.21%</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1,203,850,935.66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1,034,517,743.25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468,543,480.77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400,852,849.61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34.49%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45.49%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-6.47%</w:t>
            </w:r>
          </w:p>
        </w:tc>
      </w:tr>
    </w:tbl>
    <w:p>
      <w:pPr>
        <w:pStyle w:val="BodyText"/>
        <w:spacing w:line="240" w:lineRule="auto" w:before="33"/>
        <w:ind w:right="1133"/>
        <w:jc w:val="left"/>
      </w:pPr>
      <w:r>
        <w:rPr/>
        <w:t>公司主营业务数据统计口径在报告期发生调整的情况下，公司最近</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年按报告期末口径调整后的主营业务数据</w:t>
      </w:r>
    </w:p>
    <w:p>
      <w:pPr>
        <w:pStyle w:val="BodyText"/>
        <w:spacing w:line="240" w:lineRule="auto" w:before="7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4"/>
        <w:rPr>
          <w:rFonts w:ascii="宋体" w:hAnsi="宋体" w:cs="宋体" w:eastAsia="宋体" w:hint="default"/>
          <w:sz w:val="25"/>
          <w:szCs w:val="25"/>
        </w:rPr>
      </w:pPr>
    </w:p>
    <w:p>
      <w:pPr>
        <w:pStyle w:val="Heading3"/>
        <w:spacing w:line="240" w:lineRule="auto"/>
        <w:ind w:right="1133"/>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否</w:t>
      </w:r>
    </w:p>
    <w:p>
      <w:pPr>
        <w:spacing w:line="240" w:lineRule="auto" w:before="4"/>
        <w:rPr>
          <w:rFonts w:ascii="宋体" w:hAnsi="宋体" w:cs="宋体" w:eastAsia="宋体" w:hint="default"/>
          <w:sz w:val="25"/>
          <w:szCs w:val="25"/>
        </w:rPr>
      </w:pPr>
    </w:p>
    <w:p>
      <w:pPr>
        <w:pStyle w:val="Heading3"/>
        <w:spacing w:line="240" w:lineRule="auto"/>
        <w:ind w:right="1133"/>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2"/>
        <w:rPr>
          <w:rFonts w:ascii="宋体" w:hAnsi="宋体" w:cs="宋体" w:eastAsia="宋体" w:hint="default"/>
          <w:sz w:val="25"/>
          <w:szCs w:val="25"/>
        </w:rPr>
      </w:pPr>
    </w:p>
    <w:p>
      <w:pPr>
        <w:pStyle w:val="Heading3"/>
        <w:spacing w:line="240" w:lineRule="auto"/>
        <w:ind w:right="1133"/>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37"/>
        <w:ind w:right="0"/>
        <w:jc w:val="left"/>
      </w:pPr>
      <w:r>
        <w:rPr>
          <w:w w:val="95"/>
        </w:rPr>
        <w:t>行业和产品分类</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550" w:space="7371"/>
            <w:col w:w="2009"/>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商品及服务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497,815,996.51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34.68%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422,268,477.42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35.37%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17.89%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政府与公共事业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商品及服务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530,427,472.23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279,992,592.98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89.44%</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商品及服务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407,127,124.12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28.36%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491,443,930.19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41.17%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-17.16%</w:t>
            </w:r>
          </w:p>
        </w:tc>
      </w:tr>
    </w:tbl>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金融科技综合服 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商品及服务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511,399,341.61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433,822,913.59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17.88%</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数据中心综合服 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商品及服务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875,093,833.68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755,982,396.63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63.33%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15.76%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商品及服务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48,877,417.57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3,899,690.37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1,153.37%</w:t>
            </w:r>
          </w:p>
        </w:tc>
      </w:tr>
    </w:tbl>
    <w:p>
      <w:pPr>
        <w:pStyle w:val="BodyText"/>
        <w:spacing w:line="271" w:lineRule="auto" w:before="33"/>
        <w:ind w:right="1117"/>
        <w:jc w:val="left"/>
      </w:pPr>
      <w:r>
        <w:rPr/>
        <w:t>公司需遵守《深圳证券交易所行业信息披露指引第</w:t>
      </w:r>
      <w:r>
        <w:rPr>
          <w:spacing w:val="-81"/>
        </w:rPr>
        <w:t> </w:t>
      </w:r>
      <w:r>
        <w:rPr>
          <w:rFonts w:ascii="Times New Roman" w:hAnsi="Times New Roman" w:cs="Times New Roman" w:eastAsia="Times New Roman" w:hint="default"/>
        </w:rPr>
        <w:t>12</w:t>
      </w:r>
      <w:r>
        <w:rPr>
          <w:rFonts w:ascii="Times New Roman" w:hAnsi="Times New Roman" w:cs="Times New Roman" w:eastAsia="Times New Roman" w:hint="default"/>
          <w:spacing w:val="-32"/>
        </w:rPr>
        <w:t> </w:t>
      </w:r>
      <w:r>
        <w:rPr/>
        <w:t>号</w:t>
      </w:r>
      <w:r>
        <w:rPr>
          <w:rFonts w:ascii="Times New Roman" w:hAnsi="Times New Roman" w:cs="Times New Roman" w:eastAsia="Times New Roman" w:hint="default"/>
        </w:rPr>
        <w:t>——</w:t>
      </w:r>
      <w:r>
        <w:rPr/>
        <w:t>上市公司从事软件与信息技术服务业务》的披露要</w:t>
      </w:r>
      <w:r>
        <w:rPr>
          <w:w w:val="99"/>
        </w:rPr>
        <w:t> </w:t>
      </w:r>
      <w:r>
        <w:rPr/>
        <w:t>求</w:t>
      </w:r>
    </w:p>
    <w:p>
      <w:pPr>
        <w:pStyle w:val="BodyText"/>
        <w:spacing w:line="240" w:lineRule="auto" w:before="62"/>
        <w:ind w:right="1133"/>
        <w:jc w:val="left"/>
      </w:pPr>
      <w:r>
        <w:rPr/>
        <w:t>主营业务成本构成</w:t>
      </w:r>
    </w:p>
    <w:p>
      <w:pPr>
        <w:spacing w:before="10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商品及服务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1,386,493,175.29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96.59%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1,189,805,310.22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99.67%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16.53%</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p>
    <w:p>
      <w:pPr>
        <w:pStyle w:val="BodyText"/>
        <w:spacing w:line="422" w:lineRule="auto" w:before="152"/>
        <w:ind w:right="1134" w:firstLine="401"/>
        <w:jc w:val="both"/>
      </w:pPr>
      <w:r>
        <w:rPr/>
        <w:t>本年与上年比较减少合并单位</w:t>
      </w:r>
      <w:r>
        <w:rPr>
          <w:rFonts w:ascii="Times New Roman" w:hAnsi="Times New Roman" w:cs="Times New Roman" w:eastAsia="Times New Roman" w:hint="default"/>
        </w:rPr>
        <w:t>4</w:t>
      </w:r>
      <w:r>
        <w:rPr/>
        <w:t>家，增加</w:t>
      </w:r>
      <w:r>
        <w:rPr>
          <w:rFonts w:ascii="Times New Roman" w:hAnsi="Times New Roman" w:cs="Times New Roman" w:eastAsia="Times New Roman" w:hint="default"/>
        </w:rPr>
        <w:t>2</w:t>
      </w:r>
      <w:r>
        <w:rPr/>
        <w:t>家。报告期内因注销减少霍尔果斯滨河创新软件技术有限公司、</w:t>
      </w:r>
      <w:r>
        <w:rPr>
          <w:w w:val="99"/>
        </w:rPr>
        <w:t> </w:t>
      </w:r>
      <w:r>
        <w:rPr/>
        <w:t>霍尔果斯金财科技服务有限公司、上海中科金财资产管理中心（有限合伙）；报告期内因股权被动稀释，核算</w:t>
      </w:r>
      <w:r>
        <w:rPr>
          <w:spacing w:val="-70"/>
        </w:rPr>
        <w:t> </w:t>
      </w:r>
      <w:r>
        <w:rPr>
          <w:spacing w:val="-70"/>
        </w:rPr>
      </w:r>
      <w:r>
        <w:rPr/>
        <w:t>方法由长期股权投资成本法改为权益法减少大连金融资产交易所有限公司。报告期内因投资设立增加北京中科</w:t>
      </w:r>
      <w:r>
        <w:rPr>
          <w:spacing w:val="-77"/>
        </w:rPr>
        <w:t> </w:t>
      </w:r>
      <w:r>
        <w:rPr>
          <w:spacing w:val="-77"/>
        </w:rPr>
      </w:r>
      <w:r>
        <w:rPr/>
        <w:t>金财智能技术有限公司，因非同一控制下企业合并增加北京志东方科技有限责任公司。</w:t>
      </w:r>
    </w:p>
    <w:p>
      <w:pPr>
        <w:pStyle w:val="BodyText"/>
        <w:spacing w:line="240" w:lineRule="auto" w:before="54"/>
        <w:ind w:left="554" w:right="1133"/>
        <w:jc w:val="left"/>
      </w:pPr>
      <w:r>
        <w:rPr/>
        <w:t>详见本报告“第十二节 财务报告</w:t>
      </w:r>
      <w:r>
        <w:rPr>
          <w:spacing w:val="-46"/>
        </w:rPr>
        <w:t> </w:t>
      </w:r>
      <w:r>
        <w:rPr/>
        <w:t>八、合并范围的变更”。</w:t>
      </w:r>
    </w:p>
    <w:p>
      <w:pPr>
        <w:spacing w:line="240" w:lineRule="auto" w:before="0"/>
        <w:rPr>
          <w:rFonts w:ascii="宋体" w:hAnsi="宋体" w:cs="宋体" w:eastAsia="宋体" w:hint="default"/>
          <w:sz w:val="20"/>
          <w:szCs w:val="20"/>
        </w:rPr>
      </w:pPr>
    </w:p>
    <w:p>
      <w:pPr>
        <w:pStyle w:val="Heading3"/>
        <w:spacing w:line="240" w:lineRule="auto" w:before="161"/>
        <w:ind w:right="1133"/>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1"/>
        <w:rPr>
          <w:rFonts w:ascii="宋体" w:hAnsi="宋体" w:cs="宋体" w:eastAsia="宋体" w:hint="default"/>
          <w:sz w:val="25"/>
          <w:szCs w:val="25"/>
        </w:rPr>
      </w:pPr>
    </w:p>
    <w:p>
      <w:pPr>
        <w:pStyle w:val="Heading3"/>
        <w:spacing w:line="240" w:lineRule="auto"/>
        <w:ind w:right="1133"/>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t>公司主要销售客户情况</w:t>
      </w:r>
    </w:p>
    <w:p>
      <w:pPr>
        <w:spacing w:line="240" w:lineRule="auto" w:before="7"/>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457,092,185.74</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27.33%</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2"/>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33"/>
        <w:ind w:right="1133"/>
        <w:jc w:val="left"/>
      </w:pPr>
      <w:r>
        <w:rPr/>
        <w:t>公司前</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大客户资料</w:t>
      </w:r>
    </w:p>
    <w:p>
      <w:pPr>
        <w:spacing w:line="240" w:lineRule="auto" w:before="3"/>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138,109,182.38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8.26%</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96,033,868.61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5.74%</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82,521,692.62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4.93%</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80,909,625.91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4.84%</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59,517,816.22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3.56%</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457,092,185.74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27.33%</w:t>
            </w:r>
          </w:p>
        </w:tc>
      </w:tr>
    </w:tbl>
    <w:p>
      <w:pPr>
        <w:pStyle w:val="BodyText"/>
        <w:spacing w:line="240" w:lineRule="auto" w:before="33"/>
        <w:ind w:right="1133"/>
        <w:jc w:val="left"/>
      </w:pPr>
      <w:r>
        <w:rPr/>
        <w:t>主要客户其他情况说明</w:t>
      </w:r>
    </w:p>
    <w:p>
      <w:pPr>
        <w:pStyle w:val="BodyText"/>
        <w:spacing w:line="304" w:lineRule="auto" w:before="89"/>
        <w:ind w:right="89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不适用</w:t>
      </w:r>
      <w:r>
        <w:rPr>
          <w:w w:val="99"/>
        </w:rPr>
        <w:t> </w:t>
      </w:r>
      <w:r>
        <w:rPr/>
        <w:t>公司主要供应商情况</w:t>
      </w:r>
    </w:p>
    <w:p>
      <w:pPr>
        <w:spacing w:line="240" w:lineRule="auto" w:before="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443,872,697.42</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30.17%</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32"/>
        <w:ind w:right="1133"/>
        <w:jc w:val="left"/>
      </w:pPr>
      <w:r>
        <w:rPr/>
        <w:t>公司前</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名供应商资料</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156,845,305.75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10.66%</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112,138,903.01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7.62%</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74,146,441.97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5.04%</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66,041,885.23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4.49%</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34,700,161.46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2.36%</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443,872,697.42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30.17%</w:t>
            </w:r>
          </w:p>
        </w:tc>
      </w:tr>
    </w:tbl>
    <w:p>
      <w:pPr>
        <w:pStyle w:val="BodyText"/>
        <w:spacing w:line="240" w:lineRule="auto" w:before="33"/>
        <w:ind w:right="1133"/>
        <w:jc w:val="left"/>
      </w:pPr>
      <w:r>
        <w:rPr/>
        <w:t>主要供应商其他情况说明</w:t>
      </w:r>
    </w:p>
    <w:p>
      <w:pPr>
        <w:pStyle w:val="BodyText"/>
        <w:spacing w:line="240" w:lineRule="auto" w:before="88"/>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4"/>
        <w:rPr>
          <w:rFonts w:ascii="宋体" w:hAnsi="宋体" w:cs="宋体" w:eastAsia="宋体" w:hint="default"/>
          <w:sz w:val="25"/>
          <w:szCs w:val="25"/>
        </w:rPr>
      </w:pPr>
    </w:p>
    <w:p>
      <w:pPr>
        <w:pStyle w:val="Heading3"/>
        <w:spacing w:line="240" w:lineRule="auto"/>
        <w:ind w:right="1133"/>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48"/>
        <w:gridCol w:w="1637"/>
        <w:gridCol w:w="1462"/>
        <w:gridCol w:w="2919"/>
      </w:tblGrid>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56,825,467.63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58,133,543.71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109,557,010.83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107,574,984.61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20,326,869.88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25,150,338.72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-19.18%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127,739,420.71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137,805,965.53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12"/>
        <w:rPr>
          <w:rFonts w:ascii="宋体" w:hAnsi="宋体" w:cs="宋体" w:eastAsia="宋体" w:hint="default"/>
          <w:b/>
          <w:bCs/>
          <w:sz w:val="24"/>
          <w:szCs w:val="24"/>
        </w:rPr>
      </w:pPr>
    </w:p>
    <w:p>
      <w:pPr>
        <w:pStyle w:val="BodyText"/>
        <w:spacing w:line="374" w:lineRule="auto"/>
        <w:ind w:left="554" w:right="1133" w:hanging="4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w:t>
      </w:r>
      <w:r>
        <w:rPr>
          <w:w w:val="99"/>
        </w:rPr>
        <w:t> </w:t>
      </w:r>
      <w:r>
        <w:rPr/>
        <w:t>报告期内，公司继续保持较高的研发投入，紧密围绕金融科技综合服务和数据中心综合服务的发展战略，</w:t>
      </w:r>
    </w:p>
    <w:p>
      <w:pPr>
        <w:pStyle w:val="BodyText"/>
        <w:spacing w:line="405" w:lineRule="auto" w:before="94"/>
        <w:ind w:right="1133"/>
        <w:jc w:val="left"/>
      </w:pPr>
      <w:r>
        <w:rPr>
          <w:w w:val="95"/>
        </w:rPr>
        <w:t>开展了多个产品及应用系统的自主研发，持续保持公司核心竞争力，研发投入总金额合计</w:t>
      </w:r>
      <w:r>
        <w:rPr>
          <w:rFonts w:ascii="Times New Roman" w:hAnsi="Times New Roman" w:cs="Times New Roman" w:eastAsia="Times New Roman" w:hint="default"/>
          <w:w w:val="95"/>
        </w:rPr>
        <w:t>134,199,672.62</w:t>
      </w:r>
      <w:r>
        <w:rPr>
          <w:w w:val="95"/>
        </w:rPr>
        <w:t>元，研</w:t>
      </w:r>
      <w:r>
        <w:rPr>
          <w:spacing w:val="85"/>
          <w:w w:val="95"/>
        </w:rPr>
        <w:t> </w:t>
      </w:r>
      <w:r>
        <w:rPr>
          <w:spacing w:val="85"/>
          <w:w w:val="95"/>
        </w:rPr>
      </w:r>
      <w:r>
        <w:rPr/>
        <w:t>发投入占营业收入的比例达到</w:t>
      </w:r>
      <w:r>
        <w:rPr>
          <w:rFonts w:ascii="Times New Roman" w:hAnsi="Times New Roman" w:cs="Times New Roman" w:eastAsia="Times New Roman" w:hint="default"/>
        </w:rPr>
        <w:t>8.02%</w:t>
      </w:r>
      <w:r>
        <w:rPr/>
        <w:t>，其中资本化部分金额为</w:t>
      </w:r>
      <w:r>
        <w:rPr>
          <w:rFonts w:ascii="Times New Roman" w:hAnsi="Times New Roman" w:cs="Times New Roman" w:eastAsia="Times New Roman" w:hint="default"/>
        </w:rPr>
        <w:t>6,460,251.91</w:t>
      </w:r>
      <w:r>
        <w:rPr/>
        <w:t>元。</w:t>
      </w:r>
    </w:p>
    <w:p>
      <w:pPr>
        <w:spacing w:line="240" w:lineRule="auto" w:before="11"/>
        <w:rPr>
          <w:rFonts w:ascii="宋体" w:hAnsi="宋体" w:cs="宋体" w:eastAsia="宋体" w:hint="default"/>
          <w:sz w:val="23"/>
          <w:szCs w:val="23"/>
        </w:rPr>
      </w:pPr>
    </w:p>
    <w:p>
      <w:pPr>
        <w:pStyle w:val="BodyText"/>
        <w:spacing w:line="240" w:lineRule="auto"/>
        <w:ind w:right="1133"/>
        <w:jc w:val="left"/>
      </w:pPr>
      <w:r>
        <w:rPr/>
        <w:t>公司研发投入情况</w:t>
      </w:r>
    </w:p>
    <w:p>
      <w:pPr>
        <w:spacing w:line="240" w:lineRule="auto" w:before="5"/>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-11.77%</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58.59%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68.53%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-9.94%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134,199,672.62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167,238,299.40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-19.76%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-3.24%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6,460,251.91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29,432,333.87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-78.05%</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-12.79%</w:t>
            </w:r>
          </w:p>
        </w:tc>
      </w:tr>
    </w:tbl>
    <w:p>
      <w:pPr>
        <w:pStyle w:val="BodyText"/>
        <w:spacing w:line="240" w:lineRule="auto" w:before="32"/>
        <w:ind w:right="1133"/>
        <w:jc w:val="left"/>
      </w:pPr>
      <w:r>
        <w:rPr/>
        <w:t>研发投入总额占营业收入的比重较上年发生显著变化的原因</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5"/>
          <w:szCs w:val="25"/>
        </w:rPr>
      </w:pPr>
    </w:p>
    <w:p>
      <w:pPr>
        <w:pStyle w:val="BodyText"/>
        <w:spacing w:line="240" w:lineRule="auto" w:before="3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pStyle w:val="BodyText"/>
        <w:spacing w:line="271" w:lineRule="auto" w:before="76"/>
        <w:ind w:right="1117"/>
        <w:jc w:val="left"/>
      </w:pPr>
      <w:r>
        <w:rPr/>
        <w:t>公司需遵守《深圳证券交易所行业信息披露指引第</w:t>
      </w:r>
      <w:r>
        <w:rPr>
          <w:spacing w:val="-81"/>
        </w:rPr>
        <w:t> </w:t>
      </w:r>
      <w:r>
        <w:rPr>
          <w:rFonts w:ascii="Times New Roman" w:hAnsi="Times New Roman" w:cs="Times New Roman" w:eastAsia="Times New Roman" w:hint="default"/>
        </w:rPr>
        <w:t>12</w:t>
      </w:r>
      <w:r>
        <w:rPr>
          <w:rFonts w:ascii="Times New Roman" w:hAnsi="Times New Roman" w:cs="Times New Roman" w:eastAsia="Times New Roman" w:hint="default"/>
          <w:spacing w:val="-32"/>
        </w:rPr>
        <w:t> </w:t>
      </w:r>
      <w:r>
        <w:rPr/>
        <w:t>号</w:t>
      </w:r>
      <w:r>
        <w:rPr>
          <w:rFonts w:ascii="Times New Roman" w:hAnsi="Times New Roman" w:cs="Times New Roman" w:eastAsia="Times New Roman" w:hint="default"/>
        </w:rPr>
        <w:t>——</w:t>
      </w:r>
      <w:r>
        <w:rPr/>
        <w:t>上市公司从事软件与信息技术服务业务》的披露要</w:t>
      </w:r>
      <w:r>
        <w:rPr>
          <w:w w:val="99"/>
        </w:rPr>
        <w:t> </w:t>
      </w:r>
      <w:r>
        <w:rPr/>
        <w:t>求</w:t>
      </w:r>
    </w:p>
    <w:p>
      <w:pPr>
        <w:spacing w:before="7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互联网金融云中心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69,155,706.07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已结项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数据实时处理云平台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5,402,834.44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已结项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71"/>
        <w:ind w:right="1133"/>
        <w:jc w:val="left"/>
      </w:pPr>
      <w:r>
        <w:rPr/>
        <w:t>资本化的依据为“第十二节 五、重要会计政策及会计估计</w:t>
      </w:r>
      <w:r>
        <w:rPr>
          <w:spacing w:val="-46"/>
        </w:rPr>
        <w:t> </w:t>
      </w:r>
      <w:r>
        <w:rPr>
          <w:rFonts w:ascii="Times New Roman" w:hAnsi="Times New Roman" w:cs="Times New Roman" w:eastAsia="Times New Roman" w:hint="default"/>
        </w:rPr>
        <w:t>21</w:t>
      </w:r>
      <w:r>
        <w:rPr/>
        <w:t>、（</w:t>
      </w:r>
      <w:r>
        <w:rPr>
          <w:rFonts w:ascii="Times New Roman" w:hAnsi="Times New Roman" w:cs="Times New Roman" w:eastAsia="Times New Roman" w:hint="default"/>
        </w:rPr>
        <w:t>2</w:t>
      </w:r>
      <w:r>
        <w:rPr/>
        <w:t>）”，公司严格按照上述相关政策执行。</w:t>
      </w:r>
    </w:p>
    <w:p>
      <w:pPr>
        <w:spacing w:line="240" w:lineRule="auto" w:before="0"/>
        <w:rPr>
          <w:rFonts w:ascii="宋体" w:hAnsi="宋体" w:cs="宋体" w:eastAsia="宋体" w:hint="default"/>
          <w:sz w:val="20"/>
          <w:szCs w:val="20"/>
        </w:rPr>
      </w:pPr>
    </w:p>
    <w:p>
      <w:pPr>
        <w:pStyle w:val="BodyText"/>
        <w:spacing w:line="240" w:lineRule="auto" w:before="162"/>
        <w:ind w:right="1133"/>
        <w:jc w:val="left"/>
      </w:pPr>
      <w:r>
        <w:rPr/>
        <w:t>研发投入资本化率大幅变动的原因及其合理性说明</w:t>
      </w:r>
    </w:p>
    <w:p>
      <w:pPr>
        <w:pStyle w:val="BodyText"/>
        <w:spacing w:line="240" w:lineRule="auto" w:before="9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t>不适用</w:t>
      </w:r>
    </w:p>
    <w:p>
      <w:pPr>
        <w:pStyle w:val="BodyText"/>
        <w:spacing w:line="405" w:lineRule="auto" w:before="152"/>
        <w:ind w:right="1133" w:firstLine="401"/>
        <w:jc w:val="left"/>
      </w:pPr>
      <w:r>
        <w:rPr>
          <w:rFonts w:ascii="Times New Roman" w:hAnsi="Times New Roman" w:cs="Times New Roman" w:eastAsia="Times New Roman" w:hint="default"/>
          <w:spacing w:val="-1"/>
          <w:w w:val="95"/>
        </w:rPr>
        <w:t>2019</w:t>
      </w:r>
      <w:r>
        <w:rPr>
          <w:spacing w:val="-1"/>
          <w:w w:val="95"/>
        </w:rPr>
        <w:t>年，公司资本化研发投入占研发投入的比例下降至</w:t>
      </w:r>
      <w:r>
        <w:rPr>
          <w:rFonts w:ascii="Times New Roman" w:hAnsi="Times New Roman" w:cs="Times New Roman" w:eastAsia="Times New Roman" w:hint="default"/>
          <w:spacing w:val="-1"/>
          <w:w w:val="95"/>
        </w:rPr>
        <w:t>4.81%</w:t>
      </w:r>
      <w:r>
        <w:rPr>
          <w:spacing w:val="-1"/>
          <w:w w:val="95"/>
        </w:rPr>
        <w:t>，主要系公司完成互联网金融云中心和数据实</w:t>
      </w:r>
      <w:r>
        <w:rPr>
          <w:spacing w:val="-64"/>
          <w:w w:val="95"/>
        </w:rPr>
        <w:t> </w:t>
      </w:r>
      <w:r>
        <w:rPr>
          <w:spacing w:val="-64"/>
          <w:w w:val="95"/>
        </w:rPr>
      </w:r>
      <w:r>
        <w:rPr/>
        <w:t>时处理云平台项目所致。</w:t>
      </w:r>
    </w:p>
    <w:p>
      <w:pPr>
        <w:spacing w:line="240" w:lineRule="auto" w:before="10"/>
        <w:rPr>
          <w:rFonts w:ascii="宋体" w:hAnsi="宋体" w:cs="宋体" w:eastAsia="宋体" w:hint="default"/>
          <w:sz w:val="21"/>
          <w:szCs w:val="21"/>
        </w:rPr>
      </w:pPr>
    </w:p>
    <w:p>
      <w:pPr>
        <w:pStyle w:val="Heading3"/>
        <w:spacing w:line="240" w:lineRule="auto"/>
        <w:ind w:right="1133"/>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1,967,210,466.00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2,010,161,526.84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2,103,773,028.86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2,038,413,135.54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3.21%</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-136,562,562.86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-28,251,608.70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-383.38%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6,578,015,608.78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5,963,254,022.27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10.31%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5,911,465,217.12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5,485,713,313.47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7.76%</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666,550,391.66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477,540,708.80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39.58%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177,392,342.45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390,036,839.13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-54.52%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442,175,829.66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1,057,352,328.14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-58.18%</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-264,783,487.21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-667,315,489.01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60.32%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265,205,646.29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-218,025,205.03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221.64%</w:t>
            </w:r>
          </w:p>
        </w:tc>
      </w:tr>
    </w:tbl>
    <w:p>
      <w:pPr>
        <w:pStyle w:val="BodyText"/>
        <w:spacing w:line="240" w:lineRule="auto" w:before="33"/>
        <w:ind w:right="1133"/>
        <w:jc w:val="left"/>
      </w:pPr>
      <w:r>
        <w:rPr/>
        <w:t>相关数据同比发生重大变动的主要影响因素说明</w:t>
      </w:r>
    </w:p>
    <w:p>
      <w:pPr>
        <w:pStyle w:val="BodyText"/>
        <w:spacing w:line="374" w:lineRule="auto" w:before="88"/>
        <w:ind w:left="554" w:right="1123" w:hanging="4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w:t>
      </w:r>
      <w:r>
        <w:rPr>
          <w:w w:val="99"/>
        </w:rPr>
        <w:t> </w:t>
      </w:r>
      <w:r>
        <w:rPr>
          <w:spacing w:val="-1"/>
          <w:w w:val="99"/>
        </w:rPr>
        <w:t>经营活动产生的现金流量净额较去年同期减少</w:t>
      </w:r>
      <w:r>
        <w:rPr>
          <w:rFonts w:ascii="Times New Roman" w:hAnsi="Times New Roman" w:cs="Times New Roman" w:eastAsia="Times New Roman" w:hint="default"/>
          <w:spacing w:val="-1"/>
          <w:w w:val="99"/>
        </w:rPr>
        <w:t>383.38%</w:t>
      </w:r>
      <w:r>
        <w:rPr>
          <w:spacing w:val="-1"/>
          <w:w w:val="99"/>
        </w:rPr>
        <w:t>，主要系本期因业务增长支付的采购款较上期增加所</w:t>
      </w:r>
      <w:r>
        <w:rPr>
          <w:spacing w:val="-1"/>
        </w:rPr>
      </w:r>
    </w:p>
    <w:p>
      <w:pPr>
        <w:pStyle w:val="BodyText"/>
        <w:spacing w:line="240" w:lineRule="auto" w:before="67"/>
        <w:ind w:right="1133"/>
        <w:jc w:val="left"/>
      </w:pPr>
      <w:r>
        <w:rPr/>
        <w:t>致。</w:t>
      </w:r>
    </w:p>
    <w:p>
      <w:pPr>
        <w:spacing w:line="240" w:lineRule="auto" w:before="10"/>
        <w:rPr>
          <w:rFonts w:ascii="宋体" w:hAnsi="宋体" w:cs="宋体" w:eastAsia="宋体" w:hint="default"/>
          <w:sz w:val="15"/>
          <w:szCs w:val="15"/>
        </w:rPr>
      </w:pPr>
    </w:p>
    <w:p>
      <w:pPr>
        <w:pStyle w:val="BodyText"/>
        <w:spacing w:line="240" w:lineRule="auto"/>
        <w:ind w:left="554" w:right="1133"/>
        <w:jc w:val="left"/>
      </w:pPr>
      <w:r>
        <w:rPr/>
        <w:t>投资活动产生的现金流量净额较去年同期增加</w:t>
      </w:r>
      <w:r>
        <w:rPr>
          <w:rFonts w:ascii="Times New Roman" w:hAnsi="Times New Roman" w:cs="Times New Roman" w:eastAsia="Times New Roman" w:hint="default"/>
        </w:rPr>
        <w:t>39.58%</w:t>
      </w:r>
      <w:r>
        <w:rPr/>
        <w:t>，主要系本期赎回理财较上期增加所致。</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05" w:lineRule="auto"/>
        <w:ind w:left="554" w:right="982"/>
        <w:jc w:val="left"/>
      </w:pPr>
      <w:r>
        <w:rPr/>
        <w:t>筹资活动现金流入小计较去年同期减少</w:t>
      </w:r>
      <w:r>
        <w:rPr>
          <w:rFonts w:ascii="Times New Roman" w:hAnsi="Times New Roman" w:cs="Times New Roman" w:eastAsia="Times New Roman" w:hint="default"/>
        </w:rPr>
        <w:t>54.52%</w:t>
      </w:r>
      <w:r>
        <w:rPr/>
        <w:t>，主要系本期新增银行借款较上期减少所致。</w:t>
      </w:r>
      <w:r>
        <w:rPr>
          <w:w w:val="99"/>
        </w:rPr>
        <w:t> </w:t>
      </w:r>
      <w:r>
        <w:rPr>
          <w:spacing w:val="-1"/>
          <w:w w:val="95"/>
        </w:rPr>
        <w:t>筹资活动现金流出小计较去年同期减少</w:t>
      </w:r>
      <w:r>
        <w:rPr>
          <w:rFonts w:ascii="Times New Roman" w:hAnsi="Times New Roman" w:cs="Times New Roman" w:eastAsia="Times New Roman" w:hint="default"/>
          <w:spacing w:val="-1"/>
          <w:w w:val="95"/>
        </w:rPr>
        <w:t>58.18%</w:t>
      </w:r>
      <w:r>
        <w:rPr>
          <w:spacing w:val="-1"/>
          <w:w w:val="95"/>
        </w:rPr>
        <w:t>，主要系上期偿还公司债、信托收益权融资本金及利息所致。</w:t>
      </w:r>
      <w:r>
        <w:rPr>
          <w:spacing w:val="56"/>
          <w:w w:val="95"/>
        </w:rPr>
        <w:t> </w:t>
      </w:r>
      <w:r>
        <w:rPr>
          <w:spacing w:val="56"/>
          <w:w w:val="95"/>
        </w:rPr>
      </w:r>
      <w:r>
        <w:rPr/>
        <w:t>筹资活动产生的现金流量净额较去年同期减少</w:t>
      </w:r>
      <w:r>
        <w:rPr>
          <w:rFonts w:ascii="Times New Roman" w:hAnsi="Times New Roman" w:cs="Times New Roman" w:eastAsia="Times New Roman" w:hint="default"/>
        </w:rPr>
        <w:t>60.32%</w:t>
      </w:r>
      <w:r>
        <w:rPr/>
        <w:t>，主要系上期偿还公司债、信托收益权融资本金及利</w:t>
      </w:r>
    </w:p>
    <w:p>
      <w:pPr>
        <w:pStyle w:val="BodyText"/>
        <w:spacing w:line="240" w:lineRule="auto" w:before="38"/>
        <w:ind w:right="1133"/>
        <w:jc w:val="left"/>
      </w:pPr>
      <w:r>
        <w:rPr/>
        <w:t>息所致。</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right="1133"/>
        <w:jc w:val="left"/>
      </w:pPr>
      <w:r>
        <w:rPr/>
        <w:t>报告期内公司经营活动产生的现金净流量与本年度净利润存在重大差异的原因说明</w:t>
      </w:r>
    </w:p>
    <w:p>
      <w:pPr>
        <w:pStyle w:val="BodyText"/>
        <w:spacing w:line="240" w:lineRule="auto" w:before="88"/>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t>不适用</w:t>
      </w:r>
    </w:p>
    <w:p>
      <w:pPr>
        <w:pStyle w:val="BodyText"/>
        <w:spacing w:line="405" w:lineRule="auto" w:before="155"/>
        <w:ind w:right="1120" w:firstLine="401"/>
        <w:jc w:val="left"/>
      </w:pPr>
      <w:r>
        <w:rPr/>
        <w:t>报告期内公司经营活动产生的现金净流量为</w:t>
      </w:r>
      <w:r>
        <w:rPr>
          <w:rFonts w:ascii="Times New Roman" w:hAnsi="Times New Roman" w:cs="Times New Roman" w:eastAsia="Times New Roman" w:hint="default"/>
        </w:rPr>
        <w:t>-136,562,562.86</w:t>
      </w:r>
      <w:r>
        <w:rPr/>
        <w:t>元，本年度净利润为</w:t>
      </w:r>
      <w:r>
        <w:rPr>
          <w:rFonts w:ascii="Times New Roman" w:hAnsi="Times New Roman" w:cs="Times New Roman" w:eastAsia="Times New Roman" w:hint="default"/>
        </w:rPr>
        <w:t>-281,841,963.94</w:t>
      </w:r>
      <w:r>
        <w:rPr/>
        <w:t>元，经营活</w:t>
      </w:r>
      <w:r>
        <w:rPr>
          <w:w w:val="99"/>
        </w:rPr>
        <w:t> </w:t>
      </w:r>
      <w:r>
        <w:rPr/>
        <w:t>动现金净流量大于净利润的主要原因系报告期内公司计提商誉减值准备所致。</w:t>
      </w:r>
    </w:p>
    <w:p>
      <w:pPr>
        <w:spacing w:line="240" w:lineRule="auto" w:before="11"/>
        <w:rPr>
          <w:rFonts w:ascii="宋体" w:hAnsi="宋体" w:cs="宋体" w:eastAsia="宋体" w:hint="default"/>
          <w:sz w:val="19"/>
          <w:szCs w:val="19"/>
        </w:rPr>
      </w:pPr>
    </w:p>
    <w:p>
      <w:pPr>
        <w:pStyle w:val="Heading2"/>
        <w:spacing w:line="240" w:lineRule="auto"/>
        <w:ind w:right="1133"/>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5"/>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37"/>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683" w:space="7238"/>
            <w:col w:w="2009"/>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00"/>
        <w:gridCol w:w="1928"/>
        <w:gridCol w:w="1622"/>
        <w:gridCol w:w="2254"/>
        <w:gridCol w:w="2254"/>
      </w:tblGrid>
      <w:tr>
        <w:trPr>
          <w:trHeight w:val="401"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3"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3"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-334,490,312.86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114.87%</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商誉减值、存货减值</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-45,098,994.17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15.49%</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金融资产减值</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t>公司</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年起首次执行新金融工具准则、新收入准则或新租赁准则且调整执行当年年初财务报表相关项目</w:t>
      </w:r>
    </w:p>
    <w:p>
      <w:pPr>
        <w:pStyle w:val="BodyText"/>
        <w:spacing w:line="240" w:lineRule="auto" w:before="7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t>不适用</w:t>
      </w:r>
    </w:p>
    <w:p>
      <w:pPr>
        <w:spacing w:before="92"/>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1346"/>
        <w:gridCol w:w="1343"/>
        <w:gridCol w:w="895"/>
        <w:gridCol w:w="1411"/>
        <w:gridCol w:w="848"/>
        <w:gridCol w:w="797"/>
        <w:gridCol w:w="2919"/>
      </w:tblGrid>
      <w:tr>
        <w:trPr>
          <w:trHeight w:val="384"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8"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3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5"/>
              <w:ind w:left="263" w:right="7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41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5"/>
              <w:ind w:left="240" w:right="57" w:hanging="181"/>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91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5" w:type="dxa"/>
            <w:vMerge/>
            <w:tcBorders>
              <w:left w:val="single" w:sz="4" w:space="0" w:color="000000"/>
              <w:right w:val="single" w:sz="4" w:space="0" w:color="000000"/>
            </w:tcBorders>
            <w:shd w:val="clear" w:color="auto" w:fill="D2D2D2"/>
          </w:tcPr>
          <w:p>
            <w:pPr/>
          </w:p>
        </w:tc>
        <w:tc>
          <w:tcPr>
            <w:tcW w:w="14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4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343" w:type="dxa"/>
            <w:vMerge/>
            <w:tcBorders>
              <w:left w:val="single" w:sz="4" w:space="0" w:color="000000"/>
              <w:bottom w:val="nil" w:sz="6" w:space="0" w:color="auto"/>
              <w:right w:val="single" w:sz="4" w:space="0" w:color="000000"/>
            </w:tcBorders>
            <w:shd w:val="clear" w:color="auto" w:fill="D2D2D2"/>
          </w:tcPr>
          <w:p>
            <w:pPr/>
          </w:p>
        </w:tc>
        <w:tc>
          <w:tcPr>
            <w:tcW w:w="895" w:type="dxa"/>
            <w:vMerge/>
            <w:tcBorders>
              <w:left w:val="single" w:sz="4" w:space="0" w:color="000000"/>
              <w:right w:val="single" w:sz="4" w:space="0" w:color="000000"/>
            </w:tcBorders>
            <w:shd w:val="clear" w:color="auto" w:fill="D2D2D2"/>
          </w:tcPr>
          <w:p>
            <w:pPr/>
          </w:p>
        </w:tc>
        <w:tc>
          <w:tcPr>
            <w:tcW w:w="1411" w:type="dxa"/>
            <w:vMerge/>
            <w:tcBorders>
              <w:left w:val="single" w:sz="4" w:space="0" w:color="000000"/>
              <w:bottom w:val="nil" w:sz="6" w:space="0" w:color="auto"/>
              <w:right w:val="single" w:sz="4" w:space="0" w:color="000000"/>
            </w:tcBorders>
            <w:shd w:val="clear" w:color="auto" w:fill="D2D2D2"/>
          </w:tcPr>
          <w:p>
            <w:pPr/>
          </w:p>
        </w:tc>
        <w:tc>
          <w:tcPr>
            <w:tcW w:w="848"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3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4" w:space="0" w:color="000000"/>
              <w:bottom w:val="single" w:sz="4" w:space="0" w:color="000000"/>
              <w:right w:val="single" w:sz="4" w:space="0" w:color="000000"/>
            </w:tcBorders>
            <w:shd w:val="clear" w:color="auto" w:fill="D2D2D2"/>
          </w:tcPr>
          <w:p>
            <w:pPr/>
          </w:p>
        </w:tc>
        <w:tc>
          <w:tcPr>
            <w:tcW w:w="141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625,177,481.72</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19.84%</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389,651,012.22</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118,861,176.34</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108,821,967.43</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492,933,565.14</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15.65%</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490,477,654.58</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373,325,638.78</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11.85%</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316,368,248.35</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21,481,744.79</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0.68%</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19,093,358.06</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126,157,746.00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317,875,718.84</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37"/>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683" w:space="7238"/>
            <w:col w:w="2009"/>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92"/>
        <w:gridCol w:w="1099"/>
        <w:gridCol w:w="1087"/>
        <w:gridCol w:w="1091"/>
        <w:gridCol w:w="1091"/>
        <w:gridCol w:w="1092"/>
        <w:gridCol w:w="1084"/>
        <w:gridCol w:w="971"/>
        <w:gridCol w:w="965"/>
      </w:tblGrid>
      <w:tr>
        <w:trPr>
          <w:trHeight w:val="161" w:hRule="exact"/>
        </w:trPr>
        <w:tc>
          <w:tcPr>
            <w:tcW w:w="1092" w:type="dxa"/>
            <w:vMerge w:val="restart"/>
            <w:tcBorders>
              <w:top w:val="single" w:sz="4" w:space="0" w:color="000000"/>
              <w:left w:val="single" w:sz="4" w:space="0" w:color="000000"/>
              <w:right w:val="single" w:sz="4" w:space="0" w:color="000000"/>
            </w:tcBorders>
            <w:shd w:val="clear" w:color="auto" w:fill="D2D2D2"/>
          </w:tcPr>
          <w:p>
            <w:pPr/>
          </w:p>
        </w:tc>
        <w:tc>
          <w:tcPr>
            <w:tcW w:w="1099" w:type="dxa"/>
            <w:vMerge w:val="restart"/>
            <w:tcBorders>
              <w:top w:val="single" w:sz="4" w:space="0" w:color="000000"/>
              <w:left w:val="single" w:sz="4" w:space="0" w:color="000000"/>
              <w:right w:val="single" w:sz="4" w:space="0" w:color="000000"/>
            </w:tcBorders>
            <w:shd w:val="clear" w:color="auto" w:fill="D2D2D2"/>
          </w:tcPr>
          <w:p>
            <w:pPr/>
          </w:p>
        </w:tc>
        <w:tc>
          <w:tcPr>
            <w:tcW w:w="10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0" w:right="89"/>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4" w:type="dxa"/>
            <w:tcBorders>
              <w:top w:val="single" w:sz="4" w:space="0" w:color="000000"/>
              <w:left w:val="single" w:sz="4" w:space="0" w:color="000000"/>
              <w:bottom w:val="nil" w:sz="6" w:space="0" w:color="auto"/>
              <w:right w:val="single" w:sz="4" w:space="0" w:color="000000"/>
            </w:tcBorders>
            <w:shd w:val="clear" w:color="auto" w:fill="D2D2D2"/>
          </w:tcPr>
          <w:p>
            <w:pPr/>
          </w:p>
        </w:tc>
        <w:tc>
          <w:tcPr>
            <w:tcW w:w="971" w:type="dxa"/>
            <w:vMerge w:val="restart"/>
            <w:tcBorders>
              <w:top w:val="single" w:sz="4" w:space="0" w:color="000000"/>
              <w:left w:val="single" w:sz="4" w:space="0" w:color="000000"/>
              <w:right w:val="single" w:sz="4" w:space="0" w:color="000000"/>
            </w:tcBorders>
            <w:shd w:val="clear" w:color="auto" w:fill="D2D2D2"/>
          </w:tcPr>
          <w:p>
            <w:pPr/>
          </w:p>
        </w:tc>
        <w:tc>
          <w:tcPr>
            <w:tcW w:w="965"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092" w:type="dxa"/>
            <w:vMerge/>
            <w:tcBorders>
              <w:left w:val="single" w:sz="4" w:space="0" w:color="000000"/>
              <w:bottom w:val="nil" w:sz="6" w:space="0" w:color="auto"/>
              <w:right w:val="single" w:sz="4" w:space="0" w:color="000000"/>
            </w:tcBorders>
            <w:shd w:val="clear" w:color="auto" w:fill="D2D2D2"/>
          </w:tcPr>
          <w:p>
            <w:pPr/>
          </w:p>
        </w:tc>
        <w:tc>
          <w:tcPr>
            <w:tcW w:w="1099" w:type="dxa"/>
            <w:vMerge/>
            <w:tcBorders>
              <w:left w:val="single" w:sz="4" w:space="0" w:color="000000"/>
              <w:bottom w:val="nil" w:sz="6" w:space="0" w:color="auto"/>
              <w:right w:val="single" w:sz="4" w:space="0" w:color="000000"/>
            </w:tcBorders>
            <w:shd w:val="clear" w:color="auto" w:fill="D2D2D2"/>
          </w:tcPr>
          <w:p>
            <w:pPr/>
          </w:p>
        </w:tc>
        <w:tc>
          <w:tcPr>
            <w:tcW w:w="108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86" w:right="87"/>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091"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59" w:right="87" w:hanging="269"/>
              <w:jc w:val="left"/>
              <w:rPr>
                <w:rFonts w:ascii="宋体" w:hAnsi="宋体" w:cs="宋体" w:eastAsia="宋体" w:hint="default"/>
                <w:sz w:val="18"/>
                <w:szCs w:val="18"/>
              </w:rPr>
            </w:pPr>
            <w:r>
              <w:rPr>
                <w:rFonts w:ascii="宋体" w:hAnsi="宋体" w:cs="宋体" w:eastAsia="宋体" w:hint="default"/>
                <w:sz w:val="18"/>
                <w:szCs w:val="18"/>
              </w:rPr>
              <w:t>本期计提的 减值</w:t>
            </w: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50" w:right="89" w:hanging="360"/>
              <w:jc w:val="left"/>
              <w:rPr>
                <w:rFonts w:ascii="宋体" w:hAnsi="宋体" w:cs="宋体" w:eastAsia="宋体" w:hint="default"/>
                <w:sz w:val="18"/>
                <w:szCs w:val="18"/>
              </w:rPr>
            </w:pPr>
            <w:r>
              <w:rPr>
                <w:rFonts w:ascii="宋体" w:hAnsi="宋体" w:cs="宋体" w:eastAsia="宋体" w:hint="default"/>
                <w:sz w:val="18"/>
                <w:szCs w:val="18"/>
              </w:rPr>
              <w:t>本期购买金 额</w:t>
            </w:r>
          </w:p>
        </w:tc>
        <w:tc>
          <w:tcPr>
            <w:tcW w:w="10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50" w:right="81"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971" w:type="dxa"/>
            <w:vMerge/>
            <w:tcBorders>
              <w:left w:val="single" w:sz="4" w:space="0" w:color="000000"/>
              <w:bottom w:val="nil" w:sz="6" w:space="0" w:color="auto"/>
              <w:right w:val="single" w:sz="4" w:space="0" w:color="000000"/>
            </w:tcBorders>
            <w:shd w:val="clear" w:color="auto" w:fill="D2D2D2"/>
          </w:tcPr>
          <w:p>
            <w:pPr/>
          </w:p>
        </w:tc>
        <w:tc>
          <w:tcPr>
            <w:tcW w:w="965" w:type="dxa"/>
            <w:vMerge/>
            <w:tcBorders>
              <w:left w:val="single" w:sz="4" w:space="0" w:color="000000"/>
              <w:bottom w:val="nil" w:sz="6" w:space="0" w:color="auto"/>
              <w:right w:val="single" w:sz="4" w:space="0" w:color="000000"/>
            </w:tcBorders>
            <w:shd w:val="clear" w:color="auto" w:fill="D2D2D2"/>
          </w:tcPr>
          <w:p>
            <w:pPr/>
          </w:p>
        </w:tc>
      </w:tr>
      <w:tr>
        <w:trPr>
          <w:trHeight w:val="391" w:hRule="exact"/>
        </w:trPr>
        <w:tc>
          <w:tcPr>
            <w:tcW w:w="10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57"/>
              <w:jc w:val="right"/>
              <w:rPr>
                <w:rFonts w:ascii="宋体" w:hAnsi="宋体" w:cs="宋体" w:eastAsia="宋体" w:hint="default"/>
                <w:sz w:val="18"/>
                <w:szCs w:val="18"/>
              </w:rPr>
            </w:pPr>
            <w:r>
              <w:rPr>
                <w:rFonts w:ascii="宋体" w:hAnsi="宋体" w:cs="宋体" w:eastAsia="宋体" w:hint="default"/>
                <w:sz w:val="18"/>
                <w:szCs w:val="18"/>
              </w:rPr>
              <w:t>项目</w:t>
            </w:r>
          </w:p>
        </w:tc>
        <w:tc>
          <w:tcPr>
            <w:tcW w:w="10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87"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right w:val="single" w:sz="4" w:space="0" w:color="000000"/>
            </w:tcBorders>
            <w:shd w:val="clear" w:color="auto" w:fill="D2D2D2"/>
          </w:tcPr>
          <w:p>
            <w:pPr/>
          </w:p>
        </w:tc>
        <w:tc>
          <w:tcPr>
            <w:tcW w:w="1084" w:type="dxa"/>
            <w:vMerge/>
            <w:tcBorders>
              <w:left w:val="single" w:sz="4" w:space="0" w:color="000000"/>
              <w:right w:val="single" w:sz="4" w:space="0" w:color="000000"/>
            </w:tcBorders>
            <w:shd w:val="clear" w:color="auto" w:fill="D2D2D2"/>
          </w:tcPr>
          <w:p>
            <w:pPr/>
          </w:p>
        </w:tc>
        <w:tc>
          <w:tcPr>
            <w:tcW w:w="9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9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092" w:type="dxa"/>
            <w:vMerge w:val="restart"/>
            <w:tcBorders>
              <w:top w:val="nil" w:sz="6" w:space="0" w:color="auto"/>
              <w:left w:val="single" w:sz="4" w:space="0" w:color="000000"/>
              <w:right w:val="single" w:sz="4" w:space="0" w:color="000000"/>
            </w:tcBorders>
            <w:shd w:val="clear" w:color="auto" w:fill="D2D2D2"/>
          </w:tcPr>
          <w:p>
            <w:pPr/>
          </w:p>
        </w:tc>
        <w:tc>
          <w:tcPr>
            <w:tcW w:w="1099" w:type="dxa"/>
            <w:vMerge w:val="restart"/>
            <w:tcBorders>
              <w:top w:val="nil" w:sz="6" w:space="0" w:color="auto"/>
              <w:left w:val="single" w:sz="4" w:space="0" w:color="000000"/>
              <w:right w:val="single" w:sz="4" w:space="0" w:color="000000"/>
            </w:tcBorders>
            <w:shd w:val="clear" w:color="auto" w:fill="D2D2D2"/>
          </w:tcPr>
          <w:p>
            <w:pPr/>
          </w:p>
        </w:tc>
        <w:tc>
          <w:tcPr>
            <w:tcW w:w="1087"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1084" w:type="dxa"/>
            <w:vMerge/>
            <w:tcBorders>
              <w:left w:val="single" w:sz="4" w:space="0" w:color="000000"/>
              <w:bottom w:val="nil" w:sz="6" w:space="0" w:color="auto"/>
              <w:right w:val="single" w:sz="4" w:space="0" w:color="000000"/>
            </w:tcBorders>
            <w:shd w:val="clear" w:color="auto" w:fill="D2D2D2"/>
          </w:tcPr>
          <w:p>
            <w:pPr/>
          </w:p>
        </w:tc>
        <w:tc>
          <w:tcPr>
            <w:tcW w:w="971" w:type="dxa"/>
            <w:vMerge w:val="restart"/>
            <w:tcBorders>
              <w:top w:val="nil" w:sz="6" w:space="0" w:color="auto"/>
              <w:left w:val="single" w:sz="4" w:space="0" w:color="000000"/>
              <w:right w:val="single" w:sz="4" w:space="0" w:color="000000"/>
            </w:tcBorders>
            <w:shd w:val="clear" w:color="auto" w:fill="D2D2D2"/>
          </w:tcPr>
          <w:p>
            <w:pPr/>
          </w:p>
        </w:tc>
        <w:tc>
          <w:tcPr>
            <w:tcW w:w="965" w:type="dxa"/>
            <w:vMerge w:val="restart"/>
            <w:tcBorders>
              <w:top w:val="nil" w:sz="6" w:space="0" w:color="auto"/>
              <w:left w:val="single" w:sz="4" w:space="0" w:color="000000"/>
              <w:right w:val="single" w:sz="4" w:space="0" w:color="000000"/>
            </w:tcBorders>
            <w:shd w:val="clear" w:color="auto" w:fill="D2D2D2"/>
          </w:tcPr>
          <w:p>
            <w:pPr/>
          </w:p>
        </w:tc>
      </w:tr>
      <w:tr>
        <w:trPr>
          <w:trHeight w:val="168" w:hRule="exact"/>
        </w:trPr>
        <w:tc>
          <w:tcPr>
            <w:tcW w:w="1092" w:type="dxa"/>
            <w:vMerge/>
            <w:tcBorders>
              <w:left w:val="single" w:sz="4" w:space="0" w:color="000000"/>
              <w:bottom w:val="single" w:sz="4" w:space="0" w:color="000000"/>
              <w:right w:val="single" w:sz="4" w:space="0" w:color="000000"/>
            </w:tcBorders>
            <w:shd w:val="clear" w:color="auto" w:fill="D2D2D2"/>
          </w:tcPr>
          <w:p>
            <w:pPr/>
          </w:p>
        </w:tc>
        <w:tc>
          <w:tcPr>
            <w:tcW w:w="1099" w:type="dxa"/>
            <w:vMerge/>
            <w:tcBorders>
              <w:left w:val="single" w:sz="4" w:space="0" w:color="000000"/>
              <w:bottom w:val="single" w:sz="4" w:space="0" w:color="000000"/>
              <w:right w:val="single" w:sz="4" w:space="0" w:color="000000"/>
            </w:tcBorders>
            <w:shd w:val="clear" w:color="auto" w:fill="D2D2D2"/>
          </w:tcPr>
          <w:p>
            <w:pPr/>
          </w:p>
        </w:tc>
        <w:tc>
          <w:tcPr>
            <w:tcW w:w="10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4" w:type="dxa"/>
            <w:tcBorders>
              <w:top w:val="nil" w:sz="6" w:space="0" w:color="auto"/>
              <w:left w:val="single" w:sz="4" w:space="0" w:color="000000"/>
              <w:bottom w:val="single" w:sz="4" w:space="0" w:color="000000"/>
              <w:right w:val="single" w:sz="4" w:space="0" w:color="000000"/>
            </w:tcBorders>
            <w:shd w:val="clear" w:color="auto" w:fill="D2D2D2"/>
          </w:tcPr>
          <w:p>
            <w:pPr/>
          </w:p>
        </w:tc>
        <w:tc>
          <w:tcPr>
            <w:tcW w:w="971" w:type="dxa"/>
            <w:vMerge/>
            <w:tcBorders>
              <w:left w:val="single" w:sz="4" w:space="0" w:color="000000"/>
              <w:bottom w:val="single" w:sz="4" w:space="0" w:color="000000"/>
              <w:right w:val="single" w:sz="4" w:space="0" w:color="000000"/>
            </w:tcBorders>
            <w:shd w:val="clear" w:color="auto" w:fill="D2D2D2"/>
          </w:tcPr>
          <w:p>
            <w:pPr/>
          </w:p>
        </w:tc>
        <w:tc>
          <w:tcPr>
            <w:tcW w:w="965"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336"/>
              <w:jc w:val="right"/>
              <w:rPr>
                <w:rFonts w:ascii="宋体" w:hAnsi="宋体" w:cs="宋体" w:eastAsia="宋体" w:hint="default"/>
                <w:sz w:val="18"/>
                <w:szCs w:val="18"/>
              </w:rPr>
            </w:pPr>
            <w:r>
              <w:rPr>
                <w:rFonts w:ascii="宋体" w:hAnsi="宋体" w:cs="宋体" w:eastAsia="宋体" w:hint="default"/>
                <w:sz w:val="18"/>
                <w:szCs w:val="18"/>
              </w:rPr>
              <w:t>金融资产</w:t>
            </w:r>
          </w:p>
        </w:tc>
        <w:tc>
          <w:tcPr>
            <w:tcW w:w="8478" w:type="dxa"/>
            <w:gridSpan w:val="8"/>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09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09" w:lineRule="auto" w:before="49"/>
              <w:ind w:left="24" w:right="-34"/>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 </w:t>
            </w:r>
            <w:r>
              <w:rPr>
                <w:rFonts w:ascii="宋体" w:hAnsi="宋体" w:cs="宋体" w:eastAsia="宋体" w:hint="default"/>
                <w:spacing w:val="-8"/>
                <w:sz w:val="18"/>
                <w:szCs w:val="18"/>
              </w:rPr>
              <w:t>资产（不含衍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生金融资产）</w:t>
            </w:r>
          </w:p>
        </w:tc>
        <w:tc>
          <w:tcPr>
            <w:tcW w:w="1099"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991,114,277.0</w:t>
            </w:r>
          </w:p>
          <w:p>
            <w:pPr>
              <w:pStyle w:val="TableParagraph"/>
              <w:spacing w:line="240" w:lineRule="auto" w:before="105"/>
              <w:ind w:right="27"/>
              <w:jc w:val="right"/>
              <w:rPr>
                <w:rFonts w:ascii="Times New Roman" w:hAnsi="Times New Roman" w:cs="Times New Roman" w:eastAsia="Times New Roman" w:hint="default"/>
                <w:sz w:val="18"/>
                <w:szCs w:val="18"/>
              </w:rPr>
            </w:pPr>
            <w:r>
              <w:rPr>
                <w:rFonts w:ascii="Times New Roman"/>
                <w:sz w:val="18"/>
              </w:rPr>
              <w:t>7</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-2,572,094.86</w:t>
            </w: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5,469,800,000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6,024,100,000</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.00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30,002,986.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464,245,168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.51</w:t>
            </w:r>
          </w:p>
        </w:tc>
      </w:tr>
      <w:tr>
        <w:trPr>
          <w:trHeight w:val="716"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2"/>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其他非流动 金融资产</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18,248,400.00</w:t>
            </w:r>
          </w:p>
        </w:tc>
        <w:tc>
          <w:tcPr>
            <w:tcW w:w="108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4,800,000.00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2,362,430.0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15,810,830.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36"/>
              <w:jc w:val="right"/>
              <w:rPr>
                <w:rFonts w:ascii="宋体" w:hAnsi="宋体" w:cs="宋体" w:eastAsia="宋体" w:hint="default"/>
                <w:sz w:val="18"/>
                <w:szCs w:val="18"/>
              </w:rPr>
            </w:pPr>
            <w:r>
              <w:rPr>
                <w:rFonts w:ascii="宋体" w:hAnsi="宋体" w:cs="宋体" w:eastAsia="宋体" w:hint="default"/>
                <w:sz w:val="18"/>
                <w:szCs w:val="18"/>
              </w:rPr>
              <w:t>上述合计</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1,009,362,677</w:t>
            </w:r>
          </w:p>
          <w:p>
            <w:pPr>
              <w:pStyle w:val="TableParagraph"/>
              <w:spacing w:line="240" w:lineRule="auto" w:before="105"/>
              <w:ind w:right="25"/>
              <w:jc w:val="right"/>
              <w:rPr>
                <w:rFonts w:ascii="Times New Roman" w:hAnsi="Times New Roman" w:cs="Times New Roman" w:eastAsia="Times New Roman" w:hint="default"/>
                <w:sz w:val="18"/>
                <w:szCs w:val="18"/>
              </w:rPr>
            </w:pPr>
            <w:r>
              <w:rPr>
                <w:rFonts w:ascii="Times New Roman"/>
                <w:sz w:val="18"/>
              </w:rPr>
              <w:t>.07</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-2,572,094.86</w:t>
            </w: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5,469,800,000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6,028,900,000</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.00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32,365,416.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480,055,998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.51</w:t>
            </w:r>
          </w:p>
        </w:tc>
      </w:tr>
      <w:tr>
        <w:trPr>
          <w:trHeight w:val="403"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36"/>
              <w:jc w:val="right"/>
              <w:rPr>
                <w:rFonts w:ascii="宋体" w:hAnsi="宋体" w:cs="宋体" w:eastAsia="宋体" w:hint="default"/>
                <w:sz w:val="18"/>
                <w:szCs w:val="18"/>
              </w:rPr>
            </w:pPr>
            <w:r>
              <w:rPr>
                <w:rFonts w:ascii="宋体" w:hAnsi="宋体" w:cs="宋体" w:eastAsia="宋体" w:hint="default"/>
                <w:sz w:val="18"/>
                <w:szCs w:val="18"/>
              </w:rPr>
              <w:t>金融负债</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08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6"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33"/>
        <w:ind w:right="1133"/>
        <w:jc w:val="left"/>
      </w:pPr>
      <w:r>
        <w:rPr/>
        <w:t>其他变动的内容</w:t>
      </w:r>
    </w:p>
    <w:p>
      <w:pPr>
        <w:pStyle w:val="BodyText"/>
        <w:spacing w:line="240" w:lineRule="auto" w:before="168"/>
        <w:ind w:left="554" w:right="982"/>
        <w:jc w:val="left"/>
      </w:pPr>
      <w:r>
        <w:rPr>
          <w:rFonts w:ascii="Times New Roman" w:hAnsi="Times New Roman" w:cs="Times New Roman" w:eastAsia="Times New Roman" w:hint="default"/>
          <w:spacing w:val="6"/>
        </w:rPr>
        <w:t>1.</w:t>
      </w:r>
      <w:r>
        <w:rPr>
          <w:spacing w:val="6"/>
        </w:rPr>
        <w:t>报告期内公司非同一控制下企业合并北京志东方，北京志东方在并购日持有的交易性金融资产余额为</w:t>
      </w:r>
      <w:r>
        <w:rPr/>
      </w:r>
    </w:p>
    <w:p>
      <w:pPr>
        <w:spacing w:line="240" w:lineRule="auto" w:before="8"/>
        <w:rPr>
          <w:rFonts w:ascii="宋体" w:hAnsi="宋体" w:cs="宋体" w:eastAsia="宋体" w:hint="default"/>
          <w:sz w:val="14"/>
          <w:szCs w:val="14"/>
        </w:rPr>
      </w:pPr>
    </w:p>
    <w:p>
      <w:pPr>
        <w:pStyle w:val="BodyText"/>
        <w:spacing w:line="240" w:lineRule="auto"/>
        <w:ind w:right="1133"/>
        <w:jc w:val="left"/>
      </w:pPr>
      <w:r>
        <w:rPr>
          <w:rFonts w:ascii="Times New Roman" w:hAnsi="Times New Roman" w:cs="Times New Roman" w:eastAsia="Times New Roman" w:hint="default"/>
        </w:rPr>
        <w:t>30,002,986.30</w:t>
      </w:r>
      <w:r>
        <w:rPr/>
        <w:t>元。</w:t>
      </w:r>
    </w:p>
    <w:p>
      <w:pPr>
        <w:spacing w:line="240" w:lineRule="auto" w:before="8"/>
        <w:rPr>
          <w:rFonts w:ascii="宋体" w:hAnsi="宋体" w:cs="宋体" w:eastAsia="宋体" w:hint="default"/>
          <w:sz w:val="14"/>
          <w:szCs w:val="14"/>
        </w:rPr>
      </w:pPr>
    </w:p>
    <w:p>
      <w:pPr>
        <w:pStyle w:val="BodyText"/>
        <w:spacing w:line="388" w:lineRule="auto"/>
        <w:ind w:right="1133" w:firstLine="401"/>
        <w:jc w:val="left"/>
      </w:pPr>
      <w:r>
        <w:rPr>
          <w:rFonts w:ascii="Times New Roman" w:hAnsi="Times New Roman" w:cs="Times New Roman" w:eastAsia="Times New Roman" w:hint="default"/>
          <w:spacing w:val="2"/>
          <w:w w:val="95"/>
        </w:rPr>
        <w:t>2.</w:t>
      </w:r>
      <w:r>
        <w:rPr>
          <w:spacing w:val="2"/>
          <w:w w:val="95"/>
        </w:rPr>
        <w:t>报告期内公司下属联营企业北京国信新网通信技术有限公司进行减资，减资后公司对北京国信新网通信</w:t>
      </w:r>
      <w:r>
        <w:rPr>
          <w:spacing w:val="-66"/>
          <w:w w:val="95"/>
        </w:rPr>
        <w:t> </w:t>
      </w:r>
      <w:r>
        <w:rPr>
          <w:spacing w:val="-66"/>
          <w:w w:val="95"/>
        </w:rPr>
      </w:r>
      <w:r>
        <w:rPr/>
        <w:t>技术有限公司不构成重大影响，剩余股权按照公允价值计量后调整至</w:t>
      </w:r>
      <w:r>
        <w:rPr>
          <w:rFonts w:ascii="Times New Roman" w:hAnsi="Times New Roman" w:cs="Times New Roman" w:eastAsia="Times New Roman" w:hint="default"/>
        </w:rPr>
        <w:t>“</w:t>
      </w:r>
      <w:r>
        <w:rPr/>
        <w:t>其他非流动金融资产</w:t>
      </w:r>
      <w:r>
        <w:rPr>
          <w:rFonts w:ascii="Times New Roman" w:hAnsi="Times New Roman" w:cs="Times New Roman" w:eastAsia="Times New Roman" w:hint="default"/>
        </w:rPr>
        <w:t>”</w:t>
      </w:r>
      <w:r>
        <w:rPr/>
        <w:t>科目核算。</w:t>
      </w:r>
      <w:r>
        <w:rPr>
          <w:w w:val="99"/>
        </w:rPr>
        <w:t> </w:t>
      </w:r>
      <w:r>
        <w:rPr/>
        <w:t>报告期内公司主要资产计量属性是否发生重大变化</w:t>
      </w:r>
    </w:p>
    <w:p>
      <w:pPr>
        <w:pStyle w:val="BodyText"/>
        <w:spacing w:line="244" w:lineRule="exact"/>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否</w:t>
      </w:r>
    </w:p>
    <w:p>
      <w:pPr>
        <w:spacing w:line="240" w:lineRule="auto" w:before="1"/>
        <w:rPr>
          <w:rFonts w:ascii="宋体" w:hAnsi="宋体" w:cs="宋体" w:eastAsia="宋体" w:hint="default"/>
          <w:sz w:val="25"/>
          <w:szCs w:val="25"/>
        </w:rPr>
      </w:pPr>
    </w:p>
    <w:p>
      <w:pPr>
        <w:pStyle w:val="Heading3"/>
        <w:spacing w:line="240" w:lineRule="auto"/>
        <w:ind w:right="1133"/>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5"/>
          <w:szCs w:val="25"/>
        </w:rPr>
      </w:pPr>
    </w:p>
    <w:tbl>
      <w:tblPr>
        <w:tblW w:w="0" w:type="auto"/>
        <w:jc w:val="left"/>
        <w:tblInd w:w="1298" w:type="dxa"/>
        <w:tblLayout w:type="fixed"/>
        <w:tblCellMar>
          <w:top w:w="0" w:type="dxa"/>
          <w:left w:w="0" w:type="dxa"/>
          <w:bottom w:w="0" w:type="dxa"/>
          <w:right w:w="0" w:type="dxa"/>
        </w:tblCellMar>
        <w:tblLook w:val="01E0"/>
      </w:tblPr>
      <w:tblGrid>
        <w:gridCol w:w="2540"/>
        <w:gridCol w:w="2458"/>
        <w:gridCol w:w="2341"/>
      </w:tblGrid>
      <w:tr>
        <w:trPr>
          <w:trHeight w:val="343"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期末账面价值（元）</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41"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31,337,406.83</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保证金、代管资金</w:t>
            </w:r>
          </w:p>
        </w:tc>
      </w:tr>
    </w:tbl>
    <w:p>
      <w:pPr>
        <w:pStyle w:val="BodyText"/>
        <w:spacing w:line="429" w:lineRule="auto" w:before="71"/>
        <w:ind w:right="1133" w:firstLine="401"/>
        <w:jc w:val="left"/>
      </w:pPr>
      <w:r>
        <w:rPr/>
        <w:t>报告期末受限资金主要系向银行申请开具无条件不可撤销的担保函所存入的保证金存款、以及纳入合并范</w:t>
      </w:r>
      <w:r>
        <w:rPr>
          <w:w w:val="99"/>
        </w:rPr>
        <w:t> </w:t>
      </w:r>
      <w:r>
        <w:rPr/>
        <w:t>围的信托计划而存放于信托公司的资金账户余额。</w:t>
      </w:r>
    </w:p>
    <w:p>
      <w:pPr>
        <w:spacing w:line="240" w:lineRule="auto" w:before="4"/>
        <w:rPr>
          <w:rFonts w:ascii="宋体" w:hAnsi="宋体" w:cs="宋体" w:eastAsia="宋体" w:hint="default"/>
          <w:sz w:val="18"/>
          <w:szCs w:val="18"/>
        </w:rPr>
      </w:pPr>
    </w:p>
    <w:p>
      <w:pPr>
        <w:pStyle w:val="Heading2"/>
        <w:spacing w:line="240" w:lineRule="auto"/>
        <w:ind w:right="1133"/>
        <w:jc w:val="left"/>
        <w:rPr>
          <w:b w:val="0"/>
          <w:bCs w:val="0"/>
        </w:rPr>
      </w:pPr>
      <w:bookmarkStart w:name="五、投资状况分析" w:id="45"/>
      <w:bookmarkEnd w:id="45"/>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t>不适用</w:t>
      </w:r>
    </w:p>
    <w:p>
      <w:pPr>
        <w:spacing w:line="240" w:lineRule="auto" w:before="5"/>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250,000,000.00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4,582,650.00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5,355.36%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37"/>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683" w:space="7238"/>
            <w:col w:w="2009"/>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56"/>
        <w:gridCol w:w="650"/>
        <w:gridCol w:w="622"/>
        <w:gridCol w:w="624"/>
        <w:gridCol w:w="622"/>
        <w:gridCol w:w="622"/>
        <w:gridCol w:w="617"/>
        <w:gridCol w:w="617"/>
        <w:gridCol w:w="620"/>
        <w:gridCol w:w="590"/>
        <w:gridCol w:w="593"/>
        <w:gridCol w:w="694"/>
        <w:gridCol w:w="689"/>
        <w:gridCol w:w="691"/>
        <w:gridCol w:w="667"/>
      </w:tblGrid>
      <w:tr>
        <w:trPr>
          <w:trHeight w:val="2273" w:hRule="exact"/>
        </w:trPr>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52" w:right="5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0" w:right="48"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5"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5" w:right="36"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6" w:right="34" w:hanging="181"/>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5" w:right="3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3"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3" w:right="34" w:hanging="181"/>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 w:right="108"/>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10" w:right="110"/>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71" w:right="7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50" w:right="68" w:hanging="181"/>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0" w:right="55"/>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7893"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316" w:lineRule="auto"/>
              <w:ind w:left="24" w:right="80"/>
              <w:jc w:val="both"/>
              <w:rPr>
                <w:rFonts w:ascii="宋体" w:hAnsi="宋体" w:cs="宋体" w:eastAsia="宋体" w:hint="default"/>
                <w:sz w:val="18"/>
                <w:szCs w:val="18"/>
              </w:rPr>
            </w:pPr>
            <w:r>
              <w:rPr>
                <w:rFonts w:ascii="宋体" w:hAnsi="宋体" w:cs="宋体" w:eastAsia="宋体" w:hint="default"/>
                <w:sz w:val="18"/>
                <w:szCs w:val="18"/>
              </w:rPr>
              <w:t>北京志 东方科 技有限 责任公 司</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技术开 发、技 术推 广、技 术转让 等</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收购</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长期</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23" w:right="45"/>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3" w:right="194"/>
              <w:jc w:val="both"/>
              <w:rPr>
                <w:rFonts w:ascii="宋体" w:hAnsi="宋体" w:cs="宋体" w:eastAsia="宋体" w:hint="default"/>
                <w:sz w:val="18"/>
                <w:szCs w:val="18"/>
              </w:rPr>
            </w:pPr>
            <w:r>
              <w:rPr>
                <w:rFonts w:ascii="宋体" w:hAnsi="宋体" w:cs="宋体" w:eastAsia="宋体" w:hint="default"/>
                <w:sz w:val="18"/>
                <w:szCs w:val="18"/>
              </w:rPr>
              <w:t>已全 部过 户</w:t>
            </w:r>
          </w:p>
        </w:tc>
        <w:tc>
          <w:tcPr>
            <w:tcW w:w="5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详见</w:t>
            </w:r>
          </w:p>
          <w:p>
            <w:pPr>
              <w:pStyle w:val="TableParagraph"/>
              <w:spacing w:line="316" w:lineRule="auto" w:before="74"/>
              <w:ind w:left="24" w:right="2"/>
              <w:jc w:val="left"/>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23"/>
                <w:sz w:val="18"/>
                <w:szCs w:val="18"/>
              </w:rPr>
              <w:t>时报》、</w:t>
            </w:r>
          </w:p>
          <w:p>
            <w:pPr>
              <w:pStyle w:val="TableParagraph"/>
              <w:spacing w:line="316" w:lineRule="auto" w:before="19"/>
              <w:ind w:left="24" w:right="2"/>
              <w:jc w:val="left"/>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23"/>
                <w:sz w:val="18"/>
                <w:szCs w:val="18"/>
              </w:rPr>
              <w:t>日报》、</w:t>
            </w:r>
          </w:p>
          <w:p>
            <w:pPr>
              <w:pStyle w:val="TableParagraph"/>
              <w:spacing w:line="316" w:lineRule="auto" w:before="19"/>
              <w:ind w:left="24" w:right="91"/>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31"/>
                <w:sz w:val="18"/>
                <w:szCs w:val="18"/>
              </w:rPr>
              <w:t>报》、</w:t>
            </w:r>
          </w:p>
          <w:p>
            <w:pPr>
              <w:pStyle w:val="TableParagraph"/>
              <w:spacing w:line="319" w:lineRule="auto" w:before="19"/>
              <w:ind w:left="24" w:right="91"/>
              <w:jc w:val="left"/>
              <w:rPr>
                <w:rFonts w:ascii="宋体" w:hAnsi="宋体" w:cs="宋体" w:eastAsia="宋体" w:hint="default"/>
                <w:sz w:val="18"/>
                <w:szCs w:val="18"/>
              </w:rPr>
            </w:pPr>
            <w:r>
              <w:rPr>
                <w:rFonts w:ascii="宋体" w:hAnsi="宋体" w:cs="宋体" w:eastAsia="宋体" w:hint="default"/>
                <w:sz w:val="18"/>
                <w:szCs w:val="18"/>
              </w:rPr>
              <w:t>《上海 证券 报》及 巨潮资 讯网的</w:t>
            </w:r>
          </w:p>
          <w:p>
            <w:pPr>
              <w:pStyle w:val="TableParagraph"/>
              <w:spacing w:line="316" w:lineRule="auto" w:before="17"/>
              <w:ind w:left="24" w:right="29"/>
              <w:jc w:val="left"/>
              <w:rPr>
                <w:rFonts w:ascii="宋体" w:hAnsi="宋体" w:cs="宋体" w:eastAsia="宋体" w:hint="default"/>
                <w:sz w:val="18"/>
                <w:szCs w:val="18"/>
              </w:rPr>
            </w:pPr>
            <w:r>
              <w:rPr>
                <w:rFonts w:ascii="宋体" w:hAnsi="宋体" w:cs="宋体" w:eastAsia="宋体" w:hint="default"/>
                <w:sz w:val="18"/>
                <w:szCs w:val="18"/>
              </w:rPr>
              <w:t>《关于 现金收 购北京 志东方 科技有 限责任 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w:t>
            </w:r>
          </w:p>
          <w:p>
            <w:pPr>
              <w:pStyle w:val="TableParagraph"/>
              <w:spacing w:line="316" w:lineRule="auto"/>
              <w:ind w:left="24" w:right="91"/>
              <w:jc w:val="left"/>
              <w:rPr>
                <w:rFonts w:ascii="宋体" w:hAnsi="宋体" w:cs="宋体" w:eastAsia="宋体" w:hint="default"/>
                <w:sz w:val="18"/>
                <w:szCs w:val="18"/>
              </w:rPr>
            </w:pPr>
            <w:r>
              <w:rPr>
                <w:rFonts w:ascii="宋体" w:hAnsi="宋体" w:cs="宋体" w:eastAsia="宋体" w:hint="default"/>
                <w:sz w:val="18"/>
                <w:szCs w:val="18"/>
              </w:rPr>
              <w:t>权的公 告》</w:t>
            </w:r>
          </w:p>
          <w:p>
            <w:pPr>
              <w:pStyle w:val="TableParagraph"/>
              <w:spacing w:line="300" w:lineRule="auto" w:before="19"/>
              <w:ind w:left="24" w:right="2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2019- 056</w:t>
            </w:r>
            <w:r>
              <w:rPr>
                <w:rFonts w:ascii="宋体" w:hAnsi="宋体" w:cs="宋体" w:eastAsia="宋体" w:hint="default"/>
                <w:sz w:val="18"/>
                <w:szCs w:val="18"/>
              </w:rPr>
              <w:t>）</w:t>
            </w:r>
          </w:p>
        </w:tc>
      </w:tr>
      <w:tr>
        <w:trPr>
          <w:trHeight w:val="1025" w:hRule="exact"/>
        </w:trPr>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2"/>
              <w:jc w:val="right"/>
              <w:rPr>
                <w:rFonts w:ascii="Times New Roman" w:hAnsi="Times New Roman" w:cs="Times New Roman" w:eastAsia="Times New Roman" w:hint="default"/>
                <w:sz w:val="18"/>
                <w:szCs w:val="18"/>
              </w:rPr>
            </w:pPr>
            <w:r>
              <w:rPr>
                <w:rFonts w:ascii="Times New Roman"/>
                <w:sz w:val="18"/>
              </w:rPr>
              <w:t>--</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2"/>
              <w:jc w:val="right"/>
              <w:rPr>
                <w:rFonts w:ascii="Times New Roman" w:hAnsi="Times New Roman" w:cs="Times New Roman" w:eastAsia="Times New Roman" w:hint="default"/>
                <w:sz w:val="18"/>
                <w:szCs w:val="18"/>
              </w:rPr>
            </w:pPr>
            <w:r>
              <w:rPr>
                <w:rFonts w:ascii="Times New Roman"/>
                <w:sz w:val="18"/>
              </w:rPr>
              <w: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0.00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37"/>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683" w:space="7238"/>
            <w:col w:w="2009"/>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88"/>
        <w:gridCol w:w="895"/>
        <w:gridCol w:w="1090"/>
        <w:gridCol w:w="1178"/>
        <w:gridCol w:w="1193"/>
        <w:gridCol w:w="958"/>
        <w:gridCol w:w="955"/>
        <w:gridCol w:w="956"/>
        <w:gridCol w:w="958"/>
      </w:tblGrid>
      <w:tr>
        <w:trPr>
          <w:trHeight w:val="1025"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9"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3" w:right="79"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 w:right="4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48"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3" w:right="23"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83" w:right="19" w:hanging="360"/>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3"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5"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1,009,362,</w:t>
            </w:r>
          </w:p>
          <w:p>
            <w:pPr>
              <w:pStyle w:val="TableParagraph"/>
              <w:spacing w:line="240" w:lineRule="auto" w:before="102"/>
              <w:ind w:left="369" w:right="0"/>
              <w:jc w:val="left"/>
              <w:rPr>
                <w:rFonts w:ascii="Times New Roman" w:hAnsi="Times New Roman" w:cs="Times New Roman" w:eastAsia="Times New Roman" w:hint="default"/>
                <w:sz w:val="18"/>
                <w:szCs w:val="18"/>
              </w:rPr>
            </w:pPr>
            <w:r>
              <w:rPr>
                <w:rFonts w:ascii="Times New Roman"/>
                <w:sz w:val="18"/>
              </w:rPr>
              <w:t>677.07</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-2,572,094.86</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5,502,165,416.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6,028,900,0</w:t>
            </w:r>
          </w:p>
          <w:p>
            <w:pPr>
              <w:pStyle w:val="TableParagraph"/>
              <w:spacing w:line="240" w:lineRule="auto" w:before="102"/>
              <w:ind w:left="518" w:right="0"/>
              <w:jc w:val="left"/>
              <w:rPr>
                <w:rFonts w:ascii="Times New Roman" w:hAnsi="Times New Roman" w:cs="Times New Roman" w:eastAsia="Times New Roman" w:hint="default"/>
                <w:sz w:val="18"/>
                <w:szCs w:val="18"/>
              </w:rPr>
            </w:pPr>
            <w:r>
              <w:rPr>
                <w:rFonts w:ascii="Times New Roman"/>
                <w:sz w:val="18"/>
              </w:rPr>
              <w:t>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41,771,087.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480,055,998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自有资金、 募集资金</w:t>
            </w:r>
          </w:p>
        </w:tc>
      </w:tr>
      <w:tr>
        <w:trPr>
          <w:trHeight w:val="715"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1,009,362,</w:t>
            </w:r>
          </w:p>
          <w:p>
            <w:pPr>
              <w:pStyle w:val="TableParagraph"/>
              <w:spacing w:line="240" w:lineRule="auto" w:before="105"/>
              <w:ind w:left="369" w:right="0"/>
              <w:jc w:val="left"/>
              <w:rPr>
                <w:rFonts w:ascii="Times New Roman" w:hAnsi="Times New Roman" w:cs="Times New Roman" w:eastAsia="Times New Roman" w:hint="default"/>
                <w:sz w:val="18"/>
                <w:szCs w:val="18"/>
              </w:rPr>
            </w:pPr>
            <w:r>
              <w:rPr>
                <w:rFonts w:ascii="Times New Roman"/>
                <w:sz w:val="18"/>
              </w:rPr>
              <w:t>677.07</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-2,572,094.86</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5,502,165,416.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6,028,900,0</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41,771,087.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480,055,998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t>不适用</w:t>
      </w:r>
    </w:p>
    <w:p>
      <w:pPr>
        <w:spacing w:line="240" w:lineRule="auto" w:before="4"/>
        <w:rPr>
          <w:rFonts w:ascii="宋体" w:hAnsi="宋体" w:cs="宋体" w:eastAsia="宋体" w:hint="default"/>
          <w:sz w:val="25"/>
          <w:szCs w:val="25"/>
        </w:rPr>
      </w:pPr>
    </w:p>
    <w:p>
      <w:pPr>
        <w:pStyle w:val="Heading3"/>
        <w:spacing w:line="240" w:lineRule="auto"/>
        <w:ind w:right="1133"/>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0"/>
        </w:sectPr>
      </w:pPr>
    </w:p>
    <w:p>
      <w:pPr>
        <w:pStyle w:val="BodyText"/>
        <w:spacing w:line="240" w:lineRule="auto" w:before="37"/>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683" w:space="7058"/>
            <w:col w:w="2189"/>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before="44"/>
        <w:ind w:left="0" w:right="1144" w:firstLine="0"/>
        <w:jc w:val="right"/>
        <w:rPr>
          <w:rFonts w:ascii="宋体" w:hAnsi="宋体" w:cs="宋体" w:eastAsia="宋体" w:hint="default"/>
          <w:sz w:val="18"/>
          <w:szCs w:val="18"/>
        </w:rPr>
      </w:pPr>
      <w:r>
        <w:rPr/>
        <w:pict>
          <v:shape style="position:absolute;margin-left:56.400002pt;margin-top:-127.94825pt;width:479.05pt;height:227.8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7"/>
                    <w:gridCol w:w="862"/>
                    <w:gridCol w:w="878"/>
                    <w:gridCol w:w="869"/>
                    <w:gridCol w:w="871"/>
                    <w:gridCol w:w="869"/>
                    <w:gridCol w:w="869"/>
                    <w:gridCol w:w="871"/>
                    <w:gridCol w:w="869"/>
                    <w:gridCol w:w="871"/>
                    <w:gridCol w:w="869"/>
                  </w:tblGrid>
                  <w:tr>
                    <w:trPr>
                      <w:trHeight w:val="1337"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56" w:right="7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0"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1"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2"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403"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center"/>
                          <w:rPr>
                            <w:rFonts w:ascii="宋体" w:hAnsi="宋体" w:cs="宋体" w:eastAsia="宋体" w:hint="default"/>
                            <w:sz w:val="18"/>
                            <w:szCs w:val="18"/>
                          </w:rPr>
                        </w:pPr>
                        <w:r>
                          <w:rPr>
                            <w:rFonts w:ascii="宋体" w:hAnsi="宋体" w:cs="宋体" w:eastAsia="宋体" w:hint="default"/>
                            <w:sz w:val="18"/>
                            <w:szCs w:val="18"/>
                          </w:rPr>
                          <w:t>定向增发</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center"/>
                          <w:rPr>
                            <w:rFonts w:ascii="Times New Roman" w:hAnsi="Times New Roman" w:cs="Times New Roman" w:eastAsia="Times New Roman" w:hint="default"/>
                            <w:sz w:val="18"/>
                            <w:szCs w:val="18"/>
                          </w:rPr>
                        </w:pPr>
                        <w:r>
                          <w:rPr>
                            <w:rFonts w:ascii="Times New Roman"/>
                            <w:sz w:val="18"/>
                          </w:rPr>
                          <w:t>95,723.64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6" w:right="0"/>
                          <w:jc w:val="center"/>
                          <w:rPr>
                            <w:rFonts w:ascii="Times New Roman" w:hAnsi="Times New Roman" w:cs="Times New Roman" w:eastAsia="Times New Roman" w:hint="default"/>
                            <w:sz w:val="18"/>
                            <w:szCs w:val="18"/>
                          </w:rPr>
                        </w:pPr>
                        <w:r>
                          <w:rPr>
                            <w:rFonts w:ascii="Times New Roman"/>
                            <w:sz w:val="18"/>
                          </w:rPr>
                          <w:t>47,193.32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102,768.63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39,919.51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41.70%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95,723.64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47,193.32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102,768.63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39,919.51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41.70%</w:t>
                        </w:r>
                      </w:p>
                    </w:tc>
                    <w:tc>
                      <w:tcPr>
                        <w:tcW w:w="869"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002"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3"/>
                          <w:jc w:val="left"/>
                          <w:rPr>
                            <w:rFonts w:ascii="宋体" w:hAnsi="宋体" w:cs="宋体" w:eastAsia="宋体" w:hint="default"/>
                            <w:sz w:val="18"/>
                            <w:szCs w:val="18"/>
                          </w:rPr>
                        </w:pPr>
                        <w:r>
                          <w:rPr>
                            <w:rFonts w:ascii="宋体" w:hAnsi="宋体" w:cs="宋体" w:eastAsia="宋体" w:hint="default"/>
                            <w:spacing w:val="-5"/>
                            <w:sz w:val="18"/>
                            <w:szCs w:val="18"/>
                          </w:rPr>
                          <w:t>经中国证券监督管理委员会证监许可（</w:t>
                        </w:r>
                        <w:r>
                          <w:rPr>
                            <w:rFonts w:ascii="Times New Roman" w:hAnsi="Times New Roman" w:cs="Times New Roman" w:eastAsia="Times New Roman" w:hint="default"/>
                            <w:spacing w:val="-5"/>
                            <w:sz w:val="18"/>
                            <w:szCs w:val="18"/>
                          </w:rPr>
                          <w:t>2015</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3136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号文《关于核准北京中科金财科技股份有限公司非公开发行股票的批复 核准，公司非公开发行不超过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25,673,534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股新股。实际非公开发行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20,597,584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股，每股发行价格为人民币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47.19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元，募集</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资金总额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971,999,988.96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元，扣除承销费等发行费用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14,763,606.15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元，实际募集资金净额为人民币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957,236,382.81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元。上</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述募集资金实收情况已经立信会计师事务所（特殊普通合伙）验证，并出具信会师报字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210037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号验资报告。</w:t>
                        </w:r>
                      </w:p>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日，公司累计使用募集资金人民币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1,027,686,288.58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元，累计募集资金理财收益、利息收入扣减手续</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费净额人民币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70,449,905.77 </w:t>
                        </w:r>
                        <w:r>
                          <w:rPr>
                            <w:rFonts w:ascii="宋体" w:hAnsi="宋体" w:cs="宋体" w:eastAsia="宋体" w:hint="default"/>
                            <w:sz w:val="18"/>
                            <w:szCs w:val="18"/>
                          </w:rPr>
                          <w:t>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日，公司定向增发募集资金已全部使用完毕。</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3"/>
        <w:ind w:right="1133"/>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9"/>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8"/>
        <w:gridCol w:w="781"/>
        <w:gridCol w:w="780"/>
        <w:gridCol w:w="780"/>
        <w:gridCol w:w="780"/>
        <w:gridCol w:w="780"/>
        <w:gridCol w:w="780"/>
        <w:gridCol w:w="781"/>
        <w:gridCol w:w="780"/>
        <w:gridCol w:w="780"/>
      </w:tblGrid>
      <w:tr>
        <w:trPr>
          <w:trHeight w:val="101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520" w:right="69"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6"/>
              <w:ind w:left="24" w:right="23"/>
              <w:jc w:val="center"/>
              <w:rPr>
                <w:rFonts w:ascii="宋体" w:hAnsi="宋体" w:cs="宋体" w:eastAsia="宋体"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44"/>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6"/>
              <w:ind w:left="26" w:right="23"/>
              <w:jc w:val="center"/>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6"/>
              <w:ind w:left="26" w:right="23"/>
              <w:jc w:val="both"/>
              <w:rPr>
                <w:rFonts w:ascii="宋体" w:hAnsi="宋体" w:cs="宋体" w:eastAsia="宋体" w:hint="default"/>
                <w:sz w:val="18"/>
                <w:szCs w:val="18"/>
              </w:rPr>
            </w:pPr>
            <w:r>
              <w:rPr>
                <w:rFonts w:ascii="宋体" w:hAnsi="宋体" w:cs="宋体" w:eastAsia="宋体" w:hint="default"/>
                <w:sz w:val="18"/>
                <w:szCs w:val="18"/>
              </w:rPr>
              <w:t>项目达到 预定可使 用状态日</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6"/>
              <w:ind w:left="26" w:right="23"/>
              <w:jc w:val="both"/>
              <w:rPr>
                <w:rFonts w:ascii="宋体" w:hAnsi="宋体" w:cs="宋体" w:eastAsia="宋体" w:hint="default"/>
                <w:sz w:val="18"/>
                <w:szCs w:val="18"/>
              </w:rPr>
            </w:pPr>
            <w:r>
              <w:rPr>
                <w:rFonts w:ascii="宋体" w:hAnsi="宋体" w:cs="宋体" w:eastAsia="宋体" w:hint="default"/>
                <w:sz w:val="18"/>
                <w:szCs w:val="18"/>
              </w:rPr>
              <w:t>项目可行 性是否发 生重大变</w:t>
            </w:r>
          </w:p>
        </w:tc>
      </w:tr>
    </w:tbl>
    <w:p>
      <w:pPr>
        <w:spacing w:after="0" w:line="316" w:lineRule="auto"/>
        <w:jc w:val="both"/>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宋体" w:hAnsi="宋体" w:cs="宋体" w:eastAsia="宋体" w:hint="default"/>
          <w:sz w:val="20"/>
          <w:szCs w:val="20"/>
        </w:rPr>
      </w:pPr>
      <w:r>
        <w:rPr/>
        <w:pict>
          <v:shape style="position:absolute;margin-left:56.400002pt;margin-top:71.999985pt;width:479.3pt;height:686.65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36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1"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95" w:right="0"/>
                          <w:jc w:val="left"/>
                          <w:rPr>
                            <w:rFonts w:ascii="宋体" w:hAnsi="宋体" w:cs="宋体" w:eastAsia="宋体" w:hint="default"/>
                            <w:sz w:val="18"/>
                            <w:szCs w:val="18"/>
                          </w:rPr>
                        </w:pPr>
                        <w:r>
                          <w:rPr>
                            <w:rFonts w:ascii="宋体" w:hAnsi="宋体" w:cs="宋体" w:eastAsia="宋体" w:hint="default"/>
                            <w:sz w:val="18"/>
                            <w:szCs w:val="18"/>
                          </w:rPr>
                          <w:t>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93"/>
                          <w:jc w:val="right"/>
                          <w:rPr>
                            <w:rFonts w:ascii="宋体" w:hAnsi="宋体" w:cs="宋体" w:eastAsia="宋体" w:hint="default"/>
                            <w:sz w:val="18"/>
                            <w:szCs w:val="18"/>
                          </w:rPr>
                        </w:pPr>
                        <w:r>
                          <w:rPr>
                            <w:rFonts w:ascii="宋体" w:hAnsi="宋体" w:cs="宋体" w:eastAsia="宋体" w:hint="default"/>
                            <w:sz w:val="18"/>
                            <w:szCs w:val="18"/>
                          </w:rPr>
                          <w:t>化</w:t>
                        </w:r>
                      </w:p>
                    </w:tc>
                  </w:tr>
                  <w:tr>
                    <w:trPr>
                      <w:trHeight w:val="40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互联网金融云中心</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6,880.49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6,880.49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智能银行研发中心</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增资安粮期货</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25,400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25,400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1,153.08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23,523.64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23,523.64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23,523.64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节余资金永久性补充 流动资金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39,919.51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46,964.5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46,964.5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95,723.64</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95,723.64</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47,193.32</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102,768.6</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3</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10" w:space="0" w:color="D2D2D2"/>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1,190.35</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1"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vMerge/>
                        <w:tcBorders>
                          <w:left w:val="single" w:sz="10" w:space="0" w:color="D2D2D2"/>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10" w:space="0" w:color="D2D2D2"/>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无超募资金</w:t>
                        </w: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95,723.64</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95,723.64</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47,193.32</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102,768.6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1,190.35</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4"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1"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1"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3070"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328" w:lineRule="auto" w:before="49"/>
                          <w:ind w:left="16"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、互联网金融云中心项目 原募集资金投资项目互联网金融云中心项目的地址位于天津，公司计划利用位于天津滨海高新技术 产业开发区的自有土地用作场地建设。项目建设期限为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年，主要包括项目土建、项目硬件建设、</w:t>
                        </w:r>
                      </w:p>
                      <w:p>
                        <w:pPr>
                          <w:pStyle w:val="TableParagraph"/>
                          <w:spacing w:line="300" w:lineRule="auto"/>
                          <w:ind w:left="16" w:right="17"/>
                          <w:jc w:val="left"/>
                          <w:rPr>
                            <w:rFonts w:ascii="宋体" w:hAnsi="宋体" w:cs="宋体" w:eastAsia="宋体" w:hint="default"/>
                            <w:sz w:val="18"/>
                            <w:szCs w:val="18"/>
                          </w:rPr>
                        </w:pPr>
                        <w:r>
                          <w:rPr>
                            <w:rFonts w:ascii="宋体" w:hAnsi="宋体" w:cs="宋体" w:eastAsia="宋体" w:hint="default"/>
                            <w:sz w:val="18"/>
                            <w:szCs w:val="18"/>
                          </w:rPr>
                          <w:t>项目软件开发三大部分内容。该项目原计划投资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38,890.86 </w:t>
                        </w:r>
                        <w:r>
                          <w:rPr>
                            <w:rFonts w:ascii="宋体" w:hAnsi="宋体" w:cs="宋体" w:eastAsia="宋体" w:hint="default"/>
                            <w:sz w:val="18"/>
                            <w:szCs w:val="18"/>
                          </w:rPr>
                          <w:t>万元，其中拟使用募集资金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38,800.00 </w:t>
                        </w:r>
                        <w:r>
                          <w:rPr>
                            <w:rFonts w:ascii="宋体" w:hAnsi="宋体" w:cs="宋体" w:eastAsia="宋体" w:hint="default"/>
                            <w:sz w:val="18"/>
                            <w:szCs w:val="18"/>
                          </w:rPr>
                          <w:t>万 元。</w:t>
                        </w:r>
                      </w:p>
                      <w:p>
                        <w:pPr>
                          <w:pStyle w:val="TableParagraph"/>
                          <w:spacing w:line="314" w:lineRule="auto" w:before="72"/>
                          <w:ind w:left="16" w:right="22"/>
                          <w:jc w:val="left"/>
                          <w:rPr>
                            <w:rFonts w:ascii="宋体" w:hAnsi="宋体" w:cs="宋体" w:eastAsia="宋体" w:hint="default"/>
                            <w:sz w:val="18"/>
                            <w:szCs w:val="18"/>
                          </w:rPr>
                        </w:pPr>
                        <w:r>
                          <w:rPr>
                            <w:rFonts w:ascii="宋体" w:hAnsi="宋体" w:cs="宋体" w:eastAsia="宋体" w:hint="default"/>
                            <w:sz w:val="18"/>
                            <w:szCs w:val="18"/>
                          </w:rPr>
                          <w:t>随着金融科技、智能银行业态的快速发展，以及受行业政策走向的影响，行业内高端人才越来越多 地聚集在北京等一线城市，而公司上述募投项目实施地点位于天津，考虑到公司总部位于北京，且 已经在北京吸引储备了部分人才，继续在天津实施该等募投项目不利于公司保持较强的高端人才吸 引和储备能力，不利于公司充分利用现有的人才、技术等资源，提升资源的优化配置，从而达到经 济效益最大化的效果。基于上述考虑，公司在原互联网金融云中心项目的基础上对其实施地点及部 分建设内容进行调整，变更后的项目实施地点位于北京，利用公司总部的现有办公地点实施，预计 投资总额变更为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6,880.49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万元，全部使用募集资金投入，剩余募集资金将继续存放于募集资金专户</w:t>
                        </w:r>
                        <w:r>
                          <w:rPr>
                            <w:rFonts w:ascii="宋体" w:hAnsi="宋体" w:cs="宋体" w:eastAsia="宋体" w:hint="default"/>
                            <w:sz w:val="18"/>
                            <w:szCs w:val="18"/>
                          </w:rPr>
                          <w:t> 由保荐机构和银行共同监管，在募集资金投资项目落实前暂不使用。</w:t>
                        </w:r>
                      </w:p>
                      <w:p>
                        <w:pPr>
                          <w:pStyle w:val="TableParagraph"/>
                          <w:spacing w:line="300" w:lineRule="auto" w:before="61"/>
                          <w:ind w:left="16" w:right="109"/>
                          <w:jc w:val="left"/>
                          <w:rPr>
                            <w:rFonts w:ascii="宋体" w:hAnsi="宋体" w:cs="宋体" w:eastAsia="宋体" w:hint="default"/>
                            <w:sz w:val="18"/>
                            <w:szCs w:val="18"/>
                          </w:rPr>
                        </w:pPr>
                        <w:r>
                          <w:rPr>
                            <w:rFonts w:ascii="宋体" w:hAnsi="宋体" w:cs="宋体" w:eastAsia="宋体" w:hint="default"/>
                            <w:sz w:val="18"/>
                            <w:szCs w:val="18"/>
                          </w:rPr>
                          <w:t>互联网金融云中心项目于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年初达到预定可使用状态，受到宏观经济形势、行业竞争、市场形势</w:t>
                        </w:r>
                        <w:r>
                          <w:rPr>
                            <w:rFonts w:ascii="宋体" w:hAnsi="宋体" w:cs="宋体" w:eastAsia="宋体" w:hint="default"/>
                            <w:sz w:val="18"/>
                            <w:szCs w:val="18"/>
                          </w:rPr>
                          <w:t> 监管政策等因素的综合影响，</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年度实现效益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372,745.18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328" w:lineRule="auto" w:before="51"/>
                          <w:ind w:left="16"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、智能银行研发中心项目 原募集资金投资项目智能银行研发中心项目的建设地址位于天津，公司计划利用位于天津滨海高新 技术产业开发区的自有土地用作研发场地建设。项目规划建筑面积</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6"/>
                            <w:sz w:val="18"/>
                            <w:szCs w:val="18"/>
                          </w:rPr>
                          <w:t> </w:t>
                        </w:r>
                        <w:r>
                          <w:rPr>
                            <w:rFonts w:ascii="宋体" w:hAnsi="宋体" w:cs="宋体" w:eastAsia="宋体" w:hint="default"/>
                            <w:spacing w:val="-5"/>
                            <w:sz w:val="18"/>
                            <w:szCs w:val="18"/>
                          </w:rPr>
                          <w:t>平方米，主要由体验中心与</w:t>
                        </w:r>
                      </w:p>
                      <w:p>
                        <w:pPr>
                          <w:pStyle w:val="TableParagraph"/>
                          <w:spacing w:line="309" w:lineRule="auto"/>
                          <w:ind w:left="16" w:right="21"/>
                          <w:jc w:val="both"/>
                          <w:rPr>
                            <w:rFonts w:ascii="宋体" w:hAnsi="宋体" w:cs="宋体" w:eastAsia="宋体" w:hint="default"/>
                            <w:sz w:val="18"/>
                            <w:szCs w:val="18"/>
                          </w:rPr>
                        </w:pPr>
                        <w:r>
                          <w:rPr>
                            <w:rFonts w:ascii="宋体" w:hAnsi="宋体" w:cs="宋体" w:eastAsia="宋体" w:hint="default"/>
                            <w:sz w:val="18"/>
                            <w:szCs w:val="18"/>
                          </w:rPr>
                          <w:t>开发中心两部分组成。该项目原计划投资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8,080.05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万元。考虑到 原智能银行研发中心项目对场地建设环境等条件要求较高，暂不适宜在北京总部立即开展建设，故 拟暂停该项目的实施。</w:t>
                        </w:r>
                      </w:p>
                      <w:p>
                        <w:pPr>
                          <w:pStyle w:val="TableParagraph"/>
                          <w:spacing w:line="240" w:lineRule="auto" w:before="65"/>
                          <w:ind w:left="16"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日第四届董</w:t>
                        </w:r>
                        <w:r>
                          <w:rPr>
                            <w:rFonts w:ascii="宋体" w:hAnsi="宋体" w:cs="宋体" w:eastAsia="宋体" w:hint="default"/>
                            <w:spacing w:val="-3"/>
                            <w:sz w:val="18"/>
                            <w:szCs w:val="18"/>
                          </w:rPr>
                          <w:t>事</w:t>
                        </w:r>
                        <w:r>
                          <w:rPr>
                            <w:rFonts w:ascii="宋体" w:hAnsi="宋体" w:cs="宋体" w:eastAsia="宋体" w:hint="default"/>
                            <w:sz w:val="18"/>
                            <w:szCs w:val="18"/>
                          </w:rPr>
                          <w:t>会第七次会议</w:t>
                        </w:r>
                        <w:r>
                          <w:rPr>
                            <w:rFonts w:ascii="宋体" w:hAnsi="宋体" w:cs="宋体" w:eastAsia="宋体" w:hint="default"/>
                            <w:spacing w:val="-15"/>
                            <w:sz w:val="18"/>
                            <w:szCs w:val="18"/>
                          </w:rPr>
                          <w:t>，</w:t>
                        </w:r>
                        <w:r>
                          <w:rPr>
                            <w:rFonts w:ascii="宋体" w:hAnsi="宋体" w:cs="宋体" w:eastAsia="宋体" w:hint="default"/>
                            <w:sz w:val="18"/>
                            <w:szCs w:val="18"/>
                          </w:rPr>
                          <w:t>审议通过</w:t>
                        </w:r>
                        <w:r>
                          <w:rPr>
                            <w:rFonts w:ascii="宋体" w:hAnsi="宋体" w:cs="宋体" w:eastAsia="宋体" w:hint="default"/>
                            <w:spacing w:val="-15"/>
                            <w:sz w:val="18"/>
                            <w:szCs w:val="18"/>
                          </w:rPr>
                          <w:t>了</w:t>
                        </w:r>
                        <w:r>
                          <w:rPr>
                            <w:rFonts w:ascii="宋体" w:hAnsi="宋体" w:cs="宋体" w:eastAsia="宋体" w:hint="default"/>
                            <w:sz w:val="18"/>
                            <w:szCs w:val="18"/>
                          </w:rPr>
                          <w:t>《关于变更募集资金投资项目的议案</w:t>
                        </w:r>
                        <w:r>
                          <w:rPr>
                            <w:rFonts w:ascii="宋体" w:hAnsi="宋体" w:cs="宋体" w:eastAsia="宋体" w:hint="default"/>
                            <w:spacing w:val="-92"/>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会</w:t>
                        </w:r>
                      </w:p>
                    </w:tc>
                  </w:tr>
                  <w:tr>
                    <w:trPr>
                      <w:trHeight w:val="1015"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vMerge/>
                        <w:tcBorders>
                          <w:left w:val="single" w:sz="10" w:space="0" w:color="D2D2D2"/>
                          <w:right w:val="single" w:sz="4" w:space="0" w:color="000000"/>
                        </w:tcBorders>
                      </w:tcPr>
                      <w:p>
                        <w:pPr/>
                      </w:p>
                    </w:tc>
                  </w:tr>
                  <w:tr>
                    <w:trPr>
                      <w:trHeight w:val="3070"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before="44"/>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5"/>
        <w:rPr>
          <w:rFonts w:ascii="宋体" w:hAnsi="宋体" w:cs="宋体" w:eastAsia="宋体" w:hint="default"/>
          <w:sz w:val="29"/>
          <w:szCs w:val="29"/>
        </w:rPr>
      </w:pPr>
    </w:p>
    <w:p>
      <w:pPr>
        <w:spacing w:before="44"/>
        <w:ind w:left="0" w:right="1137"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83.15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9"/>
                  </w:tblGrid>
                  <w:tr>
                    <w:trPr>
                      <w:trHeight w:val="457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4" w:right="19"/>
                          <w:jc w:val="both"/>
                          <w:rPr>
                            <w:rFonts w:ascii="宋体" w:hAnsi="宋体" w:cs="宋体" w:eastAsia="宋体" w:hint="default"/>
                            <w:sz w:val="18"/>
                            <w:szCs w:val="18"/>
                          </w:rPr>
                        </w:pPr>
                        <w:r>
                          <w:rPr>
                            <w:rFonts w:ascii="宋体" w:hAnsi="宋体" w:cs="宋体" w:eastAsia="宋体" w:hint="default"/>
                            <w:sz w:val="18"/>
                            <w:szCs w:val="18"/>
                          </w:rPr>
                          <w:t>议同意对原募集资金投资项目的建设地点进行变更，并根据建设地点变更相应地对项目建设内容进 行部分调整。监事会、独立董事及保荐机构均出具了同意的意见。</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 东大会审议并通过了该议案，公司已进行了公告披露。</w:t>
                        </w:r>
                      </w:p>
                      <w:p>
                        <w:pPr>
                          <w:pStyle w:val="TableParagraph"/>
                          <w:spacing w:line="309" w:lineRule="auto" w:before="65"/>
                          <w:ind w:left="24" w:right="19"/>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、公司暂停实施的原智能银行研发中心项目尚未投入募集资金、原互联网金融云中心项目变更后尚</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待落实的募集资金尚未落实新的投资项目。因此，结合公司所在行业的特点、商业环境的发展变化 以及行业政策走向的影响，为了保持公司核心竞争力，及时有效地控制投资风险，提高募集资金的 </w:t>
                        </w:r>
                        <w:r>
                          <w:rPr>
                            <w:rFonts w:ascii="宋体" w:hAnsi="宋体" w:cs="宋体" w:eastAsia="宋体" w:hint="default"/>
                            <w:spacing w:val="-2"/>
                            <w:sz w:val="18"/>
                            <w:szCs w:val="18"/>
                          </w:rPr>
                          <w:t>使用效率，降低公司财务费用，优化公司资产结构，实现股东利益的最大化，</w:t>
                        </w:r>
                        <w:r>
                          <w:rPr>
                            <w:rFonts w:ascii="Times New Roman" w:hAnsi="Times New Roman" w:cs="Times New Roman" w:eastAsia="Times New Roman" w:hint="default"/>
                            <w:spacing w:val="-2"/>
                            <w:sz w:val="18"/>
                            <w:szCs w:val="18"/>
                          </w:rPr>
                          <w:t>2019</w:t>
                        </w:r>
                        <w:r>
                          <w:rPr>
                            <w:rFonts w:ascii="Times New Roman" w:hAnsi="Times New Roman" w:cs="Times New Roman" w:eastAsia="Times New Roman" w:hint="default"/>
                            <w:spacing w:val="27"/>
                            <w:sz w:val="18"/>
                            <w:szCs w:val="18"/>
                          </w:rPr>
                          <w:t> </w:t>
                        </w:r>
                        <w:r>
                          <w:rPr>
                            <w:rFonts w:ascii="宋体" w:hAnsi="宋体" w:cs="宋体" w:eastAsia="宋体" w:hint="default"/>
                            <w:spacing w:val="-1"/>
                            <w:sz w:val="18"/>
                            <w:szCs w:val="18"/>
                          </w:rPr>
                          <w:t>年公司终止上述</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尚未投入的募集资金项目并结项。</w:t>
                        </w:r>
                      </w:p>
                      <w:p>
                        <w:pPr>
                          <w:pStyle w:val="TableParagraph"/>
                          <w:spacing w:line="316" w:lineRule="auto" w:before="62"/>
                          <w:ind w:left="24" w:right="23"/>
                          <w:jc w:val="both"/>
                          <w:rPr>
                            <w:rFonts w:ascii="宋体" w:hAnsi="宋体" w:cs="宋体" w:eastAsia="宋体" w:hint="default"/>
                            <w:sz w:val="18"/>
                            <w:szCs w:val="18"/>
                          </w:rPr>
                        </w:pPr>
                        <w:r>
                          <w:rPr>
                            <w:rFonts w:ascii="宋体" w:hAnsi="宋体" w:cs="宋体" w:eastAsia="宋体" w:hint="default"/>
                            <w:sz w:val="18"/>
                            <w:szCs w:val="18"/>
                          </w:rPr>
                          <w:t>上述募投项目终止和结项后，公司将节余资金（含利息收入及理财收益）永久性补充流动资金，用 于公司主营业务相关的生产经营活动。</w:t>
                        </w:r>
                      </w:p>
                      <w:p>
                        <w:pPr>
                          <w:pStyle w:val="TableParagraph"/>
                          <w:spacing w:line="240" w:lineRule="auto" w:before="100"/>
                          <w:ind w:left="24" w:right="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日第五届董事会第五次会议、第五届监事会第五次会议和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p>
                        <w:pPr>
                          <w:pStyle w:val="TableParagraph"/>
                          <w:spacing w:line="309" w:lineRule="auto" w:before="63"/>
                          <w:ind w:left="24"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8"/>
                            <w:sz w:val="18"/>
                            <w:szCs w:val="18"/>
                          </w:rPr>
                          <w:t> </w:t>
                        </w:r>
                        <w:r>
                          <w:rPr>
                            <w:rFonts w:ascii="宋体" w:hAnsi="宋体" w:cs="宋体" w:eastAsia="宋体" w:hint="default"/>
                            <w:spacing w:val="-2"/>
                            <w:sz w:val="18"/>
                            <w:szCs w:val="18"/>
                          </w:rPr>
                          <w:t>年第三次临时股东大会《关于公司募投项目终止和结项并将节余募集资金永久性补充流动资金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的议案》同意了上述事项。公司独立董事及保荐机构分别发表了独立意见及核查意见，并已对外公 告披露。</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公司不存在项目可行性发生重大变化的情况。</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314"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684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1"/>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、互联网金融云中心项目 原募集资金投资项目互联网金融云中心项目的地址位于天津，公司计划利用位于天津滨海高新技术 产业开发区的自有土地用作场地建设。项目建设期限为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年，主要包括项目土建、项目硬件建设、</w:t>
                        </w:r>
                      </w:p>
                      <w:p>
                        <w:pPr>
                          <w:pStyle w:val="TableParagraph"/>
                          <w:spacing w:line="300" w:lineRule="auto"/>
                          <w:ind w:left="24" w:right="17"/>
                          <w:jc w:val="left"/>
                          <w:rPr>
                            <w:rFonts w:ascii="宋体" w:hAnsi="宋体" w:cs="宋体" w:eastAsia="宋体" w:hint="default"/>
                            <w:sz w:val="18"/>
                            <w:szCs w:val="18"/>
                          </w:rPr>
                        </w:pPr>
                        <w:r>
                          <w:rPr>
                            <w:rFonts w:ascii="宋体" w:hAnsi="宋体" w:cs="宋体" w:eastAsia="宋体" w:hint="default"/>
                            <w:sz w:val="18"/>
                            <w:szCs w:val="18"/>
                          </w:rPr>
                          <w:t>项目软件开发三大部分内容。该项目原计划投资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38,890.86 </w:t>
                        </w:r>
                        <w:r>
                          <w:rPr>
                            <w:rFonts w:ascii="宋体" w:hAnsi="宋体" w:cs="宋体" w:eastAsia="宋体" w:hint="default"/>
                            <w:sz w:val="18"/>
                            <w:szCs w:val="18"/>
                          </w:rPr>
                          <w:t>万元，其中拟使用募集资金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38,800.00 </w:t>
                        </w:r>
                        <w:r>
                          <w:rPr>
                            <w:rFonts w:ascii="宋体" w:hAnsi="宋体" w:cs="宋体" w:eastAsia="宋体" w:hint="default"/>
                            <w:sz w:val="18"/>
                            <w:szCs w:val="18"/>
                          </w:rPr>
                          <w:t>万 元。</w:t>
                        </w:r>
                      </w:p>
                      <w:p>
                        <w:pPr>
                          <w:pStyle w:val="TableParagraph"/>
                          <w:spacing w:line="314" w:lineRule="auto" w:before="72"/>
                          <w:ind w:left="24" w:right="24"/>
                          <w:jc w:val="left"/>
                          <w:rPr>
                            <w:rFonts w:ascii="宋体" w:hAnsi="宋体" w:cs="宋体" w:eastAsia="宋体" w:hint="default"/>
                            <w:sz w:val="18"/>
                            <w:szCs w:val="18"/>
                          </w:rPr>
                        </w:pPr>
                        <w:r>
                          <w:rPr>
                            <w:rFonts w:ascii="宋体" w:hAnsi="宋体" w:cs="宋体" w:eastAsia="宋体" w:hint="default"/>
                            <w:sz w:val="18"/>
                            <w:szCs w:val="18"/>
                          </w:rPr>
                          <w:t>随着金融科技、智能银行业态的快速发展，以及受行业政策走向的影响，行业内高端人才越来越多 地聚集在北京等一线城市，而公司上述募投项目实施地点位于天津，考虑到公司总部位于北京，且 已经在北京吸引储备了部分人才，继续在天津实施该等募投项目不利于公司保持较强的高端人才吸 引和储备能力，不利于公司充分利用现有的人才、技术等资源，提升资源的优化配置，从而达到经 济效益最大化的效果。基于上述考虑，公司在原互联网金融云中心项目的基础上对其实施地点及部 分建设内容进行调整，变更后的项目实施地点位于北京，利用公司总部的现有办公地点实施，预计 投资总额变更为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6,880.49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万元，全部使用募集资金投入，剩余募集资金将继续存放于募集资金专户</w:t>
                        </w:r>
                        <w:r>
                          <w:rPr>
                            <w:rFonts w:ascii="宋体" w:hAnsi="宋体" w:cs="宋体" w:eastAsia="宋体" w:hint="default"/>
                            <w:sz w:val="18"/>
                            <w:szCs w:val="18"/>
                          </w:rPr>
                          <w:t> 由保荐机构和银行共同监管，在募集资金投资项目落实前暂不使用。</w:t>
                        </w:r>
                      </w:p>
                      <w:p>
                        <w:pPr>
                          <w:pStyle w:val="TableParagraph"/>
                          <w:spacing w:line="300" w:lineRule="auto" w:before="59"/>
                          <w:ind w:left="24" w:right="109"/>
                          <w:jc w:val="left"/>
                          <w:rPr>
                            <w:rFonts w:ascii="宋体" w:hAnsi="宋体" w:cs="宋体" w:eastAsia="宋体" w:hint="default"/>
                            <w:sz w:val="18"/>
                            <w:szCs w:val="18"/>
                          </w:rPr>
                        </w:pPr>
                        <w:r>
                          <w:rPr>
                            <w:rFonts w:ascii="宋体" w:hAnsi="宋体" w:cs="宋体" w:eastAsia="宋体" w:hint="default"/>
                            <w:sz w:val="18"/>
                            <w:szCs w:val="18"/>
                          </w:rPr>
                          <w:t>互联网金融云中心项目于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年初达到预定可使用状态，受到宏观经济形势、行业竞争、市场形势</w:t>
                        </w:r>
                        <w:r>
                          <w:rPr>
                            <w:rFonts w:ascii="宋体" w:hAnsi="宋体" w:cs="宋体" w:eastAsia="宋体" w:hint="default"/>
                            <w:sz w:val="18"/>
                            <w:szCs w:val="18"/>
                          </w:rPr>
                          <w:t> 监管政策等因素的综合影响，</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年度实现效益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372,745.18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328" w:lineRule="auto" w:before="53"/>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、智能银行研发中心项目 原募集资金投资项目智能银行研发中心项目的建设地址位于天津，公司计划利用位于天津滨海高新 技术产业开发区的自有土地用作研发场地建设。项目规划建筑面积</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6"/>
                            <w:sz w:val="18"/>
                            <w:szCs w:val="18"/>
                          </w:rPr>
                          <w:t> </w:t>
                        </w:r>
                        <w:r>
                          <w:rPr>
                            <w:rFonts w:ascii="宋体" w:hAnsi="宋体" w:cs="宋体" w:eastAsia="宋体" w:hint="default"/>
                            <w:spacing w:val="-5"/>
                            <w:sz w:val="18"/>
                            <w:szCs w:val="18"/>
                          </w:rPr>
                          <w:t>平方米，主要由体验中心与</w:t>
                        </w:r>
                      </w:p>
                      <w:p>
                        <w:pPr>
                          <w:pStyle w:val="TableParagraph"/>
                          <w:spacing w:line="309" w:lineRule="auto"/>
                          <w:ind w:left="24" w:right="21"/>
                          <w:jc w:val="both"/>
                          <w:rPr>
                            <w:rFonts w:ascii="宋体" w:hAnsi="宋体" w:cs="宋体" w:eastAsia="宋体" w:hint="default"/>
                            <w:sz w:val="18"/>
                            <w:szCs w:val="18"/>
                          </w:rPr>
                        </w:pPr>
                        <w:r>
                          <w:rPr>
                            <w:rFonts w:ascii="宋体" w:hAnsi="宋体" w:cs="宋体" w:eastAsia="宋体" w:hint="default"/>
                            <w:sz w:val="18"/>
                            <w:szCs w:val="18"/>
                          </w:rPr>
                          <w:t>开发中心两部分组成。该项目原计划投资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8,080.05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万元，其中使用募集资金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万元。考虑到 原智能银行研发中心项目对场地建设环境等条件要求较高，暂不适宜在北京总部立即开展建设，故 拟暂停该项目的实施。</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4"/>
        <w:rPr>
          <w:rFonts w:ascii="宋体" w:hAnsi="宋体" w:cs="宋体" w:eastAsia="宋体" w:hint="default"/>
          <w:sz w:val="29"/>
          <w:szCs w:val="29"/>
        </w:rPr>
      </w:pPr>
    </w:p>
    <w:p>
      <w:pPr>
        <w:spacing w:before="44"/>
        <w:ind w:left="0" w:right="1137"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81.7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9"/>
                  </w:tblGrid>
                  <w:tr>
                    <w:trPr>
                      <w:trHeight w:val="1299"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8"/>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日第四届董事会第七次会议，审议通过了《关于变更募集资金投资项目的议案》，会</w:t>
                        </w:r>
                        <w:r>
                          <w:rPr>
                            <w:rFonts w:ascii="宋体" w:hAnsi="宋体" w:cs="宋体" w:eastAsia="宋体" w:hint="default"/>
                            <w:sz w:val="18"/>
                            <w:szCs w:val="18"/>
                          </w:rPr>
                          <w:t> 议同意对原募集资金投资项目的建设地点进行变更，并根据建设地点变更相应地对项目建设内容进 行部分调整。监事会、独立董事及保荐机构均出具了同意的意见。</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 东大会审议并通过了该议案，公司已进行了公告披露。</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4"/>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8130"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、互联网金融云中心项目 原募集资金投资项目互联网金融云中心项目的地址位于天津，公司计划利用位于天津滨海高新技术 产业开发区的自有土地用作场地建设。项目建设期限为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年，主要包括项目土建、项目硬件建设、</w:t>
                        </w:r>
                      </w:p>
                      <w:p>
                        <w:pPr>
                          <w:pStyle w:val="TableParagraph"/>
                          <w:spacing w:line="300" w:lineRule="auto"/>
                          <w:ind w:left="24" w:right="17"/>
                          <w:jc w:val="left"/>
                          <w:rPr>
                            <w:rFonts w:ascii="宋体" w:hAnsi="宋体" w:cs="宋体" w:eastAsia="宋体" w:hint="default"/>
                            <w:sz w:val="18"/>
                            <w:szCs w:val="18"/>
                          </w:rPr>
                        </w:pPr>
                        <w:r>
                          <w:rPr>
                            <w:rFonts w:ascii="宋体" w:hAnsi="宋体" w:cs="宋体" w:eastAsia="宋体" w:hint="default"/>
                            <w:sz w:val="18"/>
                            <w:szCs w:val="18"/>
                          </w:rPr>
                          <w:t>项目软件开发三大部分内容。该项目原计划投资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38,890.86 </w:t>
                        </w:r>
                        <w:r>
                          <w:rPr>
                            <w:rFonts w:ascii="宋体" w:hAnsi="宋体" w:cs="宋体" w:eastAsia="宋体" w:hint="default"/>
                            <w:sz w:val="18"/>
                            <w:szCs w:val="18"/>
                          </w:rPr>
                          <w:t>万元，其中拟使用募集资金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38,800.00 </w:t>
                        </w:r>
                        <w:r>
                          <w:rPr>
                            <w:rFonts w:ascii="宋体" w:hAnsi="宋体" w:cs="宋体" w:eastAsia="宋体" w:hint="default"/>
                            <w:sz w:val="18"/>
                            <w:szCs w:val="18"/>
                          </w:rPr>
                          <w:t>万 元。</w:t>
                        </w:r>
                      </w:p>
                      <w:p>
                        <w:pPr>
                          <w:pStyle w:val="TableParagraph"/>
                          <w:spacing w:line="314" w:lineRule="auto" w:before="73"/>
                          <w:ind w:left="24" w:right="24"/>
                          <w:jc w:val="left"/>
                          <w:rPr>
                            <w:rFonts w:ascii="宋体" w:hAnsi="宋体" w:cs="宋体" w:eastAsia="宋体" w:hint="default"/>
                            <w:sz w:val="18"/>
                            <w:szCs w:val="18"/>
                          </w:rPr>
                        </w:pPr>
                        <w:r>
                          <w:rPr>
                            <w:rFonts w:ascii="宋体" w:hAnsi="宋体" w:cs="宋体" w:eastAsia="宋体" w:hint="default"/>
                            <w:sz w:val="18"/>
                            <w:szCs w:val="18"/>
                          </w:rPr>
                          <w:t>随着金融科技、智能银行业态的快速发展，以及受行业政策走向的影响，行业内高端人才越来越多 地聚集在北京等一线城市，而公司上述募投项目实施地点位于天津，考虑到公司总部位于北京，且 已经在北京吸引储备了部分人才，继续在天津实施该等募投项目不利于公司保持较强的高端人才吸 引和储备能力，不利于公司充分利用现有的人才、技术等资源，提升资源的优化配置，从而达到经 济效益最大化的效果。基于上述考虑，公司在原互联网金融云中心项目的基础上对其实施地点及部 分建设内容进行调整，变更后的项目实施地点位于北京，利用公司总部的现有办公地点实施，预计 投资总额变更为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6,880.49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万元，全部使用募集资金投入，剩余募集资金将继续存放于募集资金专户</w:t>
                        </w:r>
                        <w:r>
                          <w:rPr>
                            <w:rFonts w:ascii="宋体" w:hAnsi="宋体" w:cs="宋体" w:eastAsia="宋体" w:hint="default"/>
                            <w:sz w:val="18"/>
                            <w:szCs w:val="18"/>
                          </w:rPr>
                          <w:t> 由保荐机构和银行共同监管，在募集资金投资项目落实前暂不使用。</w:t>
                        </w:r>
                      </w:p>
                      <w:p>
                        <w:pPr>
                          <w:pStyle w:val="TableParagraph"/>
                          <w:spacing w:line="300" w:lineRule="auto" w:before="61"/>
                          <w:ind w:left="24" w:right="109"/>
                          <w:jc w:val="left"/>
                          <w:rPr>
                            <w:rFonts w:ascii="宋体" w:hAnsi="宋体" w:cs="宋体" w:eastAsia="宋体" w:hint="default"/>
                            <w:sz w:val="18"/>
                            <w:szCs w:val="18"/>
                          </w:rPr>
                        </w:pPr>
                        <w:r>
                          <w:rPr>
                            <w:rFonts w:ascii="宋体" w:hAnsi="宋体" w:cs="宋体" w:eastAsia="宋体" w:hint="default"/>
                            <w:sz w:val="18"/>
                            <w:szCs w:val="18"/>
                          </w:rPr>
                          <w:t>互联网金融云中心项目于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年初达到预定可使用状态，受到宏观经济形势、行业竞争、市场形势</w:t>
                        </w:r>
                        <w:r>
                          <w:rPr>
                            <w:rFonts w:ascii="宋体" w:hAnsi="宋体" w:cs="宋体" w:eastAsia="宋体" w:hint="default"/>
                            <w:sz w:val="18"/>
                            <w:szCs w:val="18"/>
                          </w:rPr>
                          <w:t> 监管政策等因素的综合影响，</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年度实现效益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372,745.18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328" w:lineRule="auto" w:before="51"/>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、智能银行研发中心项目 原募集资金投资项目智能银行研发中心项目的建设地址位于天津，公司计划利用位于天津滨海高新 技术产业开发区的自有土地用作研发场地建设。项目规划建筑面积</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6"/>
                            <w:sz w:val="18"/>
                            <w:szCs w:val="18"/>
                          </w:rPr>
                          <w:t> </w:t>
                        </w:r>
                        <w:r>
                          <w:rPr>
                            <w:rFonts w:ascii="宋体" w:hAnsi="宋体" w:cs="宋体" w:eastAsia="宋体" w:hint="default"/>
                            <w:spacing w:val="-5"/>
                            <w:sz w:val="18"/>
                            <w:szCs w:val="18"/>
                          </w:rPr>
                          <w:t>平方米，主要由体验中心与</w:t>
                        </w:r>
                      </w:p>
                      <w:p>
                        <w:pPr>
                          <w:pStyle w:val="TableParagraph"/>
                          <w:spacing w:line="309" w:lineRule="auto"/>
                          <w:ind w:left="24" w:right="21"/>
                          <w:jc w:val="both"/>
                          <w:rPr>
                            <w:rFonts w:ascii="宋体" w:hAnsi="宋体" w:cs="宋体" w:eastAsia="宋体" w:hint="default"/>
                            <w:sz w:val="18"/>
                            <w:szCs w:val="18"/>
                          </w:rPr>
                        </w:pPr>
                        <w:r>
                          <w:rPr>
                            <w:rFonts w:ascii="宋体" w:hAnsi="宋体" w:cs="宋体" w:eastAsia="宋体" w:hint="default"/>
                            <w:sz w:val="18"/>
                            <w:szCs w:val="18"/>
                          </w:rPr>
                          <w:t>开发中心两部分组成。该项目原计划投资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8,080.05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万元，其中使用募集资金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万元。考虑到 原智能银行研发中心项目对场地建设环境等条件要求较高，暂不适宜在北京总部立即开展建设，故 拟暂停该项目的实施。</w:t>
                        </w:r>
                      </w:p>
                      <w:p>
                        <w:pPr>
                          <w:pStyle w:val="TableParagraph"/>
                          <w:spacing w:line="307" w:lineRule="auto" w:before="65"/>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日第四届董事会第七次会议，审议通过了《关于变更募集资金投资项目的议案》，会</w:t>
                        </w:r>
                        <w:r>
                          <w:rPr>
                            <w:rFonts w:ascii="宋体" w:hAnsi="宋体" w:cs="宋体" w:eastAsia="宋体" w:hint="default"/>
                            <w:sz w:val="18"/>
                            <w:szCs w:val="18"/>
                          </w:rPr>
                          <w:t> 议同意对原募集资金投资项目的建设地点进行变更，并根据建设地点变更相应地对项目建设内容进 行部分调整。监事会、独立董事及保荐机构均出具了同意的意见。</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 东大会审议并通过了该议案，公司已进行了公告披露。</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7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年定向增发募集资金到位前，公司利用自筹资金对募集资金项目累计投入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254,000,000.00 </w:t>
                        </w:r>
                        <w:r>
                          <w:rPr>
                            <w:rFonts w:ascii="宋体" w:hAnsi="宋体" w:cs="宋体" w:eastAsia="宋体" w:hint="default"/>
                            <w:sz w:val="18"/>
                            <w:szCs w:val="18"/>
                          </w:rPr>
                          <w:t>元。立信会计师事务所（特殊普通合伙）对公司以自筹资金先期投入募集资金项目进行了审核，并 出具了《关于北京中科金财科技股份有限公司以募集资金置换预先已投入募集资金项目的自筹资金 </w:t>
                        </w:r>
                        <w:r>
                          <w:rPr>
                            <w:rFonts w:ascii="宋体" w:hAnsi="宋体" w:cs="宋体" w:eastAsia="宋体" w:hint="default"/>
                            <w:spacing w:val="-5"/>
                            <w:sz w:val="18"/>
                            <w:szCs w:val="18"/>
                          </w:rPr>
                          <w:t>的专项审核报告》（信会师报字</w:t>
                        </w:r>
                        <w:r>
                          <w:rPr>
                            <w:rFonts w:ascii="Times New Roman" w:hAnsi="Times New Roman" w:cs="Times New Roman" w:eastAsia="Times New Roman" w:hint="default"/>
                            <w:spacing w:val="-5"/>
                            <w:sz w:val="18"/>
                            <w:szCs w:val="18"/>
                          </w:rPr>
                          <w:t>[2016]</w:t>
                        </w:r>
                        <w:r>
                          <w:rPr>
                            <w:rFonts w:ascii="宋体" w:hAnsi="宋体" w:cs="宋体" w:eastAsia="宋体" w:hint="default"/>
                            <w:spacing w:val="-5"/>
                            <w:sz w:val="18"/>
                            <w:szCs w:val="18"/>
                          </w:rPr>
                          <w:t>第</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210058</w:t>
                        </w:r>
                        <w:r>
                          <w:rPr>
                            <w:rFonts w:ascii="Times New Roman" w:hAnsi="Times New Roman" w:cs="Times New Roman" w:eastAsia="Times New Roman" w:hint="default"/>
                            <w:spacing w:val="6"/>
                            <w:sz w:val="18"/>
                            <w:szCs w:val="18"/>
                          </w:rPr>
                          <w:t> </w:t>
                        </w:r>
                        <w:r>
                          <w:rPr>
                            <w:rFonts w:ascii="宋体" w:hAnsi="宋体" w:cs="宋体" w:eastAsia="宋体" w:hint="default"/>
                            <w:spacing w:val="-14"/>
                            <w:sz w:val="18"/>
                            <w:szCs w:val="18"/>
                          </w:rPr>
                          <w:t>号）；</w:t>
                        </w:r>
                        <w:r>
                          <w:rPr>
                            <w:rFonts w:ascii="Times New Roman" w:hAnsi="Times New Roman" w:cs="Times New Roman" w:eastAsia="Times New Roman" w:hint="default"/>
                            <w:spacing w:val="-14"/>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22</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日，公司第三届董事会第二十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次会议及公司第三届监事会第十五次会议审议通过了《关于使用募集资金置换先期投入的议案》，同</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意以募集资金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254,000,000.00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元置换已投入募集资金投资项目的自筹资金；独立董事对以上项目发 表了同意意见、保荐机构发表了同意该项目实施的核查意见，并均已对外公告披露。</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5"/>
        <w:rPr>
          <w:rFonts w:ascii="宋体" w:hAnsi="宋体" w:cs="宋体" w:eastAsia="宋体" w:hint="default"/>
          <w:sz w:val="29"/>
          <w:szCs w:val="29"/>
        </w:rPr>
      </w:pPr>
    </w:p>
    <w:p>
      <w:pPr>
        <w:spacing w:before="44"/>
        <w:ind w:left="0" w:right="1137"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9"/>
      </w:tblGrid>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869"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9"/>
              <w:jc w:val="both"/>
              <w:rPr>
                <w:rFonts w:ascii="宋体" w:hAnsi="宋体" w:cs="宋体" w:eastAsia="宋体" w:hint="default"/>
                <w:sz w:val="18"/>
                <w:szCs w:val="18"/>
              </w:rPr>
            </w:pPr>
            <w:r>
              <w:rPr>
                <w:rFonts w:ascii="宋体" w:hAnsi="宋体" w:cs="宋体" w:eastAsia="宋体" w:hint="default"/>
                <w:sz w:val="18"/>
                <w:szCs w:val="18"/>
              </w:rPr>
              <w:t>公司暂停实施的原智能银行研发中心项目尚未投入募集资金、原互联网金融云中心项目变更后尚待 落实的募集资金尚未落实新的投资项目。因此，结合公司所在行业的特点、商业环境的发展变化以 及行业政策走向的影响，为了保持公司核心竞争力，及时有效地控制投资风险，提高募集资金的使 </w:t>
            </w:r>
            <w:r>
              <w:rPr>
                <w:rFonts w:ascii="宋体" w:hAnsi="宋体" w:cs="宋体" w:eastAsia="宋体" w:hint="default"/>
                <w:spacing w:val="-2"/>
                <w:sz w:val="18"/>
                <w:szCs w:val="18"/>
              </w:rPr>
              <w:t>用效率，降低公司财务费用，优化公司资产结构，实现股东利益的最大化，</w:t>
            </w:r>
            <w:r>
              <w:rPr>
                <w:rFonts w:ascii="Times New Roman" w:hAnsi="Times New Roman" w:cs="Times New Roman" w:eastAsia="Times New Roman" w:hint="default"/>
                <w:spacing w:val="-2"/>
                <w:sz w:val="18"/>
                <w:szCs w:val="18"/>
              </w:rPr>
              <w:t>2019</w:t>
            </w:r>
            <w:r>
              <w:rPr>
                <w:rFonts w:ascii="Times New Roman" w:hAnsi="Times New Roman" w:cs="Times New Roman" w:eastAsia="Times New Roman" w:hint="default"/>
                <w:spacing w:val="26"/>
                <w:sz w:val="18"/>
                <w:szCs w:val="18"/>
              </w:rPr>
              <w:t> </w:t>
            </w:r>
            <w:r>
              <w:rPr>
                <w:rFonts w:ascii="宋体" w:hAnsi="宋体" w:cs="宋体" w:eastAsia="宋体" w:hint="default"/>
                <w:spacing w:val="-1"/>
                <w:sz w:val="18"/>
                <w:szCs w:val="18"/>
              </w:rPr>
              <w:t>年公司终止上述尚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未投入的募集资金项目并结项。</w:t>
            </w:r>
          </w:p>
          <w:p>
            <w:pPr>
              <w:pStyle w:val="TableParagraph"/>
              <w:spacing w:line="304" w:lineRule="auto" w:before="63"/>
              <w:ind w:left="24" w:right="23"/>
              <w:jc w:val="both"/>
              <w:rPr>
                <w:rFonts w:ascii="宋体" w:hAnsi="宋体" w:cs="宋体" w:eastAsia="宋体" w:hint="default"/>
                <w:sz w:val="18"/>
                <w:szCs w:val="18"/>
              </w:rPr>
            </w:pPr>
            <w:r>
              <w:rPr>
                <w:rFonts w:ascii="宋体" w:hAnsi="宋体" w:cs="宋体" w:eastAsia="宋体" w:hint="default"/>
                <w:spacing w:val="-3"/>
                <w:sz w:val="18"/>
                <w:szCs w:val="18"/>
              </w:rPr>
              <w:t>公司节余募集资金的主要原因为：（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）公司严格按照募集资金管理的有关规定谨慎使用募集资金，</w:t>
            </w:r>
            <w:r>
              <w:rPr>
                <w:rFonts w:ascii="宋体" w:hAnsi="宋体" w:cs="宋体" w:eastAsia="宋体" w:hint="default"/>
                <w:spacing w:val="-49"/>
                <w:sz w:val="18"/>
                <w:szCs w:val="18"/>
              </w:rPr>
              <w:t> </w:t>
            </w:r>
            <w:r>
              <w:rPr>
                <w:rFonts w:ascii="宋体" w:hAnsi="宋体" w:cs="宋体" w:eastAsia="宋体" w:hint="default"/>
                <w:spacing w:val="-3"/>
                <w:sz w:val="18"/>
                <w:szCs w:val="18"/>
              </w:rPr>
              <w:t>从项目实际情况出发，严格管理，本着合理、有效、节约的原则谨慎使用募集资金；（</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）公司本次</w:t>
            </w:r>
            <w:r>
              <w:rPr>
                <w:rFonts w:ascii="宋体" w:hAnsi="宋体" w:cs="宋体" w:eastAsia="宋体" w:hint="default"/>
                <w:spacing w:val="-48"/>
                <w:sz w:val="18"/>
                <w:szCs w:val="18"/>
              </w:rPr>
              <w:t> </w:t>
            </w:r>
            <w:r>
              <w:rPr>
                <w:rFonts w:ascii="宋体" w:hAnsi="宋体" w:cs="宋体" w:eastAsia="宋体" w:hint="default"/>
                <w:sz w:val="18"/>
                <w:szCs w:val="18"/>
              </w:rPr>
              <w:t>终止和结项的募投项目涉及的募集资金尚未投入，在原有建设上节省了项目支出，及时有效控制了 </w:t>
            </w:r>
            <w:r>
              <w:rPr>
                <w:rFonts w:ascii="宋体" w:hAnsi="宋体" w:cs="宋体" w:eastAsia="宋体" w:hint="default"/>
                <w:spacing w:val="-3"/>
                <w:sz w:val="18"/>
                <w:szCs w:val="18"/>
              </w:rPr>
              <w:t>投资风险；（</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）自募集资金到账以来，公司严格按照募集资金管理的有关规定将募集资金存放至募</w:t>
            </w:r>
            <w:r>
              <w:rPr>
                <w:rFonts w:ascii="宋体" w:hAnsi="宋体" w:cs="宋体" w:eastAsia="宋体" w:hint="default"/>
                <w:spacing w:val="-49"/>
                <w:sz w:val="18"/>
                <w:szCs w:val="18"/>
              </w:rPr>
              <w:t> </w:t>
            </w:r>
            <w:r>
              <w:rPr>
                <w:rFonts w:ascii="宋体" w:hAnsi="宋体" w:cs="宋体" w:eastAsia="宋体" w:hint="default"/>
                <w:sz w:val="18"/>
                <w:szCs w:val="18"/>
              </w:rPr>
              <w:t>集资金专户、以及使用闲置募集资金购买保本型理财产品，取得了一定的利息及理财收益。</w:t>
            </w:r>
          </w:p>
          <w:p>
            <w:pPr>
              <w:pStyle w:val="TableParagraph"/>
              <w:spacing w:line="319" w:lineRule="auto" w:before="68"/>
              <w:ind w:left="24" w:right="23"/>
              <w:jc w:val="both"/>
              <w:rPr>
                <w:rFonts w:ascii="宋体" w:hAnsi="宋体" w:cs="宋体" w:eastAsia="宋体" w:hint="default"/>
                <w:sz w:val="18"/>
                <w:szCs w:val="18"/>
              </w:rPr>
            </w:pPr>
            <w:r>
              <w:rPr>
                <w:rFonts w:ascii="宋体" w:hAnsi="宋体" w:cs="宋体" w:eastAsia="宋体" w:hint="default"/>
                <w:sz w:val="18"/>
                <w:szCs w:val="18"/>
              </w:rPr>
              <w:t>上述募投项目终止和结项后，公司将节余资金（含利息收入及理财收益）永久性补充流动资金，用 于公司主营业务相关的生产经营活动。</w:t>
            </w:r>
          </w:p>
          <w:p>
            <w:pPr>
              <w:pStyle w:val="TableParagraph"/>
              <w:spacing w:line="240" w:lineRule="auto" w:before="55"/>
              <w:ind w:left="24" w:right="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日第五届董事会第五次会议、第五届监事会第五次会议和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p>
            <w:pPr>
              <w:pStyle w:val="TableParagraph"/>
              <w:spacing w:line="309" w:lineRule="auto" w:before="63"/>
              <w:ind w:left="24"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8"/>
                <w:sz w:val="18"/>
                <w:szCs w:val="18"/>
              </w:rPr>
              <w:t> </w:t>
            </w:r>
            <w:r>
              <w:rPr>
                <w:rFonts w:ascii="宋体" w:hAnsi="宋体" w:cs="宋体" w:eastAsia="宋体" w:hint="default"/>
                <w:spacing w:val="-2"/>
                <w:sz w:val="18"/>
                <w:szCs w:val="18"/>
              </w:rPr>
              <w:t>年第三次临时股东大会《关于公司募投项目终止和结项并将节余募集资金永久性补充流动资金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的议案》同意了上述事项。公司独立董事及保荐机构分别发表了独立意见及核查意见，并已对外公 告披露。</w:t>
            </w:r>
          </w:p>
          <w:p>
            <w:pPr>
              <w:pStyle w:val="TableParagraph"/>
              <w:spacing w:line="300" w:lineRule="auto" w:before="65"/>
              <w:ind w:left="24" w:right="19"/>
              <w:jc w:val="both"/>
              <w:rPr>
                <w:rFonts w:ascii="宋体" w:hAnsi="宋体" w:cs="宋体" w:eastAsia="宋体" w:hint="default"/>
                <w:sz w:val="18"/>
                <w:szCs w:val="18"/>
              </w:rPr>
            </w:pPr>
            <w:r>
              <w:rPr>
                <w:rFonts w:ascii="宋体" w:hAnsi="宋体" w:cs="宋体" w:eastAsia="宋体" w:hint="default"/>
                <w:sz w:val="18"/>
                <w:szCs w:val="18"/>
              </w:rPr>
              <w:t>公司已于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日将节余募集资金（含利息收入及理财收益）</w:t>
            </w:r>
            <w:r>
              <w:rPr>
                <w:rFonts w:ascii="Times New Roman" w:hAnsi="Times New Roman" w:cs="Times New Roman" w:eastAsia="Times New Roman" w:hint="default"/>
                <w:sz w:val="18"/>
                <w:szCs w:val="18"/>
              </w:rPr>
              <w:t>469,645,005.77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元全部用于 永久性补充流动资金。</w:t>
            </w:r>
          </w:p>
        </w:tc>
      </w:tr>
      <w:tr>
        <w:trPr>
          <w:trHeight w:val="395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314" w:lineRule="auto"/>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4" w:right="17"/>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2018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日第四届董事会第十五次会议审议通过了《关于审议暂时闲置募集资金购买保本 </w:t>
            </w:r>
            <w:r>
              <w:rPr>
                <w:rFonts w:ascii="宋体" w:hAnsi="宋体" w:cs="宋体" w:eastAsia="宋体" w:hint="default"/>
                <w:spacing w:val="-1"/>
                <w:sz w:val="18"/>
                <w:szCs w:val="18"/>
              </w:rPr>
              <w:t>型理财产品的议案》</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同意公司在保证募集资金项目正常建设和确保资金安全的前提下，滚动使用不</w:t>
            </w:r>
            <w:r>
              <w:rPr>
                <w:rFonts w:ascii="宋体" w:hAnsi="宋体" w:cs="宋体" w:eastAsia="宋体" w:hint="default"/>
                <w:sz w:val="18"/>
                <w:szCs w:val="18"/>
              </w:rPr>
              <w:t> 超过</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万元的暂时闲置募集资金购买保本型理财产品。本议案已经</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 股东大会审议通过，公司独立董事及保荐机构分别发表了同意的独立意见及核查意见，并已对外公 告披露。</w:t>
            </w:r>
          </w:p>
          <w:p>
            <w:pPr>
              <w:pStyle w:val="TableParagraph"/>
              <w:spacing w:line="304" w:lineRule="auto" w:before="68"/>
              <w:ind w:left="24"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2019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日第四届董事会第二十一次会议审议通过了《关于审议暂时闲置募集资金购买保 </w:t>
            </w:r>
            <w:r>
              <w:rPr>
                <w:rFonts w:ascii="宋体" w:hAnsi="宋体" w:cs="宋体" w:eastAsia="宋体" w:hint="default"/>
                <w:spacing w:val="-1"/>
                <w:sz w:val="18"/>
                <w:szCs w:val="18"/>
              </w:rPr>
              <w:t>本型理财产品的议案》</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同意公司在保证募集资金项目正常建设和确保资金安全的前提下，滚动使用</w:t>
            </w:r>
            <w:r>
              <w:rPr>
                <w:rFonts w:ascii="宋体" w:hAnsi="宋体" w:cs="宋体" w:eastAsia="宋体" w:hint="default"/>
                <w:sz w:val="18"/>
                <w:szCs w:val="18"/>
              </w:rPr>
              <w:t> 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万元的暂时闲置募集资金购买保本型理财产品。本议案已经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年度股东大会审议通过，公司独立董事及保荐机构分别发表了同意的独立意见及核查意见，并已对 外公告披露。</w:t>
            </w:r>
          </w:p>
          <w:p>
            <w:pPr>
              <w:pStyle w:val="TableParagraph"/>
              <w:spacing w:line="240" w:lineRule="auto" w:before="10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年度，公司累计购买理财产品本金人民币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143,500.00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万元，赎回本金人民币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188,800.00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日，募集资金银行理财产品余额为零。</w:t>
            </w:r>
          </w:p>
        </w:tc>
      </w:tr>
      <w:tr>
        <w:trPr>
          <w:trHeight w:val="102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公司按照相关法律、法规、规范性文件的规定和要求使用募集资金，并对募集资金使用情况及时地 进行了披露，不存在募集资金使用及管理的违规情形。</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37"/>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683" w:space="7058"/>
            <w:col w:w="2189"/>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8"/>
        <w:gridCol w:w="958"/>
        <w:gridCol w:w="958"/>
        <w:gridCol w:w="956"/>
        <w:gridCol w:w="958"/>
        <w:gridCol w:w="955"/>
        <w:gridCol w:w="958"/>
        <w:gridCol w:w="958"/>
      </w:tblGrid>
      <w:tr>
        <w:trPr>
          <w:trHeight w:val="1025"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83"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23" w:right="22"/>
              <w:jc w:val="both"/>
              <w:rPr>
                <w:rFonts w:ascii="宋体" w:hAnsi="宋体" w:cs="宋体" w:eastAsia="宋体" w:hint="default"/>
                <w:sz w:val="18"/>
                <w:szCs w:val="18"/>
              </w:rPr>
            </w:pPr>
            <w:r>
              <w:rPr>
                <w:rFonts w:ascii="宋体" w:hAnsi="宋体" w:cs="宋体" w:eastAsia="宋体" w:hint="default"/>
                <w:sz w:val="18"/>
                <w:szCs w:val="18"/>
              </w:rPr>
              <w:t>变更后项目 拟投入募集 资金总额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49"/>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04"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23" w:right="23"/>
              <w:jc w:val="both"/>
              <w:rPr>
                <w:rFonts w:ascii="宋体" w:hAnsi="宋体" w:cs="宋体" w:eastAsia="宋体" w:hint="default"/>
                <w:sz w:val="18"/>
                <w:szCs w:val="18"/>
              </w:rPr>
            </w:pPr>
            <w:r>
              <w:rPr>
                <w:rFonts w:ascii="宋体" w:hAnsi="宋体" w:cs="宋体" w:eastAsia="宋体" w:hint="default"/>
                <w:sz w:val="18"/>
                <w:szCs w:val="18"/>
              </w:rPr>
              <w:t>变更后的项 目可行性是 否发生重大</w:t>
            </w:r>
          </w:p>
        </w:tc>
      </w:tr>
    </w:tbl>
    <w:p>
      <w:pPr>
        <w:spacing w:after="0" w:line="316" w:lineRule="auto"/>
        <w:jc w:val="both"/>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8"/>
        <w:gridCol w:w="958"/>
        <w:gridCol w:w="958"/>
        <w:gridCol w:w="956"/>
        <w:gridCol w:w="958"/>
        <w:gridCol w:w="955"/>
        <w:gridCol w:w="958"/>
        <w:gridCol w:w="958"/>
      </w:tblGrid>
      <w:tr>
        <w:trPr>
          <w:trHeight w:val="363"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92" w:right="0"/>
              <w:jc w:val="left"/>
              <w:rPr>
                <w:rFonts w:ascii="宋体" w:hAnsi="宋体" w:cs="宋体" w:eastAsia="宋体" w:hint="default"/>
                <w:sz w:val="18"/>
                <w:szCs w:val="18"/>
              </w:rPr>
            </w:pPr>
            <w:r>
              <w:rPr>
                <w:rFonts w:ascii="宋体" w:hAnsi="宋体" w:cs="宋体" w:eastAsia="宋体" w:hint="default"/>
                <w:sz w:val="18"/>
                <w:szCs w:val="18"/>
              </w:rPr>
              <w:t>变化</w:t>
            </w:r>
          </w:p>
        </w:tc>
      </w:tr>
      <w:tr>
        <w:trPr>
          <w:trHeight w:val="713"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z w:val="18"/>
                <w:szCs w:val="18"/>
              </w:rPr>
              <w:t>互联网金融 云中心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互联网金融 云中心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6,880.49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228.82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6,880.49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37.27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6,880.49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228.82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6,880.49</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37.27</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8795"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28"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、互联网金融云中心项目 </w:t>
            </w:r>
            <w:r>
              <w:rPr>
                <w:rFonts w:ascii="宋体" w:hAnsi="宋体" w:cs="宋体" w:eastAsia="宋体" w:hint="default"/>
                <w:spacing w:val="-1"/>
                <w:sz w:val="18"/>
                <w:szCs w:val="18"/>
              </w:rPr>
              <w:t>原募集资金投资项目互联网金融云中心项目的地址位于天津，公司计划利用位于天津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滨海高新技术产业开发区的自有土地用作场地建设。项目建设期限为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年，主要包括</w:t>
            </w:r>
          </w:p>
          <w:p>
            <w:pPr>
              <w:pStyle w:val="TableParagraph"/>
              <w:spacing w:line="238"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项目土建、项目硬件建设、项目软件开发三大部分内容。该项目原计划投资</w:t>
            </w:r>
            <w:r>
              <w:rPr>
                <w:rFonts w:ascii="宋体" w:hAnsi="宋体" w:cs="宋体" w:eastAsia="宋体" w:hint="default"/>
                <w:spacing w:val="-34"/>
                <w:sz w:val="18"/>
                <w:szCs w:val="18"/>
              </w:rPr>
              <w:t> </w:t>
            </w:r>
            <w:r>
              <w:rPr>
                <w:rFonts w:ascii="Times New Roman" w:hAnsi="Times New Roman" w:cs="Times New Roman" w:eastAsia="Times New Roman" w:hint="default"/>
                <w:spacing w:val="-1"/>
                <w:sz w:val="18"/>
                <w:szCs w:val="18"/>
              </w:rPr>
              <w:t>38,890.86</w:t>
            </w:r>
          </w:p>
          <w:p>
            <w:pPr>
              <w:pStyle w:val="TableParagraph"/>
              <w:spacing w:line="319" w:lineRule="auto" w:before="63"/>
              <w:ind w:left="23" w:right="18"/>
              <w:jc w:val="left"/>
              <w:rPr>
                <w:rFonts w:ascii="宋体" w:hAnsi="宋体" w:cs="宋体" w:eastAsia="宋体" w:hint="default"/>
                <w:sz w:val="18"/>
                <w:szCs w:val="18"/>
              </w:rPr>
            </w:pPr>
            <w:r>
              <w:rPr>
                <w:rFonts w:ascii="宋体" w:hAnsi="宋体" w:cs="宋体" w:eastAsia="宋体" w:hint="default"/>
                <w:sz w:val="18"/>
                <w:szCs w:val="18"/>
              </w:rPr>
              <w:t>万元，其中拟使用募集资金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38,800.00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 </w:t>
            </w:r>
            <w:r>
              <w:rPr>
                <w:rFonts w:ascii="宋体" w:hAnsi="宋体" w:cs="宋体" w:eastAsia="宋体" w:hint="default"/>
                <w:spacing w:val="-1"/>
                <w:sz w:val="18"/>
                <w:szCs w:val="18"/>
              </w:rPr>
              <w:t>随着金融科技、智能银行业态的快速发展，以及受行业政策走向的影响，行业内高端</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人才越来越多地聚集在北京等一线城市，而公司上述募投项目实施地点位于天津，考</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虑到公司总部位于北京，且已经在北京吸引储备了部分人才，继续在天津实施该等募</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投项目不利于公司保持较强的高端人才吸引和储备能力，不利于公司充分利用现有的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人才、技术等资源，提升资源的优化配置，从而达到经济效益最大化的效果。基于上</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述考虑，公司在原互联网金融云中心项目的基础上对其实施地点及部分建设内容进行</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调整，变更后的项目实施地点位于北京，利用公司总部的现有办公地点实施，预计投</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资总额变更为</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6,880.49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万元，全部使用募集资金投入，剩余募集资金将继续存放于募 集资金专户，由保荐机构和银行共同监管，在募集资金投资项目落实前暂不使用。</w:t>
            </w:r>
          </w:p>
          <w:p>
            <w:pPr>
              <w:pStyle w:val="TableParagraph"/>
              <w:spacing w:line="319" w:lineRule="auto" w:before="58"/>
              <w:ind w:left="23" w:right="20"/>
              <w:jc w:val="both"/>
              <w:rPr>
                <w:rFonts w:ascii="宋体" w:hAnsi="宋体" w:cs="宋体" w:eastAsia="宋体" w:hint="default"/>
                <w:sz w:val="18"/>
                <w:szCs w:val="18"/>
              </w:rPr>
            </w:pPr>
            <w:r>
              <w:rPr>
                <w:rFonts w:ascii="宋体" w:hAnsi="宋体" w:cs="宋体" w:eastAsia="宋体" w:hint="default"/>
                <w:sz w:val="18"/>
                <w:szCs w:val="18"/>
              </w:rPr>
              <w:t>互联网金融云中心项目于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年初达到预定可使用状态，受到宏观经济形势、行业 竞争、市场形势、监管政策等因素的综合影响，</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年度实现效益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372,745.18 </w:t>
            </w:r>
            <w:r>
              <w:rPr>
                <w:rFonts w:ascii="宋体" w:hAnsi="宋体" w:cs="宋体" w:eastAsia="宋体" w:hint="default"/>
                <w:sz w:val="18"/>
                <w:szCs w:val="18"/>
              </w:rPr>
              <w:t>元。 </w:t>
            </w:r>
            <w:r>
              <w:rPr>
                <w:rFonts w:ascii="Times New Roman" w:hAnsi="Times New Roman" w:cs="Times New Roman" w:eastAsia="Times New Roman" w:hint="default"/>
                <w:sz w:val="18"/>
                <w:szCs w:val="18"/>
              </w:rPr>
              <w:t>2</w:t>
            </w:r>
            <w:r>
              <w:rPr>
                <w:rFonts w:ascii="宋体" w:hAnsi="宋体" w:cs="宋体" w:eastAsia="宋体" w:hint="default"/>
                <w:sz w:val="18"/>
                <w:szCs w:val="18"/>
              </w:rPr>
              <w:t>、智能银行研发中心项目</w:t>
            </w:r>
          </w:p>
          <w:p>
            <w:pPr>
              <w:pStyle w:val="TableParagraph"/>
              <w:spacing w:line="319" w:lineRule="auto" w:before="38"/>
              <w:ind w:left="23" w:right="18"/>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原募集资金投资项目智能银行研发中心项目的建设地址位于天津，公司计划利用位于</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天津滨海高新技术产业开发区的自有土地用作研发场地建设。项目规划建筑面积</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6000</w:t>
            </w:r>
          </w:p>
          <w:p>
            <w:pPr>
              <w:pStyle w:val="TableParagraph"/>
              <w:spacing w:line="246" w:lineRule="exact"/>
              <w:ind w:left="23" w:right="0"/>
              <w:jc w:val="left"/>
              <w:rPr>
                <w:rFonts w:ascii="宋体" w:hAnsi="宋体" w:cs="宋体" w:eastAsia="宋体" w:hint="default"/>
                <w:sz w:val="18"/>
                <w:szCs w:val="18"/>
              </w:rPr>
            </w:pPr>
            <w:r>
              <w:rPr>
                <w:rFonts w:ascii="宋体" w:hAnsi="宋体" w:cs="宋体" w:eastAsia="宋体" w:hint="default"/>
                <w:sz w:val="18"/>
                <w:szCs w:val="18"/>
              </w:rPr>
              <w:t>平方米，主要由体验中心与开发中心两部分组成。该项目原计划投资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8,080.05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0" w:lineRule="auto" w:before="63"/>
              <w:ind w:left="23" w:right="20"/>
              <w:jc w:val="left"/>
              <w:rPr>
                <w:rFonts w:ascii="宋体" w:hAnsi="宋体" w:cs="宋体" w:eastAsia="宋体" w:hint="default"/>
                <w:sz w:val="18"/>
                <w:szCs w:val="18"/>
              </w:rPr>
            </w:pPr>
            <w:r>
              <w:rPr>
                <w:rFonts w:ascii="宋体" w:hAnsi="宋体" w:cs="宋体" w:eastAsia="宋体" w:hint="default"/>
                <w:sz w:val="18"/>
                <w:szCs w:val="18"/>
              </w:rPr>
              <w:t>其中使用募集资金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万元。考虑到原智能银行研发中心项目对场地建设环境等 条件要求较高，暂不适宜在北京总部立即开展建设，故拟暂停该项目的实施。</w:t>
            </w:r>
          </w:p>
          <w:p>
            <w:pPr>
              <w:pStyle w:val="TableParagraph"/>
              <w:spacing w:line="309" w:lineRule="auto" w:before="113"/>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日第四届董事会第七次会议，审议通过了《关于变更募集资金投资项 </w:t>
            </w:r>
            <w:r>
              <w:rPr>
                <w:rFonts w:ascii="宋体" w:hAnsi="宋体" w:cs="宋体" w:eastAsia="宋体" w:hint="default"/>
                <w:spacing w:val="-3"/>
                <w:sz w:val="18"/>
                <w:szCs w:val="18"/>
              </w:rPr>
              <w:t>目的议案》，会议同意对原募集资金投资项目的建设地点进行变更，并根据建设地点</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
                <w:sz w:val="18"/>
                <w:szCs w:val="18"/>
              </w:rPr>
              <w:t>变更相应地对项目建设内容进行部分调整。监事会、独立董事及保荐机构均出具了同</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意的意见。</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年度股东大会审议并通过了该议案，公司已进行 了公告披露。</w:t>
            </w:r>
          </w:p>
        </w:tc>
      </w:tr>
      <w:tr>
        <w:trPr>
          <w:trHeight w:val="3562"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316" w:lineRule="auto"/>
              <w:ind w:left="22"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28"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、互联网金融云中心项目 </w:t>
            </w:r>
            <w:r>
              <w:rPr>
                <w:rFonts w:ascii="宋体" w:hAnsi="宋体" w:cs="宋体" w:eastAsia="宋体" w:hint="default"/>
                <w:spacing w:val="-1"/>
                <w:sz w:val="18"/>
                <w:szCs w:val="18"/>
              </w:rPr>
              <w:t>原募集资金投资项目互联网金融云中心项目的地址位于天津，公司计划利用位于天津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滨海高新技术产业开发区的自有土地用作场地建设。项目建设期限为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年，主要包括</w:t>
            </w:r>
          </w:p>
          <w:p>
            <w:pPr>
              <w:pStyle w:val="TableParagraph"/>
              <w:spacing w:line="238"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项目土建、项目硬件建设、项目软件开发三大部分内容。该项目原计划投资</w:t>
            </w:r>
            <w:r>
              <w:rPr>
                <w:rFonts w:ascii="宋体" w:hAnsi="宋体" w:cs="宋体" w:eastAsia="宋体" w:hint="default"/>
                <w:spacing w:val="-34"/>
                <w:sz w:val="18"/>
                <w:szCs w:val="18"/>
              </w:rPr>
              <w:t> </w:t>
            </w:r>
            <w:r>
              <w:rPr>
                <w:rFonts w:ascii="Times New Roman" w:hAnsi="Times New Roman" w:cs="Times New Roman" w:eastAsia="Times New Roman" w:hint="default"/>
                <w:spacing w:val="-1"/>
                <w:sz w:val="18"/>
                <w:szCs w:val="18"/>
              </w:rPr>
              <w:t>38,890.86</w:t>
            </w:r>
          </w:p>
          <w:p>
            <w:pPr>
              <w:pStyle w:val="TableParagraph"/>
              <w:spacing w:line="321" w:lineRule="auto" w:before="63"/>
              <w:ind w:left="23" w:right="18"/>
              <w:jc w:val="left"/>
              <w:rPr>
                <w:rFonts w:ascii="宋体" w:hAnsi="宋体" w:cs="宋体" w:eastAsia="宋体" w:hint="default"/>
                <w:sz w:val="18"/>
                <w:szCs w:val="18"/>
              </w:rPr>
            </w:pPr>
            <w:r>
              <w:rPr>
                <w:rFonts w:ascii="宋体" w:hAnsi="宋体" w:cs="宋体" w:eastAsia="宋体" w:hint="default"/>
                <w:sz w:val="18"/>
                <w:szCs w:val="18"/>
              </w:rPr>
              <w:t>万元，其中拟使用募集资金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38,800.00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 </w:t>
            </w:r>
            <w:r>
              <w:rPr>
                <w:rFonts w:ascii="宋体" w:hAnsi="宋体" w:cs="宋体" w:eastAsia="宋体" w:hint="default"/>
                <w:spacing w:val="-1"/>
                <w:sz w:val="18"/>
                <w:szCs w:val="18"/>
              </w:rPr>
              <w:t>随着金融科技、智能银行业态的快速发展，以及受行业政策走向的影响，行业内高端</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人才越来越多地聚集在北京等一线城市，而公司上述募投项目实施地点位于天津，考</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虑到公司总部位于北京，且已经在北京吸引储备了部分人才，继续在天津实施该等募</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投项目不利于公司保持较强的高端人才吸引和储备能力，不利于公司充分利用现有的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人才、技术等资源，提升资源的优化配置，从而达到经济效益最大化的效果。基于上</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述考虑，公司在原互联网金融云中心项目的基础上对其实施地点及部分建设内容进行</w:t>
            </w:r>
          </w:p>
        </w:tc>
      </w:tr>
    </w:tbl>
    <w:p>
      <w:pPr>
        <w:spacing w:after="0" w:line="321"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73"/>
        <w:gridCol w:w="6699"/>
      </w:tblGrid>
      <w:tr>
        <w:trPr>
          <w:trHeight w:val="5243"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3" w:right="17"/>
              <w:jc w:val="both"/>
              <w:rPr>
                <w:rFonts w:ascii="宋体" w:hAnsi="宋体" w:cs="宋体" w:eastAsia="宋体" w:hint="default"/>
                <w:sz w:val="18"/>
                <w:szCs w:val="18"/>
              </w:rPr>
            </w:pPr>
            <w:r>
              <w:rPr>
                <w:rFonts w:ascii="宋体" w:hAnsi="宋体" w:cs="宋体" w:eastAsia="宋体" w:hint="default"/>
                <w:spacing w:val="-1"/>
                <w:sz w:val="18"/>
                <w:szCs w:val="18"/>
              </w:rPr>
              <w:t>调整，变更后的项目实施地点位于北京，利用公司总部的现有办公地点实施，预计投</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资总额变更为</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6,880.49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万元，全部使用募集资金投入，剩余募集资金将继续存放于募 集资金专户，由保荐机构和银行共同监管，在募集资金投资项目落实前暂不使用。</w:t>
            </w:r>
          </w:p>
          <w:p>
            <w:pPr>
              <w:pStyle w:val="TableParagraph"/>
              <w:spacing w:line="319" w:lineRule="auto" w:before="65"/>
              <w:ind w:left="23" w:right="20"/>
              <w:jc w:val="both"/>
              <w:rPr>
                <w:rFonts w:ascii="宋体" w:hAnsi="宋体" w:cs="宋体" w:eastAsia="宋体" w:hint="default"/>
                <w:sz w:val="18"/>
                <w:szCs w:val="18"/>
              </w:rPr>
            </w:pPr>
            <w:r>
              <w:rPr>
                <w:rFonts w:ascii="宋体" w:hAnsi="宋体" w:cs="宋体" w:eastAsia="宋体" w:hint="default"/>
                <w:sz w:val="18"/>
                <w:szCs w:val="18"/>
              </w:rPr>
              <w:t>互联网金融云中心项目于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年初达到预定可使用状态，受到宏观经济形势、行业 竞争、市场形势、监管政策等因素的综合影响，</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年度实现效益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372,745.18 </w:t>
            </w:r>
            <w:r>
              <w:rPr>
                <w:rFonts w:ascii="宋体" w:hAnsi="宋体" w:cs="宋体" w:eastAsia="宋体" w:hint="default"/>
                <w:sz w:val="18"/>
                <w:szCs w:val="18"/>
              </w:rPr>
              <w:t>元。 </w:t>
            </w:r>
            <w:r>
              <w:rPr>
                <w:rFonts w:ascii="Times New Roman" w:hAnsi="Times New Roman" w:cs="Times New Roman" w:eastAsia="Times New Roman" w:hint="default"/>
                <w:sz w:val="18"/>
                <w:szCs w:val="18"/>
              </w:rPr>
              <w:t>2</w:t>
            </w:r>
            <w:r>
              <w:rPr>
                <w:rFonts w:ascii="宋体" w:hAnsi="宋体" w:cs="宋体" w:eastAsia="宋体" w:hint="default"/>
                <w:sz w:val="18"/>
                <w:szCs w:val="18"/>
              </w:rPr>
              <w:t>、智能银行研发中心项目</w:t>
            </w:r>
          </w:p>
          <w:p>
            <w:pPr>
              <w:pStyle w:val="TableParagraph"/>
              <w:spacing w:line="316" w:lineRule="auto" w:before="38"/>
              <w:ind w:left="23" w:right="18"/>
              <w:jc w:val="both"/>
              <w:rPr>
                <w:rFonts w:ascii="Times New Roman" w:hAnsi="Times New Roman" w:cs="Times New Roman" w:eastAsia="Times New Roman" w:hint="default"/>
                <w:sz w:val="18"/>
                <w:szCs w:val="18"/>
              </w:rPr>
            </w:pPr>
            <w:r>
              <w:rPr>
                <w:rFonts w:ascii="宋体" w:hAnsi="宋体" w:cs="宋体" w:eastAsia="宋体" w:hint="default"/>
                <w:spacing w:val="-1"/>
                <w:sz w:val="18"/>
                <w:szCs w:val="18"/>
              </w:rPr>
              <w:t>原募集资金投资项目智能银行研发中心项目的建设地址位于天津，公司计划利用位于</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天津滨海高新技术产业开发区的自有土地用作研发场地建设。项目规划建筑面积</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6000</w:t>
            </w:r>
          </w:p>
          <w:p>
            <w:pPr>
              <w:pStyle w:val="TableParagraph"/>
              <w:spacing w:line="248" w:lineRule="exact"/>
              <w:ind w:left="23" w:right="0"/>
              <w:jc w:val="both"/>
              <w:rPr>
                <w:rFonts w:ascii="宋体" w:hAnsi="宋体" w:cs="宋体" w:eastAsia="宋体" w:hint="default"/>
                <w:sz w:val="18"/>
                <w:szCs w:val="18"/>
              </w:rPr>
            </w:pPr>
            <w:r>
              <w:rPr>
                <w:rFonts w:ascii="宋体" w:hAnsi="宋体" w:cs="宋体" w:eastAsia="宋体" w:hint="default"/>
                <w:sz w:val="18"/>
                <w:szCs w:val="18"/>
              </w:rPr>
              <w:t>平方米，主要由体验中心与开发中心两部分组成。该项目原计划投资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8,080.05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0" w:lineRule="auto" w:before="63"/>
              <w:ind w:left="23" w:right="20"/>
              <w:jc w:val="both"/>
              <w:rPr>
                <w:rFonts w:ascii="宋体" w:hAnsi="宋体" w:cs="宋体" w:eastAsia="宋体" w:hint="default"/>
                <w:sz w:val="18"/>
                <w:szCs w:val="18"/>
              </w:rPr>
            </w:pPr>
            <w:r>
              <w:rPr>
                <w:rFonts w:ascii="宋体" w:hAnsi="宋体" w:cs="宋体" w:eastAsia="宋体" w:hint="default"/>
                <w:sz w:val="18"/>
                <w:szCs w:val="18"/>
              </w:rPr>
              <w:t>其中使用募集资金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万元。考虑到原智能银行研发中心项目对场地建设环境等 条件要求较高，暂不适宜在北京总部立即开展建设，故拟暂停该项目的实施。</w:t>
            </w:r>
          </w:p>
          <w:p>
            <w:pPr>
              <w:pStyle w:val="TableParagraph"/>
              <w:spacing w:line="309" w:lineRule="auto" w:before="113"/>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日第四届董事会第七次会议，审议通过了《关于变更募集资金投资项 </w:t>
            </w:r>
            <w:r>
              <w:rPr>
                <w:rFonts w:ascii="宋体" w:hAnsi="宋体" w:cs="宋体" w:eastAsia="宋体" w:hint="default"/>
                <w:spacing w:val="-3"/>
                <w:sz w:val="18"/>
                <w:szCs w:val="18"/>
              </w:rPr>
              <w:t>目的议案》，会议同意对原募集资金投资项目的建设地点进行变更，并根据建设地点</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
                <w:sz w:val="18"/>
                <w:szCs w:val="18"/>
              </w:rPr>
              <w:t>变更相应地对项目建设内容进行部分调整。监事会、独立董事及保荐机构均出具了同</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意的意见。</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年度股东大会审议并通过了该议案，公司已进行 了公告披露。</w:t>
            </w:r>
          </w:p>
        </w:tc>
      </w:tr>
      <w:tr>
        <w:trPr>
          <w:trHeight w:val="715"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公司不存在项目可行性发生重大变化的情况。</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1133"/>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1"/>
        <w:rPr>
          <w:rFonts w:ascii="宋体" w:hAnsi="宋体" w:cs="宋体" w:eastAsia="宋体" w:hint="default"/>
          <w:b/>
          <w:bCs/>
          <w:sz w:val="25"/>
          <w:szCs w:val="25"/>
        </w:rPr>
      </w:pPr>
    </w:p>
    <w:p>
      <w:pPr>
        <w:pStyle w:val="BodyText"/>
        <w:spacing w:line="304" w:lineRule="auto"/>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99"/>
        </w:rPr>
        <w:t> </w:t>
      </w:r>
      <w:r>
        <w:rPr/>
        <w:t>公司报告期未出售重大资产。</w:t>
      </w:r>
    </w:p>
    <w:p>
      <w:pPr>
        <w:spacing w:line="240" w:lineRule="auto" w:before="2"/>
        <w:rPr>
          <w:rFonts w:ascii="宋体" w:hAnsi="宋体" w:cs="宋体" w:eastAsia="宋体" w:hint="default"/>
          <w:sz w:val="22"/>
          <w:szCs w:val="22"/>
        </w:rPr>
      </w:pPr>
    </w:p>
    <w:p>
      <w:pPr>
        <w:pStyle w:val="Heading3"/>
        <w:spacing w:line="240" w:lineRule="auto"/>
        <w:ind w:right="1133"/>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4"/>
        <w:rPr>
          <w:rFonts w:ascii="宋体" w:hAnsi="宋体" w:cs="宋体" w:eastAsia="宋体" w:hint="default"/>
          <w:sz w:val="23"/>
          <w:szCs w:val="23"/>
        </w:rPr>
      </w:pPr>
    </w:p>
    <w:p>
      <w:pPr>
        <w:pStyle w:val="Heading2"/>
        <w:spacing w:line="240" w:lineRule="auto"/>
        <w:ind w:right="1133"/>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5"/>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37"/>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t>不适用</w:t>
      </w:r>
    </w:p>
    <w:p>
      <w:pPr>
        <w:pStyle w:val="BodyText"/>
        <w:spacing w:line="240" w:lineRule="auto" w:before="73"/>
        <w:ind w:right="-17"/>
        <w:jc w:val="left"/>
      </w:pPr>
      <w:r>
        <w:rPr/>
        <w:t>主要子公司及对公司净利润影响达</w:t>
      </w:r>
      <w:r>
        <w:rPr>
          <w:spacing w:val="-5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5369" w:space="3552"/>
            <w:col w:w="2009"/>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天津中科金 财科技有限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both"/>
              <w:rPr>
                <w:rFonts w:ascii="宋体" w:hAnsi="宋体" w:cs="宋体" w:eastAsia="宋体" w:hint="default"/>
                <w:sz w:val="18"/>
                <w:szCs w:val="18"/>
              </w:rPr>
            </w:pPr>
            <w:r>
              <w:rPr>
                <w:rFonts w:ascii="宋体" w:hAnsi="宋体" w:cs="宋体" w:eastAsia="宋体" w:hint="default"/>
                <w:sz w:val="18"/>
                <w:szCs w:val="18"/>
              </w:rPr>
              <w:t>技术开发服 务、电子产 品销售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50,083,700.0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372,472,690.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360,577,708.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38,238,979.6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5,937,263.72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6,439,171.75</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华缔资产管 </w:t>
            </w:r>
            <w:r>
              <w:rPr>
                <w:rFonts w:ascii="宋体" w:hAnsi="宋体" w:cs="宋体" w:eastAsia="宋体" w:hint="default"/>
                <w:spacing w:val="-14"/>
                <w:sz w:val="18"/>
                <w:szCs w:val="18"/>
              </w:rPr>
              <w:t>理（北京）有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10"/>
              <w:jc w:val="left"/>
              <w:rPr>
                <w:rFonts w:ascii="宋体" w:hAnsi="宋体" w:cs="宋体" w:eastAsia="宋体" w:hint="default"/>
                <w:sz w:val="18"/>
                <w:szCs w:val="18"/>
              </w:rPr>
            </w:pPr>
            <w:r>
              <w:rPr>
                <w:rFonts w:ascii="宋体" w:hAnsi="宋体" w:cs="宋体" w:eastAsia="宋体" w:hint="default"/>
                <w:sz w:val="18"/>
                <w:szCs w:val="18"/>
              </w:rPr>
              <w:t>投资管理； 资产管理等</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280,000,000.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633,620,748.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242,120,917.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-38,529,615.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-38,955,828.</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宋体" w:hAnsi="宋体" w:cs="宋体" w:eastAsia="宋体" w:hint="default"/>
          <w:sz w:val="25"/>
          <w:szCs w:val="25"/>
        </w:rPr>
      </w:pPr>
    </w:p>
    <w:p>
      <w:pPr>
        <w:pStyle w:val="BodyText"/>
        <w:spacing w:line="240" w:lineRule="auto" w:before="37"/>
        <w:ind w:right="1133"/>
        <w:jc w:val="left"/>
      </w:pPr>
      <w:r>
        <w:rPr/>
        <w:t>报告期内取得和处置子公司的情况</w:t>
      </w:r>
    </w:p>
    <w:p>
      <w:pPr>
        <w:pStyle w:val="BodyText"/>
        <w:spacing w:line="240" w:lineRule="auto" w:before="91"/>
        <w:ind w:right="1133"/>
        <w:jc w:val="left"/>
      </w:pPr>
      <w:r>
        <w:rPr/>
        <w:pict>
          <v:group style="position:absolute;margin-left:217.490005pt;margin-top:83.309669pt;width:156.75pt;height:19.6pt;mso-position-horizontal-relative:page;mso-position-vertical-relative:paragraph;z-index:-1105816" coordorigin="4350,1666" coordsize="3135,392">
            <v:shape style="position:absolute;left:4350;top:1666;width:3135;height:392" coordorigin="4350,1666" coordsize="3135,392" path="m4350,2057l7485,2057,7485,1666,4350,1666,4350,2057xe" filled="true" fillcolor="#ffffff" stroked="false">
              <v:path arrowok="t"/>
              <v:fill type="solid"/>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t>不适用</w:t>
      </w:r>
    </w:p>
    <w:p>
      <w:pPr>
        <w:spacing w:line="240" w:lineRule="auto" w:before="3"/>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霍尔果斯金财科技服务有限公司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对公司整体生产经营和业绩无不利影响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霍尔果斯滨河创新软件技术有限公司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对公司整体生产经营和业绩无不利影响</w:t>
            </w:r>
          </w:p>
        </w:tc>
      </w:tr>
      <w:tr>
        <w:trPr>
          <w:trHeight w:val="401" w:hRule="exact"/>
        </w:trPr>
        <w:tc>
          <w:tcPr>
            <w:tcW w:w="3188"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49"/>
              <w:ind w:left="24" w:right="-46"/>
              <w:jc w:val="left"/>
              <w:rPr>
                <w:rFonts w:ascii="宋体" w:hAnsi="宋体" w:cs="宋体" w:eastAsia="宋体" w:hint="default"/>
                <w:sz w:val="18"/>
                <w:szCs w:val="18"/>
              </w:rPr>
            </w:pPr>
            <w:r>
              <w:rPr>
                <w:rFonts w:ascii="宋体" w:hAnsi="宋体" w:cs="宋体" w:eastAsia="宋体" w:hint="default"/>
                <w:spacing w:val="-3"/>
                <w:sz w:val="18"/>
                <w:szCs w:val="18"/>
              </w:rPr>
              <w:t>上海中科金财资产管理中心（有限合伙）</w:t>
            </w:r>
            <w:r>
              <w:rPr>
                <w:rFonts w:ascii="宋体" w:hAnsi="宋体" w:cs="宋体" w:eastAsia="宋体" w:hint="default"/>
                <w:sz w:val="18"/>
                <w:szCs w:val="18"/>
              </w:rPr>
            </w:r>
          </w:p>
        </w:tc>
        <w:tc>
          <w:tcPr>
            <w:tcW w:w="319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对公司整体生产经营和业绩无不利影响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北京志东方科技有限责任公司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延伸和布局公司在教育领域内的业务</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大连金融资产交易所有限公司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因被动稀释由成本法改为权益法核算， 本期不再纳入合并范围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对公司整体生产经营和业绩无不利影响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北京中科金财智能技术有限公司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对公司整体生产经营和业绩无不利影响</w:t>
            </w:r>
          </w:p>
        </w:tc>
      </w:tr>
    </w:tbl>
    <w:p>
      <w:pPr>
        <w:pStyle w:val="BodyText"/>
        <w:spacing w:line="240" w:lineRule="auto" w:before="33"/>
        <w:ind w:right="1133"/>
        <w:jc w:val="left"/>
      </w:pPr>
      <w:r>
        <w:rPr/>
        <w:t>主要控股参股公司情况说明</w:t>
      </w:r>
    </w:p>
    <w:p>
      <w:pPr>
        <w:pStyle w:val="BodyText"/>
        <w:spacing w:line="240" w:lineRule="auto" w:before="168"/>
        <w:ind w:left="554" w:right="1133"/>
        <w:jc w:val="left"/>
      </w:pPr>
      <w:r>
        <w:rPr>
          <w:rFonts w:ascii="Times New Roman" w:hAnsi="Times New Roman" w:cs="Times New Roman" w:eastAsia="Times New Roman" w:hint="default"/>
        </w:rPr>
        <w:t>1.</w:t>
      </w:r>
      <w:r>
        <w:rPr/>
        <w:t>天津中科商誉减值</w:t>
      </w:r>
    </w:p>
    <w:p>
      <w:pPr>
        <w:spacing w:line="240" w:lineRule="auto" w:before="8"/>
        <w:rPr>
          <w:rFonts w:ascii="宋体" w:hAnsi="宋体" w:cs="宋体" w:eastAsia="宋体" w:hint="default"/>
          <w:sz w:val="14"/>
          <w:szCs w:val="14"/>
        </w:rPr>
      </w:pPr>
    </w:p>
    <w:p>
      <w:pPr>
        <w:pStyle w:val="BodyText"/>
        <w:spacing w:line="405" w:lineRule="auto"/>
        <w:ind w:right="1133" w:firstLine="401"/>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21</w:t>
      </w:r>
      <w:r>
        <w:rPr>
          <w:spacing w:val="-2"/>
        </w:rPr>
        <w:t>日，经中国证监会证监许可</w:t>
      </w:r>
      <w:r>
        <w:rPr>
          <w:rFonts w:ascii="Times New Roman" w:hAnsi="Times New Roman" w:cs="Times New Roman" w:eastAsia="Times New Roman" w:hint="default"/>
          <w:spacing w:val="-2"/>
        </w:rPr>
        <w:t>[2014]1218</w:t>
      </w:r>
      <w:r>
        <w:rPr>
          <w:spacing w:val="-2"/>
        </w:rPr>
        <w:t>号文核准，公司向刘开同、董书倩、刘运龙以及天津滨</w:t>
      </w:r>
      <w:r>
        <w:rPr>
          <w:w w:val="99"/>
        </w:rPr>
        <w:t> </w:t>
      </w:r>
      <w:r>
        <w:rPr>
          <w:w w:val="95"/>
        </w:rPr>
        <w:t>河数据信息技术有限公司发行股份及支付现金购买天津中科</w:t>
      </w:r>
      <w:r>
        <w:rPr>
          <w:rFonts w:ascii="Times New Roman" w:hAnsi="Times New Roman" w:cs="Times New Roman" w:eastAsia="Times New Roman" w:hint="default"/>
          <w:w w:val="95"/>
        </w:rPr>
        <w:t>100%</w:t>
      </w:r>
      <w:r>
        <w:rPr>
          <w:w w:val="95"/>
        </w:rPr>
        <w:t>的股权，本次收购于</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11</w:t>
      </w:r>
      <w:r>
        <w:rPr>
          <w:w w:val="95"/>
        </w:rPr>
        <w:t>月</w:t>
      </w:r>
      <w:r>
        <w:rPr>
          <w:rFonts w:ascii="Times New Roman" w:hAnsi="Times New Roman" w:cs="Times New Roman" w:eastAsia="Times New Roman" w:hint="default"/>
          <w:w w:val="95"/>
        </w:rPr>
        <w:t>28</w:t>
      </w:r>
      <w:r>
        <w:rPr>
          <w:w w:val="95"/>
        </w:rPr>
        <w:t>日完成工商</w:t>
      </w:r>
      <w:r>
        <w:rPr>
          <w:spacing w:val="67"/>
          <w:w w:val="95"/>
        </w:rPr>
        <w:t> </w:t>
      </w:r>
      <w:r>
        <w:rPr/>
        <w:t>变更登记。截止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日，天津中科资产组商誉账面金额为</w:t>
      </w:r>
      <w:r>
        <w:rPr>
          <w:rFonts w:ascii="Times New Roman" w:hAnsi="Times New Roman" w:cs="Times New Roman" w:eastAsia="Times New Roman" w:hint="default"/>
        </w:rPr>
        <w:t>28,062.33</w:t>
      </w:r>
      <w:r>
        <w:rPr/>
        <w:t>万元。</w:t>
      </w:r>
    </w:p>
    <w:p>
      <w:pPr>
        <w:pStyle w:val="BodyText"/>
        <w:spacing w:line="417" w:lineRule="auto" w:before="38"/>
        <w:ind w:right="1132" w:firstLine="401"/>
        <w:jc w:val="both"/>
      </w:pPr>
      <w:r>
        <w:rPr/>
        <w:t>报告期内，受到宏观经济形势、行业竞争、市场形势、客户到期未接续、人员流失等因素的综合影响，天</w:t>
      </w:r>
      <w:r>
        <w:rPr>
          <w:w w:val="99"/>
        </w:rPr>
        <w:t> </w:t>
      </w:r>
      <w:r>
        <w:rPr>
          <w:spacing w:val="2"/>
          <w:w w:val="95"/>
        </w:rPr>
        <w:t>津中科本年度实现净利润</w:t>
      </w:r>
      <w:r>
        <w:rPr>
          <w:rFonts w:ascii="Times New Roman" w:hAnsi="Times New Roman" w:cs="Times New Roman" w:eastAsia="Times New Roman" w:hint="default"/>
          <w:spacing w:val="2"/>
          <w:w w:val="95"/>
        </w:rPr>
        <w:t>643.92</w:t>
      </w:r>
      <w:r>
        <w:rPr>
          <w:spacing w:val="2"/>
          <w:w w:val="95"/>
        </w:rPr>
        <w:t>万元，业绩不达预期，经过对未来经营情况的分析预测，对天津中科资产组商</w:t>
      </w:r>
      <w:r>
        <w:rPr>
          <w:spacing w:val="58"/>
          <w:w w:val="95"/>
        </w:rPr>
        <w:t> </w:t>
      </w:r>
      <w:r>
        <w:rPr>
          <w:spacing w:val="58"/>
          <w:w w:val="95"/>
        </w:rPr>
      </w:r>
      <w:r>
        <w:rPr/>
        <w:t>誉计提减值损失，减值金额为</w:t>
      </w:r>
      <w:r>
        <w:rPr>
          <w:rFonts w:ascii="Times New Roman" w:hAnsi="Times New Roman" w:cs="Times New Roman" w:eastAsia="Times New Roman" w:hint="default"/>
        </w:rPr>
        <w:t>28,062.33</w:t>
      </w:r>
      <w:r>
        <w:rPr/>
        <w:t>万元。</w:t>
      </w:r>
    </w:p>
    <w:p>
      <w:pPr>
        <w:pStyle w:val="BodyText"/>
        <w:spacing w:line="240" w:lineRule="auto" w:before="27"/>
        <w:ind w:left="554" w:right="1133"/>
        <w:jc w:val="left"/>
      </w:pPr>
      <w:r>
        <w:rPr>
          <w:rFonts w:ascii="Times New Roman" w:hAnsi="Times New Roman" w:cs="Times New Roman" w:eastAsia="Times New Roman" w:hint="default"/>
        </w:rPr>
        <w:t>2.</w:t>
      </w:r>
      <w:r>
        <w:rPr/>
        <w:t>华缔资管商誉减值及信用减值</w:t>
      </w:r>
    </w:p>
    <w:p>
      <w:pPr>
        <w:spacing w:line="240" w:lineRule="auto" w:before="8"/>
        <w:rPr>
          <w:rFonts w:ascii="宋体" w:hAnsi="宋体" w:cs="宋体" w:eastAsia="宋体" w:hint="default"/>
          <w:sz w:val="14"/>
          <w:szCs w:val="14"/>
        </w:rPr>
      </w:pPr>
    </w:p>
    <w:p>
      <w:pPr>
        <w:pStyle w:val="BodyText"/>
        <w:spacing w:line="405" w:lineRule="auto"/>
        <w:ind w:right="1132" w:firstLine="401"/>
        <w:jc w:val="both"/>
      </w:pPr>
      <w:r>
        <w:rPr/>
        <w:t>报告期内，公司子公司华缔资管实现净利润</w:t>
      </w:r>
      <w:r>
        <w:rPr>
          <w:rFonts w:ascii="Times New Roman" w:hAnsi="Times New Roman" w:cs="Times New Roman" w:eastAsia="Times New Roman" w:hint="default"/>
        </w:rPr>
        <w:t>-3,895.58</w:t>
      </w:r>
      <w:r>
        <w:rPr/>
        <w:t>万元，业绩不达预期，经过对未来经营情况的分析预</w:t>
      </w:r>
      <w:r>
        <w:rPr>
          <w:w w:val="99"/>
        </w:rPr>
        <w:t> </w:t>
      </w:r>
      <w:r>
        <w:rPr/>
        <w:t>测，对华缔资管资产组商誉计提减值损失，减值金额为</w:t>
      </w:r>
      <w:r>
        <w:rPr>
          <w:rFonts w:ascii="Times New Roman" w:hAnsi="Times New Roman" w:cs="Times New Roman" w:eastAsia="Times New Roman" w:hint="default"/>
        </w:rPr>
        <w:t>12.07</w:t>
      </w:r>
      <w:r>
        <w:rPr/>
        <w:t>万元。</w:t>
      </w:r>
    </w:p>
    <w:p>
      <w:pPr>
        <w:pStyle w:val="BodyText"/>
        <w:spacing w:line="240" w:lineRule="auto" w:before="38"/>
        <w:ind w:left="554" w:right="1133"/>
        <w:jc w:val="left"/>
      </w:pPr>
      <w:r>
        <w:rPr/>
        <w:t>报告期内，华缔资管出于谨慎性原则对其持有的金融资产计提信用减值准备，减值金额为</w:t>
      </w:r>
      <w:r>
        <w:rPr>
          <w:rFonts w:ascii="Times New Roman" w:hAnsi="Times New Roman" w:cs="Times New Roman" w:eastAsia="Times New Roman" w:hint="default"/>
        </w:rPr>
        <w:t>3,553.96</w:t>
      </w:r>
      <w:r>
        <w:rPr/>
        <w:t>万元。</w:t>
      </w:r>
    </w:p>
    <w:p>
      <w:pPr>
        <w:spacing w:line="240" w:lineRule="auto" w:before="3"/>
        <w:rPr>
          <w:rFonts w:ascii="宋体" w:hAnsi="宋体" w:cs="宋体" w:eastAsia="宋体" w:hint="default"/>
          <w:sz w:val="29"/>
          <w:szCs w:val="29"/>
        </w:rPr>
      </w:pPr>
    </w:p>
    <w:p>
      <w:pPr>
        <w:pStyle w:val="Heading2"/>
        <w:spacing w:line="240" w:lineRule="auto"/>
        <w:ind w:right="1133"/>
        <w:jc w:val="left"/>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t>不适用</w:t>
      </w:r>
    </w:p>
    <w:p>
      <w:pPr>
        <w:pStyle w:val="Heading4"/>
        <w:spacing w:line="240" w:lineRule="auto" w:before="69"/>
        <w:ind w:right="1133"/>
        <w:jc w:val="left"/>
      </w:pPr>
      <w:r>
        <w:rPr>
          <w:rFonts w:ascii="Times New Roman" w:hAnsi="Times New Roman" w:cs="Times New Roman" w:eastAsia="Times New Roman" w:hint="default"/>
        </w:rPr>
        <w:t>2019</w:t>
      </w:r>
      <w:r>
        <w:rPr/>
        <w:t>年纳入合并范围的结构化主体明细如下：</w:t>
      </w:r>
    </w:p>
    <w:p>
      <w:pPr>
        <w:spacing w:line="240" w:lineRule="auto" w:before="8"/>
        <w:rPr>
          <w:rFonts w:ascii="宋体" w:hAnsi="宋体" w:cs="宋体" w:eastAsia="宋体" w:hint="default"/>
          <w:sz w:val="2"/>
          <w:szCs w:val="2"/>
        </w:rPr>
      </w:pPr>
    </w:p>
    <w:tbl>
      <w:tblPr>
        <w:tblW w:w="0" w:type="auto"/>
        <w:jc w:val="left"/>
        <w:tblInd w:w="263" w:type="dxa"/>
        <w:tblLayout w:type="fixed"/>
        <w:tblCellMar>
          <w:top w:w="0" w:type="dxa"/>
          <w:left w:w="0" w:type="dxa"/>
          <w:bottom w:w="0" w:type="dxa"/>
          <w:right w:w="0" w:type="dxa"/>
        </w:tblCellMar>
        <w:tblLook w:val="01E0"/>
      </w:tblPr>
      <w:tblGrid>
        <w:gridCol w:w="2045"/>
        <w:gridCol w:w="2144"/>
        <w:gridCol w:w="1800"/>
        <w:gridCol w:w="1621"/>
        <w:gridCol w:w="1800"/>
      </w:tblGrid>
      <w:tr>
        <w:trPr>
          <w:trHeight w:val="656" w:hRule="exac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917" w:right="19" w:hanging="900"/>
              <w:jc w:val="left"/>
              <w:rPr>
                <w:rFonts w:ascii="宋体" w:hAnsi="宋体" w:cs="宋体" w:eastAsia="宋体" w:hint="default"/>
                <w:sz w:val="20"/>
                <w:szCs w:val="20"/>
              </w:rPr>
            </w:pPr>
            <w:r>
              <w:rPr>
                <w:rFonts w:ascii="宋体" w:hAnsi="宋体" w:cs="宋体" w:eastAsia="宋体" w:hint="default"/>
                <w:sz w:val="20"/>
                <w:szCs w:val="20"/>
              </w:rPr>
              <w:t>持有信托产品子公司名</w:t>
            </w:r>
            <w:r>
              <w:rPr>
                <w:rFonts w:ascii="宋体" w:hAnsi="宋体" w:cs="宋体" w:eastAsia="宋体" w:hint="default"/>
                <w:w w:val="99"/>
                <w:sz w:val="20"/>
                <w:szCs w:val="20"/>
              </w:rPr>
              <w:t> </w:t>
            </w:r>
            <w:r>
              <w:rPr>
                <w:rFonts w:ascii="宋体" w:hAnsi="宋体" w:cs="宋体" w:eastAsia="宋体" w:hint="default"/>
                <w:sz w:val="20"/>
                <w:szCs w:val="20"/>
              </w:rPr>
              <w:t>称</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宋体" w:hAnsi="宋体" w:cs="宋体" w:eastAsia="宋体" w:hint="default"/>
                <w:sz w:val="20"/>
                <w:szCs w:val="20"/>
              </w:rPr>
            </w:pPr>
            <w:r>
              <w:rPr>
                <w:rFonts w:ascii="宋体" w:hAnsi="宋体" w:cs="宋体" w:eastAsia="宋体" w:hint="default"/>
                <w:sz w:val="20"/>
                <w:szCs w:val="20"/>
              </w:rPr>
              <w:t>信托产品名称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宋体" w:hAnsi="宋体" w:cs="宋体" w:eastAsia="宋体" w:hint="default"/>
                <w:sz w:val="20"/>
                <w:szCs w:val="20"/>
              </w:rPr>
            </w:pPr>
            <w:r>
              <w:rPr>
                <w:rFonts w:ascii="宋体" w:hAnsi="宋体" w:cs="宋体" w:eastAsia="宋体" w:hint="default"/>
                <w:sz w:val="20"/>
                <w:szCs w:val="20"/>
              </w:rPr>
              <w:t>信托公司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宋体" w:hAnsi="宋体" w:cs="宋体" w:eastAsia="宋体" w:hint="default"/>
                <w:sz w:val="20"/>
                <w:szCs w:val="20"/>
              </w:rPr>
              <w:t>信托产品存续期</w:t>
            </w:r>
          </w:p>
          <w:p>
            <w:pPr>
              <w:pStyle w:val="TableParagraph"/>
              <w:spacing w:line="240" w:lineRule="auto" w:before="50"/>
              <w:ind w:right="0"/>
              <w:jc w:val="center"/>
              <w:rPr>
                <w:rFonts w:ascii="宋体" w:hAnsi="宋体" w:cs="宋体" w:eastAsia="宋体" w:hint="default"/>
                <w:sz w:val="20"/>
                <w:szCs w:val="20"/>
              </w:rPr>
            </w:pPr>
            <w:r>
              <w:rPr>
                <w:rFonts w:ascii="宋体" w:hAnsi="宋体" w:cs="宋体" w:eastAsia="宋体" w:hint="default"/>
                <w:sz w:val="20"/>
                <w:szCs w:val="20"/>
              </w:rPr>
              <w:t>（年）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center"/>
              <w:rPr>
                <w:rFonts w:ascii="宋体" w:hAnsi="宋体" w:cs="宋体" w:eastAsia="宋体" w:hint="default"/>
                <w:sz w:val="20"/>
                <w:szCs w:val="20"/>
              </w:rPr>
            </w:pPr>
            <w:r>
              <w:rPr>
                <w:rFonts w:ascii="宋体" w:hAnsi="宋体" w:cs="宋体" w:eastAsia="宋体" w:hint="default"/>
                <w:sz w:val="20"/>
                <w:szCs w:val="20"/>
              </w:rPr>
              <w:t>截止</w:t>
            </w:r>
            <w:r>
              <w:rPr>
                <w:rFonts w:ascii="Times New Roman" w:hAnsi="Times New Roman" w:cs="Times New Roman" w:eastAsia="Times New Roman" w:hint="default"/>
                <w:sz w:val="20"/>
                <w:szCs w:val="20"/>
              </w:rPr>
              <w:t>2019.12.31</w:t>
            </w:r>
            <w:r>
              <w:rPr>
                <w:rFonts w:ascii="宋体" w:hAnsi="宋体" w:cs="宋体" w:eastAsia="宋体" w:hint="default"/>
                <w:sz w:val="20"/>
                <w:szCs w:val="20"/>
              </w:rPr>
              <w:t>信托</w:t>
            </w:r>
          </w:p>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产品余额（元）</w:t>
            </w:r>
          </w:p>
        </w:tc>
      </w:tr>
      <w:tr>
        <w:trPr>
          <w:trHeight w:val="653" w:hRule="exac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4" w:right="32"/>
              <w:jc w:val="left"/>
              <w:rPr>
                <w:rFonts w:ascii="宋体" w:hAnsi="宋体" w:cs="宋体" w:eastAsia="宋体" w:hint="default"/>
                <w:sz w:val="20"/>
                <w:szCs w:val="20"/>
              </w:rPr>
            </w:pPr>
            <w:r>
              <w:rPr>
                <w:rFonts w:ascii="宋体" w:hAnsi="宋体" w:cs="宋体" w:eastAsia="宋体" w:hint="default"/>
                <w:sz w:val="20"/>
                <w:szCs w:val="20"/>
              </w:rPr>
              <w:t>华缔资产管理（北京）</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1"/>
              <w:ind w:left="7" w:right="161"/>
              <w:jc w:val="left"/>
              <w:rPr>
                <w:rFonts w:ascii="宋体" w:hAnsi="宋体" w:cs="宋体" w:eastAsia="宋体" w:hint="default"/>
                <w:sz w:val="20"/>
                <w:szCs w:val="20"/>
              </w:rPr>
            </w:pPr>
            <w:r>
              <w:rPr>
                <w:rFonts w:ascii="宋体" w:hAnsi="宋体" w:cs="宋体" w:eastAsia="宋体" w:hint="default"/>
                <w:sz w:val="20"/>
                <w:szCs w:val="20"/>
              </w:rPr>
              <w:t>西藏信托</w:t>
            </w:r>
            <w:r>
              <w:rPr>
                <w:rFonts w:ascii="Times New Roman" w:hAnsi="Times New Roman" w:cs="Times New Roman" w:eastAsia="Times New Roman" w:hint="default"/>
                <w:sz w:val="20"/>
                <w:szCs w:val="20"/>
              </w:rPr>
              <w:t>-</w:t>
            </w:r>
            <w:r>
              <w:rPr>
                <w:rFonts w:ascii="宋体" w:hAnsi="宋体" w:cs="宋体" w:eastAsia="宋体" w:hint="default"/>
                <w:sz w:val="20"/>
                <w:szCs w:val="20"/>
              </w:rPr>
              <w:t>乐家</w:t>
            </w:r>
            <w:r>
              <w:rPr>
                <w:rFonts w:ascii="Times New Roman" w:hAnsi="Times New Roman" w:cs="Times New Roman" w:eastAsia="Times New Roman" w:hint="default"/>
                <w:sz w:val="20"/>
                <w:szCs w:val="20"/>
              </w:rPr>
              <w:t>1</w:t>
            </w:r>
            <w:r>
              <w:rPr>
                <w:rFonts w:ascii="宋体" w:hAnsi="宋体" w:cs="宋体" w:eastAsia="宋体" w:hint="default"/>
                <w:sz w:val="20"/>
                <w:szCs w:val="20"/>
              </w:rPr>
              <w:t>号单一</w:t>
            </w:r>
            <w:r>
              <w:rPr>
                <w:rFonts w:ascii="宋体" w:hAnsi="宋体" w:cs="宋体" w:eastAsia="宋体" w:hint="default"/>
                <w:w w:val="99"/>
                <w:sz w:val="20"/>
                <w:szCs w:val="20"/>
              </w:rPr>
              <w:t> </w:t>
            </w:r>
            <w:r>
              <w:rPr>
                <w:rFonts w:ascii="宋体" w:hAnsi="宋体" w:cs="宋体" w:eastAsia="宋体" w:hint="default"/>
                <w:sz w:val="20"/>
                <w:szCs w:val="20"/>
              </w:rPr>
              <w:t>资金信托</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20"/>
                <w:szCs w:val="20"/>
              </w:rPr>
            </w:pPr>
            <w:r>
              <w:rPr>
                <w:rFonts w:ascii="宋体" w:hAnsi="宋体" w:cs="宋体" w:eastAsia="宋体" w:hint="default"/>
                <w:sz w:val="20"/>
                <w:szCs w:val="20"/>
              </w:rPr>
              <w:t>西藏信托有限公司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w w:val="95"/>
                <w:sz w:val="20"/>
              </w:rPr>
              <w:t>45,731,366.47</w:t>
            </w:r>
            <w:r>
              <w:rPr>
                <w:rFonts w:ascii="Times New Roman"/>
                <w:sz w:val="20"/>
              </w:rPr>
            </w:r>
          </w:p>
        </w:tc>
      </w:tr>
      <w:tr>
        <w:trPr>
          <w:trHeight w:val="655" w:hRule="exac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32"/>
              <w:jc w:val="left"/>
              <w:rPr>
                <w:rFonts w:ascii="宋体" w:hAnsi="宋体" w:cs="宋体" w:eastAsia="宋体" w:hint="default"/>
                <w:sz w:val="20"/>
                <w:szCs w:val="20"/>
              </w:rPr>
            </w:pPr>
            <w:r>
              <w:rPr>
                <w:rFonts w:ascii="宋体" w:hAnsi="宋体" w:cs="宋体" w:eastAsia="宋体" w:hint="default"/>
                <w:sz w:val="20"/>
                <w:szCs w:val="20"/>
              </w:rPr>
              <w:t>华缔资产管理（北京）</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4"/>
              <w:ind w:left="7" w:right="161"/>
              <w:jc w:val="left"/>
              <w:rPr>
                <w:rFonts w:ascii="宋体" w:hAnsi="宋体" w:cs="宋体" w:eastAsia="宋体" w:hint="default"/>
                <w:sz w:val="20"/>
                <w:szCs w:val="20"/>
              </w:rPr>
            </w:pPr>
            <w:r>
              <w:rPr>
                <w:rFonts w:ascii="宋体" w:hAnsi="宋体" w:cs="宋体" w:eastAsia="宋体" w:hint="default"/>
                <w:sz w:val="20"/>
                <w:szCs w:val="20"/>
              </w:rPr>
              <w:t>西藏信托</w:t>
            </w:r>
            <w:r>
              <w:rPr>
                <w:rFonts w:ascii="Times New Roman" w:hAnsi="Times New Roman" w:cs="Times New Roman" w:eastAsia="Times New Roman" w:hint="default"/>
                <w:sz w:val="20"/>
                <w:szCs w:val="20"/>
              </w:rPr>
              <w:t>-</w:t>
            </w:r>
            <w:r>
              <w:rPr>
                <w:rFonts w:ascii="宋体" w:hAnsi="宋体" w:cs="宋体" w:eastAsia="宋体" w:hint="default"/>
                <w:sz w:val="20"/>
                <w:szCs w:val="20"/>
              </w:rPr>
              <w:t>乐家</w:t>
            </w:r>
            <w:r>
              <w:rPr>
                <w:rFonts w:ascii="Times New Roman" w:hAnsi="Times New Roman" w:cs="Times New Roman" w:eastAsia="Times New Roman" w:hint="default"/>
                <w:sz w:val="20"/>
                <w:szCs w:val="20"/>
              </w:rPr>
              <w:t>2</w:t>
            </w:r>
            <w:r>
              <w:rPr>
                <w:rFonts w:ascii="宋体" w:hAnsi="宋体" w:cs="宋体" w:eastAsia="宋体" w:hint="default"/>
                <w:sz w:val="20"/>
                <w:szCs w:val="20"/>
              </w:rPr>
              <w:t>号单一</w:t>
            </w:r>
            <w:r>
              <w:rPr>
                <w:rFonts w:ascii="宋体" w:hAnsi="宋体" w:cs="宋体" w:eastAsia="宋体" w:hint="default"/>
                <w:w w:val="99"/>
                <w:sz w:val="20"/>
                <w:szCs w:val="20"/>
              </w:rPr>
              <w:t> </w:t>
            </w:r>
            <w:r>
              <w:rPr>
                <w:rFonts w:ascii="宋体" w:hAnsi="宋体" w:cs="宋体" w:eastAsia="宋体" w:hint="default"/>
                <w:sz w:val="20"/>
                <w:szCs w:val="20"/>
              </w:rPr>
              <w:t>资金信托</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宋体" w:hAnsi="宋体" w:cs="宋体" w:eastAsia="宋体" w:hint="default"/>
                <w:sz w:val="20"/>
                <w:szCs w:val="20"/>
              </w:rPr>
            </w:pPr>
            <w:r>
              <w:rPr>
                <w:rFonts w:ascii="宋体" w:hAnsi="宋体" w:cs="宋体" w:eastAsia="宋体" w:hint="default"/>
                <w:sz w:val="20"/>
                <w:szCs w:val="20"/>
              </w:rPr>
              <w:t>西藏信托有限公司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w w:val="95"/>
                <w:sz w:val="20"/>
              </w:rPr>
              <w:t>13,405,000.00</w:t>
            </w:r>
            <w:r>
              <w:rPr>
                <w:rFonts w:ascii="Times New Roman"/>
                <w:sz w:val="20"/>
              </w:rPr>
            </w:r>
          </w:p>
        </w:tc>
      </w:tr>
      <w:tr>
        <w:trPr>
          <w:trHeight w:val="653" w:hRule="exac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4" w:right="32"/>
              <w:jc w:val="left"/>
              <w:rPr>
                <w:rFonts w:ascii="宋体" w:hAnsi="宋体" w:cs="宋体" w:eastAsia="宋体" w:hint="default"/>
                <w:sz w:val="20"/>
                <w:szCs w:val="20"/>
              </w:rPr>
            </w:pPr>
            <w:r>
              <w:rPr>
                <w:rFonts w:ascii="宋体" w:hAnsi="宋体" w:cs="宋体" w:eastAsia="宋体" w:hint="default"/>
                <w:sz w:val="20"/>
                <w:szCs w:val="20"/>
              </w:rPr>
              <w:t>华缔资产管理（北京）</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1"/>
              <w:ind w:left="7" w:right="161"/>
              <w:jc w:val="left"/>
              <w:rPr>
                <w:rFonts w:ascii="宋体" w:hAnsi="宋体" w:cs="宋体" w:eastAsia="宋体" w:hint="default"/>
                <w:sz w:val="20"/>
                <w:szCs w:val="20"/>
              </w:rPr>
            </w:pPr>
            <w:r>
              <w:rPr>
                <w:rFonts w:ascii="宋体" w:hAnsi="宋体" w:cs="宋体" w:eastAsia="宋体" w:hint="default"/>
                <w:sz w:val="20"/>
                <w:szCs w:val="20"/>
              </w:rPr>
              <w:t>西藏信托</w:t>
            </w:r>
            <w:r>
              <w:rPr>
                <w:rFonts w:ascii="Times New Roman" w:hAnsi="Times New Roman" w:cs="Times New Roman" w:eastAsia="Times New Roman" w:hint="default"/>
                <w:sz w:val="20"/>
                <w:szCs w:val="20"/>
              </w:rPr>
              <w:t>-</w:t>
            </w:r>
            <w:r>
              <w:rPr>
                <w:rFonts w:ascii="宋体" w:hAnsi="宋体" w:cs="宋体" w:eastAsia="宋体" w:hint="default"/>
                <w:sz w:val="20"/>
                <w:szCs w:val="20"/>
              </w:rPr>
              <w:t>宜家</w:t>
            </w:r>
            <w:r>
              <w:rPr>
                <w:rFonts w:ascii="Times New Roman" w:hAnsi="Times New Roman" w:cs="Times New Roman" w:eastAsia="Times New Roman" w:hint="default"/>
                <w:sz w:val="20"/>
                <w:szCs w:val="20"/>
              </w:rPr>
              <w:t>1</w:t>
            </w:r>
            <w:r>
              <w:rPr>
                <w:rFonts w:ascii="宋体" w:hAnsi="宋体" w:cs="宋体" w:eastAsia="宋体" w:hint="default"/>
                <w:sz w:val="20"/>
                <w:szCs w:val="20"/>
              </w:rPr>
              <w:t>号集合</w:t>
            </w:r>
            <w:r>
              <w:rPr>
                <w:rFonts w:ascii="宋体" w:hAnsi="宋体" w:cs="宋体" w:eastAsia="宋体" w:hint="default"/>
                <w:w w:val="99"/>
                <w:sz w:val="20"/>
                <w:szCs w:val="20"/>
              </w:rPr>
              <w:t> </w:t>
            </w:r>
            <w:r>
              <w:rPr>
                <w:rFonts w:ascii="宋体" w:hAnsi="宋体" w:cs="宋体" w:eastAsia="宋体" w:hint="default"/>
                <w:sz w:val="20"/>
                <w:szCs w:val="20"/>
              </w:rPr>
              <w:t>资金信托计划</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20"/>
                <w:szCs w:val="20"/>
              </w:rPr>
            </w:pPr>
            <w:r>
              <w:rPr>
                <w:rFonts w:ascii="宋体" w:hAnsi="宋体" w:cs="宋体" w:eastAsia="宋体" w:hint="default"/>
                <w:sz w:val="20"/>
                <w:szCs w:val="20"/>
              </w:rPr>
              <w:t>西藏信托有限公司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w w:val="95"/>
                <w:sz w:val="20"/>
              </w:rPr>
              <w:t>7,750,000.00</w:t>
            </w:r>
            <w:r>
              <w:rPr>
                <w:rFonts w:ascii="Times New Roman"/>
                <w:sz w:val="20"/>
              </w:rPr>
            </w:r>
          </w:p>
        </w:tc>
      </w:tr>
      <w:tr>
        <w:trPr>
          <w:trHeight w:val="343" w:hRule="exac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华缔资产管理（北京）</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3"/>
              <w:jc w:val="center"/>
              <w:rPr>
                <w:rFonts w:ascii="宋体" w:hAnsi="宋体" w:cs="宋体" w:eastAsia="宋体" w:hint="default"/>
                <w:sz w:val="20"/>
                <w:szCs w:val="20"/>
              </w:rPr>
            </w:pPr>
            <w:r>
              <w:rPr>
                <w:rFonts w:ascii="宋体" w:hAnsi="宋体" w:cs="宋体" w:eastAsia="宋体" w:hint="default"/>
                <w:sz w:val="20"/>
                <w:szCs w:val="20"/>
              </w:rPr>
              <w:t>华鑫信托</w:t>
            </w:r>
            <w:r>
              <w:rPr>
                <w:rFonts w:ascii="Times New Roman" w:hAnsi="Times New Roman" w:cs="Times New Roman" w:eastAsia="Times New Roman" w:hint="default"/>
                <w:sz w:val="20"/>
                <w:szCs w:val="20"/>
              </w:rPr>
              <w:t>·</w:t>
            </w:r>
            <w:r>
              <w:rPr>
                <w:rFonts w:ascii="宋体" w:hAnsi="宋体" w:cs="宋体" w:eastAsia="宋体" w:hint="default"/>
                <w:sz w:val="20"/>
                <w:szCs w:val="20"/>
              </w:rPr>
              <w:t>睿科</w:t>
            </w:r>
            <w:r>
              <w:rPr>
                <w:rFonts w:ascii="Times New Roman" w:hAnsi="Times New Roman" w:cs="Times New Roman" w:eastAsia="Times New Roman" w:hint="default"/>
                <w:sz w:val="20"/>
                <w:szCs w:val="20"/>
              </w:rPr>
              <w:t>42</w:t>
            </w:r>
            <w:r>
              <w:rPr>
                <w:rFonts w:ascii="宋体" w:hAnsi="宋体" w:cs="宋体" w:eastAsia="宋体" w:hint="default"/>
                <w:sz w:val="20"/>
                <w:szCs w:val="20"/>
              </w:rPr>
              <w:t>号单一</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华鑫国际信托有限</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200,000,000.00</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263" w:type="dxa"/>
        <w:tblLayout w:type="fixed"/>
        <w:tblCellMar>
          <w:top w:w="0" w:type="dxa"/>
          <w:left w:w="0" w:type="dxa"/>
          <w:bottom w:w="0" w:type="dxa"/>
          <w:right w:w="0" w:type="dxa"/>
        </w:tblCellMar>
        <w:tblLook w:val="01E0"/>
      </w:tblPr>
      <w:tblGrid>
        <w:gridCol w:w="2045"/>
        <w:gridCol w:w="2144"/>
        <w:gridCol w:w="1800"/>
        <w:gridCol w:w="1621"/>
        <w:gridCol w:w="1800"/>
      </w:tblGrid>
      <w:tr>
        <w:trPr>
          <w:trHeight w:val="341" w:hRule="exac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资金信托</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公司</w:t>
            </w:r>
          </w:p>
        </w:tc>
        <w:tc>
          <w:tcPr>
            <w:tcW w:w="162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32"/>
              <w:jc w:val="left"/>
              <w:rPr>
                <w:rFonts w:ascii="宋体" w:hAnsi="宋体" w:cs="宋体" w:eastAsia="宋体" w:hint="default"/>
                <w:sz w:val="20"/>
                <w:szCs w:val="20"/>
              </w:rPr>
            </w:pPr>
            <w:r>
              <w:rPr>
                <w:rFonts w:ascii="宋体" w:hAnsi="宋体" w:cs="宋体" w:eastAsia="宋体" w:hint="default"/>
                <w:sz w:val="20"/>
                <w:szCs w:val="20"/>
              </w:rPr>
              <w:t>华缔资产管理（北京）</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4"/>
              <w:ind w:left="7" w:right="60"/>
              <w:jc w:val="left"/>
              <w:rPr>
                <w:rFonts w:ascii="宋体" w:hAnsi="宋体" w:cs="宋体" w:eastAsia="宋体" w:hint="default"/>
                <w:sz w:val="20"/>
                <w:szCs w:val="20"/>
              </w:rPr>
            </w:pPr>
            <w:r>
              <w:rPr>
                <w:rFonts w:ascii="宋体" w:hAnsi="宋体" w:cs="宋体" w:eastAsia="宋体" w:hint="default"/>
                <w:sz w:val="20"/>
                <w:szCs w:val="20"/>
              </w:rPr>
              <w:t>华鑫信托</w:t>
            </w:r>
            <w:r>
              <w:rPr>
                <w:rFonts w:ascii="Times New Roman" w:hAnsi="Times New Roman" w:cs="Times New Roman" w:eastAsia="Times New Roman" w:hint="default"/>
                <w:sz w:val="20"/>
                <w:szCs w:val="20"/>
              </w:rPr>
              <w:t>·</w:t>
            </w:r>
            <w:r>
              <w:rPr>
                <w:rFonts w:ascii="宋体" w:hAnsi="宋体" w:cs="宋体" w:eastAsia="宋体" w:hint="default"/>
                <w:sz w:val="20"/>
                <w:szCs w:val="20"/>
              </w:rPr>
              <w:t>睿科</w:t>
            </w:r>
            <w:r>
              <w:rPr>
                <w:rFonts w:ascii="Times New Roman" w:hAnsi="Times New Roman" w:cs="Times New Roman" w:eastAsia="Times New Roman" w:hint="default"/>
                <w:sz w:val="20"/>
                <w:szCs w:val="20"/>
              </w:rPr>
              <w:t>46</w:t>
            </w:r>
            <w:r>
              <w:rPr>
                <w:rFonts w:ascii="宋体" w:hAnsi="宋体" w:cs="宋体" w:eastAsia="宋体" w:hint="default"/>
                <w:sz w:val="20"/>
                <w:szCs w:val="20"/>
              </w:rPr>
              <w:t>号单一</w:t>
            </w:r>
            <w:r>
              <w:rPr>
                <w:rFonts w:ascii="宋体" w:hAnsi="宋体" w:cs="宋体" w:eastAsia="宋体" w:hint="default"/>
                <w:w w:val="99"/>
                <w:sz w:val="20"/>
                <w:szCs w:val="20"/>
              </w:rPr>
              <w:t> </w:t>
            </w:r>
            <w:r>
              <w:rPr>
                <w:rFonts w:ascii="宋体" w:hAnsi="宋体" w:cs="宋体" w:eastAsia="宋体" w:hint="default"/>
                <w:sz w:val="20"/>
                <w:szCs w:val="20"/>
              </w:rPr>
              <w:t>资金信托</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695" w:right="94" w:hanging="600"/>
              <w:jc w:val="left"/>
              <w:rPr>
                <w:rFonts w:ascii="宋体" w:hAnsi="宋体" w:cs="宋体" w:eastAsia="宋体" w:hint="default"/>
                <w:sz w:val="20"/>
                <w:szCs w:val="20"/>
              </w:rPr>
            </w:pPr>
            <w:r>
              <w:rPr>
                <w:rFonts w:ascii="宋体" w:hAnsi="宋体" w:cs="宋体" w:eastAsia="宋体" w:hint="default"/>
                <w:sz w:val="20"/>
                <w:szCs w:val="20"/>
              </w:rPr>
              <w:t>华鑫国际信托有限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w w:val="95"/>
                <w:sz w:val="20"/>
              </w:rPr>
              <w:t>200,000,000.00</w:t>
            </w:r>
            <w:r>
              <w:rPr>
                <w:rFonts w:ascii="Times New Roman"/>
                <w:sz w:val="20"/>
              </w:rPr>
            </w:r>
          </w:p>
        </w:tc>
      </w:tr>
      <w:tr>
        <w:trPr>
          <w:trHeight w:val="653" w:hRule="exac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4" w:right="32"/>
              <w:jc w:val="left"/>
              <w:rPr>
                <w:rFonts w:ascii="宋体" w:hAnsi="宋体" w:cs="宋体" w:eastAsia="宋体" w:hint="default"/>
                <w:sz w:val="20"/>
                <w:szCs w:val="20"/>
              </w:rPr>
            </w:pPr>
            <w:r>
              <w:rPr>
                <w:rFonts w:ascii="宋体" w:hAnsi="宋体" w:cs="宋体" w:eastAsia="宋体" w:hint="default"/>
                <w:sz w:val="20"/>
                <w:szCs w:val="20"/>
              </w:rPr>
              <w:t>华缔资产管理（北京）</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1"/>
              <w:ind w:left="7" w:right="60"/>
              <w:jc w:val="left"/>
              <w:rPr>
                <w:rFonts w:ascii="宋体" w:hAnsi="宋体" w:cs="宋体" w:eastAsia="宋体" w:hint="default"/>
                <w:sz w:val="20"/>
                <w:szCs w:val="20"/>
              </w:rPr>
            </w:pPr>
            <w:r>
              <w:rPr>
                <w:rFonts w:ascii="宋体" w:hAnsi="宋体" w:cs="宋体" w:eastAsia="宋体" w:hint="default"/>
                <w:sz w:val="20"/>
                <w:szCs w:val="20"/>
              </w:rPr>
              <w:t>华鑫信托</w:t>
            </w:r>
            <w:r>
              <w:rPr>
                <w:rFonts w:ascii="Times New Roman" w:hAnsi="Times New Roman" w:cs="Times New Roman" w:eastAsia="Times New Roman" w:hint="default"/>
                <w:sz w:val="20"/>
                <w:szCs w:val="20"/>
              </w:rPr>
              <w:t>·</w:t>
            </w:r>
            <w:r>
              <w:rPr>
                <w:rFonts w:ascii="宋体" w:hAnsi="宋体" w:cs="宋体" w:eastAsia="宋体" w:hint="default"/>
                <w:sz w:val="20"/>
                <w:szCs w:val="20"/>
              </w:rPr>
              <w:t>睿科</w:t>
            </w:r>
            <w:r>
              <w:rPr>
                <w:rFonts w:ascii="Times New Roman" w:hAnsi="Times New Roman" w:cs="Times New Roman" w:eastAsia="Times New Roman" w:hint="default"/>
                <w:sz w:val="20"/>
                <w:szCs w:val="20"/>
              </w:rPr>
              <w:t>64</w:t>
            </w:r>
            <w:r>
              <w:rPr>
                <w:rFonts w:ascii="宋体" w:hAnsi="宋体" w:cs="宋体" w:eastAsia="宋体" w:hint="default"/>
                <w:sz w:val="20"/>
                <w:szCs w:val="20"/>
              </w:rPr>
              <w:t>号单一</w:t>
            </w:r>
            <w:r>
              <w:rPr>
                <w:rFonts w:ascii="宋体" w:hAnsi="宋体" w:cs="宋体" w:eastAsia="宋体" w:hint="default"/>
                <w:w w:val="99"/>
                <w:sz w:val="20"/>
                <w:szCs w:val="20"/>
              </w:rPr>
              <w:t> </w:t>
            </w:r>
            <w:r>
              <w:rPr>
                <w:rFonts w:ascii="宋体" w:hAnsi="宋体" w:cs="宋体" w:eastAsia="宋体" w:hint="default"/>
                <w:sz w:val="20"/>
                <w:szCs w:val="20"/>
              </w:rPr>
              <w:t>资金信托</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695" w:right="94" w:hanging="600"/>
              <w:jc w:val="left"/>
              <w:rPr>
                <w:rFonts w:ascii="宋体" w:hAnsi="宋体" w:cs="宋体" w:eastAsia="宋体" w:hint="default"/>
                <w:sz w:val="20"/>
                <w:szCs w:val="20"/>
              </w:rPr>
            </w:pPr>
            <w:r>
              <w:rPr>
                <w:rFonts w:ascii="宋体" w:hAnsi="宋体" w:cs="宋体" w:eastAsia="宋体" w:hint="default"/>
                <w:sz w:val="20"/>
                <w:szCs w:val="20"/>
              </w:rPr>
              <w:t>华鑫国际信托有限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w w:val="95"/>
                <w:sz w:val="20"/>
              </w:rPr>
              <w:t>199,980,000.00</w:t>
            </w:r>
            <w:r>
              <w:rPr>
                <w:rFonts w:ascii="Times New Roman"/>
                <w:sz w:val="20"/>
              </w:rPr>
            </w:r>
          </w:p>
        </w:tc>
      </w:tr>
      <w:tr>
        <w:trPr>
          <w:trHeight w:val="655" w:hRule="exac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32"/>
              <w:jc w:val="left"/>
              <w:rPr>
                <w:rFonts w:ascii="宋体" w:hAnsi="宋体" w:cs="宋体" w:eastAsia="宋体" w:hint="default"/>
                <w:sz w:val="20"/>
                <w:szCs w:val="20"/>
              </w:rPr>
            </w:pPr>
            <w:r>
              <w:rPr>
                <w:rFonts w:ascii="宋体" w:hAnsi="宋体" w:cs="宋体" w:eastAsia="宋体" w:hint="default"/>
                <w:sz w:val="20"/>
                <w:szCs w:val="20"/>
              </w:rPr>
              <w:t>深圳中金财富科技有限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4"/>
              <w:ind w:left="7" w:right="60"/>
              <w:jc w:val="left"/>
              <w:rPr>
                <w:rFonts w:ascii="宋体" w:hAnsi="宋体" w:cs="宋体" w:eastAsia="宋体" w:hint="default"/>
                <w:sz w:val="20"/>
                <w:szCs w:val="20"/>
              </w:rPr>
            </w:pPr>
            <w:r>
              <w:rPr>
                <w:rFonts w:ascii="宋体" w:hAnsi="宋体" w:cs="宋体" w:eastAsia="宋体" w:hint="default"/>
                <w:sz w:val="20"/>
                <w:szCs w:val="20"/>
              </w:rPr>
              <w:t>西藏信托</w:t>
            </w:r>
            <w:r>
              <w:rPr>
                <w:rFonts w:ascii="Times New Roman" w:hAnsi="Times New Roman" w:cs="Times New Roman" w:eastAsia="Times New Roman" w:hint="default"/>
                <w:sz w:val="20"/>
                <w:szCs w:val="20"/>
              </w:rPr>
              <w:t>-</w:t>
            </w:r>
            <w:r>
              <w:rPr>
                <w:rFonts w:ascii="宋体" w:hAnsi="宋体" w:cs="宋体" w:eastAsia="宋体" w:hint="default"/>
                <w:sz w:val="20"/>
                <w:szCs w:val="20"/>
              </w:rPr>
              <w:t>开放式单一资</w:t>
            </w:r>
            <w:r>
              <w:rPr>
                <w:rFonts w:ascii="宋体" w:hAnsi="宋体" w:cs="宋体" w:eastAsia="宋体" w:hint="default"/>
                <w:w w:val="99"/>
                <w:sz w:val="20"/>
                <w:szCs w:val="20"/>
              </w:rPr>
              <w:t> </w:t>
            </w:r>
            <w:r>
              <w:rPr>
                <w:rFonts w:ascii="宋体" w:hAnsi="宋体" w:cs="宋体" w:eastAsia="宋体" w:hint="default"/>
                <w:sz w:val="20"/>
                <w:szCs w:val="20"/>
              </w:rPr>
              <w:t>金信托计划</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宋体" w:hAnsi="宋体" w:cs="宋体" w:eastAsia="宋体" w:hint="default"/>
                <w:sz w:val="20"/>
                <w:szCs w:val="20"/>
              </w:rPr>
            </w:pPr>
            <w:r>
              <w:rPr>
                <w:rFonts w:ascii="宋体" w:hAnsi="宋体" w:cs="宋体" w:eastAsia="宋体" w:hint="default"/>
                <w:sz w:val="20"/>
                <w:szCs w:val="20"/>
              </w:rPr>
              <w:t>西藏信托有限公司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w w:val="95"/>
                <w:sz w:val="20"/>
              </w:rPr>
              <w:t>3,350,000.00</w:t>
            </w:r>
            <w:r>
              <w:rPr>
                <w:rFonts w:ascii="Times New Roman"/>
                <w:sz w:val="20"/>
              </w:rPr>
            </w:r>
          </w:p>
        </w:tc>
      </w:tr>
      <w:tr>
        <w:trPr>
          <w:trHeight w:val="343" w:hRule="exac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61"/>
                <w:sz w:val="20"/>
                <w:szCs w:val="20"/>
              </w:rPr>
              <w:t> </w:t>
            </w:r>
            <w:r>
              <w:rPr>
                <w:rFonts w:ascii="宋体" w:hAnsi="宋体" w:cs="宋体" w:eastAsia="宋体" w:hint="default"/>
                <w:sz w:val="20"/>
                <w:szCs w:val="20"/>
              </w:rPr>
              <w:t>计</w:t>
            </w:r>
          </w:p>
        </w:tc>
        <w:tc>
          <w:tcPr>
            <w:tcW w:w="214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670,216,366.47</w:t>
            </w:r>
            <w:r>
              <w:rPr>
                <w:rFonts w:ascii="Times New Roman"/>
                <w:sz w:val="20"/>
              </w:rPr>
            </w:r>
          </w:p>
        </w:tc>
      </w:tr>
    </w:tbl>
    <w:p>
      <w:pPr>
        <w:pStyle w:val="BodyText"/>
        <w:spacing w:line="429" w:lineRule="auto" w:before="71"/>
        <w:ind w:right="1141" w:firstLine="401"/>
        <w:jc w:val="both"/>
      </w:pPr>
      <w:r>
        <w:rPr/>
        <w:t>对于纳入合并范围的重要的结构化主体，控制的依据：拥有对被投资方的权利，通过参与被投资方的相关</w:t>
      </w:r>
      <w:r>
        <w:rPr>
          <w:w w:val="99"/>
        </w:rPr>
        <w:t> </w:t>
      </w:r>
      <w:r>
        <w:rPr/>
        <w:t>活动而享有可变回报，并且有能力运用对被投资方的权利影响其回报金额。本公司未向纳入合并范围的结构化</w:t>
      </w:r>
      <w:r>
        <w:rPr>
          <w:spacing w:val="-77"/>
        </w:rPr>
        <w:t> </w:t>
      </w:r>
      <w:r>
        <w:rPr>
          <w:spacing w:val="-77"/>
        </w:rPr>
      </w:r>
      <w:r>
        <w:rPr/>
        <w:t>主体提供财务或其他支持。</w:t>
      </w:r>
    </w:p>
    <w:p>
      <w:pPr>
        <w:spacing w:line="240" w:lineRule="auto" w:before="4"/>
        <w:rPr>
          <w:rFonts w:ascii="宋体" w:hAnsi="宋体" w:cs="宋体" w:eastAsia="宋体" w:hint="default"/>
          <w:sz w:val="18"/>
          <w:szCs w:val="18"/>
        </w:rPr>
      </w:pPr>
    </w:p>
    <w:p>
      <w:pPr>
        <w:pStyle w:val="Heading2"/>
        <w:spacing w:line="240" w:lineRule="auto"/>
        <w:ind w:right="1133"/>
        <w:jc w:val="left"/>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1"/>
        <w:rPr>
          <w:rFonts w:ascii="宋体" w:hAnsi="宋体" w:cs="宋体" w:eastAsia="宋体" w:hint="default"/>
          <w:b/>
          <w:bCs/>
          <w:sz w:val="31"/>
          <w:szCs w:val="31"/>
        </w:rPr>
      </w:pPr>
    </w:p>
    <w:p>
      <w:pPr>
        <w:pStyle w:val="BodyText"/>
        <w:spacing w:line="429" w:lineRule="auto"/>
        <w:ind w:left="554" w:right="1133"/>
        <w:jc w:val="left"/>
      </w:pPr>
      <w:r>
        <w:rPr/>
        <w:t>（一）行业格局和趋势</w:t>
      </w:r>
      <w:r>
        <w:rPr>
          <w:w w:val="99"/>
        </w:rPr>
        <w:t> </w:t>
      </w:r>
      <w:r>
        <w:rPr/>
        <w:t>科技成为推动金融科技行业发展的重要动力，开放、合作、共赢的金融科技产业生态体系正在逐步形成。</w:t>
      </w:r>
    </w:p>
    <w:p>
      <w:pPr>
        <w:pStyle w:val="BodyText"/>
        <w:spacing w:line="429" w:lineRule="auto" w:before="48"/>
        <w:ind w:right="982"/>
        <w:jc w:val="left"/>
      </w:pPr>
      <w:r>
        <w:rPr/>
        <w:t>金融科技</w:t>
      </w:r>
      <w:r>
        <w:rPr>
          <w:rFonts w:ascii="宋体" w:hAnsi="宋体" w:cs="宋体" w:eastAsia="宋体" w:hint="default"/>
        </w:rPr>
        <w:t>(FinTech)</w:t>
      </w:r>
      <w:r>
        <w:rPr/>
        <w:t>不仅注重以技术手段为金融行业提供服务，帮助金融行业提升效率，还强调技术对传统金融</w:t>
      </w:r>
      <w:r>
        <w:rPr>
          <w:w w:val="99"/>
        </w:rPr>
        <w:t> </w:t>
      </w:r>
      <w:r>
        <w:rPr/>
        <w:t>进行风险定价、风险管理、客户精准定位、采用场景金融理论以客户为中心进行产品设计，即通过这种方式极</w:t>
      </w:r>
      <w:r>
        <w:rPr>
          <w:spacing w:val="-77"/>
        </w:rPr>
        <w:t> </w:t>
      </w:r>
      <w:r>
        <w:rPr>
          <w:spacing w:val="-77"/>
        </w:rPr>
      </w:r>
      <w:r>
        <w:rPr>
          <w:spacing w:val="-1"/>
          <w:w w:val="95"/>
        </w:rPr>
        <w:t>大地触达到用户，通过科技的方式管理风险，改善现有的金融生态。</w:t>
      </w:r>
      <w:r>
        <w:rPr>
          <w:rFonts w:ascii="宋体" w:hAnsi="宋体" w:cs="宋体" w:eastAsia="宋体" w:hint="default"/>
          <w:spacing w:val="-1"/>
          <w:w w:val="95"/>
        </w:rPr>
        <w:t>2017</w:t>
      </w:r>
      <w:r>
        <w:rPr>
          <w:spacing w:val="-1"/>
          <w:w w:val="95"/>
        </w:rPr>
        <w:t>年</w:t>
      </w:r>
      <w:r>
        <w:rPr>
          <w:rFonts w:ascii="宋体" w:hAnsi="宋体" w:cs="宋体" w:eastAsia="宋体" w:hint="default"/>
          <w:spacing w:val="-1"/>
          <w:w w:val="95"/>
        </w:rPr>
        <w:t>5</w:t>
      </w:r>
      <w:r>
        <w:rPr>
          <w:spacing w:val="-1"/>
          <w:w w:val="95"/>
        </w:rPr>
        <w:t>月，央行成立金融科技（</w:t>
      </w:r>
      <w:r>
        <w:rPr>
          <w:rFonts w:ascii="宋体" w:hAnsi="宋体" w:cs="宋体" w:eastAsia="宋体" w:hint="default"/>
          <w:spacing w:val="-1"/>
          <w:w w:val="95"/>
        </w:rPr>
        <w:t>FinTech</w:t>
      </w:r>
      <w:r>
        <w:rPr>
          <w:spacing w:val="-1"/>
          <w:w w:val="95"/>
        </w:rPr>
        <w:t>）</w:t>
      </w:r>
      <w:r>
        <w:rPr>
          <w:spacing w:val="5"/>
          <w:w w:val="95"/>
        </w:rPr>
        <w:t> </w:t>
      </w:r>
      <w:r>
        <w:rPr/>
        <w:t>委员会，旨在加强金融科技工作的研究规划和统筹协调。</w:t>
      </w:r>
      <w:r>
        <w:rPr>
          <w:rFonts w:ascii="宋体" w:hAnsi="宋体" w:cs="宋体" w:eastAsia="宋体" w:hint="default"/>
        </w:rPr>
        <w:t>2017</w:t>
      </w:r>
      <w:r>
        <w:rPr/>
        <w:t>年</w:t>
      </w:r>
      <w:r>
        <w:rPr>
          <w:rFonts w:ascii="宋体" w:hAnsi="宋体" w:cs="宋体" w:eastAsia="宋体" w:hint="default"/>
        </w:rPr>
        <w:t>6</w:t>
      </w:r>
      <w:r>
        <w:rPr/>
        <w:t>月，央行印发了《中国金融业信息技术“十三</w:t>
      </w:r>
      <w:r>
        <w:rPr>
          <w:spacing w:val="2"/>
          <w:w w:val="99"/>
        </w:rPr>
        <w:t> </w:t>
      </w:r>
      <w:r>
        <w:rPr/>
        <w:t>五”发展规划》，确立了金融信息基础设施达到国际领先水平、信息技术持续驱动金融创新等发展目标，提出</w:t>
      </w:r>
      <w:r>
        <w:rPr>
          <w:spacing w:val="-77"/>
        </w:rPr>
        <w:t> </w:t>
      </w:r>
      <w:r>
        <w:rPr>
          <w:spacing w:val="-77"/>
        </w:rPr>
      </w:r>
      <w:r>
        <w:rPr/>
        <w:t>要加强金融科技和监管科技研究与应用，推进系统架构、云计算、大数据、区块链、人工智能等新技术应用研</w:t>
      </w:r>
      <w:r>
        <w:rPr>
          <w:spacing w:val="-71"/>
        </w:rPr>
        <w:t> </w:t>
      </w:r>
      <w:r>
        <w:rPr>
          <w:spacing w:val="-71"/>
        </w:rPr>
      </w:r>
      <w:r>
        <w:rPr>
          <w:spacing w:val="4"/>
        </w:rPr>
        <w:t>究，规范与普及互联网金融相关技术应用。</w:t>
      </w:r>
      <w:r>
        <w:rPr>
          <w:rFonts w:ascii="宋体" w:hAnsi="宋体" w:cs="宋体" w:eastAsia="宋体" w:hint="default"/>
          <w:spacing w:val="4"/>
        </w:rPr>
        <w:t>2019</w:t>
      </w:r>
      <w:r>
        <w:rPr>
          <w:spacing w:val="4"/>
        </w:rPr>
        <w:t>年</w:t>
      </w:r>
      <w:r>
        <w:rPr>
          <w:rFonts w:ascii="宋体" w:hAnsi="宋体" w:cs="宋体" w:eastAsia="宋体" w:hint="default"/>
          <w:spacing w:val="4"/>
        </w:rPr>
        <w:t>8</w:t>
      </w:r>
      <w:r>
        <w:rPr>
          <w:spacing w:val="4"/>
        </w:rPr>
        <w:t>月，中国人民银行印发《金融科技（</w:t>
      </w:r>
      <w:r>
        <w:rPr>
          <w:rFonts w:ascii="宋体" w:hAnsi="宋体" w:cs="宋体" w:eastAsia="宋体" w:hint="default"/>
          <w:spacing w:val="4"/>
        </w:rPr>
        <w:t>FinTech</w:t>
      </w:r>
      <w:r>
        <w:rPr>
          <w:spacing w:val="4"/>
        </w:rPr>
        <w:t>）发展规划</w:t>
      </w:r>
    </w:p>
    <w:p>
      <w:pPr>
        <w:pStyle w:val="BodyText"/>
        <w:spacing w:line="429" w:lineRule="auto" w:before="48"/>
        <w:ind w:right="1131"/>
        <w:jc w:val="both"/>
      </w:pPr>
      <w:r>
        <w:rPr>
          <w:spacing w:val="-5"/>
        </w:rPr>
        <w:t>（</w:t>
      </w:r>
      <w:r>
        <w:rPr>
          <w:rFonts w:ascii="宋体" w:hAnsi="宋体" w:cs="宋体" w:eastAsia="宋体" w:hint="default"/>
          <w:spacing w:val="-5"/>
        </w:rPr>
        <w:t>2019-2021</w:t>
      </w:r>
      <w:r>
        <w:rPr>
          <w:spacing w:val="-5"/>
        </w:rPr>
        <w:t>年）》，明确提出未来三年金融科技工作的发展目标，到</w:t>
      </w:r>
      <w:r>
        <w:rPr>
          <w:rFonts w:ascii="宋体" w:hAnsi="宋体" w:cs="宋体" w:eastAsia="宋体" w:hint="default"/>
          <w:spacing w:val="-5"/>
        </w:rPr>
        <w:t>2021</w:t>
      </w:r>
      <w:r>
        <w:rPr>
          <w:spacing w:val="-5"/>
        </w:rPr>
        <w:t>年，建立健全我国金融科技发展的“四</w:t>
      </w:r>
      <w:r>
        <w:rPr>
          <w:spacing w:val="-91"/>
        </w:rPr>
        <w:t> </w:t>
      </w:r>
      <w:r>
        <w:rPr>
          <w:spacing w:val="-91"/>
        </w:rPr>
      </w:r>
      <w:r>
        <w:rPr/>
        <w:t>梁八柱”，进一步增强金融业科技应用能力，实现金融与科技深度融合、协调发展，明显增强人民群众对数字</w:t>
      </w:r>
      <w:r>
        <w:rPr>
          <w:spacing w:val="-76"/>
        </w:rPr>
        <w:t> </w:t>
      </w:r>
      <w:r>
        <w:rPr>
          <w:spacing w:val="-76"/>
        </w:rPr>
      </w:r>
      <w:r>
        <w:rPr/>
        <w:t>化、网络化、智能化金融产品和服务的满意度，使我国金融科技发展居于国际领先水平。在此背景下，社会组</w:t>
      </w:r>
      <w:r>
        <w:rPr>
          <w:spacing w:val="-77"/>
        </w:rPr>
        <w:t> </w:t>
      </w:r>
      <w:r>
        <w:rPr>
          <w:spacing w:val="-77"/>
        </w:rPr>
      </w:r>
      <w:r>
        <w:rPr/>
        <w:t>织和专业服务机构对金融科技发展支撑作用有望不断强化，开放、合作、共赢的金融科技产业生态体系正在逐</w:t>
      </w:r>
      <w:r>
        <w:rPr>
          <w:spacing w:val="-71"/>
        </w:rPr>
        <w:t> </w:t>
      </w:r>
      <w:r>
        <w:rPr>
          <w:spacing w:val="-71"/>
        </w:rPr>
      </w:r>
      <w:r>
        <w:rPr/>
        <w:t>步形成。</w:t>
      </w:r>
    </w:p>
    <w:p>
      <w:pPr>
        <w:pStyle w:val="BodyText"/>
        <w:spacing w:line="429" w:lineRule="auto" w:before="48"/>
        <w:ind w:right="1023" w:firstLine="401"/>
        <w:jc w:val="left"/>
      </w:pPr>
      <w:r>
        <w:rPr/>
        <w:t>对于银行尤其是中小银行而言，持续加强金融与科技的深度融合，积极推进全面数字化转型是大势所趋。</w:t>
      </w:r>
      <w:r>
        <w:rPr>
          <w:w w:val="99"/>
        </w:rPr>
        <w:t> </w:t>
      </w:r>
      <w:r>
        <w:rPr>
          <w:spacing w:val="-4"/>
          <w:w w:val="99"/>
        </w:rPr>
        <w:t>根据中国银行业协会发布的《</w:t>
      </w:r>
      <w:r>
        <w:rPr>
          <w:rFonts w:ascii="宋体" w:hAnsi="宋体" w:cs="宋体" w:eastAsia="宋体" w:hint="default"/>
          <w:spacing w:val="-4"/>
          <w:w w:val="99"/>
        </w:rPr>
        <w:t>2019</w:t>
      </w:r>
      <w:r>
        <w:rPr>
          <w:spacing w:val="-4"/>
          <w:w w:val="99"/>
        </w:rPr>
        <w:t>年中国银行业服务报告》，</w:t>
      </w:r>
      <w:r>
        <w:rPr>
          <w:rFonts w:ascii="宋体" w:hAnsi="宋体" w:cs="宋体" w:eastAsia="宋体" w:hint="default"/>
          <w:spacing w:val="-4"/>
          <w:w w:val="99"/>
        </w:rPr>
        <w:t>2019</w:t>
      </w:r>
      <w:r>
        <w:rPr>
          <w:spacing w:val="-4"/>
          <w:w w:val="99"/>
        </w:rPr>
        <w:t>年银行业金融机构网上银行交易笔数达</w:t>
      </w:r>
      <w:r>
        <w:rPr>
          <w:rFonts w:ascii="宋体" w:hAnsi="宋体" w:cs="宋体" w:eastAsia="宋体" w:hint="default"/>
          <w:spacing w:val="-4"/>
          <w:w w:val="99"/>
        </w:rPr>
        <w:t>1637.84</w:t>
      </w:r>
      <w:r>
        <w:rPr>
          <w:rFonts w:ascii="宋体" w:hAnsi="宋体" w:cs="宋体" w:eastAsia="宋体" w:hint="default"/>
          <w:w w:val="99"/>
        </w:rPr>
        <w:t> </w:t>
      </w:r>
      <w:r>
        <w:rPr/>
        <w:t>亿笔，交易金额达</w:t>
      </w:r>
      <w:r>
        <w:rPr>
          <w:rFonts w:ascii="宋体" w:hAnsi="宋体" w:cs="宋体" w:eastAsia="宋体" w:hint="default"/>
        </w:rPr>
        <w:t>1657.75</w:t>
      </w:r>
      <w:r>
        <w:rPr/>
        <w:t>万亿元；手机银行交易笔数达</w:t>
      </w:r>
      <w:r>
        <w:rPr>
          <w:rFonts w:ascii="宋体" w:hAnsi="宋体" w:cs="宋体" w:eastAsia="宋体" w:hint="default"/>
        </w:rPr>
        <w:t>1214.51</w:t>
      </w:r>
      <w:r>
        <w:rPr/>
        <w:t>亿笔，交易金额达</w:t>
      </w:r>
      <w:r>
        <w:rPr>
          <w:rFonts w:ascii="宋体" w:hAnsi="宋体" w:cs="宋体" w:eastAsia="宋体" w:hint="default"/>
        </w:rPr>
        <w:t>335.63</w:t>
      </w:r>
      <w:r>
        <w:rPr/>
        <w:t>万亿元；全行业离柜</w:t>
      </w:r>
      <w:r>
        <w:rPr>
          <w:spacing w:val="-73"/>
        </w:rPr>
        <w:t> </w:t>
      </w:r>
      <w:r>
        <w:rPr>
          <w:spacing w:val="-73"/>
        </w:rPr>
      </w:r>
      <w:r>
        <w:rPr/>
        <w:t>率为</w:t>
      </w:r>
      <w:r>
        <w:rPr>
          <w:rFonts w:ascii="宋体" w:hAnsi="宋体" w:cs="宋体" w:eastAsia="宋体" w:hint="default"/>
        </w:rPr>
        <w:t>89.77%</w:t>
      </w:r>
      <w:r>
        <w:rPr/>
        <w:t>。进入</w:t>
      </w:r>
      <w:r>
        <w:rPr>
          <w:rFonts w:ascii="宋体" w:hAnsi="宋体" w:cs="宋体" w:eastAsia="宋体" w:hint="default"/>
        </w:rPr>
        <w:t>Bank</w:t>
      </w:r>
      <w:r>
        <w:rPr>
          <w:rFonts w:ascii="宋体" w:hAnsi="宋体" w:cs="宋体" w:eastAsia="宋体" w:hint="default"/>
          <w:spacing w:val="-69"/>
        </w:rPr>
        <w:t> </w:t>
      </w:r>
      <w:r>
        <w:rPr>
          <w:rFonts w:ascii="宋体" w:hAnsi="宋体" w:cs="宋体" w:eastAsia="宋体" w:hint="default"/>
        </w:rPr>
        <w:t>4.0</w:t>
      </w:r>
      <w:r>
        <w:rPr/>
        <w:t>时代，金融科技正在从技术应用、服务模式、业务模式全方位重塑银行业。近年来，</w:t>
      </w:r>
      <w:r>
        <w:rPr>
          <w:w w:val="99"/>
        </w:rPr>
        <w:t> </w:t>
      </w:r>
      <w:r>
        <w:rPr/>
        <w:t>由于利率市场化导致的息差收窄、存款保险制度放开、民营银行牌照放开、互联网及金融科技等因素的冲击，</w:t>
      </w:r>
    </w:p>
    <w:p>
      <w:pPr>
        <w:spacing w:after="0" w:line="429"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29" w:lineRule="auto"/>
        <w:ind w:right="1142"/>
        <w:jc w:val="both"/>
      </w:pPr>
      <w:r>
        <w:rPr/>
        <w:t>中小银行逐步开始重视有效降低运营成本、控制风险、提高经营效益，积极推进数字化转型，着力打造开放银</w:t>
      </w:r>
      <w:r>
        <w:rPr>
          <w:spacing w:val="-77"/>
        </w:rPr>
        <w:t> </w:t>
      </w:r>
      <w:r>
        <w:rPr>
          <w:spacing w:val="-77"/>
        </w:rPr>
      </w:r>
      <w:r>
        <w:rPr/>
        <w:t>行，为用户提供智能化、场景化、便捷化、精细化的金融产品与服务。事实证明，受限于人才、资金、资产等</w:t>
      </w:r>
      <w:r>
        <w:rPr>
          <w:spacing w:val="-77"/>
        </w:rPr>
        <w:t> </w:t>
      </w:r>
      <w:r>
        <w:rPr>
          <w:spacing w:val="-77"/>
        </w:rPr>
      </w:r>
      <w:r>
        <w:rPr/>
        <w:t>资源的缺乏，风险控制、产品设计等能力的不足，以及财务、激励等机制的制约，中小银行在独立发展金融科</w:t>
      </w:r>
      <w:r>
        <w:rPr>
          <w:spacing w:val="-77"/>
        </w:rPr>
        <w:t> </w:t>
      </w:r>
      <w:r>
        <w:rPr>
          <w:spacing w:val="-77"/>
        </w:rPr>
      </w:r>
      <w:r>
        <w:rPr/>
        <w:t>技相关创新业态的过程中困难重重，鲜有成功案例。独立发展道路受阻，使得与专业的第三方科技服务机构合</w:t>
      </w:r>
      <w:r>
        <w:rPr>
          <w:spacing w:val="-77"/>
        </w:rPr>
        <w:t> </w:t>
      </w:r>
      <w:r>
        <w:rPr>
          <w:spacing w:val="-77"/>
        </w:rPr>
      </w:r>
      <w:r>
        <w:rPr/>
        <w:t>作成为中小银行数字化转型的最佳方式之一。</w:t>
      </w:r>
    </w:p>
    <w:p>
      <w:pPr>
        <w:pStyle w:val="BodyText"/>
        <w:spacing w:line="429" w:lineRule="auto" w:before="48"/>
        <w:ind w:right="1133" w:firstLine="401"/>
        <w:jc w:val="left"/>
      </w:pPr>
      <w:r>
        <w:rPr/>
        <w:t>区块链成为核心技术自主创新的重要突破口，区块链应用迎来高速发展期。</w:t>
      </w:r>
      <w:r>
        <w:rPr>
          <w:rFonts w:ascii="宋体" w:hAnsi="宋体" w:cs="宋体" w:eastAsia="宋体" w:hint="default"/>
        </w:rPr>
        <w:t>2019</w:t>
      </w:r>
      <w:r>
        <w:rPr/>
        <w:t>年</w:t>
      </w:r>
      <w:r>
        <w:rPr>
          <w:rFonts w:ascii="宋体" w:hAnsi="宋体" w:cs="宋体" w:eastAsia="宋体" w:hint="default"/>
        </w:rPr>
        <w:t>10</w:t>
      </w:r>
      <w:r>
        <w:rPr/>
        <w:t>月，习总书记在中央</w:t>
      </w:r>
      <w:r>
        <w:rPr>
          <w:w w:val="99"/>
        </w:rPr>
        <w:t> </w:t>
      </w:r>
      <w:r>
        <w:rPr/>
        <w:t>政治局第十八次集体学习时强调，把区块链作为核心技术自主创新的重要突破口，明确主攻方向，加大投入力</w:t>
      </w:r>
      <w:r>
        <w:rPr>
          <w:spacing w:val="-77"/>
        </w:rPr>
        <w:t> </w:t>
      </w:r>
      <w:r>
        <w:rPr>
          <w:spacing w:val="-77"/>
        </w:rPr>
      </w:r>
      <w:r>
        <w:rPr/>
        <w:t>度，着力攻克一批关键核心技术，加快推动区块链技术和产业创新发展。习总书记还指出，要提高运用和管理</w:t>
      </w:r>
      <w:r>
        <w:rPr>
          <w:spacing w:val="-77"/>
        </w:rPr>
        <w:t> </w:t>
      </w:r>
      <w:r>
        <w:rPr>
          <w:spacing w:val="-77"/>
        </w:rPr>
      </w:r>
      <w:r>
        <w:rPr/>
        <w:t>区块链技术能力，使区块链技术在建设网络强国、发展数字经济、助力经济社会发展等方面发挥更大作用。未</w:t>
      </w:r>
      <w:r>
        <w:rPr>
          <w:spacing w:val="-77"/>
        </w:rPr>
        <w:t> </w:t>
      </w:r>
      <w:r>
        <w:rPr>
          <w:spacing w:val="-77"/>
        </w:rPr>
      </w:r>
      <w:r>
        <w:rPr>
          <w:spacing w:val="-3"/>
          <w:w w:val="95"/>
        </w:rPr>
        <w:t>来，区块链在金融、商业、民生、政务等各大领域及细分领域应用的广度和深度将进一步提升。根据</w:t>
      </w:r>
      <w:r>
        <w:rPr>
          <w:rFonts w:ascii="宋体" w:hAnsi="宋体" w:cs="宋体" w:eastAsia="宋体" w:hint="default"/>
          <w:spacing w:val="-3"/>
          <w:w w:val="95"/>
        </w:rPr>
        <w:t>IDC</w:t>
      </w:r>
      <w:r>
        <w:rPr>
          <w:spacing w:val="-3"/>
          <w:w w:val="95"/>
        </w:rPr>
        <w:t>的预测，</w:t>
      </w:r>
      <w:r>
        <w:rPr>
          <w:spacing w:val="19"/>
          <w:w w:val="95"/>
        </w:rPr>
        <w:t> </w:t>
      </w:r>
      <w:r>
        <w:rPr>
          <w:spacing w:val="19"/>
          <w:w w:val="95"/>
        </w:rPr>
      </w:r>
      <w:r>
        <w:rPr/>
        <w:t>到</w:t>
      </w:r>
      <w:r>
        <w:rPr>
          <w:rFonts w:ascii="宋体" w:hAnsi="宋体" w:cs="宋体" w:eastAsia="宋体" w:hint="default"/>
        </w:rPr>
        <w:t>2023</w:t>
      </w:r>
      <w:r>
        <w:rPr/>
        <w:t>年，中国企业将在区块链服务（咨询、实施、维护、支持等）上投入</w:t>
      </w:r>
      <w:r>
        <w:rPr>
          <w:rFonts w:ascii="宋体" w:hAnsi="宋体" w:cs="宋体" w:eastAsia="宋体" w:hint="default"/>
        </w:rPr>
        <w:t>27</w:t>
      </w:r>
      <w:r>
        <w:rPr/>
        <w:t>亿美元。</w:t>
      </w:r>
    </w:p>
    <w:p>
      <w:pPr>
        <w:pStyle w:val="BodyText"/>
        <w:spacing w:line="429" w:lineRule="auto" w:before="48"/>
        <w:ind w:right="1133" w:firstLine="401"/>
        <w:jc w:val="both"/>
      </w:pPr>
      <w:r>
        <w:rPr/>
        <w:t>互联网行业机会正在从</w:t>
      </w:r>
      <w:r>
        <w:rPr>
          <w:rFonts w:ascii="宋体" w:hAnsi="宋体" w:cs="宋体" w:eastAsia="宋体" w:hint="default"/>
        </w:rPr>
        <w:t>To C</w:t>
      </w:r>
      <w:r>
        <w:rPr/>
        <w:t>转向</w:t>
      </w:r>
      <w:r>
        <w:rPr>
          <w:rFonts w:ascii="宋体" w:hAnsi="宋体" w:cs="宋体" w:eastAsia="宋体" w:hint="default"/>
        </w:rPr>
        <w:t>To</w:t>
      </w:r>
      <w:r>
        <w:rPr>
          <w:rFonts w:ascii="宋体" w:hAnsi="宋体" w:cs="宋体" w:eastAsia="宋体" w:hint="default"/>
          <w:spacing w:val="22"/>
        </w:rPr>
        <w:t> </w:t>
      </w:r>
      <w:r>
        <w:rPr>
          <w:rFonts w:ascii="宋体" w:hAnsi="宋体" w:cs="宋体" w:eastAsia="宋体" w:hint="default"/>
        </w:rPr>
        <w:t>B</w:t>
      </w:r>
      <w:r>
        <w:rPr/>
        <w:t>，企业级服务市场迎来发展良机。根据中国互联网络信息中心发布的</w:t>
      </w:r>
      <w:r>
        <w:rPr>
          <w:w w:val="99"/>
        </w:rPr>
        <w:t> </w:t>
      </w:r>
      <w:r>
        <w:rPr/>
        <w:t>数据，我国网民规模增长率近几年一直维持在</w:t>
      </w:r>
      <w:r>
        <w:rPr>
          <w:rFonts w:ascii="宋体" w:hAnsi="宋体" w:cs="宋体" w:eastAsia="宋体" w:hint="default"/>
        </w:rPr>
        <w:t>3%</w:t>
      </w:r>
      <w:r>
        <w:rPr/>
        <w:t>左右，远低于</w:t>
      </w:r>
      <w:r>
        <w:rPr>
          <w:rFonts w:ascii="宋体" w:hAnsi="宋体" w:cs="宋体" w:eastAsia="宋体" w:hint="default"/>
        </w:rPr>
        <w:t>10</w:t>
      </w:r>
      <w:r>
        <w:rPr/>
        <w:t>年前</w:t>
      </w:r>
      <w:r>
        <w:rPr>
          <w:rFonts w:ascii="宋体" w:hAnsi="宋体" w:cs="宋体" w:eastAsia="宋体" w:hint="default"/>
        </w:rPr>
        <w:t>10%</w:t>
      </w:r>
      <w:r>
        <w:rPr/>
        <w:t>左右的网民增速；与此同时，</w:t>
      </w:r>
      <w:r>
        <w:rPr>
          <w:rFonts w:ascii="宋体" w:hAnsi="宋体" w:cs="宋体" w:eastAsia="宋体" w:hint="default"/>
        </w:rPr>
        <w:t>C</w:t>
      </w:r>
      <w:r>
        <w:rPr/>
        <w:t>端用户</w:t>
      </w:r>
      <w:r>
        <w:rPr>
          <w:spacing w:val="-71"/>
        </w:rPr>
        <w:t> </w:t>
      </w:r>
      <w:r>
        <w:rPr>
          <w:spacing w:val="-71"/>
        </w:rPr>
      </w:r>
      <w:r>
        <w:rPr>
          <w:spacing w:val="-1"/>
          <w:w w:val="95"/>
        </w:rPr>
        <w:t>的逐渐饱和也使得企业的获客成本提高，</w:t>
      </w:r>
      <w:r>
        <w:rPr>
          <w:rFonts w:ascii="宋体" w:hAnsi="宋体" w:cs="宋体" w:eastAsia="宋体" w:hint="default"/>
          <w:spacing w:val="-1"/>
          <w:w w:val="95"/>
        </w:rPr>
        <w:t>C</w:t>
      </w:r>
      <w:r>
        <w:rPr>
          <w:spacing w:val="-1"/>
          <w:w w:val="95"/>
        </w:rPr>
        <w:t>端人口红利正在走向尾声。根据国家市场监督管理总局的统计，截至</w:t>
      </w:r>
      <w:r>
        <w:rPr>
          <w:spacing w:val="84"/>
          <w:w w:val="95"/>
        </w:rPr>
        <w:t> </w:t>
      </w:r>
      <w:r>
        <w:rPr>
          <w:spacing w:val="84"/>
          <w:w w:val="95"/>
        </w:rPr>
      </w:r>
      <w:r>
        <w:rPr>
          <w:rFonts w:ascii="宋体" w:hAnsi="宋体" w:cs="宋体" w:eastAsia="宋体" w:hint="default"/>
        </w:rPr>
        <w:t>2017</w:t>
      </w:r>
      <w:r>
        <w:rPr/>
        <w:t>年</w:t>
      </w:r>
      <w:r>
        <w:rPr>
          <w:rFonts w:ascii="宋体" w:hAnsi="宋体" w:cs="宋体" w:eastAsia="宋体" w:hint="default"/>
        </w:rPr>
        <w:t>9</w:t>
      </w:r>
      <w:r>
        <w:rPr/>
        <w:t>月，全国实有企业总量</w:t>
      </w:r>
      <w:r>
        <w:rPr>
          <w:rFonts w:ascii="宋体" w:hAnsi="宋体" w:cs="宋体" w:eastAsia="宋体" w:hint="default"/>
        </w:rPr>
        <w:t>2907</w:t>
      </w:r>
      <w:r>
        <w:rPr/>
        <w:t>万户，相比</w:t>
      </w:r>
      <w:r>
        <w:rPr>
          <w:rFonts w:ascii="宋体" w:hAnsi="宋体" w:cs="宋体" w:eastAsia="宋体" w:hint="default"/>
        </w:rPr>
        <w:t>2012</w:t>
      </w:r>
      <w:r>
        <w:rPr/>
        <w:t>年</w:t>
      </w:r>
      <w:r>
        <w:rPr>
          <w:rFonts w:ascii="宋体" w:hAnsi="宋体" w:cs="宋体" w:eastAsia="宋体" w:hint="default"/>
        </w:rPr>
        <w:t>9</w:t>
      </w:r>
      <w:r>
        <w:rPr/>
        <w:t>月底的</w:t>
      </w:r>
      <w:r>
        <w:rPr>
          <w:rFonts w:ascii="宋体" w:hAnsi="宋体" w:cs="宋体" w:eastAsia="宋体" w:hint="default"/>
        </w:rPr>
        <w:t>1343</w:t>
      </w:r>
      <w:r>
        <w:rPr/>
        <w:t>万户增长</w:t>
      </w:r>
      <w:r>
        <w:rPr>
          <w:rFonts w:ascii="宋体" w:hAnsi="宋体" w:cs="宋体" w:eastAsia="宋体" w:hint="default"/>
        </w:rPr>
        <w:t>116.5%</w:t>
      </w:r>
      <w:r>
        <w:rPr/>
        <w:t>，且全部企业中信息化程度</w:t>
      </w:r>
      <w:r>
        <w:rPr>
          <w:spacing w:val="-74"/>
        </w:rPr>
        <w:t> </w:t>
      </w:r>
      <w:r>
        <w:rPr>
          <w:spacing w:val="-74"/>
        </w:rPr>
      </w:r>
      <w:r>
        <w:rPr/>
        <w:t>较低的中小企业又占据了绝大多数，中小企业的企业服务需求已成为企业服务市场不可忽视的重要组成部分，</w:t>
      </w:r>
      <w:r>
        <w:rPr>
          <w:spacing w:val="-71"/>
        </w:rPr>
        <w:t> </w:t>
      </w:r>
      <w:r>
        <w:rPr>
          <w:spacing w:val="-71"/>
        </w:rPr>
      </w:r>
      <w:r>
        <w:rPr/>
        <w:t>为企业级服务提供了巨大的市场空间。近年来，以</w:t>
      </w:r>
      <w:r>
        <w:rPr>
          <w:rFonts w:ascii="宋体" w:hAnsi="宋体" w:cs="宋体" w:eastAsia="宋体" w:hint="default"/>
        </w:rPr>
        <w:t>BATJ</w:t>
      </w:r>
      <w:r>
        <w:rPr/>
        <w:t>为代表的互联网巨头，也纷纷凭借其在互联网及移动互</w:t>
      </w:r>
      <w:r>
        <w:rPr>
          <w:spacing w:val="-74"/>
        </w:rPr>
        <w:t> </w:t>
      </w:r>
      <w:r>
        <w:rPr>
          <w:spacing w:val="-74"/>
        </w:rPr>
      </w:r>
      <w:r>
        <w:rPr/>
        <w:t>联网时代积累下来的优势，率先开始在</w:t>
      </w:r>
      <w:r>
        <w:rPr>
          <w:rFonts w:ascii="宋体" w:hAnsi="宋体" w:cs="宋体" w:eastAsia="宋体" w:hint="default"/>
        </w:rPr>
        <w:t>B</w:t>
      </w:r>
      <w:r>
        <w:rPr/>
        <w:t>端的布局。</w:t>
      </w:r>
    </w:p>
    <w:p>
      <w:pPr>
        <w:pStyle w:val="BodyText"/>
        <w:spacing w:line="429" w:lineRule="auto" w:before="48"/>
        <w:ind w:right="1129" w:firstLine="401"/>
        <w:jc w:val="left"/>
      </w:pPr>
      <w:r>
        <w:rPr/>
        <w:t>一系列迹象显示，科技赋能企业级市场正成为日益普遍的趋势，</w:t>
      </w:r>
      <w:r>
        <w:rPr>
          <w:rFonts w:ascii="宋体" w:hAnsi="宋体" w:cs="宋体" w:eastAsia="宋体" w:hint="default"/>
        </w:rPr>
        <w:t>To</w:t>
      </w:r>
      <w:r>
        <w:rPr>
          <w:rFonts w:ascii="宋体" w:hAnsi="宋体" w:cs="宋体" w:eastAsia="宋体" w:hint="default"/>
          <w:spacing w:val="24"/>
        </w:rPr>
        <w:t> </w:t>
      </w:r>
      <w:r>
        <w:rPr>
          <w:rFonts w:ascii="宋体" w:hAnsi="宋体" w:cs="宋体" w:eastAsia="宋体" w:hint="default"/>
        </w:rPr>
        <w:t>B</w:t>
      </w:r>
      <w:r>
        <w:rPr/>
        <w:t>产业互联网时代已到来。产业互联网</w:t>
      </w:r>
      <w:r>
        <w:rPr>
          <w:w w:val="99"/>
        </w:rPr>
        <w:t> </w:t>
      </w:r>
      <w:r>
        <w:rPr/>
        <w:t>将重构产业链，金融、政府、公共服务等行业正迎来变革，垂直行业信息化领军企业将获得长足的发展机遇。</w:t>
      </w:r>
    </w:p>
    <w:p>
      <w:pPr>
        <w:pStyle w:val="BodyText"/>
        <w:spacing w:line="429" w:lineRule="auto" w:before="48"/>
        <w:ind w:left="554" w:right="1133"/>
        <w:jc w:val="left"/>
      </w:pPr>
      <w:r>
        <w:rPr/>
        <w:t>（二）公司发展战略</w:t>
      </w:r>
      <w:r>
        <w:rPr>
          <w:w w:val="99"/>
        </w:rPr>
        <w:t> </w:t>
      </w:r>
      <w:r>
        <w:rPr/>
        <w:t>公司将继续坚持以金融科技整体解决方案和数据中心综合服务为基础，深入推进区块链、人工智能、大数</w:t>
      </w:r>
    </w:p>
    <w:p>
      <w:pPr>
        <w:pStyle w:val="BodyText"/>
        <w:spacing w:line="429" w:lineRule="auto" w:before="48"/>
        <w:ind w:right="1131"/>
        <w:jc w:val="both"/>
      </w:pPr>
      <w:r>
        <w:rPr/>
        <w:t>据、云服务等科技创新业务，打造价值共享的产业互联网科技赋能平台，引导产业客户实现从</w:t>
      </w:r>
      <w:r>
        <w:rPr>
          <w:rFonts w:ascii="宋体" w:hAnsi="宋体" w:cs="宋体" w:eastAsia="宋体" w:hint="default"/>
        </w:rPr>
        <w:t>IT</w:t>
      </w:r>
      <w:r>
        <w:rPr/>
        <w:t>到</w:t>
      </w:r>
      <w:r>
        <w:rPr>
          <w:rFonts w:ascii="宋体" w:hAnsi="宋体" w:cs="宋体" w:eastAsia="宋体" w:hint="default"/>
        </w:rPr>
        <w:t>DT</w:t>
      </w:r>
      <w:r>
        <w:rPr/>
        <w:t>到</w:t>
      </w:r>
      <w:r>
        <w:rPr>
          <w:rFonts w:ascii="宋体" w:hAnsi="宋体" w:cs="宋体" w:eastAsia="宋体" w:hint="default"/>
        </w:rPr>
        <w:t>AT</w:t>
      </w:r>
      <w:r>
        <w:rPr/>
        <w:t>的技</w:t>
      </w:r>
      <w:r>
        <w:rPr>
          <w:spacing w:val="-68"/>
        </w:rPr>
        <w:t> </w:t>
      </w:r>
      <w:r>
        <w:rPr/>
        <w:t>术升级。</w:t>
      </w:r>
    </w:p>
    <w:p>
      <w:pPr>
        <w:pStyle w:val="BodyText"/>
        <w:spacing w:line="429" w:lineRule="auto" w:before="48"/>
        <w:ind w:left="554" w:right="3752"/>
        <w:jc w:val="left"/>
      </w:pPr>
      <w:r>
        <w:rPr/>
        <w:t>（三）经营计划</w:t>
      </w:r>
      <w:r>
        <w:rPr>
          <w:w w:val="99"/>
        </w:rPr>
        <w:t> </w:t>
      </w:r>
      <w:r>
        <w:rPr/>
        <w:t>为确保实现公司发展战略目标，公司</w:t>
      </w:r>
      <w:r>
        <w:rPr>
          <w:rFonts w:ascii="宋体" w:hAnsi="宋体" w:cs="宋体" w:eastAsia="宋体" w:hint="default"/>
        </w:rPr>
        <w:t>2020</w:t>
      </w:r>
      <w:r>
        <w:rPr/>
        <w:t>年度经营计划主要包括以下内容：</w:t>
      </w:r>
      <w:r>
        <w:rPr>
          <w:w w:val="99"/>
        </w:rPr>
        <w:t> </w:t>
      </w:r>
      <w:r>
        <w:rPr>
          <w:rFonts w:ascii="宋体" w:hAnsi="宋体" w:cs="宋体" w:eastAsia="宋体" w:hint="default"/>
        </w:rPr>
        <w:t>1.</w:t>
      </w:r>
      <w:r>
        <w:rPr/>
        <w:t>进一步推进中小银行数字化转型，赋能产业互联网升级</w:t>
      </w:r>
    </w:p>
    <w:p>
      <w:pPr>
        <w:pStyle w:val="BodyText"/>
        <w:spacing w:line="429" w:lineRule="auto" w:before="48"/>
        <w:ind w:right="1133" w:firstLine="401"/>
        <w:jc w:val="left"/>
      </w:pPr>
      <w:r>
        <w:rPr>
          <w:rFonts w:ascii="宋体" w:hAnsi="宋体" w:cs="宋体" w:eastAsia="宋体" w:hint="default"/>
        </w:rPr>
        <w:t>2020</w:t>
      </w:r>
      <w:r>
        <w:rPr/>
        <w:t>年，公司将继续致力于帮助国内众多中小银行数字化转型，提供开放银行整体解决方案等金融科技综</w:t>
      </w:r>
      <w:r>
        <w:rPr>
          <w:w w:val="99"/>
        </w:rPr>
        <w:t> </w:t>
      </w:r>
      <w:r>
        <w:rPr>
          <w:spacing w:val="-1"/>
          <w:w w:val="95"/>
        </w:rPr>
        <w:t>合服务，并抓住产业互联网升级的良机，进一步打造价值共享的产业互联网科技赋能平台，将公司在客户资源、</w:t>
      </w:r>
      <w:r>
        <w:rPr>
          <w:spacing w:val="85"/>
          <w:w w:val="95"/>
        </w:rPr>
        <w:t> </w:t>
      </w:r>
      <w:r>
        <w:rPr>
          <w:spacing w:val="85"/>
          <w:w w:val="95"/>
        </w:rPr>
      </w:r>
      <w:r>
        <w:rPr/>
        <w:t>技术实力、经营管理等领域的能力向产业链上下游合作伙伴开放，推动公司、合伙人及合作伙伴业务增长。</w:t>
      </w:r>
    </w:p>
    <w:p>
      <w:pPr>
        <w:spacing w:after="0" w:line="429"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29" w:lineRule="auto"/>
        <w:ind w:left="554" w:right="1133"/>
        <w:jc w:val="left"/>
      </w:pPr>
      <w:r>
        <w:rPr>
          <w:rFonts w:ascii="宋体" w:hAnsi="宋体" w:cs="宋体" w:eastAsia="宋体" w:hint="default"/>
        </w:rPr>
        <w:t>2.</w:t>
      </w:r>
      <w:r>
        <w:rPr/>
        <w:t>进一步探索金融、政务监管、民生三大领域的区块链应用</w:t>
      </w:r>
      <w:r>
        <w:rPr>
          <w:w w:val="99"/>
        </w:rPr>
        <w:t> </w:t>
      </w:r>
      <w:r>
        <w:rPr/>
        <w:t>公司将积极响应客户相关需求，加大区块链领域的技术投入，以成为业界领先的区块链技术、产品和解决</w:t>
      </w:r>
    </w:p>
    <w:p>
      <w:pPr>
        <w:pStyle w:val="BodyText"/>
        <w:spacing w:line="429" w:lineRule="auto" w:before="48"/>
        <w:ind w:right="1133"/>
        <w:jc w:val="left"/>
      </w:pPr>
      <w:r>
        <w:rPr/>
        <w:t>方案综合服务商以及区块链企业服务总线开发平台提供商为目标，持续探索金融、政务监管、民生三大领域的</w:t>
      </w:r>
      <w:r>
        <w:rPr>
          <w:spacing w:val="-77"/>
        </w:rPr>
        <w:t> </w:t>
      </w:r>
      <w:r>
        <w:rPr>
          <w:spacing w:val="-77"/>
        </w:rPr>
      </w:r>
      <w:r>
        <w:rPr/>
        <w:t>区块链应用和其他区块链服务领域。</w:t>
      </w:r>
    </w:p>
    <w:p>
      <w:pPr>
        <w:pStyle w:val="BodyText"/>
        <w:spacing w:line="429" w:lineRule="auto" w:before="48"/>
        <w:ind w:left="554" w:right="1133"/>
        <w:jc w:val="left"/>
      </w:pPr>
      <w:r>
        <w:rPr>
          <w:rFonts w:ascii="宋体" w:hAnsi="宋体" w:cs="宋体" w:eastAsia="宋体" w:hint="default"/>
        </w:rPr>
        <w:t>3.</w:t>
      </w:r>
      <w:r>
        <w:rPr/>
        <w:t>进一步夯实智能银行综合解决方案、数据中心综合解决方案等传统优势业务</w:t>
      </w:r>
      <w:r>
        <w:rPr>
          <w:w w:val="99"/>
        </w:rPr>
        <w:t> </w:t>
      </w:r>
      <w:r>
        <w:rPr>
          <w:spacing w:val="-1"/>
          <w:w w:val="95"/>
        </w:rPr>
        <w:t>公司将积极研究和推进智能银行转型管理咨询服务、渠道整合、轻型网点、金融大数据分析、供应链融资、</w:t>
      </w:r>
      <w:r>
        <w:rPr>
          <w:spacing w:val="-1"/>
        </w:rPr>
      </w:r>
    </w:p>
    <w:p>
      <w:pPr>
        <w:pStyle w:val="BodyText"/>
        <w:spacing w:line="429" w:lineRule="auto" w:before="48"/>
        <w:ind w:right="1133"/>
        <w:jc w:val="left"/>
      </w:pPr>
      <w:r>
        <w:rPr/>
        <w:t>产业链融资、移动支付和数据中心综合服务等一系列解决方案和服务，进一步夯实公司在智能银行领域和数据</w:t>
      </w:r>
      <w:r>
        <w:rPr>
          <w:spacing w:val="-72"/>
        </w:rPr>
        <w:t> </w:t>
      </w:r>
      <w:r>
        <w:rPr>
          <w:spacing w:val="-72"/>
        </w:rPr>
      </w:r>
      <w:r>
        <w:rPr/>
        <w:t>中心综合解决方案领域的优势业务。</w:t>
      </w:r>
    </w:p>
    <w:p>
      <w:pPr>
        <w:pStyle w:val="BodyText"/>
        <w:spacing w:line="429" w:lineRule="auto" w:before="49"/>
        <w:ind w:left="554" w:right="1133"/>
        <w:jc w:val="left"/>
      </w:pPr>
      <w:r>
        <w:rPr>
          <w:rFonts w:ascii="宋体" w:hAnsi="宋体" w:cs="宋体" w:eastAsia="宋体" w:hint="default"/>
        </w:rPr>
        <w:t>4.</w:t>
      </w:r>
      <w:r>
        <w:rPr/>
        <w:t>进一步加大技术投入</w:t>
      </w:r>
      <w:r>
        <w:rPr>
          <w:w w:val="99"/>
        </w:rPr>
        <w:t> </w:t>
      </w:r>
      <w:r>
        <w:rPr>
          <w:spacing w:val="-1"/>
          <w:w w:val="95"/>
        </w:rPr>
        <w:t>在技术创新方面，公司将继续加大在主营业务领域的核心产品和技术研发及产业化投入，不断增强区块链、</w:t>
      </w:r>
      <w:r>
        <w:rPr>
          <w:spacing w:val="-1"/>
        </w:rPr>
      </w:r>
    </w:p>
    <w:p>
      <w:pPr>
        <w:pStyle w:val="BodyText"/>
        <w:spacing w:line="429" w:lineRule="auto" w:before="48"/>
        <w:ind w:right="1133"/>
        <w:jc w:val="left"/>
      </w:pPr>
      <w:r>
        <w:rPr/>
        <w:t>人工智能、云服务、大数据等领域的技术实力，保持行业技术领先水平，增强企业的核心竞争能力，为公司的</w:t>
      </w:r>
      <w:r>
        <w:rPr>
          <w:spacing w:val="-77"/>
        </w:rPr>
        <w:t> </w:t>
      </w:r>
      <w:r>
        <w:rPr>
          <w:spacing w:val="-77"/>
        </w:rPr>
      </w:r>
      <w:r>
        <w:rPr/>
        <w:t>成长提供产品和技术优势。</w:t>
      </w:r>
    </w:p>
    <w:p>
      <w:pPr>
        <w:pStyle w:val="BodyText"/>
        <w:spacing w:line="429" w:lineRule="auto" w:before="48"/>
        <w:ind w:left="554" w:right="1133"/>
        <w:jc w:val="left"/>
      </w:pPr>
      <w:r>
        <w:rPr>
          <w:rFonts w:ascii="宋体" w:hAnsi="宋体" w:cs="宋体" w:eastAsia="宋体" w:hint="default"/>
        </w:rPr>
        <w:t>5.</w:t>
      </w:r>
      <w:r>
        <w:rPr/>
        <w:t>配合公司战略，积极利用收购兼并等手段进行资源整合</w:t>
      </w:r>
      <w:r>
        <w:rPr>
          <w:w w:val="99"/>
        </w:rPr>
        <w:t> </w:t>
      </w:r>
      <w:r>
        <w:rPr/>
        <w:t>根据公司的经营发展战略，进一步分解投资并购战略，做到与公司整体战略配合，聚焦不脱节。建立健全</w:t>
      </w:r>
    </w:p>
    <w:p>
      <w:pPr>
        <w:pStyle w:val="BodyText"/>
        <w:spacing w:line="429" w:lineRule="auto" w:before="48"/>
        <w:ind w:left="554" w:right="2954" w:hanging="402"/>
        <w:jc w:val="left"/>
      </w:pPr>
      <w:r>
        <w:rPr/>
        <w:t>投后管理体系和流程，帮助上市公司实现协同发展，完善战略布局，提升综合竞争优势。</w:t>
      </w:r>
      <w:r>
        <w:rPr>
          <w:w w:val="99"/>
        </w:rPr>
        <w:t> </w:t>
      </w:r>
      <w:r>
        <w:rPr>
          <w:rFonts w:ascii="宋体" w:hAnsi="宋体" w:cs="宋体" w:eastAsia="宋体" w:hint="default"/>
        </w:rPr>
        <w:t>6.</w:t>
      </w:r>
      <w:r>
        <w:rPr/>
        <w:t>深入开展党建活动，提高员工的凝聚力和公司竞争力</w:t>
      </w:r>
    </w:p>
    <w:p>
      <w:pPr>
        <w:pStyle w:val="BodyText"/>
        <w:spacing w:line="429" w:lineRule="auto" w:before="48"/>
        <w:ind w:right="1140" w:firstLine="401"/>
        <w:jc w:val="both"/>
      </w:pPr>
      <w:r>
        <w:rPr>
          <w:rFonts w:ascii="宋体" w:hAnsi="宋体" w:cs="宋体" w:eastAsia="宋体" w:hint="default"/>
        </w:rPr>
        <w:t>2020</w:t>
      </w:r>
      <w:r>
        <w:rPr/>
        <w:t>年，公司将继续以基层党组织为依托，深入开展党建活动，为党组织的活动提供必要的条件，注重发</w:t>
      </w:r>
      <w:r>
        <w:rPr>
          <w:w w:val="99"/>
        </w:rPr>
        <w:t> </w:t>
      </w:r>
      <w:r>
        <w:rPr/>
        <w:t>挥党员的先锋模范作用，提高员工的凝聚力和公司竞争力。</w:t>
      </w:r>
    </w:p>
    <w:p>
      <w:pPr>
        <w:pStyle w:val="BodyText"/>
        <w:spacing w:line="240" w:lineRule="auto" w:before="48"/>
        <w:ind w:left="554" w:right="1133"/>
        <w:jc w:val="left"/>
      </w:pPr>
      <w:r>
        <w:rPr>
          <w:rFonts w:ascii="宋体" w:hAnsi="宋体" w:cs="宋体" w:eastAsia="宋体" w:hint="default"/>
        </w:rPr>
        <w:t>7.</w:t>
      </w:r>
      <w:r>
        <w:rPr/>
        <w:t>持续推进企业文化建设，升级公司多层级合伙人制度，实施中台赋能战略</w:t>
      </w:r>
    </w:p>
    <w:p>
      <w:pPr>
        <w:spacing w:line="240" w:lineRule="auto" w:before="10"/>
        <w:rPr>
          <w:rFonts w:ascii="宋体" w:hAnsi="宋体" w:cs="宋体" w:eastAsia="宋体" w:hint="default"/>
          <w:sz w:val="15"/>
          <w:szCs w:val="15"/>
        </w:rPr>
      </w:pPr>
    </w:p>
    <w:p>
      <w:pPr>
        <w:pStyle w:val="BodyText"/>
        <w:spacing w:line="429" w:lineRule="auto"/>
        <w:ind w:right="1140" w:firstLine="401"/>
        <w:jc w:val="both"/>
      </w:pPr>
      <w:r>
        <w:rPr>
          <w:rFonts w:ascii="宋体" w:hAnsi="宋体" w:cs="宋体" w:eastAsia="宋体" w:hint="default"/>
        </w:rPr>
        <w:t>2020</w:t>
      </w:r>
      <w:r>
        <w:rPr/>
        <w:t>年，公司业务增长要配合多层级合伙人制度升级、企业文化考核、中台赋能战略进一步实施等措施，</w:t>
      </w:r>
      <w:r>
        <w:rPr>
          <w:w w:val="99"/>
        </w:rPr>
        <w:t> </w:t>
      </w:r>
      <w:r>
        <w:rPr/>
        <w:t>提升业务部门协同性，增强公司核心竞争力，为奋斗者搭建实现梦想的舞台。</w:t>
      </w:r>
    </w:p>
    <w:p>
      <w:pPr>
        <w:pStyle w:val="BodyText"/>
        <w:spacing w:line="429" w:lineRule="auto" w:before="48"/>
        <w:ind w:left="554" w:right="8352"/>
        <w:jc w:val="left"/>
      </w:pPr>
      <w:r>
        <w:rPr/>
        <w:t>（四）可能面对的风险</w:t>
      </w:r>
      <w:r>
        <w:rPr>
          <w:w w:val="99"/>
        </w:rPr>
        <w:t> </w:t>
      </w:r>
      <w:r>
        <w:rPr>
          <w:rFonts w:ascii="宋体" w:hAnsi="宋体" w:cs="宋体" w:eastAsia="宋体" w:hint="default"/>
        </w:rPr>
        <w:t>1.</w:t>
      </w:r>
      <w:r>
        <w:rPr/>
        <w:t>市场竞争风险</w:t>
      </w:r>
    </w:p>
    <w:p>
      <w:pPr>
        <w:pStyle w:val="BodyText"/>
        <w:spacing w:line="429" w:lineRule="auto" w:before="49"/>
        <w:ind w:right="1140" w:firstLine="401"/>
        <w:jc w:val="both"/>
      </w:pPr>
      <w:r>
        <w:rPr/>
        <w:t>公司正在积极布局的行业具有广阔的市场空间，但同时也面临激烈的市场竞争。如果公司不能充分利用现</w:t>
      </w:r>
      <w:r>
        <w:rPr>
          <w:w w:val="99"/>
        </w:rPr>
        <w:t> </w:t>
      </w:r>
      <w:r>
        <w:rPr/>
        <w:t>有优势和资源，持续升级产品和服务，快速扩大市场份额，可能导致公司未来持续高速发展存在一定的不确定</w:t>
      </w:r>
      <w:r>
        <w:rPr>
          <w:spacing w:val="-77"/>
        </w:rPr>
        <w:t> </w:t>
      </w:r>
      <w:r>
        <w:rPr>
          <w:spacing w:val="-77"/>
        </w:rPr>
      </w:r>
      <w:r>
        <w:rPr/>
        <w:t>因素。</w:t>
      </w:r>
    </w:p>
    <w:p>
      <w:pPr>
        <w:pStyle w:val="BodyText"/>
        <w:spacing w:line="429" w:lineRule="auto" w:before="48"/>
        <w:ind w:right="1141" w:firstLine="401"/>
        <w:jc w:val="both"/>
      </w:pPr>
      <w:r>
        <w:rPr/>
        <w:t>针对上述风险，公司将积极顺应行业发展趋势，加快业务布局，快速推进各项业务；同时充分发挥公司的</w:t>
      </w:r>
      <w:r>
        <w:rPr>
          <w:w w:val="99"/>
        </w:rPr>
        <w:t> </w:t>
      </w:r>
      <w:r>
        <w:rPr/>
        <w:t>核心竞争优势，加大市场拓展力度，以规避市场竞争加剧对公司造成的风险。</w:t>
      </w:r>
    </w:p>
    <w:p>
      <w:pPr>
        <w:pStyle w:val="BodyText"/>
        <w:spacing w:line="429" w:lineRule="auto" w:before="48"/>
        <w:ind w:left="554" w:right="1133"/>
        <w:jc w:val="left"/>
      </w:pPr>
      <w:r>
        <w:rPr>
          <w:rFonts w:ascii="宋体" w:hAnsi="宋体" w:cs="宋体" w:eastAsia="宋体" w:hint="default"/>
        </w:rPr>
        <w:t>2.</w:t>
      </w:r>
      <w:r>
        <w:rPr/>
        <w:t>行业技术风险</w:t>
      </w:r>
      <w:r>
        <w:rPr>
          <w:w w:val="99"/>
        </w:rPr>
        <w:t> </w:t>
      </w:r>
      <w:r>
        <w:rPr/>
        <w:t>公司所处行业存在对产品的技术要求高，技术更新换代快，市场需求变化快的特点，如果不能及时准确地</w:t>
      </w:r>
    </w:p>
    <w:p>
      <w:pPr>
        <w:spacing w:after="0" w:line="429"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29" w:lineRule="auto"/>
        <w:ind w:left="554" w:right="1133" w:hanging="402"/>
        <w:jc w:val="left"/>
      </w:pPr>
      <w:r>
        <w:rPr/>
        <w:t>把握新技术及市场需求的发展和变化，将会影响公司的快速发展。</w:t>
      </w:r>
      <w:r>
        <w:rPr>
          <w:w w:val="99"/>
        </w:rPr>
        <w:t> </w:t>
      </w:r>
      <w:r>
        <w:rPr/>
        <w:t>针对上述风险，公司将进一步加大技术研发投入，完善公司技术研发体系，加强研发技术人才的引进，并</w:t>
      </w:r>
    </w:p>
    <w:p>
      <w:pPr>
        <w:pStyle w:val="BodyText"/>
        <w:spacing w:line="429" w:lineRule="auto" w:before="48"/>
        <w:ind w:left="554" w:right="4552" w:hanging="402"/>
        <w:jc w:val="left"/>
      </w:pPr>
      <w:r>
        <w:rPr/>
        <w:t>在公司内部形成良好的知识共享、传递机制，不断提升创新能力。</w:t>
      </w:r>
      <w:r>
        <w:rPr>
          <w:w w:val="99"/>
        </w:rPr>
        <w:t> </w:t>
      </w:r>
      <w:r>
        <w:rPr>
          <w:rFonts w:ascii="宋体" w:hAnsi="宋体" w:cs="宋体" w:eastAsia="宋体" w:hint="default"/>
        </w:rPr>
        <w:t>3.</w:t>
      </w:r>
      <w:r>
        <w:rPr/>
        <w:t>人力资源风险</w:t>
      </w:r>
    </w:p>
    <w:p>
      <w:pPr>
        <w:pStyle w:val="BodyText"/>
        <w:spacing w:line="429" w:lineRule="auto" w:before="48"/>
        <w:ind w:right="1141" w:firstLine="401"/>
        <w:jc w:val="both"/>
      </w:pPr>
      <w:r>
        <w:rPr/>
        <w:t>人才资源是公司生存和发展的关键，随着公司业务发展，对经营人才、业务人才、技术人才、运营人才及</w:t>
      </w:r>
      <w:r>
        <w:rPr>
          <w:w w:val="99"/>
        </w:rPr>
        <w:t> </w:t>
      </w:r>
      <w:r>
        <w:rPr/>
        <w:t>有丰富经验的产品研发、项目管理人才的需求日益增强，同时员工行为管理也更加复杂。公司人才队伍的数量</w:t>
      </w:r>
      <w:r>
        <w:rPr>
          <w:spacing w:val="-77"/>
        </w:rPr>
        <w:t> </w:t>
      </w:r>
      <w:r>
        <w:rPr>
          <w:spacing w:val="-77"/>
        </w:rPr>
      </w:r>
      <w:r>
        <w:rPr/>
        <w:t>及质量，是公司能否健康快速发展的重要保障因素。</w:t>
      </w:r>
    </w:p>
    <w:p>
      <w:pPr>
        <w:pStyle w:val="BodyText"/>
        <w:spacing w:line="429" w:lineRule="auto" w:before="48"/>
        <w:ind w:right="1141" w:firstLine="401"/>
        <w:jc w:val="both"/>
      </w:pPr>
      <w:r>
        <w:rPr/>
        <w:t>针对上述风险，公司将进一步完善人才保障的常态化机制，通过升级多层级合伙人经营责任制等方式加大</w:t>
      </w:r>
      <w:r>
        <w:rPr>
          <w:w w:val="99"/>
        </w:rPr>
        <w:t> </w:t>
      </w:r>
      <w:r>
        <w:rPr/>
        <w:t>人才培养和引进力度，提供畅通的晋升渠道、推行有效的绩效考核与激励机制等措施，来满足公司业务跨越式</w:t>
      </w:r>
      <w:r>
        <w:rPr>
          <w:spacing w:val="-76"/>
        </w:rPr>
        <w:t> </w:t>
      </w:r>
      <w:r>
        <w:rPr>
          <w:spacing w:val="-76"/>
        </w:rPr>
      </w:r>
      <w:r>
        <w:rPr/>
        <w:t>发展对人才的需求。</w:t>
      </w:r>
    </w:p>
    <w:p>
      <w:pPr>
        <w:pStyle w:val="BodyText"/>
        <w:spacing w:line="429" w:lineRule="auto" w:before="48"/>
        <w:ind w:left="554" w:right="1133"/>
        <w:jc w:val="left"/>
      </w:pPr>
      <w:r>
        <w:rPr>
          <w:rFonts w:ascii="宋体" w:hAnsi="宋体" w:cs="宋体" w:eastAsia="宋体" w:hint="default"/>
        </w:rPr>
        <w:t>4.</w:t>
      </w:r>
      <w:r>
        <w:rPr/>
        <w:t>政策风险</w:t>
      </w:r>
      <w:r>
        <w:rPr>
          <w:w w:val="99"/>
        </w:rPr>
        <w:t> </w:t>
      </w:r>
      <w:r>
        <w:rPr/>
        <w:t>行业政策是影响公司及行业发展的重要因素。若未来国家对相关行业政策进行调整或完善，将对行业发展</w:t>
      </w:r>
    </w:p>
    <w:p>
      <w:pPr>
        <w:pStyle w:val="BodyText"/>
        <w:spacing w:line="429" w:lineRule="auto" w:before="48"/>
        <w:ind w:left="554" w:right="1133" w:hanging="402"/>
        <w:jc w:val="left"/>
      </w:pPr>
      <w:r>
        <w:rPr/>
        <w:t>方向和竞争格局产生深刻影响，从而可能对公司业务发展的方向和速度产生一定影响。</w:t>
      </w:r>
      <w:r>
        <w:rPr>
          <w:w w:val="99"/>
        </w:rPr>
        <w:t> </w:t>
      </w:r>
      <w:r>
        <w:rPr/>
        <w:t>针对上述风险，公司在发展业务的过程中，将进一步严格按照可参考、可依据的相关法律法规及政策开展</w:t>
      </w:r>
    </w:p>
    <w:p>
      <w:pPr>
        <w:pStyle w:val="BodyText"/>
        <w:spacing w:line="240" w:lineRule="auto" w:before="48"/>
        <w:ind w:right="1133"/>
        <w:jc w:val="left"/>
      </w:pPr>
      <w:r>
        <w:rPr/>
        <w:t>业务，持续跟踪和研究相关政策及变化，防范风险。</w:t>
      </w:r>
    </w:p>
    <w:p>
      <w:pPr>
        <w:spacing w:line="240" w:lineRule="auto" w:before="0"/>
        <w:rPr>
          <w:rFonts w:ascii="宋体" w:hAnsi="宋体" w:cs="宋体" w:eastAsia="宋体" w:hint="default"/>
          <w:sz w:val="20"/>
          <w:szCs w:val="20"/>
        </w:rPr>
      </w:pPr>
    </w:p>
    <w:p>
      <w:pPr>
        <w:pStyle w:val="Heading2"/>
        <w:spacing w:line="240" w:lineRule="auto" w:before="136"/>
        <w:ind w:right="1133"/>
        <w:jc w:val="left"/>
        <w:rPr>
          <w:b w:val="0"/>
          <w:bCs w:val="0"/>
        </w:rPr>
      </w:pPr>
      <w:bookmarkStart w:name="十、接待调研、沟通、采访等活动" w:id="60"/>
      <w:bookmarkEnd w:id="60"/>
      <w:r>
        <w:rPr>
          <w:b w:val="0"/>
          <w:bCs w:val="0"/>
        </w:rPr>
      </w:r>
      <w:r>
        <w:rPr/>
        <w:t>十、接待调研、沟通、采访等活动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t>不适用</w:t>
      </w:r>
    </w:p>
    <w:p>
      <w:pPr>
        <w:spacing w:line="240" w:lineRule="auto" w:before="5"/>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详见披露在巨潮资讯网（</w:t>
            </w:r>
            <w:r>
              <w:rPr>
                <w:rFonts w:ascii="Times New Roman" w:hAnsi="Times New Roman" w:cs="Times New Roman" w:eastAsia="Times New Roman" w:hint="default"/>
                <w:sz w:val="18"/>
                <w:szCs w:val="18"/>
              </w:rPr>
              <w:t>http:// </w:t>
            </w:r>
            <w:hyperlink r:id="rId11">
              <w:r>
                <w:rPr>
                  <w:rFonts w:ascii="Times New Roman" w:hAnsi="Times New Roman" w:cs="Times New Roman" w:eastAsia="Times New Roman" w:hint="default"/>
                  <w:spacing w:val="-1"/>
                  <w:sz w:val="18"/>
                  <w:szCs w:val="18"/>
                </w:rPr>
                <w:t>www.cninfo.com.cn</w:t>
              </w:r>
            </w:hyperlink>
            <w:r>
              <w:rPr>
                <w:rFonts w:ascii="宋体" w:hAnsi="宋体" w:cs="宋体" w:eastAsia="宋体" w:hint="default"/>
                <w:spacing w:val="-1"/>
                <w:sz w:val="18"/>
                <w:szCs w:val="18"/>
              </w:rPr>
              <w:t>）上的投资者关系</w:t>
            </w:r>
            <w:r>
              <w:rPr>
                <w:rFonts w:ascii="宋体" w:hAnsi="宋体" w:cs="宋体" w:eastAsia="宋体" w:hint="default"/>
                <w:spacing w:val="-84"/>
                <w:sz w:val="18"/>
                <w:szCs w:val="18"/>
              </w:rPr>
              <w:t> </w:t>
            </w:r>
            <w:r>
              <w:rPr>
                <w:rFonts w:ascii="宋体" w:hAnsi="宋体" w:cs="宋体" w:eastAsia="宋体" w:hint="default"/>
                <w:sz w:val="18"/>
                <w:szCs w:val="18"/>
              </w:rPr>
              <w:t>活动记录表</w:t>
            </w:r>
          </w:p>
        </w:tc>
      </w:tr>
    </w:tbl>
    <w:p>
      <w:pPr>
        <w:spacing w:after="0" w:line="30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976"/>
        <w:jc w:val="center"/>
        <w:rPr>
          <w:b w:val="0"/>
          <w:bCs w:val="0"/>
        </w:rPr>
      </w:pPr>
      <w:bookmarkStart w:name="_TOC_250008" w:id="62"/>
      <w:bookmarkStart w:name="第五节 重要事项" w:id="63"/>
      <w:r>
        <w:rPr>
          <w:b w:val="0"/>
          <w:bCs w:val="0"/>
        </w:rPr>
      </w:r>
      <w:r>
        <w:rPr/>
        <w:t>第五节</w:t>
      </w:r>
      <w:r>
        <w:rPr>
          <w:spacing w:val="-2"/>
        </w:rPr>
        <w:t> </w:t>
      </w:r>
      <w:r>
        <w:rPr/>
        <w:t>重要事项</w:t>
      </w:r>
      <w:bookmarkEnd w:id="62"/>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both"/>
      </w:pPr>
      <w:r>
        <w:rPr/>
        <w:t>报告期内普通股利润分配政策，特别是现金分红政策的制定、执行或调整情况</w:t>
      </w:r>
    </w:p>
    <w:p>
      <w:pPr>
        <w:pStyle w:val="BodyText"/>
        <w:spacing w:line="372" w:lineRule="auto" w:before="91"/>
        <w:ind w:left="554" w:right="1133" w:hanging="4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w:t>
      </w:r>
      <w:r>
        <w:rPr>
          <w:w w:val="99"/>
        </w:rPr>
        <w:t> </w:t>
      </w:r>
      <w:r>
        <w:rPr>
          <w:spacing w:val="-1"/>
          <w:w w:val="95"/>
        </w:rPr>
        <w:t>公司</w:t>
      </w:r>
      <w:r>
        <w:rPr>
          <w:rFonts w:ascii="Times New Roman" w:hAnsi="Times New Roman" w:cs="Times New Roman" w:eastAsia="Times New Roman" w:hint="default"/>
          <w:spacing w:val="-1"/>
          <w:w w:val="95"/>
        </w:rPr>
        <w:t>2019</w:t>
      </w:r>
      <w:r>
        <w:rPr>
          <w:spacing w:val="-1"/>
          <w:w w:val="95"/>
        </w:rPr>
        <w:t>年</w:t>
      </w:r>
      <w:r>
        <w:rPr>
          <w:rFonts w:ascii="Times New Roman" w:hAnsi="Times New Roman" w:cs="Times New Roman" w:eastAsia="Times New Roman" w:hint="default"/>
          <w:spacing w:val="-1"/>
          <w:w w:val="95"/>
        </w:rPr>
        <w:t>4</w:t>
      </w:r>
      <w:r>
        <w:rPr>
          <w:spacing w:val="-1"/>
          <w:w w:val="95"/>
        </w:rPr>
        <w:t>月</w:t>
      </w:r>
      <w:r>
        <w:rPr>
          <w:rFonts w:ascii="Times New Roman" w:hAnsi="Times New Roman" w:cs="Times New Roman" w:eastAsia="Times New Roman" w:hint="default"/>
          <w:spacing w:val="-1"/>
          <w:w w:val="95"/>
        </w:rPr>
        <w:t>17</w:t>
      </w:r>
      <w:r>
        <w:rPr>
          <w:spacing w:val="-1"/>
          <w:w w:val="95"/>
        </w:rPr>
        <w:t>日第四届董事会第二十一次会议审议通过了</w:t>
      </w:r>
      <w:r>
        <w:rPr>
          <w:rFonts w:ascii="Times New Roman" w:hAnsi="Times New Roman" w:cs="Times New Roman" w:eastAsia="Times New Roman" w:hint="default"/>
          <w:spacing w:val="-1"/>
          <w:w w:val="95"/>
        </w:rPr>
        <w:t>2018</w:t>
      </w:r>
      <w:r>
        <w:rPr>
          <w:spacing w:val="-1"/>
          <w:w w:val="95"/>
        </w:rPr>
        <w:t>年度利润分配方案，公司</w:t>
      </w:r>
      <w:r>
        <w:rPr>
          <w:rFonts w:ascii="Times New Roman" w:hAnsi="Times New Roman" w:cs="Times New Roman" w:eastAsia="Times New Roman" w:hint="default"/>
          <w:spacing w:val="-1"/>
          <w:w w:val="95"/>
        </w:rPr>
        <w:t>2018</w:t>
      </w:r>
      <w:r>
        <w:rPr>
          <w:spacing w:val="-1"/>
          <w:w w:val="95"/>
        </w:rPr>
        <w:t>年度利润分</w:t>
      </w:r>
      <w:r>
        <w:rPr>
          <w:spacing w:val="-1"/>
        </w:rPr>
      </w:r>
    </w:p>
    <w:p>
      <w:pPr>
        <w:pStyle w:val="BodyText"/>
        <w:spacing w:line="405" w:lineRule="auto" w:before="69"/>
        <w:ind w:right="1132"/>
        <w:jc w:val="both"/>
      </w:pPr>
      <w:r>
        <w:rPr/>
        <w:t>配方案为以公司总股本</w:t>
      </w:r>
      <w:r>
        <w:rPr>
          <w:rFonts w:ascii="Times New Roman" w:hAnsi="Times New Roman" w:cs="Times New Roman" w:eastAsia="Times New Roman" w:hint="default"/>
        </w:rPr>
        <w:t>337,576,686</w:t>
      </w:r>
      <w:r>
        <w:rPr/>
        <w:t>股为基数，向全体股东按每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0.05</w:t>
      </w:r>
      <w:r>
        <w:rPr/>
        <w:t>元（含税），共计派发现</w:t>
      </w:r>
      <w:r>
        <w:rPr>
          <w:spacing w:val="-28"/>
        </w:rPr>
        <w:t> </w:t>
      </w:r>
      <w:r>
        <w:rPr>
          <w:spacing w:val="-28"/>
        </w:rPr>
      </w:r>
      <w:r>
        <w:rPr/>
        <w:t>金股利</w:t>
      </w:r>
      <w:r>
        <w:rPr>
          <w:rFonts w:ascii="Times New Roman" w:hAnsi="Times New Roman" w:cs="Times New Roman" w:eastAsia="Times New Roman" w:hint="default"/>
        </w:rPr>
        <w:t>1,687,883.43</w:t>
      </w:r>
      <w:r>
        <w:rPr/>
        <w:t>元。公司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w:t>
      </w:r>
      <w:r>
        <w:rPr>
          <w:rFonts w:ascii="Times New Roman" w:hAnsi="Times New Roman" w:cs="Times New Roman" w:eastAsia="Times New Roman" w:hint="default"/>
        </w:rPr>
        <w:t>2018</w:t>
      </w:r>
      <w:r>
        <w:rPr/>
        <w:t>年年度股东大会审议通过了</w:t>
      </w:r>
      <w:r>
        <w:rPr>
          <w:rFonts w:ascii="Times New Roman" w:hAnsi="Times New Roman" w:cs="Times New Roman" w:eastAsia="Times New Roman" w:hint="default"/>
        </w:rPr>
        <w:t>2018</w:t>
      </w:r>
      <w:r>
        <w:rPr/>
        <w:t>年度利润分配方案，上述现金</w:t>
      </w:r>
      <w:r>
        <w:rPr>
          <w:spacing w:val="-32"/>
        </w:rPr>
        <w:t> </w:t>
      </w:r>
      <w:r>
        <w:rPr>
          <w:spacing w:val="-32"/>
        </w:rPr>
      </w:r>
      <w:r>
        <w:rPr/>
        <w:t>股利已于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8</w:t>
      </w:r>
      <w:r>
        <w:rPr/>
        <w:t>日派发至股东账户。</w:t>
      </w:r>
    </w:p>
    <w:p>
      <w:pPr>
        <w:pStyle w:val="BodyText"/>
        <w:spacing w:line="429" w:lineRule="auto" w:before="38"/>
        <w:ind w:right="1141" w:firstLine="401"/>
        <w:jc w:val="both"/>
      </w:pPr>
      <w:r>
        <w:rPr/>
        <w:t>公司在《公司章程》中规定了明确的利润分配政策，公司的利润分配政策保持连续性和稳定性，同时兼顾</w:t>
      </w:r>
      <w:r>
        <w:rPr>
          <w:w w:val="99"/>
        </w:rPr>
        <w:t> </w:t>
      </w:r>
      <w:r>
        <w:rPr/>
        <w:t>公司的长远利益、全体股东的整体利益及公司的可持续发展。</w:t>
      </w:r>
    </w:p>
    <w:p>
      <w:pPr>
        <w:pStyle w:val="BodyText"/>
        <w:spacing w:line="429" w:lineRule="auto" w:before="48"/>
        <w:ind w:right="1141" w:firstLine="401"/>
        <w:jc w:val="both"/>
      </w:pPr>
      <w:r>
        <w:rPr/>
        <w:t>报告期内，公司结合经营发展情况，严格按照《公司章程》的规定制定了利润分配方案，充分考虑和听取</w:t>
      </w:r>
      <w:r>
        <w:rPr>
          <w:w w:val="99"/>
        </w:rPr>
        <w:t> </w:t>
      </w:r>
      <w:r>
        <w:rPr/>
        <w:t>股东（特别是中小股东）、独立董事、监事会的意见，坚持优先采用现金分红的原则。决策过程中独立董事尽</w:t>
      </w:r>
      <w:r>
        <w:rPr>
          <w:spacing w:val="-77"/>
        </w:rPr>
        <w:t> </w:t>
      </w:r>
      <w:r>
        <w:rPr>
          <w:spacing w:val="-77"/>
        </w:rPr>
      </w:r>
      <w:r>
        <w:rPr/>
        <w:t>职尽责履行了相关职责，审议程序合法合规，利润分配政策的执行符合《公司章程》规定。</w:t>
      </w:r>
    </w:p>
    <w:p>
      <w:pPr>
        <w:pStyle w:val="BodyText"/>
        <w:spacing w:line="429" w:lineRule="auto" w:before="48"/>
        <w:ind w:right="1136" w:firstLine="401"/>
        <w:jc w:val="both"/>
      </w:pPr>
      <w:r>
        <w:rPr/>
        <w:pict>
          <v:shape style="position:absolute;margin-left:57pt;margin-top:92.519669pt;width:478.7pt;height:172.4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61"/>
                    <w:gridCol w:w="4797"/>
                  </w:tblGrid>
                  <w:tr>
                    <w:trPr>
                      <w:trHeight w:val="397"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报告期内，公司现金分红政策未进行调整或变更。</w:t>
                        </w:r>
                      </w:p>
                    </w:tc>
                  </w:tr>
                </w:tbl>
                <w:p>
                  <w:pPr/>
                </w:p>
              </w:txbxContent>
            </v:textbox>
            <w10:wrap type="none"/>
          </v:shape>
        </w:pict>
      </w:r>
      <w:r>
        <w:rPr/>
        <w:t>报告期内，公司严格执行利润分配政策，利润分配政策未作调整或变更，公司利润分配政策的制定及执行</w:t>
      </w:r>
      <w:r>
        <w:rPr>
          <w:w w:val="99"/>
        </w:rPr>
        <w:t> </w:t>
      </w:r>
      <w:r>
        <w:rPr/>
        <w:t>情况，符合《公司章程》的规定和股东大会决议的要求。公司的利润分配方案均由独立董事发表独立意见，监</w:t>
      </w:r>
      <w:r>
        <w:rPr>
          <w:spacing w:val="-77"/>
        </w:rPr>
        <w:t> </w:t>
      </w:r>
      <w:r>
        <w:rPr>
          <w:spacing w:val="-77"/>
        </w:rPr>
      </w:r>
      <w:r>
        <w:rPr/>
        <w:t>事会审核，股东大会审议，并提供了网络投票的方式，对中小股东的投票情况进行单独统计，中小投资者的合</w:t>
      </w:r>
      <w:r>
        <w:rPr>
          <w:spacing w:val="-72"/>
        </w:rPr>
        <w:t> </w:t>
      </w:r>
      <w:r>
        <w:rPr>
          <w:spacing w:val="-72"/>
        </w:rPr>
      </w:r>
      <w:r>
        <w:rPr/>
        <w:t>法权益得到了充分保护。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372" w:lineRule="auto" w:before="37"/>
        <w:ind w:left="554" w:right="1133" w:hanging="402"/>
        <w:jc w:val="left"/>
      </w:pPr>
      <w:r>
        <w:rPr>
          <w:w w:val="99"/>
        </w:rPr>
        <w:t>公司近</w:t>
      </w:r>
      <w:r>
        <w:rPr>
          <w:spacing w:val="-50"/>
          <w:w w:val="99"/>
        </w:rPr>
        <w:t> </w:t>
      </w:r>
      <w:r>
        <w:rPr>
          <w:rFonts w:ascii="Times New Roman" w:hAnsi="Times New Roman" w:cs="Times New Roman" w:eastAsia="Times New Roman" w:hint="default"/>
          <w:w w:val="99"/>
        </w:rPr>
        <w:t>3</w:t>
      </w:r>
      <w:r>
        <w:rPr>
          <w:rFonts w:ascii="Times New Roman" w:hAnsi="Times New Roman" w:cs="Times New Roman" w:eastAsia="Times New Roman" w:hint="default"/>
          <w:spacing w:val="1"/>
          <w:w w:val="99"/>
        </w:rPr>
        <w:t> </w:t>
      </w:r>
      <w:r>
        <w:rPr>
          <w:spacing w:val="-2"/>
          <w:w w:val="99"/>
        </w:rPr>
        <w:t>年（包括本报告期）的普通股股利分配方案（预案）、资本公积金转增股本方案（预案）情况</w:t>
      </w:r>
      <w:r>
        <w:rPr>
          <w:spacing w:val="-92"/>
          <w:w w:val="99"/>
        </w:rPr>
        <w:t> </w:t>
      </w:r>
      <w:r>
        <w:rPr>
          <w:spacing w:val="-92"/>
          <w:w w:val="99"/>
        </w:rPr>
      </w:r>
      <w:r>
        <w:rPr/>
        <w:t>公司</w:t>
      </w:r>
      <w:r>
        <w:rPr>
          <w:rFonts w:ascii="宋体" w:hAnsi="宋体" w:cs="宋体" w:eastAsia="宋体" w:hint="default"/>
        </w:rPr>
        <w:t>2017</w:t>
      </w:r>
      <w:r>
        <w:rPr/>
        <w:t>年度利润分配方案：</w:t>
      </w:r>
      <w:r>
        <w:rPr>
          <w:rFonts w:ascii="宋体" w:hAnsi="宋体" w:cs="宋体" w:eastAsia="宋体" w:hint="default"/>
        </w:rPr>
        <w:t>2017</w:t>
      </w:r>
      <w:r>
        <w:rPr/>
        <w:t>年度不派发现金红利，不送红股，不以资本公积转增股本。</w:t>
      </w:r>
    </w:p>
    <w:p>
      <w:pPr>
        <w:pStyle w:val="BodyText"/>
        <w:spacing w:line="429" w:lineRule="auto" w:before="96"/>
        <w:ind w:right="1133" w:firstLine="401"/>
        <w:jc w:val="left"/>
      </w:pPr>
      <w:r>
        <w:rPr>
          <w:spacing w:val="-1"/>
          <w:w w:val="95"/>
        </w:rPr>
        <w:t>公司</w:t>
      </w:r>
      <w:r>
        <w:rPr>
          <w:rFonts w:ascii="宋体" w:hAnsi="宋体" w:cs="宋体" w:eastAsia="宋体" w:hint="default"/>
          <w:spacing w:val="-1"/>
          <w:w w:val="95"/>
        </w:rPr>
        <w:t>2018</w:t>
      </w:r>
      <w:r>
        <w:rPr>
          <w:spacing w:val="-1"/>
          <w:w w:val="95"/>
        </w:rPr>
        <w:t>年度利润分配方案：以公司总股本</w:t>
      </w:r>
      <w:r>
        <w:rPr>
          <w:rFonts w:ascii="宋体" w:hAnsi="宋体" w:cs="宋体" w:eastAsia="宋体" w:hint="default"/>
          <w:spacing w:val="-1"/>
          <w:w w:val="95"/>
        </w:rPr>
        <w:t>337,576,686</w:t>
      </w:r>
      <w:r>
        <w:rPr>
          <w:spacing w:val="-1"/>
          <w:w w:val="95"/>
        </w:rPr>
        <w:t>股为基数，向全体股东按每</w:t>
      </w:r>
      <w:r>
        <w:rPr>
          <w:rFonts w:ascii="宋体" w:hAnsi="宋体" w:cs="宋体" w:eastAsia="宋体" w:hint="default"/>
          <w:spacing w:val="-1"/>
          <w:w w:val="95"/>
        </w:rPr>
        <w:t>10</w:t>
      </w:r>
      <w:r>
        <w:rPr>
          <w:spacing w:val="-1"/>
          <w:w w:val="95"/>
        </w:rPr>
        <w:t>股派发现金红利</w:t>
      </w:r>
      <w:r>
        <w:rPr>
          <w:rFonts w:ascii="宋体" w:hAnsi="宋体" w:cs="宋体" w:eastAsia="宋体" w:hint="default"/>
          <w:spacing w:val="-1"/>
          <w:w w:val="95"/>
        </w:rPr>
        <w:t>0.05</w:t>
      </w:r>
      <w:r>
        <w:rPr>
          <w:rFonts w:ascii="宋体" w:hAnsi="宋体" w:cs="宋体" w:eastAsia="宋体" w:hint="default"/>
          <w:spacing w:val="-45"/>
          <w:w w:val="95"/>
        </w:rPr>
        <w:t> </w:t>
      </w:r>
      <w:r>
        <w:rPr/>
        <w:t>元（含税），共计派发现金股利</w:t>
      </w:r>
      <w:r>
        <w:rPr>
          <w:rFonts w:ascii="宋体" w:hAnsi="宋体" w:cs="宋体" w:eastAsia="宋体" w:hint="default"/>
        </w:rPr>
        <w:t>1,687,883.43</w:t>
      </w:r>
      <w:r>
        <w:rPr/>
        <w:t>元。</w:t>
      </w:r>
    </w:p>
    <w:p>
      <w:pPr>
        <w:spacing w:after="0" w:line="429"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554" w:right="1133"/>
        <w:jc w:val="left"/>
      </w:pPr>
      <w:r>
        <w:rPr/>
        <w:t>公司</w:t>
      </w:r>
      <w:r>
        <w:rPr>
          <w:rFonts w:ascii="宋体" w:hAnsi="宋体" w:cs="宋体" w:eastAsia="宋体" w:hint="default"/>
        </w:rPr>
        <w:t>2019</w:t>
      </w:r>
      <w:r>
        <w:rPr/>
        <w:t>年度利润分配方案：</w:t>
      </w:r>
      <w:r>
        <w:rPr>
          <w:rFonts w:ascii="宋体" w:hAnsi="宋体" w:cs="宋体" w:eastAsia="宋体" w:hint="default"/>
        </w:rPr>
        <w:t>2019</w:t>
      </w:r>
      <w:r>
        <w:rPr/>
        <w:t>年度不派发现金红利，不送红股，不以资本公积转增股本。</w:t>
      </w:r>
    </w:p>
    <w:p>
      <w:pPr>
        <w:spacing w:line="240" w:lineRule="auto" w:before="13"/>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45" w:footer="980" w:top="1060" w:bottom="1160" w:left="980" w:right="0"/>
        </w:sectPr>
      </w:pPr>
    </w:p>
    <w:p>
      <w:pPr>
        <w:pStyle w:val="BodyText"/>
        <w:spacing w:line="240" w:lineRule="auto" w:before="37"/>
        <w:ind w:right="0"/>
        <w:jc w:val="left"/>
      </w:pPr>
      <w:r>
        <w:rPr>
          <w:w w:val="95"/>
        </w:rPr>
        <w:t>公司近三年（包括本报告期）普通股现金分红情况表</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750" w:space="4170"/>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8"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0" w:hanging="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5"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12" w:right="140"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391"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9" w:space="0" w:color="D2D2D2"/>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-281,841,963.9</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4</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0.00%</w:t>
            </w:r>
          </w:p>
        </w:tc>
        <w:tc>
          <w:tcPr>
            <w:tcW w:w="1198"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1" w:hRule="exact"/>
        </w:trPr>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07" w:right="0"/>
              <w:jc w:val="left"/>
              <w:rPr>
                <w:rFonts w:ascii="Times New Roman" w:hAnsi="Times New Roman" w:cs="Times New Roman" w:eastAsia="Times New Roman" w:hint="default"/>
                <w:sz w:val="18"/>
                <w:szCs w:val="18"/>
              </w:rPr>
            </w:pPr>
            <w:r>
              <w:rPr>
                <w:rFonts w:ascii="Times New Roman"/>
                <w:sz w:val="18"/>
              </w:rPr>
              <w:t>1,687,883.43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8,209,514.73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9" w:right="0"/>
              <w:jc w:val="left"/>
              <w:rPr>
                <w:rFonts w:ascii="Times New Roman" w:hAnsi="Times New Roman" w:cs="Times New Roman" w:eastAsia="Times New Roman" w:hint="default"/>
                <w:sz w:val="18"/>
                <w:szCs w:val="18"/>
              </w:rPr>
            </w:pPr>
            <w:r>
              <w:rPr>
                <w:rFonts w:ascii="Times New Roman"/>
                <w:sz w:val="18"/>
              </w:rPr>
              <w:t>20.56%</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1,687,883.43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9" w:right="0"/>
              <w:jc w:val="left"/>
              <w:rPr>
                <w:rFonts w:ascii="Times New Roman" w:hAnsi="Times New Roman" w:cs="Times New Roman" w:eastAsia="Times New Roman" w:hint="default"/>
                <w:sz w:val="18"/>
                <w:szCs w:val="18"/>
              </w:rPr>
            </w:pPr>
            <w:r>
              <w:rPr>
                <w:rFonts w:ascii="Times New Roman"/>
                <w:sz w:val="18"/>
              </w:rPr>
              <w:t>20.56%</w:t>
            </w:r>
          </w:p>
        </w:tc>
      </w:tr>
      <w:tr>
        <w:trPr>
          <w:trHeight w:val="163" w:hRule="exact"/>
        </w:trPr>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-236,661,197.9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0.00%</w:t>
            </w:r>
          </w:p>
        </w:tc>
        <w:tc>
          <w:tcPr>
            <w:tcW w:w="1198"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1" w:hRule="exact"/>
        </w:trPr>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bl>
    <w:p>
      <w:pPr>
        <w:pStyle w:val="BodyText"/>
        <w:spacing w:line="240" w:lineRule="auto" w:before="33"/>
        <w:ind w:right="1133"/>
        <w:jc w:val="left"/>
      </w:pPr>
      <w:r>
        <w:rPr/>
        <w:t>公司报告期内盈利且母公司可供普通股股东分配利润为正但未提出普通股现金红利分配预案</w:t>
      </w:r>
    </w:p>
    <w:p>
      <w:pPr>
        <w:pStyle w:val="BodyText"/>
        <w:spacing w:line="240" w:lineRule="auto" w:before="88"/>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4"/>
        <w:rPr>
          <w:rFonts w:ascii="宋体" w:hAnsi="宋体" w:cs="宋体" w:eastAsia="宋体" w:hint="default"/>
          <w:sz w:val="23"/>
          <w:szCs w:val="23"/>
        </w:rPr>
      </w:pPr>
    </w:p>
    <w:p>
      <w:pPr>
        <w:pStyle w:val="Heading2"/>
        <w:spacing w:line="240" w:lineRule="auto"/>
        <w:ind w:right="1133"/>
        <w:jc w:val="left"/>
        <w:rPr>
          <w:b w:val="0"/>
          <w:bCs w:val="0"/>
        </w:rPr>
      </w:pPr>
      <w:bookmarkStart w:name="二、本报告期利润分配及资本公积金转增股本情况" w:id="65"/>
      <w:bookmarkEnd w:id="65"/>
      <w:r>
        <w:rPr>
          <w:b w:val="0"/>
          <w:bCs w:val="0"/>
        </w:rPr>
      </w:r>
      <w:r>
        <w:rPr/>
        <w:t>二、本报告期利润分配及资本公积金转增股本情况</w:t>
      </w:r>
      <w:r>
        <w:rPr>
          <w:b w:val="0"/>
          <w:bCs w:val="0"/>
        </w:rPr>
      </w:r>
    </w:p>
    <w:p>
      <w:pPr>
        <w:spacing w:line="240" w:lineRule="auto" w:before="3"/>
        <w:rPr>
          <w:rFonts w:ascii="宋体" w:hAnsi="宋体" w:cs="宋体" w:eastAsia="宋体" w:hint="default"/>
          <w:b/>
          <w:bCs/>
          <w:sz w:val="25"/>
          <w:szCs w:val="25"/>
        </w:rPr>
      </w:pPr>
    </w:p>
    <w:p>
      <w:pPr>
        <w:pStyle w:val="BodyText"/>
        <w:spacing w:line="307" w:lineRule="auto"/>
        <w:ind w:right="49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t>公司计划年度不派发现金红利，不送红股，不以公积金转增股本。</w:t>
      </w:r>
    </w:p>
    <w:p>
      <w:pPr>
        <w:spacing w:line="240" w:lineRule="auto" w:before="0"/>
        <w:rPr>
          <w:rFonts w:ascii="宋体" w:hAnsi="宋体" w:cs="宋体" w:eastAsia="宋体" w:hint="default"/>
          <w:sz w:val="20"/>
          <w:szCs w:val="20"/>
        </w:rPr>
      </w:pPr>
    </w:p>
    <w:p>
      <w:pPr>
        <w:pStyle w:val="Heading2"/>
        <w:spacing w:line="240" w:lineRule="auto"/>
        <w:ind w:right="1133"/>
        <w:jc w:val="left"/>
        <w:rPr>
          <w:b w:val="0"/>
          <w:bCs w:val="0"/>
        </w:rPr>
      </w:pPr>
      <w:bookmarkStart w:name="三、承诺事项履行情况" w:id="66"/>
      <w:bookmarkEnd w:id="66"/>
      <w:r>
        <w:rPr>
          <w:b w:val="0"/>
          <w:bCs w:val="0"/>
        </w:rPr>
      </w:r>
      <w:r>
        <w:rPr/>
        <w:t>三、承诺事项履行情况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9" w:lineRule="auto"/>
        <w:ind w:right="1133"/>
        <w:jc w:val="left"/>
        <w:rPr>
          <w:b w:val="0"/>
          <w:bCs w:val="0"/>
        </w:rPr>
      </w:pPr>
      <w:bookmarkStart w:name="1、公司实际控制人、股东、关联方、收购人以及公司等承诺相关方在报告期内履行完毕及" w:id="67"/>
      <w:bookmarkEnd w:id="67"/>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11"/>
        <w:rPr>
          <w:rFonts w:ascii="宋体" w:hAnsi="宋体" w:cs="宋体" w:eastAsia="宋体" w:hint="default"/>
          <w:b/>
          <w:bCs/>
          <w:sz w:val="24"/>
          <w:szCs w:val="24"/>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t>不适用</w:t>
      </w:r>
    </w:p>
    <w:p>
      <w:pPr>
        <w:spacing w:line="240" w:lineRule="auto" w:before="5"/>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800"/>
        <w:gridCol w:w="1441"/>
        <w:gridCol w:w="900"/>
        <w:gridCol w:w="3420"/>
        <w:gridCol w:w="901"/>
        <w:gridCol w:w="540"/>
        <w:gridCol w:w="566"/>
      </w:tblGrid>
      <w:tr>
        <w:trPr>
          <w:trHeight w:val="161" w:hRule="exact"/>
        </w:trPr>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41" w:type="dxa"/>
            <w:tcBorders>
              <w:top w:val="single" w:sz="4" w:space="0" w:color="000000"/>
              <w:left w:val="single" w:sz="4" w:space="0" w:color="000000"/>
              <w:bottom w:val="nil" w:sz="6" w:space="0" w:color="auto"/>
              <w:right w:val="single" w:sz="4" w:space="0" w:color="000000"/>
            </w:tcBorders>
            <w:shd w:val="clear" w:color="auto" w:fill="D2D2D2"/>
          </w:tcPr>
          <w:p>
            <w:pPr/>
          </w:p>
        </w:tc>
        <w:tc>
          <w:tcPr>
            <w:tcW w:w="9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420" w:type="dxa"/>
            <w:tcBorders>
              <w:top w:val="single" w:sz="4" w:space="0" w:color="000000"/>
              <w:left w:val="single" w:sz="4" w:space="0" w:color="000000"/>
              <w:bottom w:val="nil" w:sz="6" w:space="0" w:color="auto"/>
              <w:right w:val="single" w:sz="4" w:space="0" w:color="000000"/>
            </w:tcBorders>
            <w:shd w:val="clear" w:color="auto" w:fill="D2D2D2"/>
          </w:tcPr>
          <w:p>
            <w:pPr/>
          </w:p>
        </w:tc>
        <w:tc>
          <w:tcPr>
            <w:tcW w:w="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6" w:right="83"/>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391" w:hRule="exact"/>
        </w:trPr>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35"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4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4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540"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r>
      <w:tr>
        <w:trPr>
          <w:trHeight w:val="161" w:hRule="exact"/>
        </w:trPr>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41" w:type="dxa"/>
            <w:tcBorders>
              <w:top w:val="nil" w:sz="6" w:space="0" w:color="auto"/>
              <w:left w:val="single" w:sz="4" w:space="0" w:color="000000"/>
              <w:bottom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single" w:sz="4" w:space="0" w:color="000000"/>
              <w:right w:val="single" w:sz="4" w:space="0" w:color="000000"/>
            </w:tcBorders>
            <w:shd w:val="clear" w:color="auto" w:fill="D2D2D2"/>
          </w:tcPr>
          <w:p>
            <w:pPr/>
          </w:p>
        </w:tc>
        <w:tc>
          <w:tcPr>
            <w:tcW w:w="3420" w:type="dxa"/>
            <w:tcBorders>
              <w:top w:val="nil" w:sz="6" w:space="0" w:color="auto"/>
              <w:left w:val="single" w:sz="4" w:space="0" w:color="000000"/>
              <w:bottom w:val="single" w:sz="4" w:space="0" w:color="000000"/>
              <w:right w:val="single" w:sz="4" w:space="0" w:color="000000"/>
            </w:tcBorders>
            <w:shd w:val="clear" w:color="auto" w:fill="D2D2D2"/>
          </w:tcPr>
          <w:p>
            <w:pPr/>
          </w:p>
        </w:tc>
        <w:tc>
          <w:tcPr>
            <w:tcW w:w="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0"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441" w:type="dxa"/>
            <w:tcBorders>
              <w:top w:val="single" w:sz="4" w:space="0" w:color="000000"/>
              <w:left w:val="single" w:sz="9" w:space="0" w:color="D2D2D2"/>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441" w:type="dxa"/>
            <w:tcBorders>
              <w:top w:val="single" w:sz="4" w:space="0" w:color="000000"/>
              <w:left w:val="single" w:sz="9" w:space="0" w:color="D2D2D2"/>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922" w:hRule="exact"/>
        </w:trPr>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41"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07" w:lineRule="auto"/>
              <w:ind w:left="17" w:right="43"/>
              <w:jc w:val="left"/>
              <w:rPr>
                <w:rFonts w:ascii="宋体" w:hAnsi="宋体" w:cs="宋体" w:eastAsia="宋体" w:hint="default"/>
                <w:sz w:val="18"/>
                <w:szCs w:val="18"/>
              </w:rPr>
            </w:pPr>
            <w:r>
              <w:rPr>
                <w:rFonts w:ascii="宋体" w:hAnsi="宋体" w:cs="宋体" w:eastAsia="宋体" w:hint="default"/>
                <w:sz w:val="18"/>
                <w:szCs w:val="18"/>
              </w:rPr>
              <w:t>刘开同</w:t>
            </w:r>
            <w:r>
              <w:rPr>
                <w:rFonts w:ascii="Times New Roman" w:hAnsi="Times New Roman" w:cs="Times New Roman" w:eastAsia="Times New Roman" w:hint="default"/>
                <w:sz w:val="18"/>
                <w:szCs w:val="18"/>
              </w:rPr>
              <w:t>;</w:t>
            </w:r>
            <w:r>
              <w:rPr>
                <w:rFonts w:ascii="宋体" w:hAnsi="宋体" w:cs="宋体" w:eastAsia="宋体" w:hint="default"/>
                <w:sz w:val="18"/>
                <w:szCs w:val="18"/>
              </w:rPr>
              <w:t>董书倩</w:t>
            </w:r>
            <w:r>
              <w:rPr>
                <w:rFonts w:ascii="Times New Roman" w:hAnsi="Times New Roman" w:cs="Times New Roman" w:eastAsia="Times New Roman" w:hint="default"/>
                <w:sz w:val="18"/>
                <w:szCs w:val="18"/>
              </w:rPr>
              <w:t>;</w:t>
            </w:r>
            <w:r>
              <w:rPr>
                <w:rFonts w:ascii="宋体" w:hAnsi="宋体" w:cs="宋体" w:eastAsia="宋体" w:hint="default"/>
                <w:sz w:val="18"/>
                <w:szCs w:val="18"/>
              </w:rPr>
              <w:t>刘 运龙</w:t>
            </w:r>
            <w:r>
              <w:rPr>
                <w:rFonts w:ascii="Times New Roman" w:hAnsi="Times New Roman" w:cs="Times New Roman" w:eastAsia="Times New Roman" w:hint="default"/>
                <w:sz w:val="18"/>
                <w:szCs w:val="18"/>
              </w:rPr>
              <w:t>;</w:t>
            </w:r>
            <w:r>
              <w:rPr>
                <w:rFonts w:ascii="宋体" w:hAnsi="宋体" w:cs="宋体" w:eastAsia="宋体" w:hint="default"/>
                <w:sz w:val="18"/>
                <w:szCs w:val="18"/>
              </w:rPr>
              <w:t>天津滨河数 据信息技术有限 公司</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23" w:right="144"/>
              <w:jc w:val="both"/>
              <w:rPr>
                <w:rFonts w:ascii="宋体" w:hAnsi="宋体" w:cs="宋体" w:eastAsia="宋体" w:hint="default"/>
                <w:sz w:val="18"/>
                <w:szCs w:val="18"/>
              </w:rPr>
            </w:pPr>
            <w:r>
              <w:rPr>
                <w:rFonts w:ascii="宋体" w:hAnsi="宋体" w:cs="宋体" w:eastAsia="宋体" w:hint="default"/>
                <w:sz w:val="18"/>
                <w:szCs w:val="18"/>
              </w:rPr>
              <w:t>关于保持 上市公司 独立性的 承诺函</w:t>
            </w:r>
          </w:p>
        </w:tc>
        <w:tc>
          <w:tcPr>
            <w:tcW w:w="3420" w:type="dxa"/>
            <w:vMerge w:val="restart"/>
            <w:tcBorders>
              <w:top w:val="single" w:sz="4" w:space="0" w:color="000000"/>
              <w:left w:val="single" w:sz="4" w:space="0" w:color="000000"/>
              <w:right w:val="single" w:sz="4" w:space="0" w:color="000000"/>
            </w:tcBorders>
          </w:tcPr>
          <w:p>
            <w:pPr>
              <w:pStyle w:val="TableParagraph"/>
              <w:spacing w:line="312"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交易对方关于保持中科金财和滨河创新独 立性，出具如下承诺：一、保证中科金财、 滨河创新的人员独立：</w:t>
            </w:r>
            <w:r>
              <w:rPr>
                <w:rFonts w:ascii="Times New Roman" w:hAnsi="Times New Roman" w:cs="Times New Roman" w:eastAsia="Times New Roman" w:hint="default"/>
                <w:sz w:val="18"/>
                <w:szCs w:val="18"/>
              </w:rPr>
              <w:t>1</w:t>
            </w:r>
            <w:r>
              <w:rPr>
                <w:rFonts w:ascii="宋体" w:hAnsi="宋体" w:cs="宋体" w:eastAsia="宋体" w:hint="default"/>
                <w:sz w:val="18"/>
                <w:szCs w:val="18"/>
              </w:rPr>
              <w:t>．保证本次交易完 </w:t>
            </w:r>
            <w:r>
              <w:rPr>
                <w:rFonts w:ascii="宋体" w:hAnsi="宋体" w:cs="宋体" w:eastAsia="宋体" w:hint="default"/>
                <w:spacing w:val="-4"/>
                <w:sz w:val="18"/>
                <w:szCs w:val="18"/>
              </w:rPr>
              <w:t>成后中科金财、滨河创新的劳动、人事及薪</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酬管理与本人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 其他公司或者其他经济组织等关联方之间 完全独立。</w:t>
            </w:r>
            <w:r>
              <w:rPr>
                <w:rFonts w:ascii="Times New Roman" w:hAnsi="Times New Roman" w:cs="Times New Roman" w:eastAsia="Times New Roman" w:hint="default"/>
                <w:sz w:val="18"/>
                <w:szCs w:val="18"/>
              </w:rPr>
              <w:t>2</w:t>
            </w:r>
            <w:r>
              <w:rPr>
                <w:rFonts w:ascii="宋体" w:hAnsi="宋体" w:cs="宋体" w:eastAsia="宋体" w:hint="default"/>
                <w:sz w:val="18"/>
                <w:szCs w:val="18"/>
              </w:rPr>
              <w:t>．保证本次交易完成后中科金</w:t>
            </w:r>
          </w:p>
        </w:tc>
        <w:tc>
          <w:tcPr>
            <w:tcW w:w="901" w:type="dxa"/>
            <w:vMerge w:val="restart"/>
            <w:tcBorders>
              <w:top w:val="single" w:sz="4" w:space="0" w:color="000000"/>
              <w:left w:val="single" w:sz="4" w:space="0" w:color="000000"/>
              <w:right w:val="single" w:sz="4" w:space="0" w:color="000000"/>
            </w:tcBorders>
          </w:tcPr>
          <w:p>
            <w:pPr>
              <w:pStyle w:val="TableParagraph"/>
              <w:spacing w:line="758" w:lineRule="exact"/>
              <w:ind w:left="2" w:right="-51"/>
              <w:jc w:val="left"/>
              <w:rPr>
                <w:rFonts w:ascii="宋体" w:hAnsi="宋体" w:cs="宋体" w:eastAsia="宋体" w:hint="default"/>
                <w:sz w:val="20"/>
                <w:szCs w:val="20"/>
              </w:rPr>
            </w:pPr>
            <w:r>
              <w:rPr>
                <w:rFonts w:ascii="宋体" w:hAnsi="宋体" w:cs="宋体" w:eastAsia="宋体" w:hint="default"/>
                <w:position w:val="-14"/>
                <w:sz w:val="20"/>
                <w:szCs w:val="20"/>
              </w:rPr>
              <w:pict>
                <v:group style="width:44.45pt;height:37.950pt;mso-position-horizontal-relative:char;mso-position-vertical-relative:line" coordorigin="0,0" coordsize="889,759">
                  <v:group style="position:absolute;left:0;top:0;width:889;height:759" coordorigin="0,0" coordsize="889,759">
                    <v:shape style="position:absolute;left:0;top:0;width:889;height:759" coordorigin="0,0" coordsize="889,759" path="m0,758l888,758,888,0,0,0,0,758xe" filled="true" fillcolor="#ffffff" stroked="false">
                      <v:path arrowok="t"/>
                      <v:fill type="solid"/>
                    </v:shape>
                  </v:group>
                </v:group>
              </w:pict>
            </w:r>
            <w:r>
              <w:rPr>
                <w:rFonts w:ascii="宋体" w:hAnsi="宋体" w:cs="宋体" w:eastAsia="宋体" w:hint="default"/>
                <w:position w:val="-14"/>
                <w:sz w:val="20"/>
                <w:szCs w:val="20"/>
              </w:rPr>
            </w:r>
          </w:p>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23" w:right="144"/>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23" w:right="170"/>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394" w:hRule="exact"/>
        </w:trPr>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441" w:type="dxa"/>
            <w:vMerge/>
            <w:tcBorders>
              <w:left w:val="single" w:sz="9" w:space="0" w:color="D2D2D2"/>
              <w:right w:val="single" w:sz="4" w:space="0" w:color="000000"/>
            </w:tcBorders>
          </w:tcPr>
          <w:p>
            <w:pPr/>
          </w:p>
        </w:tc>
        <w:tc>
          <w:tcPr>
            <w:tcW w:w="900" w:type="dxa"/>
            <w:vMerge/>
            <w:tcBorders>
              <w:left w:val="single" w:sz="4" w:space="0" w:color="000000"/>
              <w:right w:val="single" w:sz="4" w:space="0" w:color="000000"/>
            </w:tcBorders>
          </w:tcPr>
          <w:p>
            <w:pPr/>
          </w:p>
        </w:tc>
        <w:tc>
          <w:tcPr>
            <w:tcW w:w="3420"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919" w:hRule="exact"/>
        </w:trPr>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41" w:type="dxa"/>
            <w:vMerge/>
            <w:tcBorders>
              <w:left w:val="single" w:sz="9" w:space="0" w:color="D2D2D2"/>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3420" w:type="dxa"/>
            <w:vMerge/>
            <w:tcBorders>
              <w:left w:val="single" w:sz="4" w:space="0" w:color="000000"/>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19.950012pt;margin-top:72.475983pt;width:59.55pt;height:686.5pt;mso-position-horizontal-relative:page;mso-position-vertical-relative:page;z-index:-11057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立：</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99"/>
        <w:gridCol w:w="1441"/>
        <w:gridCol w:w="900"/>
        <w:gridCol w:w="3420"/>
        <w:gridCol w:w="901"/>
        <w:gridCol w:w="540"/>
        <w:gridCol w:w="566"/>
      </w:tblGrid>
      <w:tr>
        <w:trPr>
          <w:trHeight w:val="315" w:hRule="exact"/>
        </w:trPr>
        <w:tc>
          <w:tcPr>
            <w:tcW w:w="1799" w:type="dxa"/>
            <w:vMerge w:val="restart"/>
            <w:tcBorders>
              <w:top w:val="single" w:sz="4" w:space="0" w:color="000000"/>
              <w:left w:val="single" w:sz="4" w:space="0" w:color="000000"/>
              <w:right w:val="single" w:sz="4" w:space="0" w:color="000000"/>
            </w:tcBorders>
            <w:shd w:val="clear" w:color="auto" w:fill="D2D2D2"/>
          </w:tcPr>
          <w:p>
            <w:pPr/>
          </w:p>
        </w:tc>
        <w:tc>
          <w:tcPr>
            <w:tcW w:w="1441"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34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pacing w:val="-3"/>
                <w:sz w:val="18"/>
                <w:szCs w:val="18"/>
              </w:rPr>
              <w:t>财、滨河创新的高级管理人员均专职在中科</w:t>
            </w:r>
          </w:p>
        </w:tc>
        <w:tc>
          <w:tcPr>
            <w:tcW w:w="901" w:type="dxa"/>
            <w:vMerge w:val="restart"/>
            <w:tcBorders>
              <w:top w:val="single" w:sz="4" w:space="0" w:color="000000"/>
              <w:left w:val="single" w:sz="4" w:space="0" w:color="000000"/>
              <w:right w:val="single" w:sz="4" w:space="0" w:color="000000"/>
            </w:tcBorders>
          </w:tcPr>
          <w:p>
            <w:pPr>
              <w:pStyle w:val="TableParagraph"/>
              <w:spacing w:line="13730"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44.45pt;height:686.5pt;mso-position-horizontal-relative:char;mso-position-vertical-relative:line" coordorigin="0,0" coordsize="889,13730">
                  <v:group style="position:absolute;left:0;top:0;width:889;height:13730" coordorigin="0,0" coordsize="889,13730">
                    <v:shape style="position:absolute;left:0;top:0;width:889;height:13730" coordorigin="0,0" coordsize="889,13730" path="m0,13730l888,13730,888,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540"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r>
      <w:tr>
        <w:trPr>
          <w:trHeight w:val="312"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金财、滨河创新任职并领取薪酬，不在本人</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7"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本公司控制的其他公司、企</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07"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业或者其他经济组织等关联方担任董事以</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2"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外的职务。二、保证中科金财、滨河创新的</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7"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机构独立：</w:t>
            </w:r>
            <w:r>
              <w:rPr>
                <w:rFonts w:ascii="Times New Roman" w:hAnsi="Times New Roman" w:cs="Times New Roman" w:eastAsia="Times New Roman" w:hint="default"/>
                <w:sz w:val="18"/>
                <w:szCs w:val="18"/>
              </w:rPr>
              <w:t>1</w:t>
            </w:r>
            <w:r>
              <w:rPr>
                <w:rFonts w:ascii="宋体" w:hAnsi="宋体" w:cs="宋体" w:eastAsia="宋体" w:hint="default"/>
                <w:sz w:val="18"/>
                <w:szCs w:val="18"/>
              </w:rPr>
              <w:t>．保证本次交易完成后中科金</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07"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财、滨河创新构建健全的公司法人治理结</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7"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构，拥有独立、完整的组织机构。</w:t>
            </w:r>
            <w:r>
              <w:rPr>
                <w:rFonts w:ascii="Times New Roman" w:hAnsi="Times New Roman" w:cs="Times New Roman" w:eastAsia="Times New Roman" w:hint="default"/>
                <w:sz w:val="18"/>
                <w:szCs w:val="18"/>
              </w:rPr>
              <w:t>2</w:t>
            </w:r>
            <w:r>
              <w:rPr>
                <w:rFonts w:ascii="宋体" w:hAnsi="宋体" w:cs="宋体" w:eastAsia="宋体" w:hint="default"/>
                <w:sz w:val="18"/>
                <w:szCs w:val="18"/>
              </w:rPr>
              <w:t>．保证</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07"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本次交易完成后中科金财、滨河创新的股东</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2"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（大）会、董事会、监事会等依照法律、法</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2"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规及中科金财、滨河创新公司章程独立行使</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2"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职权。三、保证中科金财、滨河创新的</w:t>
            </w:r>
            <w:r>
              <w:rPr>
                <w:rFonts w:ascii="宋体" w:hAnsi="宋体" w:cs="宋体" w:eastAsia="宋体" w:hint="default"/>
                <w:spacing w:val="1"/>
                <w:sz w:val="18"/>
                <w:szCs w:val="18"/>
              </w:rPr>
              <w:t> </w:t>
            </w:r>
            <w:r>
              <w:rPr>
                <w:rFonts w:ascii="宋体" w:hAnsi="宋体" w:cs="宋体" w:eastAsia="宋体" w:hint="default"/>
                <w:sz w:val="18"/>
                <w:szCs w:val="18"/>
              </w:rPr>
              <w:t>资</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7"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产独立、完整：</w:t>
            </w:r>
            <w:r>
              <w:rPr>
                <w:rFonts w:ascii="Times New Roman" w:hAnsi="Times New Roman" w:cs="Times New Roman" w:eastAsia="Times New Roman" w:hint="default"/>
                <w:sz w:val="18"/>
                <w:szCs w:val="18"/>
              </w:rPr>
              <w:t>1</w:t>
            </w:r>
            <w:r>
              <w:rPr>
                <w:rFonts w:ascii="宋体" w:hAnsi="宋体" w:cs="宋体" w:eastAsia="宋体" w:hint="default"/>
                <w:sz w:val="18"/>
                <w:szCs w:val="18"/>
              </w:rPr>
              <w:t>．保证本次交易完成后中</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07"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科金财、滨河创新拥有与生产经营有关的独</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7"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立、完整的资产。</w:t>
            </w:r>
            <w:r>
              <w:rPr>
                <w:rFonts w:ascii="Times New Roman" w:hAnsi="Times New Roman" w:cs="Times New Roman" w:eastAsia="Times New Roman" w:hint="default"/>
                <w:sz w:val="18"/>
                <w:szCs w:val="18"/>
              </w:rPr>
              <w:t>2</w:t>
            </w:r>
            <w:r>
              <w:rPr>
                <w:rFonts w:ascii="宋体" w:hAnsi="宋体" w:cs="宋体" w:eastAsia="宋体" w:hint="default"/>
                <w:sz w:val="18"/>
                <w:szCs w:val="18"/>
              </w:rPr>
              <w:t>．保证本次交易完成后</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07"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中科金财、滨河创新的经营场所独立于本人</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7"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本公司控制的其他公司、企</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2"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业或者其他经济组织等关联方。</w:t>
            </w:r>
            <w:r>
              <w:rPr>
                <w:rFonts w:ascii="Times New Roman" w:hAnsi="Times New Roman" w:cs="Times New Roman" w:eastAsia="Times New Roman" w:hint="default"/>
                <w:sz w:val="18"/>
                <w:szCs w:val="18"/>
              </w:rPr>
              <w:t>3</w:t>
            </w:r>
            <w:r>
              <w:rPr>
                <w:rFonts w:ascii="宋体" w:hAnsi="宋体" w:cs="宋体" w:eastAsia="宋体" w:hint="default"/>
                <w:sz w:val="18"/>
                <w:szCs w:val="18"/>
              </w:rPr>
              <w:t>．除正常</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07"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经营性往来外，保证本次交易完成后中科金</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7"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财、滨河创新不存在资金、资产被本人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2"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本公司控制的其他公司、企业</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07"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或者其他经济组织等关联方占用的情形。</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2"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四、保证中科金财、滨河创新的业务独</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7"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．保证本次交易完成后</w:t>
            </w:r>
            <w:r>
              <w:rPr>
                <w:rFonts w:ascii="宋体" w:hAnsi="宋体" w:cs="宋体" w:eastAsia="宋体" w:hint="default"/>
                <w:spacing w:val="6"/>
                <w:sz w:val="18"/>
                <w:szCs w:val="18"/>
              </w:rPr>
              <w:t> </w:t>
            </w:r>
            <w:r>
              <w:rPr>
                <w:rFonts w:ascii="宋体" w:hAnsi="宋体" w:cs="宋体" w:eastAsia="宋体" w:hint="default"/>
                <w:spacing w:val="-4"/>
                <w:sz w:val="18"/>
                <w:szCs w:val="18"/>
              </w:rPr>
              <w:t>中科金财、滨河创</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07"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新拥有独立开展经营活动的相关资质，具有</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2"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34"/>
              <w:jc w:val="left"/>
              <w:rPr>
                <w:rFonts w:ascii="宋体" w:hAnsi="宋体" w:cs="宋体" w:eastAsia="宋体" w:hint="default"/>
                <w:sz w:val="18"/>
                <w:szCs w:val="18"/>
              </w:rPr>
            </w:pPr>
            <w:r>
              <w:rPr>
                <w:rFonts w:ascii="宋体" w:hAnsi="宋体" w:cs="宋体" w:eastAsia="宋体" w:hint="default"/>
                <w:sz w:val="18"/>
                <w:szCs w:val="18"/>
              </w:rPr>
              <w:t>面向市场的独立、自主、持续的经营能力。</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7"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．保证本次交易完成后本人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2"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本公司控制的其他公司、企业或者其他经</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07"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济组织等关联方避免从事与中科金财、滨河</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2"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创新及其控制的其他公司、企业或者其他经</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7"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济组织具有竞争关系的业务。</w:t>
            </w:r>
            <w:r>
              <w:rPr>
                <w:rFonts w:ascii="Times New Roman" w:hAnsi="Times New Roman" w:cs="Times New Roman" w:eastAsia="Times New Roman" w:hint="default"/>
                <w:sz w:val="18"/>
                <w:szCs w:val="18"/>
              </w:rPr>
              <w:t>3</w:t>
            </w:r>
            <w:r>
              <w:rPr>
                <w:rFonts w:ascii="宋体" w:hAnsi="宋体" w:cs="宋体" w:eastAsia="宋体" w:hint="default"/>
                <w:sz w:val="18"/>
                <w:szCs w:val="18"/>
              </w:rPr>
              <w:t>．保证本次</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2"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交易完成后本人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07"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的其他公司、企业或者其他经济组织等关联</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2"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方减少与中科金财、滨河创新及其控制的其</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2"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他公司、企业或者其他经济组织的关联交</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2"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34"/>
              <w:jc w:val="left"/>
              <w:rPr>
                <w:rFonts w:ascii="宋体" w:hAnsi="宋体" w:cs="宋体" w:eastAsia="宋体" w:hint="default"/>
                <w:sz w:val="18"/>
                <w:szCs w:val="18"/>
              </w:rPr>
            </w:pPr>
            <w:r>
              <w:rPr>
                <w:rFonts w:ascii="宋体" w:hAnsi="宋体" w:cs="宋体" w:eastAsia="宋体" w:hint="default"/>
                <w:sz w:val="18"/>
                <w:szCs w:val="18"/>
              </w:rPr>
              <w:t>易；对于确有必要且无法避免的关联交易，</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2"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34"/>
              <w:jc w:val="left"/>
              <w:rPr>
                <w:rFonts w:ascii="宋体" w:hAnsi="宋体" w:cs="宋体" w:eastAsia="宋体" w:hint="default"/>
                <w:sz w:val="18"/>
                <w:szCs w:val="18"/>
              </w:rPr>
            </w:pPr>
            <w:r>
              <w:rPr>
                <w:rFonts w:ascii="宋体" w:hAnsi="宋体" w:cs="宋体" w:eastAsia="宋体" w:hint="default"/>
                <w:sz w:val="18"/>
                <w:szCs w:val="18"/>
              </w:rPr>
              <w:t>保证按市场原则和公允价格进行公平操作，</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2"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并按相关法律、法规及规范性文件的规定履</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2"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行相关审批程序及信息披露义务。五、保证</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7"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中科金财、滨河创新的财务独立：</w:t>
            </w:r>
            <w:r>
              <w:rPr>
                <w:rFonts w:ascii="Times New Roman" w:hAnsi="Times New Roman" w:cs="Times New Roman" w:eastAsia="Times New Roman" w:hint="default"/>
                <w:sz w:val="18"/>
                <w:szCs w:val="18"/>
              </w:rPr>
              <w:t>1</w:t>
            </w:r>
            <w:r>
              <w:rPr>
                <w:rFonts w:ascii="宋体" w:hAnsi="宋体" w:cs="宋体" w:eastAsia="宋体" w:hint="default"/>
                <w:sz w:val="18"/>
                <w:szCs w:val="18"/>
              </w:rPr>
              <w:t>．保证</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07"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中科金财、滨河创新本次交易完成后分别具</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2"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备独立的财务部门以及独立的财务核算体</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7"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9"/>
                <w:sz w:val="18"/>
                <w:szCs w:val="18"/>
              </w:rPr>
              <w:t>系，具有规范、独立的财务会计制度。</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．保</w:t>
            </w:r>
            <w:r>
              <w:rPr>
                <w:rFonts w:ascii="宋体" w:hAnsi="宋体" w:cs="宋体" w:eastAsia="宋体" w:hint="default"/>
                <w:sz w:val="18"/>
                <w:szCs w:val="18"/>
              </w:rPr>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4" w:hRule="exact"/>
        </w:trPr>
        <w:tc>
          <w:tcPr>
            <w:tcW w:w="1799" w:type="dxa"/>
            <w:vMerge/>
            <w:tcBorders>
              <w:left w:val="single" w:sz="4" w:space="0" w:color="000000"/>
              <w:bottom w:val="single" w:sz="4" w:space="0" w:color="000000"/>
              <w:right w:val="single" w:sz="4" w:space="0" w:color="000000"/>
            </w:tcBorders>
            <w:shd w:val="clear" w:color="auto" w:fill="D2D2D2"/>
          </w:tcPr>
          <w:p>
            <w:pPr/>
          </w:p>
        </w:tc>
        <w:tc>
          <w:tcPr>
            <w:tcW w:w="1441"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34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证中科金财、滨河创新本次交易完成后独立</w:t>
            </w:r>
          </w:p>
        </w:tc>
        <w:tc>
          <w:tcPr>
            <w:tcW w:w="901"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35.070007pt;margin-top:72.47998pt;width:44.45pt;height:415.05pt;mso-position-horizontal-relative:page;mso-position-vertical-relative:page;z-index:-1105696" coordorigin="8701,1450" coordsize="889,8301">
            <v:group style="position:absolute;left:8701;top:1450;width:889;height:3474" coordorigin="8701,1450" coordsize="889,3474">
              <v:shape style="position:absolute;left:8701;top:1450;width:889;height:3474" coordorigin="8701,1450" coordsize="889,3474" path="m8701,4923l9590,4923,9590,1450,8701,1450,8701,4923xe" filled="true" fillcolor="#ffffff" stroked="false">
                <v:path arrowok="t"/>
                <v:fill type="solid"/>
              </v:shape>
            </v:group>
            <v:group style="position:absolute;left:8701;top:4932;width:889;height:4818" coordorigin="8701,4932" coordsize="889,4818">
              <v:shape style="position:absolute;left:8701;top:4932;width:889;height:4818" coordorigin="8701,4932" coordsize="889,4818" path="m8701,9750l9590,9750,9590,4932,8701,4932,8701,9750xe" filled="true" fillcolor="#ffffff" stroked="false">
                <v:path arrowok="t"/>
                <v:fill type="solid"/>
              </v:shape>
            </v:group>
            <w10:wrap type="none"/>
          </v:group>
        </w:pict>
      </w:r>
      <w:r>
        <w:rPr/>
        <w:pict>
          <v:group style="position:absolute;margin-left:435.070007pt;margin-top:522.675964pt;width:44.45pt;height:240.9pt;mso-position-horizontal-relative:page;mso-position-vertical-relative:page;z-index:-1105672" coordorigin="8701,10454" coordsize="889,4818">
            <v:shape style="position:absolute;left:8701;top:10454;width:889;height:4818" coordorigin="8701,10454" coordsize="889,4818" path="m8701,15271l9590,15271,9590,10454,8701,10454,8701,1527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99"/>
        <w:gridCol w:w="1441"/>
        <w:gridCol w:w="900"/>
        <w:gridCol w:w="3420"/>
        <w:gridCol w:w="901"/>
        <w:gridCol w:w="540"/>
        <w:gridCol w:w="569"/>
      </w:tblGrid>
      <w:tr>
        <w:trPr>
          <w:trHeight w:val="3483" w:hRule="exact"/>
        </w:trPr>
        <w:tc>
          <w:tcPr>
            <w:tcW w:w="1799" w:type="dxa"/>
            <w:vMerge w:val="restart"/>
            <w:tcBorders>
              <w:top w:val="single" w:sz="4" w:space="0" w:color="000000"/>
              <w:left w:val="single" w:sz="4" w:space="0" w:color="000000"/>
              <w:right w:val="single" w:sz="4" w:space="0" w:color="000000"/>
            </w:tcBorders>
            <w:shd w:val="clear" w:color="auto" w:fill="D2D2D2"/>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8"/>
              <w:ind w:left="23" w:right="-34"/>
              <w:jc w:val="left"/>
              <w:rPr>
                <w:rFonts w:ascii="宋体" w:hAnsi="宋体" w:cs="宋体" w:eastAsia="宋体" w:hint="default"/>
                <w:sz w:val="18"/>
                <w:szCs w:val="18"/>
              </w:rPr>
            </w:pPr>
            <w:r>
              <w:rPr>
                <w:rFonts w:ascii="宋体" w:hAnsi="宋体" w:cs="宋体" w:eastAsia="宋体" w:hint="default"/>
                <w:sz w:val="18"/>
                <w:szCs w:val="18"/>
              </w:rPr>
              <w:t>在银行开户，不与本人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 </w:t>
            </w:r>
            <w:r>
              <w:rPr>
                <w:rFonts w:ascii="宋体" w:hAnsi="宋体" w:cs="宋体" w:eastAsia="宋体" w:hint="default"/>
                <w:spacing w:val="-3"/>
                <w:sz w:val="18"/>
                <w:szCs w:val="18"/>
              </w:rPr>
              <w:t>司控制的其他公司、企业或者其他经济组织</w:t>
            </w:r>
            <w:r>
              <w:rPr>
                <w:rFonts w:ascii="宋体" w:hAnsi="宋体" w:cs="宋体" w:eastAsia="宋体" w:hint="default"/>
                <w:sz w:val="18"/>
                <w:szCs w:val="18"/>
              </w:rPr>
              <w:t> 等关联方共用银行账户。</w:t>
            </w:r>
            <w:r>
              <w:rPr>
                <w:rFonts w:ascii="Times New Roman" w:hAnsi="Times New Roman" w:cs="Times New Roman" w:eastAsia="Times New Roman" w:hint="default"/>
                <w:sz w:val="18"/>
                <w:szCs w:val="18"/>
              </w:rPr>
              <w:t>3</w:t>
            </w:r>
            <w:r>
              <w:rPr>
                <w:rFonts w:ascii="宋体" w:hAnsi="宋体" w:cs="宋体" w:eastAsia="宋体" w:hint="default"/>
                <w:sz w:val="18"/>
                <w:szCs w:val="18"/>
              </w:rPr>
              <w:t>．保证本次交易 </w:t>
            </w:r>
            <w:r>
              <w:rPr>
                <w:rFonts w:ascii="宋体" w:hAnsi="宋体" w:cs="宋体" w:eastAsia="宋体" w:hint="default"/>
                <w:spacing w:val="-3"/>
                <w:sz w:val="18"/>
                <w:szCs w:val="18"/>
              </w:rPr>
              <w:t>完成后中科金财、滨河创新的财务人员不在</w:t>
            </w:r>
            <w:r>
              <w:rPr>
                <w:rFonts w:ascii="宋体" w:hAnsi="宋体" w:cs="宋体" w:eastAsia="宋体" w:hint="default"/>
                <w:sz w:val="18"/>
                <w:szCs w:val="18"/>
              </w:rPr>
              <w:t> 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本公司控制的其他公 司、企业或者其他经济组织等关联方兼职。 </w:t>
            </w:r>
            <w:r>
              <w:rPr>
                <w:rFonts w:ascii="Times New Roman" w:hAnsi="Times New Roman" w:cs="Times New Roman" w:eastAsia="Times New Roman" w:hint="default"/>
                <w:sz w:val="18"/>
                <w:szCs w:val="18"/>
              </w:rPr>
              <w:t>4</w:t>
            </w:r>
            <w:r>
              <w:rPr>
                <w:rFonts w:ascii="宋体" w:hAnsi="宋体" w:cs="宋体" w:eastAsia="宋体" w:hint="default"/>
                <w:sz w:val="18"/>
                <w:szCs w:val="18"/>
              </w:rPr>
              <w:t>．保证本次交易完成后中科金财、滨河创 新能够独立做出财务决策，本人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本公司不 </w:t>
            </w:r>
            <w:r>
              <w:rPr>
                <w:rFonts w:ascii="宋体" w:hAnsi="宋体" w:cs="宋体" w:eastAsia="宋体" w:hint="default"/>
                <w:spacing w:val="-10"/>
                <w:sz w:val="18"/>
                <w:szCs w:val="18"/>
              </w:rPr>
              <w:t>干预中科金财、滨河创新的资金使用。</w:t>
            </w:r>
            <w:r>
              <w:rPr>
                <w:rFonts w:ascii="Times New Roman" w:hAnsi="Times New Roman" w:cs="Times New Roman" w:eastAsia="Times New Roman" w:hint="default"/>
                <w:spacing w:val="-10"/>
                <w:sz w:val="18"/>
                <w:szCs w:val="18"/>
              </w:rPr>
              <w:t>5</w:t>
            </w:r>
            <w:r>
              <w:rPr>
                <w:rFonts w:ascii="宋体" w:hAnsi="宋体" w:cs="宋体" w:eastAsia="宋体" w:hint="default"/>
                <w:spacing w:val="-10"/>
                <w:sz w:val="18"/>
                <w:szCs w:val="18"/>
              </w:rPr>
              <w:t>．保</w:t>
            </w:r>
            <w:r>
              <w:rPr>
                <w:rFonts w:ascii="宋体" w:hAnsi="宋体" w:cs="宋体" w:eastAsia="宋体" w:hint="default"/>
                <w:spacing w:val="-82"/>
                <w:sz w:val="18"/>
                <w:szCs w:val="18"/>
              </w:rPr>
              <w:t> </w:t>
            </w:r>
            <w:r>
              <w:rPr>
                <w:rFonts w:ascii="宋体" w:hAnsi="宋体" w:cs="宋体" w:eastAsia="宋体" w:hint="default"/>
                <w:spacing w:val="-3"/>
                <w:sz w:val="18"/>
                <w:szCs w:val="18"/>
              </w:rPr>
              <w:t>证本次交易完成后中科金财、滨河创新依法</w:t>
            </w:r>
            <w:r>
              <w:rPr>
                <w:rFonts w:ascii="宋体" w:hAnsi="宋体" w:cs="宋体" w:eastAsia="宋体" w:hint="default"/>
                <w:sz w:val="18"/>
                <w:szCs w:val="18"/>
              </w:rPr>
              <w:t> 独立纳税。</w:t>
            </w: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10348" w:hRule="exact"/>
        </w:trPr>
        <w:tc>
          <w:tcPr>
            <w:tcW w:w="1799" w:type="dxa"/>
            <w:vMerge/>
            <w:tcBorders>
              <w:left w:val="single" w:sz="4" w:space="0" w:color="000000"/>
              <w:bottom w:val="single" w:sz="4" w:space="0" w:color="000000"/>
              <w:right w:val="single" w:sz="4" w:space="0" w:color="000000"/>
            </w:tcBorders>
            <w:shd w:val="clear" w:color="auto" w:fill="D2D2D2"/>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4" w:lineRule="auto"/>
              <w:ind w:left="23" w:right="43"/>
              <w:jc w:val="left"/>
              <w:rPr>
                <w:rFonts w:ascii="宋体" w:hAnsi="宋体" w:cs="宋体" w:eastAsia="宋体" w:hint="default"/>
                <w:sz w:val="18"/>
                <w:szCs w:val="18"/>
              </w:rPr>
            </w:pPr>
            <w:r>
              <w:rPr>
                <w:rFonts w:ascii="宋体" w:hAnsi="宋体" w:cs="宋体" w:eastAsia="宋体" w:hint="default"/>
                <w:sz w:val="18"/>
                <w:szCs w:val="18"/>
              </w:rPr>
              <w:t>刘开同</w:t>
            </w:r>
            <w:r>
              <w:rPr>
                <w:rFonts w:ascii="Times New Roman" w:hAnsi="Times New Roman" w:cs="Times New Roman" w:eastAsia="Times New Roman" w:hint="default"/>
                <w:sz w:val="18"/>
                <w:szCs w:val="18"/>
              </w:rPr>
              <w:t>;</w:t>
            </w:r>
            <w:r>
              <w:rPr>
                <w:rFonts w:ascii="宋体" w:hAnsi="宋体" w:cs="宋体" w:eastAsia="宋体" w:hint="default"/>
                <w:sz w:val="18"/>
                <w:szCs w:val="18"/>
              </w:rPr>
              <w:t>董书倩</w:t>
            </w:r>
            <w:r>
              <w:rPr>
                <w:rFonts w:ascii="Times New Roman" w:hAnsi="Times New Roman" w:cs="Times New Roman" w:eastAsia="Times New Roman" w:hint="default"/>
                <w:sz w:val="18"/>
                <w:szCs w:val="18"/>
              </w:rPr>
              <w:t>;</w:t>
            </w:r>
            <w:r>
              <w:rPr>
                <w:rFonts w:ascii="宋体" w:hAnsi="宋体" w:cs="宋体" w:eastAsia="宋体" w:hint="default"/>
                <w:sz w:val="18"/>
                <w:szCs w:val="18"/>
              </w:rPr>
              <w:t>刘 运龙</w:t>
            </w:r>
            <w:r>
              <w:rPr>
                <w:rFonts w:ascii="Times New Roman" w:hAnsi="Times New Roman" w:cs="Times New Roman" w:eastAsia="Times New Roman" w:hint="default"/>
                <w:sz w:val="18"/>
                <w:szCs w:val="18"/>
              </w:rPr>
              <w:t>;</w:t>
            </w:r>
            <w:r>
              <w:rPr>
                <w:rFonts w:ascii="宋体" w:hAnsi="宋体" w:cs="宋体" w:eastAsia="宋体" w:hint="default"/>
                <w:sz w:val="18"/>
                <w:szCs w:val="18"/>
              </w:rPr>
              <w:t>天津滨河数 据信息技术有限 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44"/>
              <w:jc w:val="both"/>
              <w:rPr>
                <w:rFonts w:ascii="宋体" w:hAnsi="宋体" w:cs="宋体" w:eastAsia="宋体" w:hint="default"/>
                <w:sz w:val="18"/>
                <w:szCs w:val="18"/>
              </w:rPr>
            </w:pPr>
            <w:r>
              <w:rPr>
                <w:rFonts w:ascii="宋体" w:hAnsi="宋体" w:cs="宋体" w:eastAsia="宋体" w:hint="default"/>
                <w:sz w:val="18"/>
                <w:szCs w:val="18"/>
              </w:rPr>
              <w:t>关于同业 竞争和规 范减少关 联交易的 承诺</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4"/>
              <w:jc w:val="left"/>
              <w:rPr>
                <w:rFonts w:ascii="宋体" w:hAnsi="宋体" w:cs="宋体" w:eastAsia="宋体" w:hint="default"/>
                <w:sz w:val="18"/>
                <w:szCs w:val="18"/>
              </w:rPr>
            </w:pPr>
            <w:r>
              <w:rPr>
                <w:rFonts w:ascii="宋体" w:hAnsi="宋体" w:cs="宋体" w:eastAsia="宋体" w:hint="default"/>
                <w:sz w:val="18"/>
                <w:szCs w:val="18"/>
              </w:rPr>
              <w:t>一、关于同业竞争：</w:t>
            </w:r>
            <w:r>
              <w:rPr>
                <w:rFonts w:ascii="Times New Roman" w:hAnsi="Times New Roman" w:cs="Times New Roman" w:eastAsia="Times New Roman" w:hint="default"/>
                <w:sz w:val="18"/>
                <w:szCs w:val="18"/>
              </w:rPr>
              <w:t>1</w:t>
            </w:r>
            <w:r>
              <w:rPr>
                <w:rFonts w:ascii="宋体" w:hAnsi="宋体" w:cs="宋体" w:eastAsia="宋体" w:hint="default"/>
                <w:sz w:val="18"/>
                <w:szCs w:val="18"/>
              </w:rPr>
              <w:t>．截至本承诺函签署 </w:t>
            </w:r>
            <w:r>
              <w:rPr>
                <w:rFonts w:ascii="宋体" w:hAnsi="宋体" w:cs="宋体" w:eastAsia="宋体" w:hint="default"/>
                <w:spacing w:val="-3"/>
                <w:sz w:val="18"/>
                <w:szCs w:val="18"/>
              </w:rPr>
              <w:t>日，本人／本公司及包括本人／本公司控制</w:t>
            </w:r>
            <w:r>
              <w:rPr>
                <w:rFonts w:ascii="宋体" w:hAnsi="宋体" w:cs="宋体" w:eastAsia="宋体" w:hint="default"/>
                <w:sz w:val="18"/>
                <w:szCs w:val="18"/>
              </w:rPr>
              <w:t> </w:t>
            </w:r>
            <w:r>
              <w:rPr>
                <w:rFonts w:ascii="宋体" w:hAnsi="宋体" w:cs="宋体" w:eastAsia="宋体" w:hint="default"/>
                <w:spacing w:val="-3"/>
                <w:sz w:val="18"/>
                <w:szCs w:val="18"/>
              </w:rPr>
              <w:t>的其他公司、企业或者其他经济组织等关联</w:t>
            </w:r>
            <w:r>
              <w:rPr>
                <w:rFonts w:ascii="宋体" w:hAnsi="宋体" w:cs="宋体" w:eastAsia="宋体" w:hint="default"/>
                <w:sz w:val="18"/>
                <w:szCs w:val="18"/>
              </w:rPr>
              <w:t> </w:t>
            </w:r>
            <w:r>
              <w:rPr>
                <w:rFonts w:ascii="宋体" w:hAnsi="宋体" w:cs="宋体" w:eastAsia="宋体" w:hint="default"/>
                <w:spacing w:val="-3"/>
                <w:sz w:val="18"/>
                <w:szCs w:val="18"/>
              </w:rPr>
              <w:t>方未从事与中科金财、滨河创新及其控制的</w:t>
            </w:r>
            <w:r>
              <w:rPr>
                <w:rFonts w:ascii="宋体" w:hAnsi="宋体" w:cs="宋体" w:eastAsia="宋体" w:hint="default"/>
                <w:sz w:val="18"/>
                <w:szCs w:val="18"/>
              </w:rPr>
              <w:t> </w:t>
            </w:r>
            <w:r>
              <w:rPr>
                <w:rFonts w:ascii="宋体" w:hAnsi="宋体" w:cs="宋体" w:eastAsia="宋体" w:hint="default"/>
                <w:spacing w:val="-3"/>
                <w:sz w:val="18"/>
                <w:szCs w:val="18"/>
              </w:rPr>
              <w:t>其他公司、企业或者其他经济组织存在同业</w:t>
            </w:r>
            <w:r>
              <w:rPr>
                <w:rFonts w:ascii="宋体" w:hAnsi="宋体" w:cs="宋体" w:eastAsia="宋体" w:hint="default"/>
                <w:sz w:val="18"/>
                <w:szCs w:val="18"/>
              </w:rPr>
              <w:t> 竞争关系的业务。</w:t>
            </w:r>
            <w:r>
              <w:rPr>
                <w:rFonts w:ascii="Times New Roman" w:hAnsi="Times New Roman" w:cs="Times New Roman" w:eastAsia="Times New Roman" w:hint="default"/>
                <w:sz w:val="18"/>
                <w:szCs w:val="18"/>
              </w:rPr>
              <w:t>2</w:t>
            </w:r>
            <w:r>
              <w:rPr>
                <w:rFonts w:ascii="宋体" w:hAnsi="宋体" w:cs="宋体" w:eastAsia="宋体" w:hint="default"/>
                <w:sz w:val="18"/>
                <w:szCs w:val="18"/>
              </w:rPr>
              <w:t>．在作为中科金财的股 东且持股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以上（含</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）期间，本人／ 本公司及包括本人／本公司控制的其他公 </w:t>
            </w:r>
            <w:r>
              <w:rPr>
                <w:rFonts w:ascii="宋体" w:hAnsi="宋体" w:cs="宋体" w:eastAsia="宋体" w:hint="default"/>
                <w:spacing w:val="-3"/>
                <w:sz w:val="18"/>
                <w:szCs w:val="18"/>
              </w:rPr>
              <w:t>司、企业或者其他经济组织等关联方将避免</w:t>
            </w:r>
            <w:r>
              <w:rPr>
                <w:rFonts w:ascii="宋体" w:hAnsi="宋体" w:cs="宋体" w:eastAsia="宋体" w:hint="default"/>
                <w:sz w:val="18"/>
                <w:szCs w:val="18"/>
              </w:rPr>
              <w:t> </w:t>
            </w:r>
            <w:r>
              <w:rPr>
                <w:rFonts w:ascii="宋体" w:hAnsi="宋体" w:cs="宋体" w:eastAsia="宋体" w:hint="default"/>
                <w:spacing w:val="-3"/>
                <w:sz w:val="18"/>
                <w:szCs w:val="18"/>
              </w:rPr>
              <w:t>以任何形式从事任何与中科金财、滨河创新</w:t>
            </w:r>
            <w:r>
              <w:rPr>
                <w:rFonts w:ascii="宋体" w:hAnsi="宋体" w:cs="宋体" w:eastAsia="宋体" w:hint="default"/>
                <w:sz w:val="18"/>
                <w:szCs w:val="18"/>
              </w:rPr>
              <w:t> </w:t>
            </w:r>
            <w:r>
              <w:rPr>
                <w:rFonts w:ascii="宋体" w:hAnsi="宋体" w:cs="宋体" w:eastAsia="宋体" w:hint="default"/>
                <w:spacing w:val="-3"/>
                <w:sz w:val="18"/>
                <w:szCs w:val="18"/>
              </w:rPr>
              <w:t>及其控制的其他公司、企业或者其他经济组</w:t>
            </w:r>
            <w:r>
              <w:rPr>
                <w:rFonts w:ascii="宋体" w:hAnsi="宋体" w:cs="宋体" w:eastAsia="宋体" w:hint="default"/>
                <w:sz w:val="18"/>
                <w:szCs w:val="18"/>
              </w:rPr>
              <w:t> 织相同或相似且构成或可能构成竞争关系 的业务，亦不从事任何可能损害中科金财、 </w:t>
            </w:r>
            <w:r>
              <w:rPr>
                <w:rFonts w:ascii="宋体" w:hAnsi="宋体" w:cs="宋体" w:eastAsia="宋体" w:hint="default"/>
                <w:spacing w:val="-3"/>
                <w:sz w:val="18"/>
                <w:szCs w:val="18"/>
              </w:rPr>
              <w:t>滨河创新及其控制的其他公司、企业或者其</w:t>
            </w:r>
            <w:r>
              <w:rPr>
                <w:rFonts w:ascii="宋体" w:hAnsi="宋体" w:cs="宋体" w:eastAsia="宋体" w:hint="default"/>
                <w:sz w:val="18"/>
                <w:szCs w:val="18"/>
              </w:rPr>
              <w:t> </w:t>
            </w:r>
            <w:r>
              <w:rPr>
                <w:rFonts w:ascii="宋体" w:hAnsi="宋体" w:cs="宋体" w:eastAsia="宋体" w:hint="default"/>
                <w:spacing w:val="-3"/>
                <w:sz w:val="18"/>
                <w:szCs w:val="18"/>
              </w:rPr>
              <w:t>他经济组织利益的活动。如本人／本公司及</w:t>
            </w:r>
            <w:r>
              <w:rPr>
                <w:rFonts w:ascii="宋体" w:hAnsi="宋体" w:cs="宋体" w:eastAsia="宋体" w:hint="default"/>
                <w:sz w:val="18"/>
                <w:szCs w:val="18"/>
              </w:rPr>
              <w:t> </w:t>
            </w:r>
            <w:r>
              <w:rPr>
                <w:rFonts w:ascii="宋体" w:hAnsi="宋体" w:cs="宋体" w:eastAsia="宋体" w:hint="default"/>
                <w:spacing w:val="-3"/>
                <w:sz w:val="18"/>
                <w:szCs w:val="18"/>
              </w:rPr>
              <w:t>其控制的其他公司、企业或者其他经济组织</w:t>
            </w:r>
            <w:r>
              <w:rPr>
                <w:rFonts w:ascii="宋体" w:hAnsi="宋体" w:cs="宋体" w:eastAsia="宋体" w:hint="default"/>
                <w:sz w:val="18"/>
                <w:szCs w:val="18"/>
              </w:rPr>
              <w:t> </w:t>
            </w:r>
            <w:r>
              <w:rPr>
                <w:rFonts w:ascii="宋体" w:hAnsi="宋体" w:cs="宋体" w:eastAsia="宋体" w:hint="default"/>
                <w:spacing w:val="-3"/>
                <w:sz w:val="18"/>
                <w:szCs w:val="18"/>
              </w:rPr>
              <w:t>遇到中科金财、滨河创新及其控制的其他公</w:t>
            </w:r>
            <w:r>
              <w:rPr>
                <w:rFonts w:ascii="宋体" w:hAnsi="宋体" w:cs="宋体" w:eastAsia="宋体" w:hint="default"/>
                <w:sz w:val="18"/>
                <w:szCs w:val="18"/>
              </w:rPr>
              <w:t> </w:t>
            </w:r>
            <w:r>
              <w:rPr>
                <w:rFonts w:ascii="宋体" w:hAnsi="宋体" w:cs="宋体" w:eastAsia="宋体" w:hint="default"/>
                <w:spacing w:val="-3"/>
                <w:sz w:val="18"/>
                <w:szCs w:val="18"/>
              </w:rPr>
              <w:t>司、企业或者其他经济组织主营业务范围内</w:t>
            </w:r>
            <w:r>
              <w:rPr>
                <w:rFonts w:ascii="宋体" w:hAnsi="宋体" w:cs="宋体" w:eastAsia="宋体" w:hint="default"/>
                <w:sz w:val="18"/>
                <w:szCs w:val="18"/>
              </w:rPr>
              <w:t> </w:t>
            </w:r>
            <w:r>
              <w:rPr>
                <w:rFonts w:ascii="宋体" w:hAnsi="宋体" w:cs="宋体" w:eastAsia="宋体" w:hint="default"/>
                <w:spacing w:val="-3"/>
                <w:sz w:val="18"/>
                <w:szCs w:val="18"/>
              </w:rPr>
              <w:t>的业务机会，本人／本公司及其控制的其他</w:t>
            </w:r>
            <w:r>
              <w:rPr>
                <w:rFonts w:ascii="宋体" w:hAnsi="宋体" w:cs="宋体" w:eastAsia="宋体" w:hint="default"/>
                <w:sz w:val="18"/>
                <w:szCs w:val="18"/>
              </w:rPr>
              <w:t> </w:t>
            </w:r>
            <w:r>
              <w:rPr>
                <w:rFonts w:ascii="宋体" w:hAnsi="宋体" w:cs="宋体" w:eastAsia="宋体" w:hint="default"/>
                <w:spacing w:val="-3"/>
                <w:sz w:val="18"/>
                <w:szCs w:val="18"/>
              </w:rPr>
              <w:t>公司、企业或者其他经济组织承诺将该等合</w:t>
            </w:r>
            <w:r>
              <w:rPr>
                <w:rFonts w:ascii="宋体" w:hAnsi="宋体" w:cs="宋体" w:eastAsia="宋体" w:hint="default"/>
                <w:sz w:val="18"/>
                <w:szCs w:val="18"/>
              </w:rPr>
              <w:t> </w:t>
            </w:r>
            <w:r>
              <w:rPr>
                <w:rFonts w:ascii="宋体" w:hAnsi="宋体" w:cs="宋体" w:eastAsia="宋体" w:hint="default"/>
                <w:spacing w:val="-3"/>
                <w:sz w:val="18"/>
                <w:szCs w:val="18"/>
              </w:rPr>
              <w:t>作机会让予中科金财、滨河创新及其控制的</w:t>
            </w:r>
            <w:r>
              <w:rPr>
                <w:rFonts w:ascii="宋体" w:hAnsi="宋体" w:cs="宋体" w:eastAsia="宋体" w:hint="default"/>
                <w:sz w:val="18"/>
                <w:szCs w:val="18"/>
              </w:rPr>
              <w:t> </w:t>
            </w:r>
            <w:r>
              <w:rPr>
                <w:rFonts w:ascii="宋体" w:hAnsi="宋体" w:cs="宋体" w:eastAsia="宋体" w:hint="default"/>
                <w:spacing w:val="-4"/>
                <w:sz w:val="18"/>
                <w:szCs w:val="18"/>
              </w:rPr>
              <w:t>其他公司、企业或者其他经济组织。本人／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本公司若违反上述承诺，将承担因此而给中</w:t>
            </w:r>
            <w:r>
              <w:rPr>
                <w:rFonts w:ascii="宋体" w:hAnsi="宋体" w:cs="宋体" w:eastAsia="宋体" w:hint="default"/>
                <w:sz w:val="18"/>
                <w:szCs w:val="18"/>
              </w:rPr>
              <w:t> </w:t>
            </w:r>
            <w:r>
              <w:rPr>
                <w:rFonts w:ascii="宋体" w:hAnsi="宋体" w:cs="宋体" w:eastAsia="宋体" w:hint="default"/>
                <w:spacing w:val="-4"/>
                <w:sz w:val="18"/>
                <w:szCs w:val="18"/>
              </w:rPr>
              <w:t>科金财、滨河创新及其控制的其他公司、企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业或者其他经济组织造成的一切损失。二、 </w:t>
            </w:r>
            <w:r>
              <w:rPr>
                <w:rFonts w:ascii="宋体" w:hAnsi="宋体" w:cs="宋体" w:eastAsia="宋体" w:hint="default"/>
                <w:spacing w:val="-3"/>
                <w:sz w:val="18"/>
                <w:szCs w:val="18"/>
              </w:rPr>
              <w:t>关于规范及减少关联交易：本人／本公司在</w:t>
            </w:r>
            <w:r>
              <w:rPr>
                <w:rFonts w:ascii="宋体" w:hAnsi="宋体" w:cs="宋体" w:eastAsia="宋体" w:hint="default"/>
                <w:sz w:val="18"/>
                <w:szCs w:val="18"/>
              </w:rPr>
              <w:t> </w:t>
            </w:r>
            <w:r>
              <w:rPr>
                <w:rFonts w:ascii="宋体" w:hAnsi="宋体" w:cs="宋体" w:eastAsia="宋体" w:hint="default"/>
                <w:spacing w:val="-3"/>
                <w:sz w:val="18"/>
                <w:szCs w:val="18"/>
              </w:rPr>
              <w:t>作为中科金财的股东期间，本人／本公司及</w:t>
            </w:r>
            <w:r>
              <w:rPr>
                <w:rFonts w:ascii="宋体" w:hAnsi="宋体" w:cs="宋体" w:eastAsia="宋体" w:hint="default"/>
                <w:sz w:val="18"/>
                <w:szCs w:val="18"/>
              </w:rPr>
              <w:t> </w:t>
            </w:r>
            <w:r>
              <w:rPr>
                <w:rFonts w:ascii="宋体" w:hAnsi="宋体" w:cs="宋体" w:eastAsia="宋体" w:hint="default"/>
                <w:spacing w:val="-3"/>
                <w:sz w:val="18"/>
                <w:szCs w:val="18"/>
              </w:rPr>
              <w:t>所控制的其他公司、企业或者其他经济组织</w:t>
            </w:r>
            <w:r>
              <w:rPr>
                <w:rFonts w:ascii="宋体" w:hAnsi="宋体" w:cs="宋体" w:eastAsia="宋体" w:hint="default"/>
                <w:sz w:val="18"/>
                <w:szCs w:val="18"/>
              </w:rPr>
              <w:t> </w:t>
            </w:r>
            <w:r>
              <w:rPr>
                <w:rFonts w:ascii="宋体" w:hAnsi="宋体" w:cs="宋体" w:eastAsia="宋体" w:hint="default"/>
                <w:spacing w:val="-3"/>
                <w:sz w:val="18"/>
                <w:szCs w:val="18"/>
              </w:rPr>
              <w:t>将尽量减少并规范与中科金财、滨河创新及</w:t>
            </w:r>
            <w:r>
              <w:rPr>
                <w:rFonts w:ascii="宋体" w:hAnsi="宋体" w:cs="宋体" w:eastAsia="宋体" w:hint="default"/>
                <w:sz w:val="18"/>
                <w:szCs w:val="18"/>
              </w:rPr>
              <w:t> </w:t>
            </w:r>
            <w:r>
              <w:rPr>
                <w:rFonts w:ascii="宋体" w:hAnsi="宋体" w:cs="宋体" w:eastAsia="宋体" w:hint="default"/>
                <w:spacing w:val="-3"/>
                <w:sz w:val="18"/>
                <w:szCs w:val="18"/>
              </w:rPr>
              <w:t>其控制的其他公司、企业或者其他经济组织</w:t>
            </w:r>
            <w:r>
              <w:rPr>
                <w:rFonts w:ascii="宋体" w:hAnsi="宋体" w:cs="宋体" w:eastAsia="宋体" w:hint="default"/>
                <w:sz w:val="18"/>
                <w:szCs w:val="18"/>
              </w:rPr>
              <w:t> </w:t>
            </w:r>
            <w:r>
              <w:rPr>
                <w:rFonts w:ascii="宋体" w:hAnsi="宋体" w:cs="宋体" w:eastAsia="宋体" w:hint="default"/>
                <w:spacing w:val="-3"/>
                <w:sz w:val="18"/>
                <w:szCs w:val="18"/>
              </w:rPr>
              <w:t>之间的关联交易。对于无法避免或有合理原</w:t>
            </w:r>
            <w:r>
              <w:rPr>
                <w:rFonts w:ascii="宋体" w:hAnsi="宋体" w:cs="宋体" w:eastAsia="宋体" w:hint="default"/>
                <w:sz w:val="18"/>
                <w:szCs w:val="18"/>
              </w:rPr>
              <w:t> </w:t>
            </w:r>
            <w:r>
              <w:rPr>
                <w:rFonts w:ascii="宋体" w:hAnsi="宋体" w:cs="宋体" w:eastAsia="宋体" w:hint="default"/>
                <w:spacing w:val="-3"/>
                <w:sz w:val="18"/>
                <w:szCs w:val="18"/>
              </w:rPr>
              <w:t>因而发生的关联交易，本人／本公司及所控</w:t>
            </w:r>
            <w:r>
              <w:rPr>
                <w:rFonts w:ascii="宋体" w:hAnsi="宋体" w:cs="宋体" w:eastAsia="宋体" w:hint="default"/>
                <w:sz w:val="18"/>
                <w:szCs w:val="18"/>
              </w:rPr>
              <w:t> </w:t>
            </w:r>
            <w:r>
              <w:rPr>
                <w:rFonts w:ascii="宋体" w:hAnsi="宋体" w:cs="宋体" w:eastAsia="宋体" w:hint="default"/>
                <w:spacing w:val="-3"/>
                <w:sz w:val="18"/>
                <w:szCs w:val="18"/>
              </w:rPr>
              <w:t>制的其他公司、企业或者其他经济组织将遵</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6"/>
              <w:ind w:left="23" w:right="144"/>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73"/>
              <w:jc w:val="both"/>
              <w:rPr>
                <w:rFonts w:ascii="宋体" w:hAnsi="宋体" w:cs="宋体" w:eastAsia="宋体" w:hint="default"/>
                <w:sz w:val="18"/>
                <w:szCs w:val="18"/>
              </w:rPr>
            </w:pPr>
            <w:r>
              <w:rPr>
                <w:rFonts w:ascii="宋体" w:hAnsi="宋体" w:cs="宋体" w:eastAsia="宋体" w:hint="default"/>
                <w:sz w:val="18"/>
                <w:szCs w:val="18"/>
              </w:rPr>
              <w:t>正常 履行 中</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35.070007pt;margin-top:72.47998pt;width:44.45pt;height:430.65pt;mso-position-horizontal-relative:page;mso-position-vertical-relative:page;z-index:-1105648" coordorigin="8701,1450" coordsize="889,8613">
            <v:group style="position:absolute;left:8701;top:1450;width:889;height:4098" coordorigin="8701,1450" coordsize="889,4098">
              <v:shape style="position:absolute;left:8701;top:1450;width:889;height:4098" coordorigin="8701,1450" coordsize="889,4098" path="m8701,5547l9590,5547,9590,1450,8701,1450,8701,5547xe" filled="true" fillcolor="#ffffff" stroked="false">
                <v:path arrowok="t"/>
                <v:fill type="solid"/>
              </v:shape>
            </v:group>
            <v:group style="position:absolute;left:8701;top:5557;width:889;height:4506" coordorigin="8701,5557" coordsize="889,4506">
              <v:shape style="position:absolute;left:8701;top:5557;width:889;height:4506" coordorigin="8701,5557" coordsize="889,4506" path="m8701,10062l9590,10062,9590,5557,8701,5557,8701,10062xe" filled="true" fillcolor="#ffffff" stroked="false">
                <v:path arrowok="t"/>
                <v:fill type="solid"/>
              </v:shape>
            </v:group>
            <w10:wrap type="none"/>
          </v:group>
        </w:pict>
      </w:r>
      <w:r>
        <w:rPr/>
        <w:pict>
          <v:group style="position:absolute;margin-left:435.070007pt;margin-top:538.276001pt;width:44.45pt;height:225.3pt;mso-position-horizontal-relative:page;mso-position-vertical-relative:page;z-index:-1105624" coordorigin="8701,10766" coordsize="889,4506">
            <v:shape style="position:absolute;left:8701;top:10766;width:889;height:4506" coordorigin="8701,10766" coordsize="889,4506" path="m8701,15271l9590,15271,9590,10766,8701,10766,8701,1527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99"/>
        <w:gridCol w:w="1441"/>
        <w:gridCol w:w="900"/>
        <w:gridCol w:w="3420"/>
        <w:gridCol w:w="901"/>
        <w:gridCol w:w="540"/>
        <w:gridCol w:w="569"/>
      </w:tblGrid>
      <w:tr>
        <w:trPr>
          <w:trHeight w:val="4107" w:hRule="exact"/>
        </w:trPr>
        <w:tc>
          <w:tcPr>
            <w:tcW w:w="1799" w:type="dxa"/>
            <w:vMerge w:val="restart"/>
            <w:tcBorders>
              <w:top w:val="single" w:sz="4" w:space="0" w:color="000000"/>
              <w:left w:val="single" w:sz="4" w:space="0" w:color="000000"/>
              <w:right w:val="single" w:sz="4" w:space="0" w:color="000000"/>
            </w:tcBorders>
            <w:shd w:val="clear" w:color="auto" w:fill="D2D2D2"/>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34"/>
              <w:jc w:val="left"/>
              <w:rPr>
                <w:rFonts w:ascii="宋体" w:hAnsi="宋体" w:cs="宋体" w:eastAsia="宋体" w:hint="default"/>
                <w:sz w:val="18"/>
                <w:szCs w:val="18"/>
              </w:rPr>
            </w:pPr>
            <w:r>
              <w:rPr>
                <w:rFonts w:ascii="宋体" w:hAnsi="宋体" w:cs="宋体" w:eastAsia="宋体" w:hint="default"/>
                <w:sz w:val="18"/>
                <w:szCs w:val="18"/>
              </w:rPr>
              <w:t>循市场原则以公允、合理的市场价格进行， </w:t>
            </w:r>
            <w:r>
              <w:rPr>
                <w:rFonts w:ascii="宋体" w:hAnsi="宋体" w:cs="宋体" w:eastAsia="宋体" w:hint="default"/>
                <w:spacing w:val="-3"/>
                <w:sz w:val="18"/>
                <w:szCs w:val="18"/>
              </w:rPr>
              <w:t>根据有关法律、法规及规范性文件的规定履</w:t>
            </w:r>
            <w:r>
              <w:rPr>
                <w:rFonts w:ascii="宋体" w:hAnsi="宋体" w:cs="宋体" w:eastAsia="宋体" w:hint="default"/>
                <w:sz w:val="18"/>
                <w:szCs w:val="18"/>
              </w:rPr>
              <w:t> </w:t>
            </w:r>
            <w:r>
              <w:rPr>
                <w:rFonts w:ascii="宋体" w:hAnsi="宋体" w:cs="宋体" w:eastAsia="宋体" w:hint="default"/>
                <w:spacing w:val="-3"/>
                <w:sz w:val="18"/>
                <w:szCs w:val="18"/>
              </w:rPr>
              <w:t>行关联交易决策程序，依法履行信息披露义</w:t>
            </w:r>
            <w:r>
              <w:rPr>
                <w:rFonts w:ascii="宋体" w:hAnsi="宋体" w:cs="宋体" w:eastAsia="宋体" w:hint="default"/>
                <w:sz w:val="18"/>
                <w:szCs w:val="18"/>
              </w:rPr>
              <w:t> </w:t>
            </w:r>
            <w:r>
              <w:rPr>
                <w:rFonts w:ascii="宋体" w:hAnsi="宋体" w:cs="宋体" w:eastAsia="宋体" w:hint="default"/>
                <w:spacing w:val="-3"/>
                <w:sz w:val="18"/>
                <w:szCs w:val="18"/>
              </w:rPr>
              <w:t>务和办理有关报批程序，不利用股东优势地</w:t>
            </w:r>
            <w:r>
              <w:rPr>
                <w:rFonts w:ascii="宋体" w:hAnsi="宋体" w:cs="宋体" w:eastAsia="宋体" w:hint="default"/>
                <w:sz w:val="18"/>
                <w:szCs w:val="18"/>
              </w:rPr>
              <w:t> </w:t>
            </w:r>
            <w:r>
              <w:rPr>
                <w:rFonts w:ascii="宋体" w:hAnsi="宋体" w:cs="宋体" w:eastAsia="宋体" w:hint="default"/>
                <w:spacing w:val="-3"/>
                <w:sz w:val="18"/>
                <w:szCs w:val="18"/>
              </w:rPr>
              <w:t>位损害中科金财及其他股东的合法权益。本</w:t>
            </w:r>
            <w:r>
              <w:rPr>
                <w:rFonts w:ascii="宋体" w:hAnsi="宋体" w:cs="宋体" w:eastAsia="宋体" w:hint="default"/>
                <w:sz w:val="18"/>
                <w:szCs w:val="18"/>
              </w:rPr>
              <w:t> </w:t>
            </w:r>
            <w:r>
              <w:rPr>
                <w:rFonts w:ascii="宋体" w:hAnsi="宋体" w:cs="宋体" w:eastAsia="宋体" w:hint="default"/>
                <w:spacing w:val="-3"/>
                <w:sz w:val="18"/>
                <w:szCs w:val="18"/>
              </w:rPr>
              <w:t>人／本公司若违反上述承诺，将承担因此而</w:t>
            </w:r>
            <w:r>
              <w:rPr>
                <w:rFonts w:ascii="宋体" w:hAnsi="宋体" w:cs="宋体" w:eastAsia="宋体" w:hint="default"/>
                <w:sz w:val="18"/>
                <w:szCs w:val="18"/>
              </w:rPr>
              <w:t> 给中科金财、滨河创新及其控制的其他公 司、企业或者其他经济组织造成的一切损 </w:t>
            </w:r>
            <w:r>
              <w:rPr>
                <w:rFonts w:ascii="宋体" w:hAnsi="宋体" w:cs="宋体" w:eastAsia="宋体" w:hint="default"/>
                <w:spacing w:val="-4"/>
                <w:sz w:val="18"/>
                <w:szCs w:val="18"/>
              </w:rPr>
              <w:t>失。三、关于资金占用：除正常经营性往来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外，保证本次交易完成后中科金财、滨河创</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新不存在资金、资产被本人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w:t>
            </w:r>
            <w:r>
              <w:rPr>
                <w:rFonts w:ascii="宋体" w:hAnsi="宋体" w:cs="宋体" w:eastAsia="宋体" w:hint="default"/>
                <w:spacing w:val="-16"/>
                <w:sz w:val="18"/>
                <w:szCs w:val="18"/>
              </w:rPr>
              <w:t> </w:t>
            </w:r>
            <w:r>
              <w:rPr>
                <w:rFonts w:ascii="宋体" w:hAnsi="宋体" w:cs="宋体" w:eastAsia="宋体" w:hint="default"/>
                <w:sz w:val="18"/>
                <w:szCs w:val="18"/>
              </w:rPr>
              <w:t>本人</w:t>
            </w:r>
          </w:p>
          <w:p>
            <w:pPr>
              <w:pStyle w:val="TableParagraph"/>
              <w:spacing w:line="300" w:lineRule="auto"/>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本公司控制的其他公</w:t>
            </w:r>
            <w:r>
              <w:rPr>
                <w:rFonts w:ascii="宋体" w:hAnsi="宋体" w:cs="宋体" w:eastAsia="宋体" w:hint="default"/>
                <w:spacing w:val="-14"/>
                <w:sz w:val="18"/>
                <w:szCs w:val="18"/>
              </w:rPr>
              <w:t> </w:t>
            </w:r>
            <w:r>
              <w:rPr>
                <w:rFonts w:ascii="宋体" w:hAnsi="宋体" w:cs="宋体" w:eastAsia="宋体" w:hint="default"/>
                <w:sz w:val="18"/>
                <w:szCs w:val="18"/>
              </w:rPr>
              <w:t>司、企业或者其他经</w:t>
            </w:r>
            <w:r>
              <w:rPr>
                <w:rFonts w:ascii="宋体" w:hAnsi="宋体" w:cs="宋体" w:eastAsia="宋体" w:hint="default"/>
                <w:sz w:val="18"/>
                <w:szCs w:val="18"/>
              </w:rPr>
              <w:t> 济组织等关联方占用的情形。</w:t>
            </w: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9723" w:hRule="exact"/>
        </w:trPr>
        <w:tc>
          <w:tcPr>
            <w:tcW w:w="1799" w:type="dxa"/>
            <w:vMerge/>
            <w:tcBorders>
              <w:left w:val="single" w:sz="4" w:space="0" w:color="000000"/>
              <w:bottom w:val="single" w:sz="4" w:space="0" w:color="000000"/>
              <w:right w:val="single" w:sz="4" w:space="0" w:color="000000"/>
            </w:tcBorders>
            <w:shd w:val="clear" w:color="auto" w:fill="D2D2D2"/>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00" w:lineRule="auto"/>
              <w:ind w:left="23" w:right="43"/>
              <w:jc w:val="both"/>
              <w:rPr>
                <w:rFonts w:ascii="宋体" w:hAnsi="宋体" w:cs="宋体" w:eastAsia="宋体" w:hint="default"/>
                <w:sz w:val="18"/>
                <w:szCs w:val="18"/>
              </w:rPr>
            </w:pPr>
            <w:r>
              <w:rPr>
                <w:rFonts w:ascii="宋体" w:hAnsi="宋体" w:cs="宋体" w:eastAsia="宋体" w:hint="default"/>
                <w:sz w:val="18"/>
                <w:szCs w:val="18"/>
              </w:rPr>
              <w:t>刘开同</w:t>
            </w:r>
            <w:r>
              <w:rPr>
                <w:rFonts w:ascii="Times New Roman" w:hAnsi="Times New Roman" w:cs="Times New Roman" w:eastAsia="Times New Roman" w:hint="default"/>
                <w:sz w:val="18"/>
                <w:szCs w:val="18"/>
              </w:rPr>
              <w:t>;</w:t>
            </w:r>
            <w:r>
              <w:rPr>
                <w:rFonts w:ascii="宋体" w:hAnsi="宋体" w:cs="宋体" w:eastAsia="宋体" w:hint="default"/>
                <w:sz w:val="18"/>
                <w:szCs w:val="18"/>
              </w:rPr>
              <w:t>胡卫彬</w:t>
            </w:r>
            <w:r>
              <w:rPr>
                <w:rFonts w:ascii="Times New Roman" w:hAnsi="Times New Roman" w:cs="Times New Roman" w:eastAsia="Times New Roman" w:hint="default"/>
                <w:sz w:val="18"/>
                <w:szCs w:val="18"/>
              </w:rPr>
              <w:t>;</w:t>
            </w:r>
            <w:r>
              <w:rPr>
                <w:rFonts w:ascii="宋体" w:hAnsi="宋体" w:cs="宋体" w:eastAsia="宋体" w:hint="default"/>
                <w:sz w:val="18"/>
                <w:szCs w:val="18"/>
              </w:rPr>
              <w:t>蔡 宝宇</w:t>
            </w:r>
            <w:r>
              <w:rPr>
                <w:rFonts w:ascii="Times New Roman" w:hAnsi="Times New Roman" w:cs="Times New Roman" w:eastAsia="Times New Roman" w:hint="default"/>
                <w:sz w:val="18"/>
                <w:szCs w:val="18"/>
              </w:rPr>
              <w:t>;</w:t>
            </w:r>
            <w:r>
              <w:rPr>
                <w:rFonts w:ascii="宋体" w:hAnsi="宋体" w:cs="宋体" w:eastAsia="宋体" w:hint="default"/>
                <w:sz w:val="18"/>
                <w:szCs w:val="18"/>
              </w:rPr>
              <w:t>温长建</w:t>
            </w:r>
            <w:r>
              <w:rPr>
                <w:rFonts w:ascii="Times New Roman" w:hAnsi="Times New Roman" w:cs="Times New Roman" w:eastAsia="Times New Roman" w:hint="default"/>
                <w:sz w:val="18"/>
                <w:szCs w:val="18"/>
              </w:rPr>
              <w:t>;</w:t>
            </w:r>
            <w:r>
              <w:rPr>
                <w:rFonts w:ascii="宋体" w:hAnsi="宋体" w:cs="宋体" w:eastAsia="宋体" w:hint="default"/>
                <w:sz w:val="18"/>
                <w:szCs w:val="18"/>
              </w:rPr>
              <w:t>徐灵 慧</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44"/>
              <w:jc w:val="both"/>
              <w:rPr>
                <w:rFonts w:ascii="宋体" w:hAnsi="宋体" w:cs="宋体" w:eastAsia="宋体" w:hint="default"/>
                <w:sz w:val="18"/>
                <w:szCs w:val="18"/>
              </w:rPr>
            </w:pPr>
            <w:r>
              <w:rPr>
                <w:rFonts w:ascii="宋体" w:hAnsi="宋体" w:cs="宋体" w:eastAsia="宋体" w:hint="default"/>
                <w:sz w:val="18"/>
                <w:szCs w:val="18"/>
              </w:rPr>
              <w:t>任职期限 和竞业禁 止承诺</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、任职期限：刘开同及滨河创新核心人员 </w:t>
            </w:r>
            <w:r>
              <w:rPr>
                <w:rFonts w:ascii="宋体" w:hAnsi="宋体" w:cs="宋体" w:eastAsia="宋体" w:hint="default"/>
                <w:spacing w:val="-4"/>
                <w:sz w:val="18"/>
                <w:szCs w:val="18"/>
              </w:rPr>
              <w:t>胡卫彬、蔡宝宇、温长建、徐灵慧就任职期</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限达成协议如下：</w:t>
            </w:r>
            <w:r>
              <w:rPr>
                <w:rFonts w:ascii="Times New Roman" w:hAnsi="Times New Roman" w:cs="Times New Roman" w:eastAsia="Times New Roman" w:hint="default"/>
                <w:sz w:val="18"/>
                <w:szCs w:val="18"/>
              </w:rPr>
              <w:t>“</w:t>
            </w:r>
            <w:r>
              <w:rPr>
                <w:rFonts w:ascii="宋体" w:hAnsi="宋体" w:cs="宋体" w:eastAsia="宋体" w:hint="default"/>
                <w:sz w:val="18"/>
                <w:szCs w:val="18"/>
              </w:rPr>
              <w:t>乙方承诺自发行股份购 买资产实施结束之日起其在滨河创新的服 务期限不少于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w:t>
            </w:r>
            <w:r>
              <w:rPr>
                <w:rFonts w:ascii="宋体" w:hAnsi="宋体" w:cs="宋体" w:eastAsia="宋体" w:hint="default"/>
                <w:sz w:val="18"/>
                <w:szCs w:val="18"/>
              </w:rPr>
              <w:t>、竞业限制：刘 开同及滨河创新核心人员胡卫彬、蔡宝宇、 温长建、徐灵慧就竞业限制达成协议如下： </w:t>
            </w:r>
            <w:r>
              <w:rPr>
                <w:rFonts w:ascii="Times New Roman" w:hAnsi="Times New Roman" w:cs="Times New Roman" w:eastAsia="Times New Roman" w:hint="default"/>
                <w:sz w:val="18"/>
                <w:szCs w:val="18"/>
              </w:rPr>
              <w:t>“</w:t>
            </w:r>
            <w:r>
              <w:rPr>
                <w:rFonts w:ascii="宋体" w:hAnsi="宋体" w:cs="宋体" w:eastAsia="宋体" w:hint="default"/>
                <w:sz w:val="18"/>
                <w:szCs w:val="18"/>
              </w:rPr>
              <w:t>自本协议生效之日至其从滨河创新离职后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个月内，乙方不得从事与甲方或滨河创 </w:t>
            </w:r>
            <w:r>
              <w:rPr>
                <w:rFonts w:ascii="宋体" w:hAnsi="宋体" w:cs="宋体" w:eastAsia="宋体" w:hint="default"/>
                <w:spacing w:val="-3"/>
                <w:sz w:val="18"/>
                <w:szCs w:val="18"/>
              </w:rPr>
              <w:t>新业务相同或类似的投资或任职行为，即无</w:t>
            </w:r>
            <w:r>
              <w:rPr>
                <w:rFonts w:ascii="宋体" w:hAnsi="宋体" w:cs="宋体" w:eastAsia="宋体" w:hint="default"/>
                <w:sz w:val="18"/>
                <w:szCs w:val="18"/>
              </w:rPr>
              <w:t> </w:t>
            </w:r>
            <w:r>
              <w:rPr>
                <w:rFonts w:ascii="宋体" w:hAnsi="宋体" w:cs="宋体" w:eastAsia="宋体" w:hint="default"/>
                <w:spacing w:val="-3"/>
                <w:sz w:val="18"/>
                <w:szCs w:val="18"/>
              </w:rPr>
              <w:t>论在何种情况下，不得以任何方式受聘或经</w:t>
            </w:r>
            <w:r>
              <w:rPr>
                <w:rFonts w:ascii="宋体" w:hAnsi="宋体" w:cs="宋体" w:eastAsia="宋体" w:hint="default"/>
                <w:sz w:val="18"/>
                <w:szCs w:val="18"/>
              </w:rPr>
              <w:t> </w:t>
            </w:r>
            <w:r>
              <w:rPr>
                <w:rFonts w:ascii="宋体" w:hAnsi="宋体" w:cs="宋体" w:eastAsia="宋体" w:hint="default"/>
                <w:spacing w:val="-3"/>
                <w:sz w:val="18"/>
                <w:szCs w:val="18"/>
              </w:rPr>
              <w:t>营于任何与甲方及其控股子公司、滨河创新</w:t>
            </w:r>
            <w:r>
              <w:rPr>
                <w:rFonts w:ascii="宋体" w:hAnsi="宋体" w:cs="宋体" w:eastAsia="宋体" w:hint="default"/>
                <w:sz w:val="18"/>
                <w:szCs w:val="18"/>
              </w:rPr>
              <w:t> 及其下属公司业务有直接或间接竞争或利 益冲突之公司及业务，不能到生产、开发、 </w:t>
            </w:r>
            <w:r>
              <w:rPr>
                <w:rFonts w:ascii="宋体" w:hAnsi="宋体" w:cs="宋体" w:eastAsia="宋体" w:hint="default"/>
                <w:spacing w:val="-3"/>
                <w:sz w:val="18"/>
                <w:szCs w:val="18"/>
              </w:rPr>
              <w:t>经营与甲方及其控股子公司、滨河创新及其</w:t>
            </w:r>
            <w:r>
              <w:rPr>
                <w:rFonts w:ascii="宋体" w:hAnsi="宋体" w:cs="宋体" w:eastAsia="宋体" w:hint="default"/>
                <w:sz w:val="18"/>
                <w:szCs w:val="18"/>
              </w:rPr>
              <w:t> </w:t>
            </w:r>
            <w:r>
              <w:rPr>
                <w:rFonts w:ascii="宋体" w:hAnsi="宋体" w:cs="宋体" w:eastAsia="宋体" w:hint="default"/>
                <w:spacing w:val="-3"/>
                <w:sz w:val="18"/>
                <w:szCs w:val="18"/>
              </w:rPr>
              <w:t>下属公司生产、开发、经营同类产品或经营</w:t>
            </w:r>
            <w:r>
              <w:rPr>
                <w:rFonts w:ascii="宋体" w:hAnsi="宋体" w:cs="宋体" w:eastAsia="宋体" w:hint="default"/>
                <w:sz w:val="18"/>
                <w:szCs w:val="18"/>
              </w:rPr>
              <w:t> 同类业务或有竞争关系的其他用人单位兼 </w:t>
            </w:r>
            <w:r>
              <w:rPr>
                <w:rFonts w:ascii="宋体" w:hAnsi="宋体" w:cs="宋体" w:eastAsia="宋体" w:hint="default"/>
                <w:spacing w:val="-3"/>
                <w:sz w:val="18"/>
                <w:szCs w:val="18"/>
              </w:rPr>
              <w:t>职或全职；也不能自行或以任何第三者的名</w:t>
            </w:r>
            <w:r>
              <w:rPr>
                <w:rFonts w:ascii="宋体" w:hAnsi="宋体" w:cs="宋体" w:eastAsia="宋体" w:hint="default"/>
                <w:sz w:val="18"/>
                <w:szCs w:val="18"/>
              </w:rPr>
              <w:t> 义设立、投资或控股与甲方及其控股子公 </w:t>
            </w:r>
            <w:r>
              <w:rPr>
                <w:rFonts w:ascii="宋体" w:hAnsi="宋体" w:cs="宋体" w:eastAsia="宋体" w:hint="default"/>
                <w:spacing w:val="-3"/>
                <w:sz w:val="18"/>
                <w:szCs w:val="18"/>
              </w:rPr>
              <w:t>司、滨河创新及其下属公司有任何竞争关系</w:t>
            </w:r>
            <w:r>
              <w:rPr>
                <w:rFonts w:ascii="宋体" w:hAnsi="宋体" w:cs="宋体" w:eastAsia="宋体" w:hint="default"/>
                <w:sz w:val="18"/>
                <w:szCs w:val="18"/>
              </w:rPr>
              <w:t> </w:t>
            </w:r>
            <w:r>
              <w:rPr>
                <w:rFonts w:ascii="宋体" w:hAnsi="宋体" w:cs="宋体" w:eastAsia="宋体" w:hint="default"/>
                <w:spacing w:val="-3"/>
                <w:sz w:val="18"/>
                <w:szCs w:val="18"/>
              </w:rPr>
              <w:t>或利益冲突的同类企业或经营单位，或从事</w:t>
            </w:r>
            <w:r>
              <w:rPr>
                <w:rFonts w:ascii="宋体" w:hAnsi="宋体" w:cs="宋体" w:eastAsia="宋体" w:hint="default"/>
                <w:sz w:val="18"/>
                <w:szCs w:val="18"/>
              </w:rPr>
              <w:t> </w:t>
            </w:r>
            <w:r>
              <w:rPr>
                <w:rFonts w:ascii="宋体" w:hAnsi="宋体" w:cs="宋体" w:eastAsia="宋体" w:hint="default"/>
                <w:spacing w:val="-3"/>
                <w:sz w:val="18"/>
                <w:szCs w:val="18"/>
              </w:rPr>
              <w:t>与滨河创新有竞争关系的业务；如乙方或其</w:t>
            </w:r>
            <w:r>
              <w:rPr>
                <w:rFonts w:ascii="宋体" w:hAnsi="宋体" w:cs="宋体" w:eastAsia="宋体" w:hint="default"/>
                <w:sz w:val="18"/>
                <w:szCs w:val="18"/>
              </w:rPr>
              <w:t> 所控制的除滨河创新外的其他企业从任何 </w:t>
            </w:r>
            <w:r>
              <w:rPr>
                <w:rFonts w:ascii="宋体" w:hAnsi="宋体" w:cs="宋体" w:eastAsia="宋体" w:hint="default"/>
                <w:spacing w:val="-3"/>
                <w:sz w:val="18"/>
                <w:szCs w:val="18"/>
              </w:rPr>
              <w:t>第三方获得的商业机会与甲方、滨河创新及</w:t>
            </w:r>
            <w:r>
              <w:rPr>
                <w:rFonts w:ascii="宋体" w:hAnsi="宋体" w:cs="宋体" w:eastAsia="宋体" w:hint="default"/>
                <w:sz w:val="18"/>
                <w:szCs w:val="18"/>
              </w:rPr>
              <w:t> 其下属公司的业务有竞争或可能存在竞争， 则将该商业机会让予甲方或其控股子公司、 </w:t>
            </w:r>
            <w:r>
              <w:rPr>
                <w:rFonts w:ascii="宋体" w:hAnsi="宋体" w:cs="宋体" w:eastAsia="宋体" w:hint="default"/>
                <w:spacing w:val="-3"/>
                <w:sz w:val="18"/>
                <w:szCs w:val="18"/>
              </w:rPr>
              <w:t>滨河创新或其下属公司；但滨河创新在乙方</w:t>
            </w:r>
            <w:r>
              <w:rPr>
                <w:rFonts w:ascii="宋体" w:hAnsi="宋体" w:cs="宋体" w:eastAsia="宋体" w:hint="default"/>
                <w:sz w:val="18"/>
                <w:szCs w:val="18"/>
              </w:rPr>
              <w:t> 未违反其劳动合同或者未完成工作目标等 </w:t>
            </w:r>
            <w:r>
              <w:rPr>
                <w:rFonts w:ascii="宋体" w:hAnsi="宋体" w:cs="宋体" w:eastAsia="宋体" w:hint="default"/>
                <w:spacing w:val="-3"/>
                <w:sz w:val="18"/>
                <w:szCs w:val="18"/>
              </w:rPr>
              <w:t>义务的情况下辞退乙方的除外。自本协议生</w:t>
            </w:r>
            <w:r>
              <w:rPr>
                <w:rFonts w:ascii="宋体" w:hAnsi="宋体" w:cs="宋体" w:eastAsia="宋体" w:hint="default"/>
                <w:sz w:val="18"/>
                <w:szCs w:val="18"/>
              </w:rPr>
              <w:t> 效之日至其从滨河创新离职后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w:t>
            </w:r>
            <w:r>
              <w:rPr>
                <w:rFonts w:ascii="宋体" w:hAnsi="宋体" w:cs="宋体" w:eastAsia="宋体" w:hint="default"/>
                <w:spacing w:val="-3"/>
                <w:sz w:val="18"/>
                <w:szCs w:val="18"/>
              </w:rPr>
              <w:t>乙方不得以任何理由或方式（包括但不限于</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3"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202</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z w:val="18"/>
                <w:szCs w:val="18"/>
              </w:rPr>
              <w:t>正常 履行 </w:t>
            </w:r>
            <w:r>
              <w:rPr>
                <w:rFonts w:ascii="宋体" w:hAnsi="宋体" w:cs="宋体" w:eastAsia="宋体" w:hint="default"/>
                <w:spacing w:val="-10"/>
                <w:sz w:val="18"/>
                <w:szCs w:val="18"/>
              </w:rPr>
              <w:t>中。天</w:t>
            </w:r>
            <w:r>
              <w:rPr>
                <w:rFonts w:ascii="宋体" w:hAnsi="宋体" w:cs="宋体" w:eastAsia="宋体" w:hint="default"/>
                <w:sz w:val="18"/>
                <w:szCs w:val="18"/>
              </w:rPr>
              <w:t> 津中 科原 核心 人员 徐灵 慧等 涉嫌 职务 侵占， 损害 天津 中科 的利 </w:t>
            </w:r>
            <w:r>
              <w:rPr>
                <w:rFonts w:ascii="宋体" w:hAnsi="宋体" w:cs="宋体" w:eastAsia="宋体" w:hint="default"/>
                <w:spacing w:val="-10"/>
                <w:sz w:val="18"/>
                <w:szCs w:val="18"/>
              </w:rPr>
              <w:t>益，正</w:t>
            </w:r>
            <w:r>
              <w:rPr>
                <w:rFonts w:ascii="宋体" w:hAnsi="宋体" w:cs="宋体" w:eastAsia="宋体" w:hint="default"/>
                <w:sz w:val="18"/>
                <w:szCs w:val="18"/>
              </w:rPr>
              <w:t> 在公 安机 关的 刑事 侦查 过程 中。</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35.070007pt;margin-top:567.190002pt;width:44.45pt;height:31.2pt;mso-position-horizontal-relative:page;mso-position-vertical-relative:page;z-index:-1105600" coordorigin="8701,11344" coordsize="889,624">
            <v:shape style="position:absolute;left:8701;top:11344;width:889;height:624" coordorigin="8701,11344" coordsize="889,624" path="m8701,11968l9590,11968,9590,11344,8701,11344,8701,1196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99"/>
        <w:gridCol w:w="1441"/>
        <w:gridCol w:w="900"/>
        <w:gridCol w:w="3420"/>
        <w:gridCol w:w="901"/>
        <w:gridCol w:w="540"/>
        <w:gridCol w:w="566"/>
      </w:tblGrid>
      <w:tr>
        <w:trPr>
          <w:trHeight w:val="4107" w:hRule="exact"/>
        </w:trPr>
        <w:tc>
          <w:tcPr>
            <w:tcW w:w="1799" w:type="dxa"/>
            <w:vMerge w:val="restart"/>
            <w:tcBorders>
              <w:top w:val="single" w:sz="4" w:space="0" w:color="000000"/>
              <w:left w:val="single" w:sz="4" w:space="0" w:color="000000"/>
              <w:right w:val="single" w:sz="4" w:space="0" w:color="000000"/>
            </w:tcBorders>
            <w:shd w:val="clear" w:color="auto" w:fill="D2D2D2"/>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pacing w:val="-4"/>
                <w:sz w:val="18"/>
                <w:szCs w:val="18"/>
              </w:rPr>
              <w:t>劝喻、拉拢、雇用）导致滨河创新其他经营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管理人员离开滨河创新。同时，乙方不得以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任何名义或形式与离开滨河创新的经营管 理人员合作或投资与滨河创新有相同或有 </w:t>
            </w:r>
            <w:r>
              <w:rPr>
                <w:rFonts w:ascii="宋体" w:hAnsi="宋体" w:cs="宋体" w:eastAsia="宋体" w:hint="default"/>
                <w:spacing w:val="-3"/>
                <w:sz w:val="18"/>
                <w:szCs w:val="18"/>
              </w:rPr>
              <w:t>竞争关系的业务，也不得雇佣滨河创新经营</w:t>
            </w:r>
            <w:r>
              <w:rPr>
                <w:rFonts w:ascii="宋体" w:hAnsi="宋体" w:cs="宋体" w:eastAsia="宋体" w:hint="default"/>
                <w:sz w:val="18"/>
                <w:szCs w:val="18"/>
              </w:rPr>
              <w:t> </w:t>
            </w:r>
            <w:r>
              <w:rPr>
                <w:rFonts w:ascii="宋体" w:hAnsi="宋体" w:cs="宋体" w:eastAsia="宋体" w:hint="default"/>
                <w:spacing w:val="-5"/>
                <w:sz w:val="18"/>
                <w:szCs w:val="18"/>
              </w:rPr>
              <w:t>管理人员（包括离职人员）。乙方承诺严守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甲方及其控股子公司、滨河创新及其下属公</w:t>
            </w:r>
            <w:r>
              <w:rPr>
                <w:rFonts w:ascii="宋体" w:hAnsi="宋体" w:cs="宋体" w:eastAsia="宋体" w:hint="default"/>
                <w:sz w:val="18"/>
                <w:szCs w:val="18"/>
              </w:rPr>
              <w:t> </w:t>
            </w:r>
            <w:r>
              <w:rPr>
                <w:rFonts w:ascii="宋体" w:hAnsi="宋体" w:cs="宋体" w:eastAsia="宋体" w:hint="default"/>
                <w:spacing w:val="-3"/>
                <w:sz w:val="18"/>
                <w:szCs w:val="18"/>
              </w:rPr>
              <w:t>司秘密，不泄露其所知悉或掌握的甲方及其</w:t>
            </w:r>
            <w:r>
              <w:rPr>
                <w:rFonts w:ascii="宋体" w:hAnsi="宋体" w:cs="宋体" w:eastAsia="宋体" w:hint="default"/>
                <w:sz w:val="18"/>
                <w:szCs w:val="18"/>
              </w:rPr>
              <w:t> </w:t>
            </w:r>
            <w:r>
              <w:rPr>
                <w:rFonts w:ascii="宋体" w:hAnsi="宋体" w:cs="宋体" w:eastAsia="宋体" w:hint="default"/>
                <w:spacing w:val="-3"/>
                <w:sz w:val="18"/>
                <w:szCs w:val="18"/>
              </w:rPr>
              <w:t>控股子公司、滨河创新及其下属公司的商业</w:t>
            </w:r>
            <w:r>
              <w:rPr>
                <w:rFonts w:ascii="宋体" w:hAnsi="宋体" w:cs="宋体" w:eastAsia="宋体" w:hint="default"/>
                <w:sz w:val="18"/>
                <w:szCs w:val="18"/>
              </w:rPr>
              <w:t> </w:t>
            </w:r>
            <w:r>
              <w:rPr>
                <w:rFonts w:ascii="宋体" w:hAnsi="宋体" w:cs="宋体" w:eastAsia="宋体" w:hint="default"/>
                <w:spacing w:val="-4"/>
                <w:sz w:val="18"/>
                <w:szCs w:val="18"/>
              </w:rPr>
              <w:t>秘密。乙方不得以任何方式和手段（包括但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不限于侵占、受贿、舞弊、盗窃、挪用等不</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当或不法手段和方式）损害或侵害滨河创新</w:t>
            </w:r>
            <w:r>
              <w:rPr>
                <w:rFonts w:ascii="宋体" w:hAnsi="宋体" w:cs="宋体" w:eastAsia="宋体" w:hint="default"/>
                <w:sz w:val="18"/>
                <w:szCs w:val="18"/>
              </w:rPr>
              <w:t> 利益。</w:t>
            </w: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4457" w:hRule="exact"/>
        </w:trPr>
        <w:tc>
          <w:tcPr>
            <w:tcW w:w="1799" w:type="dxa"/>
            <w:vMerge/>
            <w:tcBorders>
              <w:left w:val="single" w:sz="4" w:space="0" w:color="000000"/>
              <w:right w:val="single" w:sz="4" w:space="0" w:color="000000"/>
            </w:tcBorders>
            <w:shd w:val="clear" w:color="auto" w:fill="D2D2D2"/>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60"/>
              <w:ind w:left="23" w:right="43"/>
              <w:jc w:val="left"/>
              <w:rPr>
                <w:rFonts w:ascii="宋体" w:hAnsi="宋体" w:cs="宋体" w:eastAsia="宋体" w:hint="default"/>
                <w:sz w:val="18"/>
                <w:szCs w:val="18"/>
              </w:rPr>
            </w:pPr>
            <w:r>
              <w:rPr>
                <w:rFonts w:ascii="宋体" w:hAnsi="宋体" w:cs="宋体" w:eastAsia="宋体" w:hint="default"/>
                <w:sz w:val="18"/>
                <w:szCs w:val="18"/>
              </w:rPr>
              <w:t>刘开同</w:t>
            </w:r>
            <w:r>
              <w:rPr>
                <w:rFonts w:ascii="Times New Roman" w:hAnsi="Times New Roman" w:cs="Times New Roman" w:eastAsia="Times New Roman" w:hint="default"/>
                <w:sz w:val="18"/>
                <w:szCs w:val="18"/>
              </w:rPr>
              <w:t>;</w:t>
            </w:r>
            <w:r>
              <w:rPr>
                <w:rFonts w:ascii="宋体" w:hAnsi="宋体" w:cs="宋体" w:eastAsia="宋体" w:hint="default"/>
                <w:sz w:val="18"/>
                <w:szCs w:val="18"/>
              </w:rPr>
              <w:t>董书倩</w:t>
            </w:r>
            <w:r>
              <w:rPr>
                <w:rFonts w:ascii="Times New Roman" w:hAnsi="Times New Roman" w:cs="Times New Roman" w:eastAsia="Times New Roman" w:hint="default"/>
                <w:sz w:val="18"/>
                <w:szCs w:val="18"/>
              </w:rPr>
              <w:t>;</w:t>
            </w:r>
            <w:r>
              <w:rPr>
                <w:rFonts w:ascii="宋体" w:hAnsi="宋体" w:cs="宋体" w:eastAsia="宋体" w:hint="default"/>
                <w:sz w:val="18"/>
                <w:szCs w:val="18"/>
              </w:rPr>
              <w:t>刘 运龙</w:t>
            </w:r>
            <w:r>
              <w:rPr>
                <w:rFonts w:ascii="Times New Roman" w:hAnsi="Times New Roman" w:cs="Times New Roman" w:eastAsia="Times New Roman" w:hint="default"/>
                <w:sz w:val="18"/>
                <w:szCs w:val="18"/>
              </w:rPr>
              <w:t>;</w:t>
            </w:r>
            <w:r>
              <w:rPr>
                <w:rFonts w:ascii="宋体" w:hAnsi="宋体" w:cs="宋体" w:eastAsia="宋体" w:hint="default"/>
                <w:sz w:val="18"/>
                <w:szCs w:val="18"/>
              </w:rPr>
              <w:t>天津滨河数 据信息技术有限 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144"/>
              <w:jc w:val="both"/>
              <w:rPr>
                <w:rFonts w:ascii="宋体" w:hAnsi="宋体" w:cs="宋体" w:eastAsia="宋体" w:hint="default"/>
                <w:sz w:val="18"/>
                <w:szCs w:val="18"/>
              </w:rPr>
            </w:pPr>
            <w:r>
              <w:rPr>
                <w:rFonts w:ascii="宋体" w:hAnsi="宋体" w:cs="宋体" w:eastAsia="宋体" w:hint="default"/>
                <w:sz w:val="18"/>
                <w:szCs w:val="18"/>
              </w:rPr>
              <w:t>关于不谋 求公司实 际控制权 的承诺</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本次交易完成后，本人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本公司仍认可并尊 </w:t>
            </w:r>
            <w:r>
              <w:rPr>
                <w:rFonts w:ascii="宋体" w:hAnsi="宋体" w:cs="宋体" w:eastAsia="宋体" w:hint="default"/>
                <w:spacing w:val="-3"/>
                <w:sz w:val="18"/>
                <w:szCs w:val="18"/>
              </w:rPr>
              <w:t>重沈飒女士作为控股股东，以及朱烨东先生</w:t>
            </w:r>
            <w:r>
              <w:rPr>
                <w:rFonts w:ascii="宋体" w:hAnsi="宋体" w:cs="宋体" w:eastAsia="宋体" w:hint="default"/>
                <w:sz w:val="18"/>
                <w:szCs w:val="18"/>
              </w:rPr>
              <w:t> </w:t>
            </w:r>
            <w:r>
              <w:rPr>
                <w:rFonts w:ascii="宋体" w:hAnsi="宋体" w:cs="宋体" w:eastAsia="宋体" w:hint="default"/>
                <w:spacing w:val="-3"/>
                <w:sz w:val="18"/>
                <w:szCs w:val="18"/>
              </w:rPr>
              <w:t>和沈飒女士的中科金财实际控制人地位，不</w:t>
            </w:r>
            <w:r>
              <w:rPr>
                <w:rFonts w:ascii="宋体" w:hAnsi="宋体" w:cs="宋体" w:eastAsia="宋体" w:hint="default"/>
                <w:sz w:val="18"/>
                <w:szCs w:val="18"/>
              </w:rPr>
              <w:t> 对朱烨东先生和沈飒女士在中科金财经营 发展中的实际控制地位提出任何形式的异 </w:t>
            </w:r>
            <w:r>
              <w:rPr>
                <w:rFonts w:ascii="宋体" w:hAnsi="宋体" w:cs="宋体" w:eastAsia="宋体" w:hint="default"/>
                <w:spacing w:val="-4"/>
                <w:sz w:val="18"/>
                <w:szCs w:val="18"/>
              </w:rPr>
              <w:t>议。本人</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本公司不会单方面的通过增持股 </w:t>
            </w:r>
            <w:r>
              <w:rPr>
                <w:rFonts w:ascii="宋体" w:hAnsi="宋体" w:cs="宋体" w:eastAsia="宋体" w:hint="default"/>
                <w:spacing w:val="-3"/>
                <w:sz w:val="18"/>
                <w:szCs w:val="18"/>
              </w:rPr>
              <w:t>份等行为主动谋求中科金财的控制权，不单</w:t>
            </w:r>
            <w:r>
              <w:rPr>
                <w:rFonts w:ascii="宋体" w:hAnsi="宋体" w:cs="宋体" w:eastAsia="宋体" w:hint="default"/>
                <w:sz w:val="18"/>
                <w:szCs w:val="18"/>
              </w:rPr>
              <w:t> </w:t>
            </w:r>
            <w:r>
              <w:rPr>
                <w:rFonts w:ascii="宋体" w:hAnsi="宋体" w:cs="宋体" w:eastAsia="宋体" w:hint="default"/>
                <w:spacing w:val="-3"/>
                <w:sz w:val="18"/>
                <w:szCs w:val="18"/>
              </w:rPr>
              <w:t>独或与任何其他方协作（包括但不限于签署</w:t>
            </w:r>
            <w:r>
              <w:rPr>
                <w:rFonts w:ascii="宋体" w:hAnsi="宋体" w:cs="宋体" w:eastAsia="宋体" w:hint="default"/>
                <w:sz w:val="18"/>
                <w:szCs w:val="18"/>
              </w:rPr>
              <w:t> </w:t>
            </w:r>
            <w:r>
              <w:rPr>
                <w:rFonts w:ascii="宋体" w:hAnsi="宋体" w:cs="宋体" w:eastAsia="宋体" w:hint="default"/>
                <w:spacing w:val="-4"/>
                <w:sz w:val="18"/>
                <w:szCs w:val="18"/>
              </w:rPr>
              <w:t>一致行动协议、实际形成一致行动等）对沈</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飒女士控股股东地位及朱烨东先生和沈飒 女士的实际控制人地位进行任何形式的威 </w:t>
            </w:r>
            <w:r>
              <w:rPr>
                <w:rFonts w:ascii="宋体" w:hAnsi="宋体" w:cs="宋体" w:eastAsia="宋体" w:hint="default"/>
                <w:spacing w:val="-3"/>
                <w:sz w:val="18"/>
                <w:szCs w:val="18"/>
              </w:rPr>
              <w:t>胁，如有必要，将采取一切有利于维持中科</w:t>
            </w:r>
            <w:r>
              <w:rPr>
                <w:rFonts w:ascii="宋体" w:hAnsi="宋体" w:cs="宋体" w:eastAsia="宋体" w:hint="default"/>
                <w:sz w:val="18"/>
                <w:szCs w:val="18"/>
              </w:rPr>
              <w:t> 金财实际控制权稳定的行为对朱烨东先生 和沈飒女士提供支持。</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3" w:right="144"/>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170"/>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1963" w:hRule="exact"/>
        </w:trPr>
        <w:tc>
          <w:tcPr>
            <w:tcW w:w="1799" w:type="dxa"/>
            <w:vMerge/>
            <w:tcBorders>
              <w:left w:val="single" w:sz="4" w:space="0" w:color="000000"/>
              <w:right w:val="single" w:sz="4" w:space="0" w:color="000000"/>
            </w:tcBorders>
            <w:shd w:val="clear" w:color="auto" w:fill="D2D2D2"/>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54"/>
              <w:ind w:left="23" w:right="43"/>
              <w:jc w:val="left"/>
              <w:rPr>
                <w:rFonts w:ascii="宋体" w:hAnsi="宋体" w:cs="宋体" w:eastAsia="宋体" w:hint="default"/>
                <w:sz w:val="18"/>
                <w:szCs w:val="18"/>
              </w:rPr>
            </w:pPr>
            <w:r>
              <w:rPr>
                <w:rFonts w:ascii="宋体" w:hAnsi="宋体" w:cs="宋体" w:eastAsia="宋体" w:hint="default"/>
                <w:sz w:val="18"/>
                <w:szCs w:val="18"/>
              </w:rPr>
              <w:t>刘开同</w:t>
            </w:r>
            <w:r>
              <w:rPr>
                <w:rFonts w:ascii="Times New Roman" w:hAnsi="Times New Roman" w:cs="Times New Roman" w:eastAsia="Times New Roman" w:hint="default"/>
                <w:sz w:val="18"/>
                <w:szCs w:val="18"/>
              </w:rPr>
              <w:t>;</w:t>
            </w:r>
            <w:r>
              <w:rPr>
                <w:rFonts w:ascii="宋体" w:hAnsi="宋体" w:cs="宋体" w:eastAsia="宋体" w:hint="default"/>
                <w:sz w:val="18"/>
                <w:szCs w:val="18"/>
              </w:rPr>
              <w:t>董书倩</w:t>
            </w:r>
            <w:r>
              <w:rPr>
                <w:rFonts w:ascii="Times New Roman" w:hAnsi="Times New Roman" w:cs="Times New Roman" w:eastAsia="Times New Roman" w:hint="default"/>
                <w:sz w:val="18"/>
                <w:szCs w:val="18"/>
              </w:rPr>
              <w:t>;</w:t>
            </w:r>
            <w:r>
              <w:rPr>
                <w:rFonts w:ascii="宋体" w:hAnsi="宋体" w:cs="宋体" w:eastAsia="宋体" w:hint="default"/>
                <w:sz w:val="18"/>
                <w:szCs w:val="18"/>
              </w:rPr>
              <w:t>刘 运龙</w:t>
            </w:r>
            <w:r>
              <w:rPr>
                <w:rFonts w:ascii="Times New Roman" w:hAnsi="Times New Roman" w:cs="Times New Roman" w:eastAsia="Times New Roman" w:hint="default"/>
                <w:sz w:val="18"/>
                <w:szCs w:val="18"/>
              </w:rPr>
              <w:t>;</w:t>
            </w:r>
            <w:r>
              <w:rPr>
                <w:rFonts w:ascii="宋体" w:hAnsi="宋体" w:cs="宋体" w:eastAsia="宋体" w:hint="default"/>
                <w:sz w:val="18"/>
                <w:szCs w:val="18"/>
              </w:rPr>
              <w:t>天津滨河数 据信息技术有限 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交易对手 方关于所 提供信息 真实、准 </w:t>
            </w:r>
            <w:r>
              <w:rPr>
                <w:rFonts w:ascii="宋体" w:hAnsi="宋体" w:cs="宋体" w:eastAsia="宋体" w:hint="default"/>
                <w:spacing w:val="-12"/>
                <w:sz w:val="18"/>
                <w:szCs w:val="18"/>
              </w:rPr>
              <w:t>确、完整的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承诺函</w:t>
            </w:r>
          </w:p>
        </w:tc>
        <w:tc>
          <w:tcPr>
            <w:tcW w:w="342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6"/>
              <w:jc w:val="left"/>
              <w:rPr>
                <w:rFonts w:ascii="宋体" w:hAnsi="宋体" w:cs="宋体" w:eastAsia="宋体" w:hint="default"/>
                <w:sz w:val="18"/>
                <w:szCs w:val="18"/>
              </w:rPr>
            </w:pPr>
            <w:r>
              <w:rPr>
                <w:rFonts w:ascii="宋体" w:hAnsi="宋体" w:cs="宋体" w:eastAsia="宋体" w:hint="default"/>
                <w:sz w:val="18"/>
                <w:szCs w:val="18"/>
              </w:rPr>
              <w:t>本人／本公司为本次发行股份及支付现金 </w:t>
            </w:r>
            <w:r>
              <w:rPr>
                <w:rFonts w:ascii="宋体" w:hAnsi="宋体" w:cs="宋体" w:eastAsia="宋体" w:hint="default"/>
                <w:spacing w:val="-3"/>
                <w:sz w:val="18"/>
                <w:szCs w:val="18"/>
              </w:rPr>
              <w:t>购买资产事宜所提供的有关信息真实、准确</w:t>
            </w:r>
            <w:r>
              <w:rPr>
                <w:rFonts w:ascii="宋体" w:hAnsi="宋体" w:cs="宋体" w:eastAsia="宋体" w:hint="default"/>
                <w:sz w:val="18"/>
                <w:szCs w:val="18"/>
              </w:rPr>
              <w:t> </w:t>
            </w:r>
            <w:r>
              <w:rPr>
                <w:rFonts w:ascii="宋体" w:hAnsi="宋体" w:cs="宋体" w:eastAsia="宋体" w:hint="default"/>
                <w:spacing w:val="-4"/>
                <w:sz w:val="18"/>
                <w:szCs w:val="18"/>
              </w:rPr>
              <w:t>和完整，不存在任何虚假记载、误导性陈述</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或者重大遗漏，并对所提供信息的真实性、 准确性和完整性承担法律责任。</w:t>
            </w:r>
          </w:p>
        </w:tc>
        <w:tc>
          <w:tcPr>
            <w:tcW w:w="901"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44"/>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70"/>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3171" w:hRule="exact"/>
        </w:trPr>
        <w:tc>
          <w:tcPr>
            <w:tcW w:w="1799" w:type="dxa"/>
            <w:vMerge/>
            <w:tcBorders>
              <w:left w:val="single" w:sz="4" w:space="0" w:color="000000"/>
              <w:bottom w:val="single" w:sz="4" w:space="0" w:color="000000"/>
              <w:right w:val="single" w:sz="4" w:space="0" w:color="000000"/>
            </w:tcBorders>
            <w:shd w:val="clear" w:color="auto" w:fill="D2D2D2"/>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09" w:lineRule="auto"/>
              <w:ind w:left="23" w:right="21"/>
              <w:jc w:val="left"/>
              <w:rPr>
                <w:rFonts w:ascii="宋体" w:hAnsi="宋体" w:cs="宋体" w:eastAsia="宋体" w:hint="default"/>
                <w:sz w:val="18"/>
                <w:szCs w:val="18"/>
              </w:rPr>
            </w:pPr>
            <w:r>
              <w:rPr>
                <w:rFonts w:ascii="宋体" w:hAnsi="宋体" w:cs="宋体" w:eastAsia="宋体" w:hint="default"/>
                <w:sz w:val="18"/>
                <w:szCs w:val="18"/>
              </w:rPr>
              <w:t>临沂市志东方网 络信息科技合伙 </w:t>
            </w:r>
            <w:r>
              <w:rPr>
                <w:rFonts w:ascii="宋体" w:hAnsi="宋体" w:cs="宋体" w:eastAsia="宋体" w:hint="default"/>
                <w:spacing w:val="-12"/>
                <w:sz w:val="18"/>
                <w:szCs w:val="18"/>
              </w:rPr>
              <w:t>企业（有限合伙）</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张广清</w:t>
            </w:r>
            <w:r>
              <w:rPr>
                <w:rFonts w:ascii="Times New Roman" w:hAnsi="Times New Roman" w:cs="Times New Roman" w:eastAsia="Times New Roman" w:hint="default"/>
                <w:sz w:val="18"/>
                <w:szCs w:val="18"/>
              </w:rPr>
              <w:t>;</w:t>
            </w:r>
            <w:r>
              <w:rPr>
                <w:rFonts w:ascii="宋体" w:hAnsi="宋体" w:cs="宋体" w:eastAsia="宋体" w:hint="default"/>
                <w:sz w:val="18"/>
                <w:szCs w:val="18"/>
              </w:rPr>
              <w:t>陈志延</w:t>
            </w:r>
            <w:r>
              <w:rPr>
                <w:rFonts w:ascii="Times New Roman" w:hAnsi="Times New Roman" w:cs="Times New Roman" w:eastAsia="Times New Roman" w:hint="default"/>
                <w:sz w:val="18"/>
                <w:szCs w:val="18"/>
              </w:rPr>
              <w:t>;</w:t>
            </w:r>
            <w:r>
              <w:rPr>
                <w:rFonts w:ascii="宋体" w:hAnsi="宋体" w:cs="宋体" w:eastAsia="宋体" w:hint="default"/>
                <w:sz w:val="18"/>
                <w:szCs w:val="18"/>
              </w:rPr>
              <w:t>陈 嘉玮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316" w:lineRule="auto"/>
              <w:ind w:left="23" w:right="144"/>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7"/>
              <w:jc w:val="left"/>
              <w:rPr>
                <w:rFonts w:ascii="宋体" w:hAnsi="宋体" w:cs="宋体" w:eastAsia="宋体" w:hint="default"/>
                <w:sz w:val="18"/>
                <w:szCs w:val="18"/>
              </w:rPr>
            </w:pPr>
            <w:r>
              <w:rPr>
                <w:rFonts w:ascii="宋体" w:hAnsi="宋体" w:cs="宋体" w:eastAsia="宋体" w:hint="default"/>
                <w:spacing w:val="-6"/>
                <w:sz w:val="18"/>
                <w:szCs w:val="18"/>
              </w:rPr>
              <w:t>业绩承诺：承诺北京志东方</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pacing w:val="-11"/>
                <w:sz w:val="18"/>
                <w:szCs w:val="18"/>
              </w:rPr>
              <w:t>年度、</w:t>
            </w:r>
            <w:r>
              <w:rPr>
                <w:rFonts w:ascii="Times New Roman" w:hAnsi="Times New Roman" w:cs="Times New Roman" w:eastAsia="Times New Roman" w:hint="default"/>
                <w:spacing w:val="-11"/>
                <w:sz w:val="18"/>
                <w:szCs w:val="18"/>
              </w:rPr>
              <w:t>2020</w:t>
            </w:r>
            <w:r>
              <w:rPr>
                <w:rFonts w:ascii="Times New Roman" w:hAnsi="Times New Roman" w:cs="Times New Roman" w:eastAsia="Times New Roman" w:hint="default"/>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年度对应的净利润分别为不低 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2,200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2,700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万元。盈 利补偿：如北京志东方未能完成承诺净利 </w:t>
            </w:r>
            <w:r>
              <w:rPr>
                <w:rFonts w:ascii="宋体" w:hAnsi="宋体" w:cs="宋体" w:eastAsia="宋体" w:hint="default"/>
                <w:spacing w:val="-3"/>
                <w:sz w:val="18"/>
                <w:szCs w:val="18"/>
              </w:rPr>
              <w:t>润，则业绩承诺方应自中科金财发出书面补</w:t>
            </w:r>
            <w:r>
              <w:rPr>
                <w:rFonts w:ascii="宋体" w:hAnsi="宋体" w:cs="宋体" w:eastAsia="宋体" w:hint="default"/>
                <w:sz w:val="18"/>
                <w:szCs w:val="18"/>
              </w:rPr>
              <w:t> 偿通知之日起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日内按照如下公式向中科 </w:t>
            </w:r>
            <w:r>
              <w:rPr>
                <w:rFonts w:ascii="宋体" w:hAnsi="宋体" w:cs="宋体" w:eastAsia="宋体" w:hint="default"/>
                <w:spacing w:val="-3"/>
                <w:sz w:val="18"/>
                <w:szCs w:val="18"/>
              </w:rPr>
              <w:t>金财承担补偿义务，将补偿现金金额一次性</w:t>
            </w:r>
            <w:r>
              <w:rPr>
                <w:rFonts w:ascii="宋体" w:hAnsi="宋体" w:cs="宋体" w:eastAsia="宋体" w:hint="default"/>
                <w:sz w:val="18"/>
                <w:szCs w:val="18"/>
              </w:rPr>
              <w:t> </w:t>
            </w:r>
            <w:r>
              <w:rPr>
                <w:rFonts w:ascii="宋体" w:hAnsi="宋体" w:cs="宋体" w:eastAsia="宋体" w:hint="default"/>
                <w:spacing w:val="-3"/>
                <w:sz w:val="18"/>
                <w:szCs w:val="18"/>
              </w:rPr>
              <w:t>汇入中科金财指定的账户：某一年度补偿金</w:t>
            </w:r>
            <w:r>
              <w:rPr>
                <w:rFonts w:ascii="宋体" w:hAnsi="宋体" w:cs="宋体" w:eastAsia="宋体" w:hint="default"/>
                <w:sz w:val="18"/>
                <w:szCs w:val="18"/>
              </w:rPr>
              <w:t> 额</w:t>
            </w:r>
            <w:r>
              <w:rPr>
                <w:rFonts w:ascii="Times New Roman" w:hAnsi="Times New Roman" w:cs="Times New Roman" w:eastAsia="Times New Roman" w:hint="default"/>
                <w:sz w:val="18"/>
                <w:szCs w:val="18"/>
              </w:rPr>
              <w:t>=(</w:t>
            </w:r>
            <w:r>
              <w:rPr>
                <w:rFonts w:ascii="宋体" w:hAnsi="宋体" w:cs="宋体" w:eastAsia="宋体" w:hint="default"/>
                <w:sz w:val="18"/>
                <w:szCs w:val="18"/>
              </w:rPr>
              <w:t>截至当期期末承诺净利润数</w:t>
            </w:r>
            <w:r>
              <w:rPr>
                <w:rFonts w:ascii="Times New Roman" w:hAnsi="Times New Roman" w:cs="Times New Roman" w:eastAsia="Times New Roman" w:hint="default"/>
                <w:sz w:val="18"/>
                <w:szCs w:val="18"/>
              </w:rPr>
              <w:t>-</w:t>
            </w:r>
            <w:r>
              <w:rPr>
                <w:rFonts w:ascii="宋体" w:hAnsi="宋体" w:cs="宋体" w:eastAsia="宋体" w:hint="default"/>
                <w:sz w:val="18"/>
                <w:szCs w:val="18"/>
              </w:rPr>
              <w:t>截至当期 期末实现净利润数</w:t>
            </w:r>
            <w:r>
              <w:rPr>
                <w:rFonts w:ascii="Times New Roman" w:hAnsi="Times New Roman" w:cs="Times New Roman" w:eastAsia="Times New Roman" w:hint="default"/>
                <w:sz w:val="18"/>
                <w:szCs w:val="18"/>
              </w:rPr>
              <w:t>)÷</w:t>
            </w:r>
            <w:r>
              <w:rPr>
                <w:rFonts w:ascii="宋体" w:hAnsi="宋体" w:cs="宋体" w:eastAsia="宋体" w:hint="default"/>
                <w:sz w:val="18"/>
                <w:szCs w:val="18"/>
              </w:rPr>
              <w:t>补偿期间内各年的预</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316" w:lineRule="auto"/>
              <w:ind w:left="23" w:right="170"/>
              <w:jc w:val="both"/>
              <w:rPr>
                <w:rFonts w:ascii="宋体" w:hAnsi="宋体" w:cs="宋体" w:eastAsia="宋体" w:hint="default"/>
                <w:sz w:val="18"/>
                <w:szCs w:val="18"/>
              </w:rPr>
            </w:pPr>
            <w:r>
              <w:rPr>
                <w:rFonts w:ascii="宋体" w:hAnsi="宋体" w:cs="宋体" w:eastAsia="宋体" w:hint="default"/>
                <w:sz w:val="18"/>
                <w:szCs w:val="18"/>
              </w:rPr>
              <w:t>正常 履行 中</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35.070007pt;margin-top:266.665985pt;width:44.45pt;height:64.5pt;mso-position-horizontal-relative:page;mso-position-vertical-relative:page;z-index:-1105552" coordorigin="8701,5333" coordsize="889,1290">
            <v:group style="position:absolute;left:8701;top:5333;width:889;height:937" coordorigin="8701,5333" coordsize="889,937">
              <v:shape style="position:absolute;left:8701;top:5333;width:889;height:937" coordorigin="8701,5333" coordsize="889,937" path="m8701,6270l9590,6270,9590,5333,8701,5333,8701,6270xe" filled="true" fillcolor="#ffffff" stroked="false">
                <v:path arrowok="t"/>
                <v:fill type="solid"/>
              </v:shape>
            </v:group>
            <v:group style="position:absolute;left:8723;top:6270;width:846;height:353" coordorigin="8723,6270" coordsize="846,353">
              <v:shape style="position:absolute;left:8723;top:6270;width:846;height:353" coordorigin="8723,6270" coordsize="846,353" path="m8723,6623l9568,6623,9568,6270,8723,6270,8723,6623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99"/>
        <w:gridCol w:w="1441"/>
        <w:gridCol w:w="900"/>
        <w:gridCol w:w="3420"/>
        <w:gridCol w:w="901"/>
        <w:gridCol w:w="540"/>
        <w:gridCol w:w="566"/>
      </w:tblGrid>
      <w:tr>
        <w:trPr>
          <w:trHeight w:val="675" w:hRule="exact"/>
        </w:trPr>
        <w:tc>
          <w:tcPr>
            <w:tcW w:w="1799" w:type="dxa"/>
            <w:vMerge w:val="restart"/>
            <w:tcBorders>
              <w:top w:val="single" w:sz="4" w:space="0" w:color="000000"/>
              <w:left w:val="single" w:sz="4" w:space="0" w:color="000000"/>
              <w:right w:val="single" w:sz="4" w:space="0" w:color="000000"/>
            </w:tcBorders>
            <w:shd w:val="clear" w:color="auto" w:fill="D2D2D2"/>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43"/>
              <w:jc w:val="left"/>
              <w:rPr>
                <w:rFonts w:ascii="宋体" w:hAnsi="宋体" w:cs="宋体" w:eastAsia="宋体" w:hint="default"/>
                <w:sz w:val="18"/>
                <w:szCs w:val="18"/>
              </w:rPr>
            </w:pPr>
            <w:r>
              <w:rPr>
                <w:rFonts w:ascii="宋体" w:hAnsi="宋体" w:cs="宋体" w:eastAsia="宋体" w:hint="default"/>
                <w:sz w:val="18"/>
                <w:szCs w:val="18"/>
              </w:rPr>
              <w:t>测净利润数总和</w:t>
            </w:r>
            <w:r>
              <w:rPr>
                <w:rFonts w:ascii="Times New Roman" w:hAnsi="Times New Roman" w:cs="Times New Roman" w:eastAsia="Times New Roman" w:hint="default"/>
                <w:sz w:val="18"/>
                <w:szCs w:val="18"/>
              </w:rPr>
              <w:t>×</w:t>
            </w:r>
            <w:r>
              <w:rPr>
                <w:rFonts w:ascii="宋体" w:hAnsi="宋体" w:cs="宋体" w:eastAsia="宋体" w:hint="default"/>
                <w:sz w:val="18"/>
                <w:szCs w:val="18"/>
              </w:rPr>
              <w:t>本次股权收购交易价格。 总补偿金额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各年度补偿金额之和。</w:t>
            </w: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3209" w:hRule="exact"/>
        </w:trPr>
        <w:tc>
          <w:tcPr>
            <w:tcW w:w="1799" w:type="dxa"/>
            <w:vMerge/>
            <w:tcBorders>
              <w:left w:val="single" w:sz="4" w:space="0" w:color="000000"/>
              <w:right w:val="single" w:sz="4" w:space="0" w:color="000000"/>
            </w:tcBorders>
            <w:shd w:val="clear" w:color="auto" w:fill="D2D2D2"/>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9" w:lineRule="auto"/>
              <w:ind w:left="23" w:right="21"/>
              <w:jc w:val="left"/>
              <w:rPr>
                <w:rFonts w:ascii="宋体" w:hAnsi="宋体" w:cs="宋体" w:eastAsia="宋体" w:hint="default"/>
                <w:sz w:val="18"/>
                <w:szCs w:val="18"/>
              </w:rPr>
            </w:pPr>
            <w:r>
              <w:rPr>
                <w:rFonts w:ascii="宋体" w:hAnsi="宋体" w:cs="宋体" w:eastAsia="宋体" w:hint="default"/>
                <w:sz w:val="18"/>
                <w:szCs w:val="18"/>
              </w:rPr>
              <w:t>临沂市志东方网 络信息科技合伙 </w:t>
            </w:r>
            <w:r>
              <w:rPr>
                <w:rFonts w:ascii="宋体" w:hAnsi="宋体" w:cs="宋体" w:eastAsia="宋体" w:hint="default"/>
                <w:spacing w:val="-12"/>
                <w:sz w:val="18"/>
                <w:szCs w:val="18"/>
              </w:rPr>
              <w:t>企业（有限合伙）</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张广清</w:t>
            </w:r>
            <w:r>
              <w:rPr>
                <w:rFonts w:ascii="Times New Roman" w:hAnsi="Times New Roman" w:cs="Times New Roman" w:eastAsia="Times New Roman" w:hint="default"/>
                <w:sz w:val="18"/>
                <w:szCs w:val="18"/>
              </w:rPr>
              <w:t>;</w:t>
            </w:r>
            <w:r>
              <w:rPr>
                <w:rFonts w:ascii="宋体" w:hAnsi="宋体" w:cs="宋体" w:eastAsia="宋体" w:hint="default"/>
                <w:sz w:val="18"/>
                <w:szCs w:val="18"/>
              </w:rPr>
              <w:t>陈志延</w:t>
            </w:r>
            <w:r>
              <w:rPr>
                <w:rFonts w:ascii="Times New Roman" w:hAnsi="Times New Roman" w:cs="Times New Roman" w:eastAsia="Times New Roman" w:hint="default"/>
                <w:sz w:val="18"/>
                <w:szCs w:val="18"/>
              </w:rPr>
              <w:t>;</w:t>
            </w:r>
            <w:r>
              <w:rPr>
                <w:rFonts w:ascii="宋体" w:hAnsi="宋体" w:cs="宋体" w:eastAsia="宋体" w:hint="default"/>
                <w:sz w:val="18"/>
                <w:szCs w:val="18"/>
              </w:rPr>
              <w:t>陈 嘉玮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44"/>
              <w:jc w:val="both"/>
              <w:rPr>
                <w:rFonts w:ascii="宋体" w:hAnsi="宋体" w:cs="宋体" w:eastAsia="宋体" w:hint="default"/>
                <w:sz w:val="18"/>
                <w:szCs w:val="18"/>
              </w:rPr>
            </w:pPr>
            <w:r>
              <w:rPr>
                <w:rFonts w:ascii="宋体" w:hAnsi="宋体" w:cs="宋体" w:eastAsia="宋体" w:hint="default"/>
                <w:sz w:val="18"/>
                <w:szCs w:val="18"/>
              </w:rPr>
              <w:t>关于不谋 求公司实 际控制权 的承诺</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本次交易实施完成后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 </w:t>
            </w:r>
            <w:r>
              <w:rPr>
                <w:rFonts w:ascii="宋体" w:hAnsi="宋体" w:cs="宋体" w:eastAsia="宋体" w:hint="default"/>
                <w:sz w:val="18"/>
                <w:szCs w:val="18"/>
              </w:rPr>
              <w:t>个月内，本人及本 人控制的主体将不会谋求中科金财第一大 </w:t>
            </w:r>
            <w:r>
              <w:rPr>
                <w:rFonts w:ascii="宋体" w:hAnsi="宋体" w:cs="宋体" w:eastAsia="宋体" w:hint="default"/>
                <w:spacing w:val="-4"/>
                <w:sz w:val="18"/>
                <w:szCs w:val="18"/>
              </w:rPr>
              <w:t>股东或控股股东、实际控制人地位，也不以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与中科金财其他主要股东及其关联方、一致</w:t>
            </w:r>
            <w:r>
              <w:rPr>
                <w:rFonts w:ascii="宋体" w:hAnsi="宋体" w:cs="宋体" w:eastAsia="宋体" w:hint="default"/>
                <w:sz w:val="18"/>
                <w:szCs w:val="18"/>
              </w:rPr>
              <w:t> 行动人之间签署一致行动协议或达成类似 </w:t>
            </w:r>
            <w:r>
              <w:rPr>
                <w:rFonts w:ascii="宋体" w:hAnsi="宋体" w:cs="宋体" w:eastAsia="宋体" w:hint="default"/>
                <w:spacing w:val="-3"/>
                <w:sz w:val="18"/>
                <w:szCs w:val="18"/>
              </w:rPr>
              <w:t>协议、安排等其他任何方式谋求中科金财第</w:t>
            </w:r>
            <w:r>
              <w:rPr>
                <w:rFonts w:ascii="宋体" w:hAnsi="宋体" w:cs="宋体" w:eastAsia="宋体" w:hint="default"/>
                <w:sz w:val="18"/>
                <w:szCs w:val="18"/>
              </w:rPr>
              <w:t> </w:t>
            </w:r>
            <w:r>
              <w:rPr>
                <w:rFonts w:ascii="宋体" w:hAnsi="宋体" w:cs="宋体" w:eastAsia="宋体" w:hint="default"/>
                <w:spacing w:val="-4"/>
                <w:sz w:val="18"/>
                <w:szCs w:val="18"/>
              </w:rPr>
              <w:t>一大股东或控股股东、实际控制人地位，且</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不会协助或促使任何其他方通过任何方式 谋求中科金财的控股股东及实际控制人地 位。</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144"/>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70"/>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2588" w:hRule="exact"/>
        </w:trPr>
        <w:tc>
          <w:tcPr>
            <w:tcW w:w="1799" w:type="dxa"/>
            <w:vMerge/>
            <w:tcBorders>
              <w:left w:val="single" w:sz="4" w:space="0" w:color="000000"/>
              <w:bottom w:val="single" w:sz="4" w:space="0" w:color="000000"/>
              <w:right w:val="single" w:sz="4" w:space="0" w:color="000000"/>
            </w:tcBorders>
            <w:shd w:val="clear" w:color="auto" w:fill="D2D2D2"/>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03"/>
              <w:ind w:left="23" w:right="21"/>
              <w:jc w:val="left"/>
              <w:rPr>
                <w:rFonts w:ascii="宋体" w:hAnsi="宋体" w:cs="宋体" w:eastAsia="宋体" w:hint="default"/>
                <w:sz w:val="18"/>
                <w:szCs w:val="18"/>
              </w:rPr>
            </w:pPr>
            <w:r>
              <w:rPr>
                <w:rFonts w:ascii="宋体" w:hAnsi="宋体" w:cs="宋体" w:eastAsia="宋体" w:hint="default"/>
                <w:sz w:val="18"/>
                <w:szCs w:val="18"/>
              </w:rPr>
              <w:t>临沂市志东方网 络信息科技合伙 </w:t>
            </w:r>
            <w:r>
              <w:rPr>
                <w:rFonts w:ascii="宋体" w:hAnsi="宋体" w:cs="宋体" w:eastAsia="宋体" w:hint="default"/>
                <w:spacing w:val="-12"/>
                <w:sz w:val="18"/>
                <w:szCs w:val="18"/>
              </w:rPr>
              <w:t>企业（有限合伙）</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张广清</w:t>
            </w:r>
            <w:r>
              <w:rPr>
                <w:rFonts w:ascii="Times New Roman" w:hAnsi="Times New Roman" w:cs="Times New Roman" w:eastAsia="Times New Roman" w:hint="default"/>
                <w:sz w:val="18"/>
                <w:szCs w:val="18"/>
              </w:rPr>
              <w:t>;</w:t>
            </w:r>
            <w:r>
              <w:rPr>
                <w:rFonts w:ascii="宋体" w:hAnsi="宋体" w:cs="宋体" w:eastAsia="宋体" w:hint="default"/>
                <w:sz w:val="18"/>
                <w:szCs w:val="18"/>
              </w:rPr>
              <w:t>陈志延</w:t>
            </w:r>
            <w:r>
              <w:rPr>
                <w:rFonts w:ascii="Times New Roman" w:hAnsi="Times New Roman" w:cs="Times New Roman" w:eastAsia="Times New Roman" w:hint="default"/>
                <w:sz w:val="18"/>
                <w:szCs w:val="18"/>
              </w:rPr>
              <w:t>;</w:t>
            </w:r>
            <w:r>
              <w:rPr>
                <w:rFonts w:ascii="宋体" w:hAnsi="宋体" w:cs="宋体" w:eastAsia="宋体" w:hint="default"/>
                <w:sz w:val="18"/>
                <w:szCs w:val="18"/>
              </w:rPr>
              <w:t>陈 嘉玮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42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09" w:lineRule="auto"/>
              <w:ind w:left="23" w:right="99"/>
              <w:jc w:val="both"/>
              <w:rPr>
                <w:rFonts w:ascii="宋体" w:hAnsi="宋体" w:cs="宋体" w:eastAsia="宋体" w:hint="default"/>
                <w:sz w:val="18"/>
                <w:szCs w:val="18"/>
              </w:rPr>
            </w:pPr>
            <w:r>
              <w:rPr>
                <w:rFonts w:ascii="宋体" w:hAnsi="宋体" w:cs="宋体" w:eastAsia="宋体" w:hint="default"/>
                <w:spacing w:val="-8"/>
                <w:sz w:val="18"/>
                <w:szCs w:val="18"/>
              </w:rPr>
              <w:t>张广清、陈志延、陈嘉玮收到分配的资金后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将使用相当于本次股权转让价款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的资 金用于购买中科金财的股票。</w:t>
            </w:r>
          </w:p>
        </w:tc>
        <w:tc>
          <w:tcPr>
            <w:tcW w:w="901"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196"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170"/>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1649" w:hRule="exact"/>
        </w:trPr>
        <w:tc>
          <w:tcPr>
            <w:tcW w:w="1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2" w:right="144"/>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朱烨东</w:t>
            </w:r>
            <w:r>
              <w:rPr>
                <w:rFonts w:ascii="Times New Roman" w:hAnsi="Times New Roman" w:cs="Times New Roman" w:eastAsia="Times New Roman" w:hint="default"/>
                <w:sz w:val="18"/>
                <w:szCs w:val="18"/>
              </w:rPr>
              <w:t>;</w:t>
            </w:r>
            <w:r>
              <w:rPr>
                <w:rFonts w:ascii="宋体" w:hAnsi="宋体" w:cs="宋体" w:eastAsia="宋体" w:hint="default"/>
                <w:sz w:val="18"/>
                <w:szCs w:val="18"/>
              </w:rPr>
              <w:t>沈飒</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144"/>
              <w:jc w:val="both"/>
              <w:rPr>
                <w:rFonts w:ascii="宋体" w:hAnsi="宋体" w:cs="宋体" w:eastAsia="宋体" w:hint="default"/>
                <w:sz w:val="18"/>
                <w:szCs w:val="18"/>
              </w:rPr>
            </w:pPr>
            <w:r>
              <w:rPr>
                <w:rFonts w:ascii="宋体" w:hAnsi="宋体" w:cs="宋体" w:eastAsia="宋体" w:hint="default"/>
                <w:sz w:val="18"/>
                <w:szCs w:val="18"/>
              </w:rPr>
              <w:t>关于关联 交易的承 诺</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0"/>
              <w:jc w:val="left"/>
              <w:rPr>
                <w:rFonts w:ascii="宋体" w:hAnsi="宋体" w:cs="宋体" w:eastAsia="宋体" w:hint="default"/>
                <w:sz w:val="18"/>
                <w:szCs w:val="18"/>
              </w:rPr>
            </w:pPr>
            <w:r>
              <w:rPr>
                <w:rFonts w:ascii="宋体" w:hAnsi="宋体" w:cs="宋体" w:eastAsia="宋体" w:hint="default"/>
                <w:spacing w:val="-3"/>
                <w:sz w:val="18"/>
                <w:szCs w:val="18"/>
              </w:rPr>
              <w:t>尽量避免不必要的关联交易发生，对持续经</w:t>
            </w:r>
            <w:r>
              <w:rPr>
                <w:rFonts w:ascii="宋体" w:hAnsi="宋体" w:cs="宋体" w:eastAsia="宋体" w:hint="default"/>
                <w:sz w:val="18"/>
                <w:szCs w:val="18"/>
              </w:rPr>
              <w:t> </w:t>
            </w:r>
            <w:r>
              <w:rPr>
                <w:rFonts w:ascii="宋体" w:hAnsi="宋体" w:cs="宋体" w:eastAsia="宋体" w:hint="default"/>
                <w:spacing w:val="-3"/>
                <w:sz w:val="18"/>
                <w:szCs w:val="18"/>
              </w:rPr>
              <w:t>营所发生的必要的关联交易，应以双方协议</w:t>
            </w:r>
            <w:r>
              <w:rPr>
                <w:rFonts w:ascii="宋体" w:hAnsi="宋体" w:cs="宋体" w:eastAsia="宋体" w:hint="default"/>
                <w:sz w:val="18"/>
                <w:szCs w:val="18"/>
              </w:rPr>
              <w:t> </w:t>
            </w:r>
            <w:r>
              <w:rPr>
                <w:rFonts w:ascii="宋体" w:hAnsi="宋体" w:cs="宋体" w:eastAsia="宋体" w:hint="default"/>
                <w:spacing w:val="-3"/>
                <w:sz w:val="18"/>
                <w:szCs w:val="18"/>
              </w:rPr>
              <w:t>规定的方式进行处理，遵循市场化的定价原</w:t>
            </w:r>
            <w:r>
              <w:rPr>
                <w:rFonts w:ascii="宋体" w:hAnsi="宋体" w:cs="宋体" w:eastAsia="宋体" w:hint="default"/>
                <w:sz w:val="18"/>
                <w:szCs w:val="18"/>
              </w:rPr>
              <w:t> 则，避免损害广大中小股东权益的情况发 生。</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3" w:right="144"/>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170"/>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2275" w:hRule="exact"/>
        </w:trPr>
        <w:tc>
          <w:tcPr>
            <w:tcW w:w="1799" w:type="dxa"/>
            <w:vMerge/>
            <w:tcBorders>
              <w:left w:val="single" w:sz="4" w:space="0" w:color="000000"/>
              <w:right w:val="single" w:sz="4" w:space="0" w:color="000000"/>
            </w:tcBorders>
            <w:shd w:val="clear" w:color="auto" w:fill="D2D2D2"/>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23" w:right="43"/>
              <w:jc w:val="left"/>
              <w:rPr>
                <w:rFonts w:ascii="宋体" w:hAnsi="宋体" w:cs="宋体" w:eastAsia="宋体" w:hint="default"/>
                <w:sz w:val="18"/>
                <w:szCs w:val="18"/>
              </w:rPr>
            </w:pPr>
            <w:r>
              <w:rPr>
                <w:rFonts w:ascii="宋体" w:hAnsi="宋体" w:cs="宋体" w:eastAsia="宋体" w:hint="default"/>
                <w:sz w:val="18"/>
                <w:szCs w:val="18"/>
              </w:rPr>
              <w:t>朱烨东</w:t>
            </w:r>
            <w:r>
              <w:rPr>
                <w:rFonts w:ascii="Times New Roman" w:hAnsi="Times New Roman" w:cs="Times New Roman" w:eastAsia="Times New Roman" w:hint="default"/>
                <w:sz w:val="18"/>
                <w:szCs w:val="18"/>
              </w:rPr>
              <w:t>;</w:t>
            </w:r>
            <w:r>
              <w:rPr>
                <w:rFonts w:ascii="宋体" w:hAnsi="宋体" w:cs="宋体" w:eastAsia="宋体" w:hint="default"/>
                <w:sz w:val="18"/>
                <w:szCs w:val="18"/>
              </w:rPr>
              <w:t>沈飒</w:t>
            </w:r>
            <w:r>
              <w:rPr>
                <w:rFonts w:ascii="Times New Roman" w:hAnsi="Times New Roman" w:cs="Times New Roman" w:eastAsia="Times New Roman" w:hint="default"/>
                <w:sz w:val="18"/>
                <w:szCs w:val="18"/>
              </w:rPr>
              <w:t>;</w:t>
            </w:r>
            <w:r>
              <w:rPr>
                <w:rFonts w:ascii="宋体" w:hAnsi="宋体" w:cs="宋体" w:eastAsia="宋体" w:hint="default"/>
                <w:sz w:val="18"/>
                <w:szCs w:val="18"/>
              </w:rPr>
              <w:t>陈绪 华</w:t>
            </w:r>
            <w:r>
              <w:rPr>
                <w:rFonts w:ascii="Times New Roman" w:hAnsi="Times New Roman" w:cs="Times New Roman" w:eastAsia="Times New Roman" w:hint="default"/>
                <w:sz w:val="18"/>
                <w:szCs w:val="18"/>
              </w:rPr>
              <w:t>;</w:t>
            </w:r>
            <w:r>
              <w:rPr>
                <w:rFonts w:ascii="宋体" w:hAnsi="宋体" w:cs="宋体" w:eastAsia="宋体" w:hint="default"/>
                <w:sz w:val="18"/>
                <w:szCs w:val="18"/>
              </w:rPr>
              <w:t>蔡迦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44"/>
              <w:jc w:val="both"/>
              <w:rPr>
                <w:rFonts w:ascii="宋体" w:hAnsi="宋体" w:cs="宋体" w:eastAsia="宋体" w:hint="default"/>
                <w:sz w:val="18"/>
                <w:szCs w:val="18"/>
              </w:rPr>
            </w:pPr>
            <w:r>
              <w:rPr>
                <w:rFonts w:ascii="宋体" w:hAnsi="宋体" w:cs="宋体" w:eastAsia="宋体" w:hint="default"/>
                <w:sz w:val="18"/>
                <w:szCs w:val="18"/>
              </w:rPr>
              <w:t>关于同业 竞争的承 诺</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不存在直接或间接地从事任何与中科金财 所从事的业务构成同业竞争的任何业务活 </w:t>
            </w:r>
            <w:r>
              <w:rPr>
                <w:rFonts w:ascii="宋体" w:hAnsi="宋体" w:cs="宋体" w:eastAsia="宋体" w:hint="default"/>
                <w:spacing w:val="-3"/>
                <w:sz w:val="18"/>
                <w:szCs w:val="18"/>
              </w:rPr>
              <w:t>动，今后的任何时间亦不会直接或间接地以</w:t>
            </w:r>
            <w:r>
              <w:rPr>
                <w:rFonts w:ascii="宋体" w:hAnsi="宋体" w:cs="宋体" w:eastAsia="宋体" w:hint="default"/>
                <w:sz w:val="18"/>
                <w:szCs w:val="18"/>
              </w:rPr>
              <w:t> </w:t>
            </w:r>
            <w:r>
              <w:rPr>
                <w:rFonts w:ascii="宋体" w:hAnsi="宋体" w:cs="宋体" w:eastAsia="宋体" w:hint="default"/>
                <w:spacing w:val="-4"/>
                <w:sz w:val="18"/>
                <w:szCs w:val="18"/>
              </w:rPr>
              <w:t>任何方式（包括但不限于独资、合营、合作</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和联营）参与或进行任何与中科金财所从事</w:t>
            </w:r>
            <w:r>
              <w:rPr>
                <w:rFonts w:ascii="宋体" w:hAnsi="宋体" w:cs="宋体" w:eastAsia="宋体" w:hint="default"/>
                <w:sz w:val="18"/>
                <w:szCs w:val="18"/>
              </w:rPr>
              <w:t> 的业务有实质性竞争或可能有实质性竞争 的业务活动。</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44"/>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70"/>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3483" w:hRule="exact"/>
        </w:trPr>
        <w:tc>
          <w:tcPr>
            <w:tcW w:w="1799" w:type="dxa"/>
            <w:vMerge/>
            <w:tcBorders>
              <w:left w:val="single" w:sz="4" w:space="0" w:color="000000"/>
              <w:bottom w:val="single" w:sz="4" w:space="0" w:color="000000"/>
              <w:right w:val="single" w:sz="4" w:space="0" w:color="000000"/>
            </w:tcBorders>
            <w:shd w:val="clear" w:color="auto" w:fill="D2D2D2"/>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00" w:lineRule="auto"/>
              <w:ind w:left="23" w:right="43"/>
              <w:jc w:val="left"/>
              <w:rPr>
                <w:rFonts w:ascii="宋体" w:hAnsi="宋体" w:cs="宋体" w:eastAsia="宋体" w:hint="default"/>
                <w:sz w:val="18"/>
                <w:szCs w:val="18"/>
              </w:rPr>
            </w:pPr>
            <w:r>
              <w:rPr>
                <w:rFonts w:ascii="宋体" w:hAnsi="宋体" w:cs="宋体" w:eastAsia="宋体" w:hint="default"/>
                <w:sz w:val="18"/>
                <w:szCs w:val="18"/>
              </w:rPr>
              <w:t>谢晓梅</w:t>
            </w:r>
            <w:r>
              <w:rPr>
                <w:rFonts w:ascii="Times New Roman" w:hAnsi="Times New Roman" w:cs="Times New Roman" w:eastAsia="Times New Roman" w:hint="default"/>
                <w:sz w:val="18"/>
                <w:szCs w:val="18"/>
              </w:rPr>
              <w:t>;</w:t>
            </w:r>
            <w:r>
              <w:rPr>
                <w:rFonts w:ascii="宋体" w:hAnsi="宋体" w:cs="宋体" w:eastAsia="宋体" w:hint="default"/>
                <w:sz w:val="18"/>
                <w:szCs w:val="18"/>
              </w:rPr>
              <w:t>周惠明</w:t>
            </w:r>
            <w:r>
              <w:rPr>
                <w:rFonts w:ascii="Times New Roman" w:hAnsi="Times New Roman" w:cs="Times New Roman" w:eastAsia="Times New Roman" w:hint="default"/>
                <w:sz w:val="18"/>
                <w:szCs w:val="18"/>
              </w:rPr>
              <w:t>;</w:t>
            </w:r>
            <w:r>
              <w:rPr>
                <w:rFonts w:ascii="宋体" w:hAnsi="宋体" w:cs="宋体" w:eastAsia="宋体" w:hint="default"/>
                <w:sz w:val="18"/>
                <w:szCs w:val="18"/>
              </w:rPr>
              <w:t>张 伟</w:t>
            </w:r>
            <w:r>
              <w:rPr>
                <w:rFonts w:ascii="Times New Roman" w:hAnsi="Times New Roman" w:cs="Times New Roman" w:eastAsia="Times New Roman" w:hint="default"/>
                <w:sz w:val="18"/>
                <w:szCs w:val="18"/>
              </w:rPr>
              <w:t>;</w:t>
            </w:r>
            <w:r>
              <w:rPr>
                <w:rFonts w:ascii="宋体" w:hAnsi="宋体" w:cs="宋体" w:eastAsia="宋体" w:hint="default"/>
                <w:sz w:val="18"/>
                <w:szCs w:val="18"/>
              </w:rPr>
              <w:t>吴红心</w:t>
            </w:r>
            <w:r>
              <w:rPr>
                <w:rFonts w:ascii="Times New Roman" w:hAnsi="Times New Roman" w:cs="Times New Roman" w:eastAsia="Times New Roman" w:hint="default"/>
                <w:sz w:val="18"/>
                <w:szCs w:val="18"/>
              </w:rPr>
              <w:t>;</w:t>
            </w:r>
            <w:r>
              <w:rPr>
                <w:rFonts w:ascii="宋体" w:hAnsi="宋体" w:cs="宋体" w:eastAsia="宋体" w:hint="default"/>
                <w:sz w:val="18"/>
                <w:szCs w:val="18"/>
              </w:rPr>
              <w:t>赫喆</w:t>
            </w:r>
            <w:r>
              <w:rPr>
                <w:rFonts w:ascii="Times New Roman" w:hAnsi="Times New Roman" w:cs="Times New Roman" w:eastAsia="Times New Roman" w:hint="default"/>
                <w:sz w:val="18"/>
                <w:szCs w:val="18"/>
              </w:rPr>
              <w:t>; </w:t>
            </w:r>
            <w:r>
              <w:rPr>
                <w:rFonts w:ascii="宋体" w:hAnsi="宋体" w:cs="宋体" w:eastAsia="宋体" w:hint="default"/>
                <w:sz w:val="18"/>
                <w:szCs w:val="18"/>
              </w:rPr>
              <w:t>杨承宏</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316" w:lineRule="auto"/>
              <w:ind w:left="23" w:right="144"/>
              <w:jc w:val="both"/>
              <w:rPr>
                <w:rFonts w:ascii="宋体" w:hAnsi="宋体" w:cs="宋体" w:eastAsia="宋体" w:hint="default"/>
                <w:sz w:val="18"/>
                <w:szCs w:val="18"/>
              </w:rPr>
            </w:pPr>
            <w:r>
              <w:rPr>
                <w:rFonts w:ascii="宋体" w:hAnsi="宋体" w:cs="宋体" w:eastAsia="宋体" w:hint="default"/>
                <w:sz w:val="18"/>
                <w:szCs w:val="18"/>
              </w:rPr>
              <w:t>关于保持 上市公司 独立性的 承诺</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34"/>
              <w:jc w:val="left"/>
              <w:rPr>
                <w:rFonts w:ascii="宋体" w:hAnsi="宋体" w:cs="宋体" w:eastAsia="宋体" w:hint="default"/>
                <w:sz w:val="18"/>
                <w:szCs w:val="18"/>
              </w:rPr>
            </w:pPr>
            <w:r>
              <w:rPr>
                <w:rFonts w:ascii="宋体" w:hAnsi="宋体" w:cs="宋体" w:eastAsia="宋体" w:hint="default"/>
                <w:sz w:val="18"/>
                <w:szCs w:val="18"/>
              </w:rPr>
              <w:t>交易对方关于保持中科金财和滨河创新独 立性，出具如下承诺：一、保证中科金财、 滨河创新的人员独立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w:t>
            </w:r>
            <w:r>
              <w:rPr>
                <w:rFonts w:ascii="宋体" w:hAnsi="宋体" w:cs="宋体" w:eastAsia="宋体" w:hint="default"/>
                <w:spacing w:val="-1"/>
                <w:sz w:val="18"/>
                <w:szCs w:val="18"/>
              </w:rPr>
              <w:t> </w:t>
            </w:r>
            <w:r>
              <w:rPr>
                <w:rFonts w:ascii="宋体" w:hAnsi="宋体" w:cs="宋体" w:eastAsia="宋体" w:hint="default"/>
                <w:sz w:val="18"/>
                <w:szCs w:val="18"/>
              </w:rPr>
              <w:t>本次交易完</w:t>
            </w:r>
            <w:r>
              <w:rPr>
                <w:rFonts w:ascii="宋体" w:hAnsi="宋体" w:cs="宋体" w:eastAsia="宋体" w:hint="default"/>
                <w:sz w:val="18"/>
                <w:szCs w:val="18"/>
              </w:rPr>
              <w:t> </w:t>
            </w:r>
            <w:r>
              <w:rPr>
                <w:rFonts w:ascii="宋体" w:hAnsi="宋体" w:cs="宋体" w:eastAsia="宋体" w:hint="default"/>
                <w:spacing w:val="-4"/>
                <w:sz w:val="18"/>
                <w:szCs w:val="18"/>
              </w:rPr>
              <w:t>成后中科金财、滨河创新的劳动、人事及薪</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酬管理与本人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 </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 的其他公司或者其他经济组织等关联方之 间完全独立。</w:t>
            </w:r>
            <w:r>
              <w:rPr>
                <w:rFonts w:ascii="Times New Roman" w:hAnsi="Times New Roman" w:cs="Times New Roman" w:eastAsia="Times New Roman" w:hint="default"/>
                <w:sz w:val="18"/>
                <w:szCs w:val="18"/>
              </w:rPr>
              <w:t>2</w:t>
            </w:r>
            <w:r>
              <w:rPr>
                <w:rFonts w:ascii="宋体" w:hAnsi="宋体" w:cs="宋体" w:eastAsia="宋体" w:hint="default"/>
                <w:sz w:val="18"/>
                <w:szCs w:val="18"/>
              </w:rPr>
              <w:t>．保证本次交易完成后中科 </w:t>
            </w:r>
            <w:r>
              <w:rPr>
                <w:rFonts w:ascii="宋体" w:hAnsi="宋体" w:cs="宋体" w:eastAsia="宋体" w:hint="default"/>
                <w:spacing w:val="-3"/>
                <w:sz w:val="18"/>
                <w:szCs w:val="18"/>
              </w:rPr>
              <w:t>金财、滨河创新的高级管理人员均专职在中</w:t>
            </w:r>
            <w:r>
              <w:rPr>
                <w:rFonts w:ascii="宋体" w:hAnsi="宋体" w:cs="宋体" w:eastAsia="宋体" w:hint="default"/>
                <w:sz w:val="18"/>
                <w:szCs w:val="18"/>
              </w:rPr>
              <w:t> </w:t>
            </w:r>
            <w:r>
              <w:rPr>
                <w:rFonts w:ascii="宋体" w:hAnsi="宋体" w:cs="宋体" w:eastAsia="宋体" w:hint="default"/>
                <w:spacing w:val="-4"/>
                <w:sz w:val="18"/>
                <w:szCs w:val="18"/>
              </w:rPr>
              <w:t>科金财、滨河创新任职并领取薪酬，不在本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本公司控制的其他公司、 企业或者其他经济组织等关联方担任董事</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1385"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
                <w:sz w:val="20"/>
                <w:szCs w:val="20"/>
              </w:rPr>
              <w:pict>
                <v:group style="width:44.45pt;height:69.3pt;mso-position-horizontal-relative:char;mso-position-vertical-relative:line" coordorigin="0,0" coordsize="889,1386">
                  <v:group style="position:absolute;left:0;top:0;width:889;height:1386" coordorigin="0,0" coordsize="889,1386">
                    <v:shape style="position:absolute;left:0;top:0;width:889;height:1386" coordorigin="0,0" coordsize="889,1386" path="m0,1385l888,1385,888,0,0,0,0,1385xe" filled="true" fillcolor="#ffffff" stroked="false">
                      <v:path arrowok="t"/>
                      <v:fill type="solid"/>
                    </v:shape>
                  </v:group>
                </v:group>
              </w:pict>
            </w:r>
            <w:r>
              <w:rPr>
                <w:rFonts w:ascii="Times New Roman" w:hAnsi="Times New Roman" w:cs="Times New Roman" w:eastAsia="Times New Roman" w:hint="default"/>
                <w:position w:val="-27"/>
                <w:sz w:val="20"/>
                <w:szCs w:val="20"/>
              </w:rPr>
            </w:r>
          </w:p>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4" w:lineRule="auto"/>
              <w:ind w:left="23" w:right="144"/>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16" w:lineRule="auto"/>
              <w:ind w:left="23" w:right="170"/>
              <w:jc w:val="both"/>
              <w:rPr>
                <w:rFonts w:ascii="宋体" w:hAnsi="宋体" w:cs="宋体" w:eastAsia="宋体" w:hint="default"/>
                <w:sz w:val="18"/>
                <w:szCs w:val="18"/>
              </w:rPr>
            </w:pPr>
            <w:r>
              <w:rPr>
                <w:rFonts w:ascii="宋体" w:hAnsi="宋体" w:cs="宋体" w:eastAsia="宋体" w:hint="default"/>
                <w:sz w:val="18"/>
                <w:szCs w:val="18"/>
              </w:rPr>
              <w:t>正常 履行 中</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99"/>
        <w:gridCol w:w="1441"/>
        <w:gridCol w:w="900"/>
        <w:gridCol w:w="3420"/>
        <w:gridCol w:w="901"/>
        <w:gridCol w:w="540"/>
        <w:gridCol w:w="566"/>
      </w:tblGrid>
      <w:tr>
        <w:trPr>
          <w:trHeight w:val="315" w:hRule="exact"/>
        </w:trPr>
        <w:tc>
          <w:tcPr>
            <w:tcW w:w="1799" w:type="dxa"/>
            <w:vMerge w:val="restart"/>
            <w:tcBorders>
              <w:top w:val="single" w:sz="4" w:space="0" w:color="000000"/>
              <w:left w:val="single" w:sz="4" w:space="0" w:color="000000"/>
              <w:right w:val="single" w:sz="4" w:space="0" w:color="000000"/>
            </w:tcBorders>
            <w:shd w:val="clear" w:color="auto" w:fill="D2D2D2"/>
          </w:tcPr>
          <w:p>
            <w:pPr/>
          </w:p>
        </w:tc>
        <w:tc>
          <w:tcPr>
            <w:tcW w:w="1441"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34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pacing w:val="-4"/>
                <w:sz w:val="18"/>
                <w:szCs w:val="18"/>
              </w:rPr>
              <w:t>以外的职务。二、保证中科金财、滨河创新</w:t>
            </w:r>
          </w:p>
        </w:tc>
        <w:tc>
          <w:tcPr>
            <w:tcW w:w="901" w:type="dxa"/>
            <w:vMerge w:val="restart"/>
            <w:tcBorders>
              <w:top w:val="single" w:sz="4" w:space="0" w:color="000000"/>
              <w:left w:val="single" w:sz="4" w:space="0" w:color="000000"/>
              <w:right w:val="single" w:sz="4" w:space="0" w:color="000000"/>
            </w:tcBorders>
          </w:tcPr>
          <w:p>
            <w:pPr>
              <w:pStyle w:val="TableParagraph"/>
              <w:spacing w:line="13730"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44.45pt;height:686.5pt;mso-position-horizontal-relative:char;mso-position-vertical-relative:line" coordorigin="0,0" coordsize="889,13730">
                  <v:group style="position:absolute;left:0;top:0;width:889;height:13730" coordorigin="0,0" coordsize="889,13730">
                    <v:shape style="position:absolute;left:0;top:0;width:889;height:13730" coordorigin="0,0" coordsize="889,13730" path="m0,13730l888,13730,888,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540"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r>
      <w:tr>
        <w:trPr>
          <w:trHeight w:val="317"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的机构独立</w:t>
            </w:r>
            <w:r>
              <w:rPr>
                <w:rFonts w:ascii="宋体" w:hAnsi="宋体" w:cs="宋体" w:eastAsia="宋体" w:hint="default"/>
                <w:spacing w:val="13"/>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．保证本次交易完成后中科金</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07"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20"/>
              <w:jc w:val="center"/>
              <w:rPr>
                <w:rFonts w:ascii="宋体" w:hAnsi="宋体" w:cs="宋体" w:eastAsia="宋体" w:hint="default"/>
                <w:sz w:val="18"/>
                <w:szCs w:val="18"/>
              </w:rPr>
            </w:pPr>
            <w:r>
              <w:rPr>
                <w:rFonts w:ascii="宋体" w:hAnsi="宋体" w:cs="宋体" w:eastAsia="宋体" w:hint="default"/>
                <w:sz w:val="18"/>
                <w:szCs w:val="18"/>
              </w:rPr>
              <w:t>财、滨河创新构建健全的公司法人治理结</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7"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pacing w:val="-4"/>
                <w:sz w:val="18"/>
                <w:szCs w:val="18"/>
              </w:rPr>
              <w:t>构，拥有独立、完整</w:t>
            </w:r>
            <w:r>
              <w:rPr>
                <w:rFonts w:ascii="宋体" w:hAnsi="宋体" w:cs="宋体" w:eastAsia="宋体" w:hint="default"/>
                <w:spacing w:val="8"/>
                <w:sz w:val="18"/>
                <w:szCs w:val="18"/>
              </w:rPr>
              <w:t> </w:t>
            </w:r>
            <w:r>
              <w:rPr>
                <w:rFonts w:ascii="宋体" w:hAnsi="宋体" w:cs="宋体" w:eastAsia="宋体" w:hint="default"/>
                <w:spacing w:val="-3"/>
                <w:sz w:val="18"/>
                <w:szCs w:val="18"/>
              </w:rPr>
              <w:t>的组织机构。</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．保证</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07"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pacing w:val="-3"/>
                <w:sz w:val="18"/>
                <w:szCs w:val="18"/>
              </w:rPr>
              <w:t>本次交易完成后中科金财、滨河创新的股东</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2"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pacing w:val="-4"/>
                <w:sz w:val="18"/>
                <w:szCs w:val="18"/>
              </w:rPr>
              <w:t>（大）会、董事会、监事会等依照法律、法</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2"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pacing w:val="-3"/>
                <w:sz w:val="18"/>
                <w:szCs w:val="18"/>
              </w:rPr>
              <w:t>规及中科金财、滨河创新公司章程独立行使</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2"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pacing w:val="-4"/>
                <w:sz w:val="18"/>
                <w:szCs w:val="18"/>
              </w:rPr>
              <w:t>职权。三、保证中科金财、滨河创新的资产</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7"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pacing w:val="-6"/>
                <w:sz w:val="18"/>
                <w:szCs w:val="18"/>
              </w:rPr>
              <w:t>独立、完整</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．保证本次交易完成后中科金</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07"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34"/>
              <w:jc w:val="center"/>
              <w:rPr>
                <w:rFonts w:ascii="宋体" w:hAnsi="宋体" w:cs="宋体" w:eastAsia="宋体" w:hint="default"/>
                <w:sz w:val="18"/>
                <w:szCs w:val="18"/>
              </w:rPr>
            </w:pPr>
            <w:r>
              <w:rPr>
                <w:rFonts w:ascii="宋体" w:hAnsi="宋体" w:cs="宋体" w:eastAsia="宋体" w:hint="default"/>
                <w:sz w:val="18"/>
                <w:szCs w:val="18"/>
              </w:rPr>
              <w:t>财、滨河创新拥有与生产经营有关的独立、</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7"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完整的资产。</w:t>
            </w:r>
            <w:r>
              <w:rPr>
                <w:rFonts w:ascii="Times New Roman" w:hAnsi="Times New Roman" w:cs="Times New Roman" w:eastAsia="Times New Roman" w:hint="default"/>
                <w:sz w:val="18"/>
                <w:szCs w:val="18"/>
              </w:rPr>
              <w:t>2</w:t>
            </w:r>
            <w:r>
              <w:rPr>
                <w:rFonts w:ascii="宋体" w:hAnsi="宋体" w:cs="宋体" w:eastAsia="宋体" w:hint="default"/>
                <w:sz w:val="18"/>
                <w:szCs w:val="18"/>
              </w:rPr>
              <w:t>．保证本次交易完成后中科</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2"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70"/>
              <w:jc w:val="center"/>
              <w:rPr>
                <w:rFonts w:ascii="宋体" w:hAnsi="宋体" w:cs="宋体" w:eastAsia="宋体" w:hint="default"/>
                <w:sz w:val="18"/>
                <w:szCs w:val="18"/>
              </w:rPr>
            </w:pPr>
            <w:r>
              <w:rPr>
                <w:rFonts w:ascii="宋体" w:hAnsi="宋体" w:cs="宋体" w:eastAsia="宋体" w:hint="default"/>
                <w:sz w:val="18"/>
                <w:szCs w:val="18"/>
              </w:rPr>
              <w:t>金财、滨河创新的经营场所独立于本人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2"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70"/>
              <w:jc w:val="center"/>
              <w:rPr>
                <w:rFonts w:ascii="宋体" w:hAnsi="宋体" w:cs="宋体" w:eastAsia="宋体" w:hint="default"/>
                <w:sz w:val="18"/>
                <w:szCs w:val="18"/>
              </w:rPr>
            </w:pPr>
            <w:r>
              <w:rPr>
                <w:rFonts w:ascii="宋体" w:hAnsi="宋体" w:cs="宋体" w:eastAsia="宋体" w:hint="default"/>
                <w:sz w:val="18"/>
                <w:szCs w:val="18"/>
              </w:rPr>
              <w:t>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本公司控制的其他公司、企业</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2"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29"/>
              <w:jc w:val="center"/>
              <w:rPr>
                <w:rFonts w:ascii="宋体" w:hAnsi="宋体" w:cs="宋体" w:eastAsia="宋体" w:hint="default"/>
                <w:sz w:val="18"/>
                <w:szCs w:val="18"/>
              </w:rPr>
            </w:pPr>
            <w:r>
              <w:rPr>
                <w:rFonts w:ascii="宋体" w:hAnsi="宋体" w:cs="宋体" w:eastAsia="宋体" w:hint="default"/>
                <w:sz w:val="18"/>
                <w:szCs w:val="18"/>
              </w:rPr>
              <w:t>或者其他经济组织等关联方。</w:t>
            </w:r>
            <w:r>
              <w:rPr>
                <w:rFonts w:ascii="Times New Roman" w:hAnsi="Times New Roman" w:cs="Times New Roman" w:eastAsia="Times New Roman" w:hint="default"/>
                <w:sz w:val="18"/>
                <w:szCs w:val="18"/>
              </w:rPr>
              <w:t>3</w:t>
            </w:r>
            <w:r>
              <w:rPr>
                <w:rFonts w:ascii="宋体" w:hAnsi="宋体" w:cs="宋体" w:eastAsia="宋体" w:hint="default"/>
                <w:sz w:val="18"/>
                <w:szCs w:val="18"/>
              </w:rPr>
              <w:t>．除正常经</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07"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20"/>
              <w:jc w:val="center"/>
              <w:rPr>
                <w:rFonts w:ascii="宋体" w:hAnsi="宋体" w:cs="宋体" w:eastAsia="宋体" w:hint="default"/>
                <w:sz w:val="18"/>
                <w:szCs w:val="18"/>
              </w:rPr>
            </w:pPr>
            <w:r>
              <w:rPr>
                <w:rFonts w:ascii="宋体" w:hAnsi="宋体" w:cs="宋体" w:eastAsia="宋体" w:hint="default"/>
                <w:sz w:val="18"/>
                <w:szCs w:val="18"/>
              </w:rPr>
              <w:t>营性往来外，保证本次交易完成后中科金</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7"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财、滨河创新不存在资金、资产被</w:t>
            </w:r>
            <w:r>
              <w:rPr>
                <w:rFonts w:ascii="宋体" w:hAnsi="宋体" w:cs="宋体" w:eastAsia="宋体" w:hint="default"/>
                <w:spacing w:val="-18"/>
                <w:sz w:val="18"/>
                <w:szCs w:val="18"/>
              </w:rPr>
              <w:t> </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2"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70"/>
              <w:jc w:val="center"/>
              <w:rPr>
                <w:rFonts w:ascii="宋体" w:hAnsi="宋体" w:cs="宋体" w:eastAsia="宋体" w:hint="default"/>
                <w:sz w:val="18"/>
                <w:szCs w:val="18"/>
              </w:rPr>
            </w:pPr>
            <w:r>
              <w:rPr>
                <w:rFonts w:ascii="宋体" w:hAnsi="宋体" w:cs="宋体" w:eastAsia="宋体" w:hint="default"/>
                <w:sz w:val="18"/>
                <w:szCs w:val="18"/>
              </w:rPr>
              <w:t>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本公司控制的其他公司、企业</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07"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20"/>
              <w:jc w:val="center"/>
              <w:rPr>
                <w:rFonts w:ascii="宋体" w:hAnsi="宋体" w:cs="宋体" w:eastAsia="宋体" w:hint="default"/>
                <w:sz w:val="18"/>
                <w:szCs w:val="18"/>
              </w:rPr>
            </w:pPr>
            <w:r>
              <w:rPr>
                <w:rFonts w:ascii="宋体" w:hAnsi="宋体" w:cs="宋体" w:eastAsia="宋体" w:hint="default"/>
                <w:sz w:val="18"/>
                <w:szCs w:val="18"/>
              </w:rPr>
              <w:t>或者其他经济组织等关联方占用的情形。</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2"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20"/>
              <w:jc w:val="center"/>
              <w:rPr>
                <w:rFonts w:ascii="宋体" w:hAnsi="宋体" w:cs="宋体" w:eastAsia="宋体" w:hint="default"/>
                <w:sz w:val="18"/>
                <w:szCs w:val="18"/>
              </w:rPr>
            </w:pPr>
            <w:r>
              <w:rPr>
                <w:rFonts w:ascii="宋体" w:hAnsi="宋体" w:cs="宋体" w:eastAsia="宋体" w:hint="default"/>
                <w:sz w:val="18"/>
                <w:szCs w:val="18"/>
              </w:rPr>
              <w:t>四、保证中科金财、滨河创新的业务独立</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7"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9"/>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．保证本次交易完成后中科金财、滨河创</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07"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pacing w:val="-3"/>
                <w:sz w:val="18"/>
                <w:szCs w:val="18"/>
              </w:rPr>
              <w:t>新拥有独立开展经营活动的相关资质，具有</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2"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34"/>
              <w:jc w:val="center"/>
              <w:rPr>
                <w:rFonts w:ascii="宋体" w:hAnsi="宋体" w:cs="宋体" w:eastAsia="宋体" w:hint="default"/>
                <w:sz w:val="18"/>
                <w:szCs w:val="18"/>
              </w:rPr>
            </w:pPr>
            <w:r>
              <w:rPr>
                <w:rFonts w:ascii="宋体" w:hAnsi="宋体" w:cs="宋体" w:eastAsia="宋体" w:hint="default"/>
                <w:sz w:val="18"/>
                <w:szCs w:val="18"/>
              </w:rPr>
              <w:t>面向市场的独立、自主、持续的经营能力。</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7"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．保证本次交易完成后本人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2"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本公司控制的其他公司、企业或者其他经</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07"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pacing w:val="-3"/>
                <w:sz w:val="18"/>
                <w:szCs w:val="18"/>
              </w:rPr>
              <w:t>济组织等关联方避免从事与中科金财、滨河</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2"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pacing w:val="-3"/>
                <w:sz w:val="18"/>
                <w:szCs w:val="18"/>
              </w:rPr>
              <w:t>创新及其控制的其他公司、企业或者其他经</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7"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济组织具有竞争关系的业务。</w:t>
            </w:r>
            <w:r>
              <w:rPr>
                <w:rFonts w:ascii="Times New Roman" w:hAnsi="Times New Roman" w:cs="Times New Roman" w:eastAsia="Times New Roman" w:hint="default"/>
                <w:sz w:val="18"/>
                <w:szCs w:val="18"/>
              </w:rPr>
              <w:t>3</w:t>
            </w:r>
            <w:r>
              <w:rPr>
                <w:rFonts w:ascii="宋体" w:hAnsi="宋体" w:cs="宋体" w:eastAsia="宋体" w:hint="default"/>
                <w:sz w:val="18"/>
                <w:szCs w:val="18"/>
              </w:rPr>
              <w:t>．保证本次</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2"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9"/>
              <w:jc w:val="center"/>
              <w:rPr>
                <w:rFonts w:ascii="宋体" w:hAnsi="宋体" w:cs="宋体" w:eastAsia="宋体" w:hint="default"/>
                <w:sz w:val="18"/>
                <w:szCs w:val="18"/>
              </w:rPr>
            </w:pPr>
            <w:r>
              <w:rPr>
                <w:rFonts w:ascii="宋体" w:hAnsi="宋体" w:cs="宋体" w:eastAsia="宋体" w:hint="default"/>
                <w:sz w:val="18"/>
                <w:szCs w:val="18"/>
              </w:rPr>
              <w:t>交易完成后本人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07"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pacing w:val="-3"/>
                <w:sz w:val="18"/>
                <w:szCs w:val="18"/>
              </w:rPr>
              <w:t>的其他公司、企业或者其他经济组织等关联</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2"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pacing w:val="-3"/>
                <w:sz w:val="18"/>
                <w:szCs w:val="18"/>
              </w:rPr>
              <w:t>方减少与中科金财、滨河创新及其控制的其</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2"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20"/>
              <w:jc w:val="center"/>
              <w:rPr>
                <w:rFonts w:ascii="宋体" w:hAnsi="宋体" w:cs="宋体" w:eastAsia="宋体" w:hint="default"/>
                <w:sz w:val="18"/>
                <w:szCs w:val="18"/>
              </w:rPr>
            </w:pPr>
            <w:r>
              <w:rPr>
                <w:rFonts w:ascii="宋体" w:hAnsi="宋体" w:cs="宋体" w:eastAsia="宋体" w:hint="default"/>
                <w:sz w:val="18"/>
                <w:szCs w:val="18"/>
              </w:rPr>
              <w:t>他公司、企业或者其他经济组织的关联交</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2"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34"/>
              <w:jc w:val="center"/>
              <w:rPr>
                <w:rFonts w:ascii="宋体" w:hAnsi="宋体" w:cs="宋体" w:eastAsia="宋体" w:hint="default"/>
                <w:sz w:val="18"/>
                <w:szCs w:val="18"/>
              </w:rPr>
            </w:pPr>
            <w:r>
              <w:rPr>
                <w:rFonts w:ascii="宋体" w:hAnsi="宋体" w:cs="宋体" w:eastAsia="宋体" w:hint="default"/>
                <w:sz w:val="18"/>
                <w:szCs w:val="18"/>
              </w:rPr>
              <w:t>易；对于确有必要且无法避免的关联交易，</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2"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34"/>
              <w:jc w:val="center"/>
              <w:rPr>
                <w:rFonts w:ascii="宋体" w:hAnsi="宋体" w:cs="宋体" w:eastAsia="宋体" w:hint="default"/>
                <w:sz w:val="18"/>
                <w:szCs w:val="18"/>
              </w:rPr>
            </w:pPr>
            <w:r>
              <w:rPr>
                <w:rFonts w:ascii="宋体" w:hAnsi="宋体" w:cs="宋体" w:eastAsia="宋体" w:hint="default"/>
                <w:sz w:val="18"/>
                <w:szCs w:val="18"/>
              </w:rPr>
              <w:t>保证按市场原则和公允价格进行公平操作，</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2"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pacing w:val="-3"/>
                <w:sz w:val="18"/>
                <w:szCs w:val="18"/>
              </w:rPr>
              <w:t>并按相关法律、法规及规范性文件的规定履</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2"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4"/>
                <w:sz w:val="18"/>
                <w:szCs w:val="18"/>
              </w:rPr>
              <w:t>行相关审批程序及信息披露义务。五、保证</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7"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pacing w:val="-3"/>
                <w:sz w:val="18"/>
                <w:szCs w:val="18"/>
              </w:rPr>
              <w:t>中科金财、滨河创新的财务独立</w:t>
            </w:r>
            <w:r>
              <w:rPr>
                <w:rFonts w:ascii="宋体" w:hAnsi="宋体" w:cs="宋体" w:eastAsia="宋体" w:hint="default"/>
                <w:spacing w:val="16"/>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．保证中</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07"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pacing w:val="-3"/>
                <w:sz w:val="18"/>
                <w:szCs w:val="18"/>
              </w:rPr>
              <w:t>科金财、滨河创新本次交易完成后分别具备</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2"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34"/>
              <w:jc w:val="center"/>
              <w:rPr>
                <w:rFonts w:ascii="宋体" w:hAnsi="宋体" w:cs="宋体" w:eastAsia="宋体" w:hint="default"/>
                <w:sz w:val="18"/>
                <w:szCs w:val="18"/>
              </w:rPr>
            </w:pPr>
            <w:r>
              <w:rPr>
                <w:rFonts w:ascii="宋体" w:hAnsi="宋体" w:cs="宋体" w:eastAsia="宋体" w:hint="default"/>
                <w:sz w:val="18"/>
                <w:szCs w:val="18"/>
              </w:rPr>
              <w:t>独立的财务部门以及独立的财务核算体系，</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7"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具有规范、独立的财务会计制度。</w:t>
            </w:r>
            <w:r>
              <w:rPr>
                <w:rFonts w:ascii="Times New Roman" w:hAnsi="Times New Roman" w:cs="Times New Roman" w:eastAsia="Times New Roman" w:hint="default"/>
                <w:sz w:val="18"/>
                <w:szCs w:val="18"/>
              </w:rPr>
              <w:t>2</w:t>
            </w:r>
            <w:r>
              <w:rPr>
                <w:rFonts w:ascii="宋体" w:hAnsi="宋体" w:cs="宋体" w:eastAsia="宋体" w:hint="default"/>
                <w:sz w:val="18"/>
                <w:szCs w:val="18"/>
              </w:rPr>
              <w:t>．保证</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07"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pacing w:val="-3"/>
                <w:sz w:val="18"/>
                <w:szCs w:val="18"/>
              </w:rPr>
              <w:t>中科金财、滨河创新本次交易完成后独立在</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7"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pacing w:val="-4"/>
                <w:sz w:val="18"/>
                <w:szCs w:val="18"/>
              </w:rPr>
              <w:t>银行开户，不与本人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本公司及本人</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本公司</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07"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pacing w:val="-3"/>
                <w:sz w:val="18"/>
                <w:szCs w:val="18"/>
              </w:rPr>
              <w:t>控制的其他公司、企业或者其他经济组织等</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7" w:hRule="exact"/>
        </w:trPr>
        <w:tc>
          <w:tcPr>
            <w:tcW w:w="179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关联方共用银行账户。</w:t>
            </w:r>
            <w:r>
              <w:rPr>
                <w:rFonts w:ascii="Times New Roman" w:hAnsi="Times New Roman" w:cs="Times New Roman" w:eastAsia="Times New Roman" w:hint="default"/>
                <w:sz w:val="18"/>
                <w:szCs w:val="18"/>
              </w:rPr>
              <w:t>3</w:t>
            </w:r>
            <w:r>
              <w:rPr>
                <w:rFonts w:ascii="宋体" w:hAnsi="宋体" w:cs="宋体" w:eastAsia="宋体" w:hint="default"/>
                <w:sz w:val="18"/>
                <w:szCs w:val="18"/>
              </w:rPr>
              <w:t>．保证本次交易完</w:t>
            </w:r>
          </w:p>
        </w:tc>
        <w:tc>
          <w:tcPr>
            <w:tcW w:w="90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314" w:hRule="exact"/>
        </w:trPr>
        <w:tc>
          <w:tcPr>
            <w:tcW w:w="1799" w:type="dxa"/>
            <w:vMerge/>
            <w:tcBorders>
              <w:left w:val="single" w:sz="4" w:space="0" w:color="000000"/>
              <w:bottom w:val="single" w:sz="4" w:space="0" w:color="000000"/>
              <w:right w:val="single" w:sz="4" w:space="0" w:color="000000"/>
            </w:tcBorders>
            <w:shd w:val="clear" w:color="auto" w:fill="D2D2D2"/>
          </w:tcPr>
          <w:p>
            <w:pPr/>
          </w:p>
        </w:tc>
        <w:tc>
          <w:tcPr>
            <w:tcW w:w="1441"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34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pacing w:val="-3"/>
                <w:sz w:val="18"/>
                <w:szCs w:val="18"/>
              </w:rPr>
              <w:t>成后中科金财、滨河创新的财务人员不在本</w:t>
            </w:r>
          </w:p>
        </w:tc>
        <w:tc>
          <w:tcPr>
            <w:tcW w:w="901"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35.070007pt;margin-top:491.475983pt;width:44.45pt;height:272.1pt;mso-position-horizontal-relative:page;mso-position-vertical-relative:page;z-index:-1105504" coordorigin="8701,9830" coordsize="889,5442">
            <v:shape style="position:absolute;left:8701;top:9830;width:889;height:5442" coordorigin="8701,9830" coordsize="889,5442" path="m8701,15271l9590,15271,9590,9830,8701,9830,8701,1527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99"/>
        <w:gridCol w:w="1441"/>
        <w:gridCol w:w="900"/>
        <w:gridCol w:w="3420"/>
        <w:gridCol w:w="901"/>
        <w:gridCol w:w="540"/>
        <w:gridCol w:w="569"/>
      </w:tblGrid>
      <w:tr>
        <w:trPr>
          <w:trHeight w:val="2235" w:hRule="exact"/>
        </w:trPr>
        <w:tc>
          <w:tcPr>
            <w:tcW w:w="1799" w:type="dxa"/>
            <w:vMerge w:val="restart"/>
            <w:tcBorders>
              <w:top w:val="single" w:sz="4" w:space="0" w:color="000000"/>
              <w:left w:val="single" w:sz="4" w:space="0" w:color="000000"/>
              <w:right w:val="single" w:sz="4" w:space="0" w:color="000000"/>
            </w:tcBorders>
            <w:shd w:val="clear" w:color="auto" w:fill="D2D2D2"/>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8"/>
              <w:ind w:left="23" w:right="20"/>
              <w:jc w:val="left"/>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本公司控制的其他公司、 </w:t>
            </w:r>
            <w:r>
              <w:rPr>
                <w:rFonts w:ascii="宋体" w:hAnsi="宋体" w:cs="宋体" w:eastAsia="宋体" w:hint="default"/>
                <w:spacing w:val="-11"/>
                <w:sz w:val="18"/>
                <w:szCs w:val="18"/>
              </w:rPr>
              <w:t>企业或者其他经济组织等关联方兼职。</w:t>
            </w:r>
            <w:r>
              <w:rPr>
                <w:rFonts w:ascii="Times New Roman" w:hAnsi="Times New Roman" w:cs="Times New Roman" w:eastAsia="Times New Roman" w:hint="default"/>
                <w:spacing w:val="-11"/>
                <w:sz w:val="18"/>
                <w:szCs w:val="18"/>
              </w:rPr>
              <w:t>4</w:t>
            </w:r>
            <w:r>
              <w:rPr>
                <w:rFonts w:ascii="宋体" w:hAnsi="宋体" w:cs="宋体" w:eastAsia="宋体" w:hint="default"/>
                <w:spacing w:val="-11"/>
                <w:sz w:val="18"/>
                <w:szCs w:val="18"/>
              </w:rPr>
              <w:t>．保</w:t>
            </w:r>
            <w:r>
              <w:rPr>
                <w:rFonts w:ascii="宋体" w:hAnsi="宋体" w:cs="宋体" w:eastAsia="宋体" w:hint="default"/>
                <w:spacing w:val="-85"/>
                <w:sz w:val="18"/>
                <w:szCs w:val="18"/>
              </w:rPr>
              <w:t> </w:t>
            </w:r>
            <w:r>
              <w:rPr>
                <w:rFonts w:ascii="宋体" w:hAnsi="宋体" w:cs="宋体" w:eastAsia="宋体" w:hint="default"/>
                <w:spacing w:val="-3"/>
                <w:sz w:val="18"/>
                <w:szCs w:val="18"/>
              </w:rPr>
              <w:t>证本次交易完成后中科金财、滨河创新能够</w:t>
            </w:r>
            <w:r>
              <w:rPr>
                <w:rFonts w:ascii="宋体" w:hAnsi="宋体" w:cs="宋体" w:eastAsia="宋体" w:hint="default"/>
                <w:sz w:val="18"/>
                <w:szCs w:val="18"/>
              </w:rPr>
              <w:t> 独立做出财务决策，本人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本公司不干预中 科金财、滨河创新的资金使用。</w:t>
            </w:r>
            <w:r>
              <w:rPr>
                <w:rFonts w:ascii="Times New Roman" w:hAnsi="Times New Roman" w:cs="Times New Roman" w:eastAsia="Times New Roman" w:hint="default"/>
                <w:sz w:val="18"/>
                <w:szCs w:val="18"/>
              </w:rPr>
              <w:t>5</w:t>
            </w:r>
            <w:r>
              <w:rPr>
                <w:rFonts w:ascii="宋体" w:hAnsi="宋体" w:cs="宋体" w:eastAsia="宋体" w:hint="default"/>
                <w:sz w:val="18"/>
                <w:szCs w:val="18"/>
              </w:rPr>
              <w:t>．保证本 </w:t>
            </w:r>
            <w:r>
              <w:rPr>
                <w:rFonts w:ascii="宋体" w:hAnsi="宋体" w:cs="宋体" w:eastAsia="宋体" w:hint="default"/>
                <w:spacing w:val="-3"/>
                <w:sz w:val="18"/>
                <w:szCs w:val="18"/>
              </w:rPr>
              <w:t>次交易完成后中科金财、滨河创新依法独立</w:t>
            </w:r>
            <w:r>
              <w:rPr>
                <w:rFonts w:ascii="宋体" w:hAnsi="宋体" w:cs="宋体" w:eastAsia="宋体" w:hint="default"/>
                <w:sz w:val="18"/>
                <w:szCs w:val="18"/>
              </w:rPr>
              <w:t> 纳税。</w:t>
            </w: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11596" w:hRule="exact"/>
        </w:trPr>
        <w:tc>
          <w:tcPr>
            <w:tcW w:w="1799" w:type="dxa"/>
            <w:vMerge/>
            <w:tcBorders>
              <w:left w:val="single" w:sz="4" w:space="0" w:color="000000"/>
              <w:bottom w:val="single" w:sz="4" w:space="0" w:color="000000"/>
              <w:right w:val="single" w:sz="4" w:space="0" w:color="000000"/>
            </w:tcBorders>
            <w:shd w:val="clear" w:color="auto" w:fill="D2D2D2"/>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60"/>
              <w:ind w:left="23" w:right="43"/>
              <w:jc w:val="left"/>
              <w:rPr>
                <w:rFonts w:ascii="宋体" w:hAnsi="宋体" w:cs="宋体" w:eastAsia="宋体" w:hint="default"/>
                <w:sz w:val="18"/>
                <w:szCs w:val="18"/>
              </w:rPr>
            </w:pPr>
            <w:r>
              <w:rPr>
                <w:rFonts w:ascii="宋体" w:hAnsi="宋体" w:cs="宋体" w:eastAsia="宋体" w:hint="default"/>
                <w:sz w:val="18"/>
                <w:szCs w:val="18"/>
              </w:rPr>
              <w:t>谢晓梅</w:t>
            </w:r>
            <w:r>
              <w:rPr>
                <w:rFonts w:ascii="Times New Roman" w:hAnsi="Times New Roman" w:cs="Times New Roman" w:eastAsia="Times New Roman" w:hint="default"/>
                <w:sz w:val="18"/>
                <w:szCs w:val="18"/>
              </w:rPr>
              <w:t>;</w:t>
            </w:r>
            <w:r>
              <w:rPr>
                <w:rFonts w:ascii="宋体" w:hAnsi="宋体" w:cs="宋体" w:eastAsia="宋体" w:hint="default"/>
                <w:sz w:val="18"/>
                <w:szCs w:val="18"/>
              </w:rPr>
              <w:t>吴红心</w:t>
            </w:r>
            <w:r>
              <w:rPr>
                <w:rFonts w:ascii="Times New Roman" w:hAnsi="Times New Roman" w:cs="Times New Roman" w:eastAsia="Times New Roman" w:hint="default"/>
                <w:sz w:val="18"/>
                <w:szCs w:val="18"/>
              </w:rPr>
              <w:t>;</w:t>
            </w:r>
            <w:r>
              <w:rPr>
                <w:rFonts w:ascii="宋体" w:hAnsi="宋体" w:cs="宋体" w:eastAsia="宋体" w:hint="default"/>
                <w:sz w:val="18"/>
                <w:szCs w:val="18"/>
              </w:rPr>
              <w:t>张 伟</w:t>
            </w:r>
            <w:r>
              <w:rPr>
                <w:rFonts w:ascii="Times New Roman" w:hAnsi="Times New Roman" w:cs="Times New Roman" w:eastAsia="Times New Roman" w:hint="default"/>
                <w:sz w:val="18"/>
                <w:szCs w:val="18"/>
              </w:rPr>
              <w:t>;</w:t>
            </w:r>
            <w:r>
              <w:rPr>
                <w:rFonts w:ascii="宋体" w:hAnsi="宋体" w:cs="宋体" w:eastAsia="宋体" w:hint="default"/>
                <w:sz w:val="18"/>
                <w:szCs w:val="18"/>
              </w:rPr>
              <w:t>周惠明</w:t>
            </w:r>
            <w:r>
              <w:rPr>
                <w:rFonts w:ascii="Times New Roman" w:hAnsi="Times New Roman" w:cs="Times New Roman" w:eastAsia="Times New Roman" w:hint="default"/>
                <w:sz w:val="18"/>
                <w:szCs w:val="18"/>
              </w:rPr>
              <w:t>;</w:t>
            </w:r>
            <w:r>
              <w:rPr>
                <w:rFonts w:ascii="宋体" w:hAnsi="宋体" w:cs="宋体" w:eastAsia="宋体" w:hint="default"/>
                <w:sz w:val="18"/>
                <w:szCs w:val="18"/>
              </w:rPr>
              <w:t>赫喆</w:t>
            </w:r>
            <w:r>
              <w:rPr>
                <w:rFonts w:ascii="Times New Roman" w:hAnsi="Times New Roman" w:cs="Times New Roman" w:eastAsia="Times New Roman" w:hint="default"/>
                <w:sz w:val="18"/>
                <w:szCs w:val="18"/>
              </w:rPr>
              <w:t>; </w:t>
            </w:r>
            <w:r>
              <w:rPr>
                <w:rFonts w:ascii="宋体" w:hAnsi="宋体" w:cs="宋体" w:eastAsia="宋体" w:hint="default"/>
                <w:sz w:val="18"/>
                <w:szCs w:val="18"/>
              </w:rPr>
              <w:t>杨承宏</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44"/>
              <w:jc w:val="both"/>
              <w:rPr>
                <w:rFonts w:ascii="宋体" w:hAnsi="宋体" w:cs="宋体" w:eastAsia="宋体" w:hint="default"/>
                <w:sz w:val="18"/>
                <w:szCs w:val="18"/>
              </w:rPr>
            </w:pPr>
            <w:r>
              <w:rPr>
                <w:rFonts w:ascii="宋体" w:hAnsi="宋体" w:cs="宋体" w:eastAsia="宋体" w:hint="default"/>
                <w:sz w:val="18"/>
                <w:szCs w:val="18"/>
              </w:rPr>
              <w:t>关于同业 竞争和关 联交易的 承诺</w:t>
            </w:r>
          </w:p>
        </w:tc>
        <w:tc>
          <w:tcPr>
            <w:tcW w:w="3420"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49"/>
              <w:ind w:left="23" w:right="-40"/>
              <w:jc w:val="left"/>
              <w:rPr>
                <w:rFonts w:ascii="宋体" w:hAnsi="宋体" w:cs="宋体" w:eastAsia="宋体" w:hint="default"/>
                <w:sz w:val="18"/>
                <w:szCs w:val="18"/>
              </w:rPr>
            </w:pPr>
            <w:r>
              <w:rPr>
                <w:rFonts w:ascii="宋体" w:hAnsi="宋体" w:cs="宋体" w:eastAsia="宋体" w:hint="default"/>
                <w:sz w:val="18"/>
                <w:szCs w:val="18"/>
              </w:rPr>
              <w:t>一、关于同业竞争：</w:t>
            </w:r>
            <w:r>
              <w:rPr>
                <w:rFonts w:ascii="Times New Roman" w:hAnsi="Times New Roman" w:cs="Times New Roman" w:eastAsia="Times New Roman" w:hint="default"/>
                <w:sz w:val="18"/>
                <w:szCs w:val="18"/>
              </w:rPr>
              <w:t>1</w:t>
            </w:r>
            <w:r>
              <w:rPr>
                <w:rFonts w:ascii="宋体" w:hAnsi="宋体" w:cs="宋体" w:eastAsia="宋体" w:hint="default"/>
                <w:sz w:val="18"/>
                <w:szCs w:val="18"/>
              </w:rPr>
              <w:t>．截至本承诺函签署 </w:t>
            </w:r>
            <w:r>
              <w:rPr>
                <w:rFonts w:ascii="宋体" w:hAnsi="宋体" w:cs="宋体" w:eastAsia="宋体" w:hint="default"/>
                <w:spacing w:val="-4"/>
                <w:sz w:val="18"/>
                <w:szCs w:val="18"/>
              </w:rPr>
              <w:t>日，本人及包括本人控制的其他公司、企业</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或者其他经济组织等关联方未从事与中科 </w:t>
            </w:r>
            <w:r>
              <w:rPr>
                <w:rFonts w:ascii="宋体" w:hAnsi="宋体" w:cs="宋体" w:eastAsia="宋体" w:hint="default"/>
                <w:spacing w:val="-4"/>
                <w:sz w:val="18"/>
                <w:szCs w:val="18"/>
              </w:rPr>
              <w:t>金财、滨河创新及其控制的其他公司、企业</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或者其他经济组织存在同业竞争关系的业 务。</w:t>
            </w:r>
            <w:r>
              <w:rPr>
                <w:rFonts w:ascii="Times New Roman" w:hAnsi="Times New Roman" w:cs="Times New Roman" w:eastAsia="Times New Roman" w:hint="default"/>
                <w:sz w:val="18"/>
                <w:szCs w:val="18"/>
              </w:rPr>
              <w:t>2</w:t>
            </w:r>
            <w:r>
              <w:rPr>
                <w:rFonts w:ascii="宋体" w:hAnsi="宋体" w:cs="宋体" w:eastAsia="宋体" w:hint="default"/>
                <w:sz w:val="18"/>
                <w:szCs w:val="18"/>
              </w:rPr>
              <w:t>．在作为中科金财的股东期间，本人 </w:t>
            </w:r>
            <w:r>
              <w:rPr>
                <w:rFonts w:ascii="宋体" w:hAnsi="宋体" w:cs="宋体" w:eastAsia="宋体" w:hint="default"/>
                <w:spacing w:val="-3"/>
                <w:sz w:val="18"/>
                <w:szCs w:val="18"/>
              </w:rPr>
              <w:t>及包括本人控制的其他公司、企业或者其他</w:t>
            </w:r>
            <w:r>
              <w:rPr>
                <w:rFonts w:ascii="宋体" w:hAnsi="宋体" w:cs="宋体" w:eastAsia="宋体" w:hint="default"/>
                <w:sz w:val="18"/>
                <w:szCs w:val="18"/>
              </w:rPr>
              <w:t> 经济组织等关联方将避免以任何形式从事 </w:t>
            </w:r>
            <w:r>
              <w:rPr>
                <w:rFonts w:ascii="宋体" w:hAnsi="宋体" w:cs="宋体" w:eastAsia="宋体" w:hint="default"/>
                <w:spacing w:val="-3"/>
                <w:sz w:val="18"/>
                <w:szCs w:val="18"/>
              </w:rPr>
              <w:t>任何与中科金财、滨河创新及其控制的其他</w:t>
            </w:r>
            <w:r>
              <w:rPr>
                <w:rFonts w:ascii="宋体" w:hAnsi="宋体" w:cs="宋体" w:eastAsia="宋体" w:hint="default"/>
                <w:sz w:val="18"/>
                <w:szCs w:val="18"/>
              </w:rPr>
              <w:t> </w:t>
            </w:r>
            <w:r>
              <w:rPr>
                <w:rFonts w:ascii="宋体" w:hAnsi="宋体" w:cs="宋体" w:eastAsia="宋体" w:hint="default"/>
                <w:spacing w:val="-3"/>
                <w:sz w:val="18"/>
                <w:szCs w:val="18"/>
              </w:rPr>
              <w:t>公司、企业或者其他经济组织相同或相似且</w:t>
            </w:r>
            <w:r>
              <w:rPr>
                <w:rFonts w:ascii="宋体" w:hAnsi="宋体" w:cs="宋体" w:eastAsia="宋体" w:hint="default"/>
                <w:sz w:val="18"/>
                <w:szCs w:val="18"/>
              </w:rPr>
              <w:t> </w:t>
            </w:r>
            <w:r>
              <w:rPr>
                <w:rFonts w:ascii="宋体" w:hAnsi="宋体" w:cs="宋体" w:eastAsia="宋体" w:hint="default"/>
                <w:spacing w:val="-3"/>
                <w:sz w:val="18"/>
                <w:szCs w:val="18"/>
              </w:rPr>
              <w:t>构成或可能构成竞争关系的业务，亦不从事</w:t>
            </w:r>
            <w:r>
              <w:rPr>
                <w:rFonts w:ascii="宋体" w:hAnsi="宋体" w:cs="宋体" w:eastAsia="宋体" w:hint="default"/>
                <w:sz w:val="18"/>
                <w:szCs w:val="18"/>
              </w:rPr>
              <w:t> </w:t>
            </w:r>
            <w:r>
              <w:rPr>
                <w:rFonts w:ascii="宋体" w:hAnsi="宋体" w:cs="宋体" w:eastAsia="宋体" w:hint="default"/>
                <w:spacing w:val="-3"/>
                <w:sz w:val="18"/>
                <w:szCs w:val="18"/>
              </w:rPr>
              <w:t>任何可能损害中科金财、滨河创新及其控制</w:t>
            </w:r>
            <w:r>
              <w:rPr>
                <w:rFonts w:ascii="宋体" w:hAnsi="宋体" w:cs="宋体" w:eastAsia="宋体" w:hint="default"/>
                <w:sz w:val="18"/>
                <w:szCs w:val="18"/>
              </w:rPr>
              <w:t> </w:t>
            </w:r>
            <w:r>
              <w:rPr>
                <w:rFonts w:ascii="宋体" w:hAnsi="宋体" w:cs="宋体" w:eastAsia="宋体" w:hint="default"/>
                <w:spacing w:val="-3"/>
                <w:sz w:val="18"/>
                <w:szCs w:val="18"/>
              </w:rPr>
              <w:t>的其他公司、企业或者其他经济组织利益的</w:t>
            </w:r>
            <w:r>
              <w:rPr>
                <w:rFonts w:ascii="宋体" w:hAnsi="宋体" w:cs="宋体" w:eastAsia="宋体" w:hint="default"/>
                <w:sz w:val="18"/>
                <w:szCs w:val="18"/>
              </w:rPr>
              <w:t> </w:t>
            </w:r>
            <w:r>
              <w:rPr>
                <w:rFonts w:ascii="宋体" w:hAnsi="宋体" w:cs="宋体" w:eastAsia="宋体" w:hint="default"/>
                <w:spacing w:val="-4"/>
                <w:sz w:val="18"/>
                <w:szCs w:val="18"/>
              </w:rPr>
              <w:t>活动。如本人及其控制的其他公司、企业或</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者其他经济组织遇到中科金财、滨河创新及</w:t>
            </w:r>
            <w:r>
              <w:rPr>
                <w:rFonts w:ascii="宋体" w:hAnsi="宋体" w:cs="宋体" w:eastAsia="宋体" w:hint="default"/>
                <w:sz w:val="18"/>
                <w:szCs w:val="18"/>
              </w:rPr>
              <w:t> </w:t>
            </w:r>
            <w:r>
              <w:rPr>
                <w:rFonts w:ascii="宋体" w:hAnsi="宋体" w:cs="宋体" w:eastAsia="宋体" w:hint="default"/>
                <w:spacing w:val="-3"/>
                <w:sz w:val="18"/>
                <w:szCs w:val="18"/>
              </w:rPr>
              <w:t>其控制的其他公司、企业或者其他经济组织</w:t>
            </w:r>
            <w:r>
              <w:rPr>
                <w:rFonts w:ascii="宋体" w:hAnsi="宋体" w:cs="宋体" w:eastAsia="宋体" w:hint="default"/>
                <w:sz w:val="18"/>
                <w:szCs w:val="18"/>
              </w:rPr>
              <w:t> </w:t>
            </w:r>
            <w:r>
              <w:rPr>
                <w:rFonts w:ascii="宋体" w:hAnsi="宋体" w:cs="宋体" w:eastAsia="宋体" w:hint="default"/>
                <w:spacing w:val="-3"/>
                <w:sz w:val="18"/>
                <w:szCs w:val="18"/>
              </w:rPr>
              <w:t>主营业务范围内的业务机会，本人及其控制</w:t>
            </w:r>
            <w:r>
              <w:rPr>
                <w:rFonts w:ascii="宋体" w:hAnsi="宋体" w:cs="宋体" w:eastAsia="宋体" w:hint="default"/>
                <w:sz w:val="18"/>
                <w:szCs w:val="18"/>
              </w:rPr>
              <w:t> </w:t>
            </w:r>
            <w:r>
              <w:rPr>
                <w:rFonts w:ascii="宋体" w:hAnsi="宋体" w:cs="宋体" w:eastAsia="宋体" w:hint="default"/>
                <w:spacing w:val="-3"/>
                <w:sz w:val="18"/>
                <w:szCs w:val="18"/>
              </w:rPr>
              <w:t>的其他公司、企业或者其他经济组织承诺将</w:t>
            </w:r>
            <w:r>
              <w:rPr>
                <w:rFonts w:ascii="宋体" w:hAnsi="宋体" w:cs="宋体" w:eastAsia="宋体" w:hint="default"/>
                <w:sz w:val="18"/>
                <w:szCs w:val="18"/>
              </w:rPr>
              <w:t> </w:t>
            </w:r>
            <w:r>
              <w:rPr>
                <w:rFonts w:ascii="宋体" w:hAnsi="宋体" w:cs="宋体" w:eastAsia="宋体" w:hint="default"/>
                <w:spacing w:val="-3"/>
                <w:sz w:val="18"/>
                <w:szCs w:val="18"/>
              </w:rPr>
              <w:t>该等合作机会让予中科金财、滨河创新及其</w:t>
            </w:r>
            <w:r>
              <w:rPr>
                <w:rFonts w:ascii="宋体" w:hAnsi="宋体" w:cs="宋体" w:eastAsia="宋体" w:hint="default"/>
                <w:sz w:val="18"/>
                <w:szCs w:val="18"/>
              </w:rPr>
              <w:t> 控制的其他公司、企业或者其他经济组织。 </w:t>
            </w:r>
            <w:r>
              <w:rPr>
                <w:rFonts w:ascii="宋体" w:hAnsi="宋体" w:cs="宋体" w:eastAsia="宋体" w:hint="default"/>
                <w:spacing w:val="-4"/>
                <w:sz w:val="18"/>
                <w:szCs w:val="18"/>
              </w:rPr>
              <w:t>二、关于规范及减少关联交易：本人在作为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中科金财的股东期间，本人及所控制的其他</w:t>
            </w:r>
            <w:r>
              <w:rPr>
                <w:rFonts w:ascii="宋体" w:hAnsi="宋体" w:cs="宋体" w:eastAsia="宋体" w:hint="default"/>
                <w:sz w:val="18"/>
                <w:szCs w:val="18"/>
              </w:rPr>
              <w:t> </w:t>
            </w:r>
            <w:r>
              <w:rPr>
                <w:rFonts w:ascii="宋体" w:hAnsi="宋体" w:cs="宋体" w:eastAsia="宋体" w:hint="default"/>
                <w:spacing w:val="-3"/>
                <w:sz w:val="18"/>
                <w:szCs w:val="18"/>
              </w:rPr>
              <w:t>公司、企业或者其他经济组织将尽量减少并</w:t>
            </w:r>
            <w:r>
              <w:rPr>
                <w:rFonts w:ascii="宋体" w:hAnsi="宋体" w:cs="宋体" w:eastAsia="宋体" w:hint="default"/>
                <w:sz w:val="18"/>
                <w:szCs w:val="18"/>
              </w:rPr>
              <w:t> </w:t>
            </w:r>
            <w:r>
              <w:rPr>
                <w:rFonts w:ascii="宋体" w:hAnsi="宋体" w:cs="宋体" w:eastAsia="宋体" w:hint="default"/>
                <w:spacing w:val="-3"/>
                <w:sz w:val="18"/>
                <w:szCs w:val="18"/>
              </w:rPr>
              <w:t>规范与中科金财、滨河创新及其控制的其他</w:t>
            </w:r>
            <w:r>
              <w:rPr>
                <w:rFonts w:ascii="宋体" w:hAnsi="宋体" w:cs="宋体" w:eastAsia="宋体" w:hint="default"/>
                <w:sz w:val="18"/>
                <w:szCs w:val="18"/>
              </w:rPr>
              <w:t> </w:t>
            </w:r>
            <w:r>
              <w:rPr>
                <w:rFonts w:ascii="宋体" w:hAnsi="宋体" w:cs="宋体" w:eastAsia="宋体" w:hint="default"/>
                <w:spacing w:val="-3"/>
                <w:sz w:val="18"/>
                <w:szCs w:val="18"/>
              </w:rPr>
              <w:t>公司、企业或者其他经济组织之间的关联交</w:t>
            </w:r>
            <w:r>
              <w:rPr>
                <w:rFonts w:ascii="宋体" w:hAnsi="宋体" w:cs="宋体" w:eastAsia="宋体" w:hint="default"/>
                <w:sz w:val="18"/>
                <w:szCs w:val="18"/>
              </w:rPr>
              <w:t> </w:t>
            </w:r>
            <w:r>
              <w:rPr>
                <w:rFonts w:ascii="宋体" w:hAnsi="宋体" w:cs="宋体" w:eastAsia="宋体" w:hint="default"/>
                <w:spacing w:val="-3"/>
                <w:sz w:val="18"/>
                <w:szCs w:val="18"/>
              </w:rPr>
              <w:t>易。对于无法避免或有合理原因而发生的关</w:t>
            </w:r>
            <w:r>
              <w:rPr>
                <w:rFonts w:ascii="宋体" w:hAnsi="宋体" w:cs="宋体" w:eastAsia="宋体" w:hint="default"/>
                <w:sz w:val="18"/>
                <w:szCs w:val="18"/>
              </w:rPr>
              <w:t> </w:t>
            </w:r>
            <w:r>
              <w:rPr>
                <w:rFonts w:ascii="宋体" w:hAnsi="宋体" w:cs="宋体" w:eastAsia="宋体" w:hint="default"/>
                <w:spacing w:val="-4"/>
                <w:sz w:val="18"/>
                <w:szCs w:val="18"/>
              </w:rPr>
              <w:t>联交易，本人及所控制的其他公司、企业或</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者其他经济组织将遵循市场原则以公允、合</w:t>
            </w:r>
            <w:r>
              <w:rPr>
                <w:rFonts w:ascii="宋体" w:hAnsi="宋体" w:cs="宋体" w:eastAsia="宋体" w:hint="default"/>
                <w:sz w:val="18"/>
                <w:szCs w:val="18"/>
              </w:rPr>
              <w:t> </w:t>
            </w:r>
            <w:r>
              <w:rPr>
                <w:rFonts w:ascii="宋体" w:hAnsi="宋体" w:cs="宋体" w:eastAsia="宋体" w:hint="default"/>
                <w:spacing w:val="-4"/>
                <w:sz w:val="18"/>
                <w:szCs w:val="18"/>
              </w:rPr>
              <w:t>理的市场价格进行，根据有关法律、法规及</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规范性文件的规定履行关联交易决策程序， 依法履行信息披露义务和办理有关报批程 </w:t>
            </w:r>
            <w:r>
              <w:rPr>
                <w:rFonts w:ascii="宋体" w:hAnsi="宋体" w:cs="宋体" w:eastAsia="宋体" w:hint="default"/>
                <w:spacing w:val="-3"/>
                <w:sz w:val="18"/>
                <w:szCs w:val="18"/>
              </w:rPr>
              <w:t>序，不利用股东优势地位损害中科金财及其</w:t>
            </w:r>
            <w:r>
              <w:rPr>
                <w:rFonts w:ascii="宋体" w:hAnsi="宋体" w:cs="宋体" w:eastAsia="宋体" w:hint="default"/>
                <w:sz w:val="18"/>
                <w:szCs w:val="18"/>
              </w:rPr>
              <w:t> 他股东的合法权益。本人若违反上述承诺， </w:t>
            </w:r>
            <w:r>
              <w:rPr>
                <w:rFonts w:ascii="宋体" w:hAnsi="宋体" w:cs="宋体" w:eastAsia="宋体" w:hint="default"/>
                <w:spacing w:val="-3"/>
                <w:sz w:val="18"/>
                <w:szCs w:val="18"/>
              </w:rPr>
              <w:t>将承担因此而给中科金财、滨河创新及其控</w:t>
            </w:r>
            <w:r>
              <w:rPr>
                <w:rFonts w:ascii="宋体" w:hAnsi="宋体" w:cs="宋体" w:eastAsia="宋体" w:hint="default"/>
                <w:sz w:val="18"/>
                <w:szCs w:val="18"/>
              </w:rPr>
              <w:t> </w:t>
            </w:r>
            <w:r>
              <w:rPr>
                <w:rFonts w:ascii="宋体" w:hAnsi="宋体" w:cs="宋体" w:eastAsia="宋体" w:hint="default"/>
                <w:spacing w:val="-3"/>
                <w:sz w:val="18"/>
                <w:szCs w:val="18"/>
              </w:rPr>
              <w:t>制的其他公司、企业或者其他经济组织造成</w:t>
            </w:r>
            <w:r>
              <w:rPr>
                <w:rFonts w:ascii="宋体" w:hAnsi="宋体" w:cs="宋体" w:eastAsia="宋体" w:hint="default"/>
                <w:sz w:val="18"/>
                <w:szCs w:val="18"/>
              </w:rPr>
              <w:t> </w:t>
            </w:r>
            <w:r>
              <w:rPr>
                <w:rFonts w:ascii="宋体" w:hAnsi="宋体" w:cs="宋体" w:eastAsia="宋体" w:hint="default"/>
                <w:spacing w:val="-4"/>
                <w:sz w:val="18"/>
                <w:szCs w:val="18"/>
              </w:rPr>
              <w:t>的一切损失。三、关于资金占用：除正常经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营性往来外，保证本次交易完成后中科金</w:t>
            </w:r>
          </w:p>
        </w:tc>
        <w:tc>
          <w:tcPr>
            <w:tcW w:w="901"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1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9"/>
              <w:ind w:left="23" w:right="144"/>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173"/>
              <w:jc w:val="both"/>
              <w:rPr>
                <w:rFonts w:ascii="宋体" w:hAnsi="宋体" w:cs="宋体" w:eastAsia="宋体" w:hint="default"/>
                <w:sz w:val="18"/>
                <w:szCs w:val="18"/>
              </w:rPr>
            </w:pPr>
            <w:r>
              <w:rPr>
                <w:rFonts w:ascii="宋体" w:hAnsi="宋体" w:cs="宋体" w:eastAsia="宋体" w:hint="default"/>
                <w:sz w:val="18"/>
                <w:szCs w:val="18"/>
              </w:rPr>
              <w:t>正常 履行 中</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99"/>
        <w:gridCol w:w="1441"/>
        <w:gridCol w:w="900"/>
        <w:gridCol w:w="3420"/>
        <w:gridCol w:w="901"/>
        <w:gridCol w:w="540"/>
        <w:gridCol w:w="566"/>
      </w:tblGrid>
      <w:tr>
        <w:trPr>
          <w:trHeight w:val="987" w:hRule="exact"/>
        </w:trPr>
        <w:tc>
          <w:tcPr>
            <w:tcW w:w="1799" w:type="dxa"/>
            <w:vMerge w:val="restart"/>
            <w:tcBorders>
              <w:top w:val="single" w:sz="4" w:space="0" w:color="000000"/>
              <w:left w:val="single" w:sz="4" w:space="0" w:color="000000"/>
              <w:right w:val="single" w:sz="4" w:space="0" w:color="000000"/>
            </w:tcBorders>
            <w:shd w:val="clear" w:color="auto" w:fill="D2D2D2"/>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95"/>
              <w:jc w:val="both"/>
              <w:rPr>
                <w:rFonts w:ascii="宋体" w:hAnsi="宋体" w:cs="宋体" w:eastAsia="宋体" w:hint="default"/>
                <w:sz w:val="18"/>
                <w:szCs w:val="18"/>
              </w:rPr>
            </w:pPr>
            <w:r>
              <w:rPr>
                <w:rFonts w:ascii="宋体" w:hAnsi="宋体" w:cs="宋体" w:eastAsia="宋体" w:hint="default"/>
                <w:sz w:val="18"/>
                <w:szCs w:val="18"/>
              </w:rPr>
              <w:t>财、滨河创新不存在资金、资产被本人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 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本公司控制的其他公司、企业 或者其他经济组织等关联方占用的情形。</w:t>
            </w: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1799" w:type="dxa"/>
            <w:vMerge/>
            <w:tcBorders>
              <w:left w:val="single" w:sz="4" w:space="0" w:color="000000"/>
              <w:bottom w:val="single" w:sz="4" w:space="0" w:color="000000"/>
              <w:right w:val="single" w:sz="4" w:space="0" w:color="000000"/>
            </w:tcBorders>
            <w:shd w:val="clear" w:color="auto" w:fill="D2D2D2"/>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朱烨东</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44"/>
              <w:jc w:val="both"/>
              <w:rPr>
                <w:rFonts w:ascii="宋体" w:hAnsi="宋体" w:cs="宋体" w:eastAsia="宋体" w:hint="default"/>
                <w:sz w:val="18"/>
                <w:szCs w:val="18"/>
              </w:rPr>
            </w:pPr>
            <w:r>
              <w:rPr>
                <w:rFonts w:ascii="宋体" w:hAnsi="宋体" w:cs="宋体" w:eastAsia="宋体" w:hint="default"/>
                <w:sz w:val="18"/>
                <w:szCs w:val="18"/>
              </w:rPr>
              <w:t>关于股份 锁定的承 诺</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20"/>
              <w:jc w:val="both"/>
              <w:rPr>
                <w:rFonts w:ascii="宋体" w:hAnsi="宋体" w:cs="宋体" w:eastAsia="宋体" w:hint="default"/>
                <w:sz w:val="18"/>
                <w:szCs w:val="18"/>
              </w:rPr>
            </w:pPr>
            <w:r>
              <w:rPr>
                <w:rFonts w:ascii="宋体" w:hAnsi="宋体" w:cs="宋体" w:eastAsia="宋体" w:hint="default"/>
                <w:spacing w:val="-3"/>
                <w:sz w:val="18"/>
                <w:szCs w:val="18"/>
              </w:rPr>
              <w:t>本人同意自中科金财本次发行结束之日（指</w:t>
            </w:r>
            <w:r>
              <w:rPr>
                <w:rFonts w:ascii="宋体" w:hAnsi="宋体" w:cs="宋体" w:eastAsia="宋体" w:hint="default"/>
                <w:sz w:val="18"/>
                <w:szCs w:val="18"/>
              </w:rPr>
              <w:t> </w:t>
            </w:r>
            <w:r>
              <w:rPr>
                <w:rFonts w:ascii="宋体" w:hAnsi="宋体" w:cs="宋体" w:eastAsia="宋体" w:hint="default"/>
                <w:spacing w:val="-4"/>
                <w:sz w:val="18"/>
                <w:szCs w:val="18"/>
              </w:rPr>
              <w:t>本次发行的股份上市之日）起，三十六个月</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内不转让本次认购的股份。</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70"/>
              <w:jc w:val="left"/>
              <w:rPr>
                <w:rFonts w:ascii="宋体" w:hAnsi="宋体" w:cs="宋体" w:eastAsia="宋体" w:hint="default"/>
                <w:sz w:val="18"/>
                <w:szCs w:val="18"/>
              </w:rPr>
            </w:pPr>
            <w:r>
              <w:rPr>
                <w:rFonts w:ascii="宋体" w:hAnsi="宋体" w:cs="宋体" w:eastAsia="宋体" w:hint="default"/>
                <w:sz w:val="18"/>
                <w:szCs w:val="18"/>
              </w:rPr>
              <w:t>履行 完毕</w:t>
            </w:r>
          </w:p>
        </w:tc>
      </w:tr>
      <w:tr>
        <w:trPr>
          <w:trHeight w:val="404"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44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4"/>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44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76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z w:val="18"/>
                <w:szCs w:val="18"/>
              </w:rPr>
              <w:t>如承诺超期未履行完 </w:t>
            </w:r>
            <w:r>
              <w:rPr>
                <w:rFonts w:ascii="宋体" w:hAnsi="宋体" w:cs="宋体" w:eastAsia="宋体" w:hint="default"/>
                <w:spacing w:val="-6"/>
                <w:sz w:val="18"/>
                <w:szCs w:val="18"/>
              </w:rPr>
              <w:t>毕的，应当详细说明未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完成履行的具体原因 及下一步的工作计划</w:t>
            </w:r>
          </w:p>
        </w:tc>
        <w:tc>
          <w:tcPr>
            <w:tcW w:w="776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right="1133"/>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t>不适用</w:t>
      </w:r>
    </w:p>
    <w:p>
      <w:pPr>
        <w:spacing w:line="240" w:lineRule="auto" w:before="3"/>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06"/>
        <w:gridCol w:w="1178"/>
        <w:gridCol w:w="1181"/>
        <w:gridCol w:w="1181"/>
        <w:gridCol w:w="1179"/>
        <w:gridCol w:w="1181"/>
        <w:gridCol w:w="1184"/>
        <w:gridCol w:w="1176"/>
      </w:tblGrid>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7" w:right="106"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1"/>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7" w:right="46" w:hanging="452"/>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4" w:right="38" w:hanging="449"/>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3521"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北京志东方</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41" w:right="0"/>
              <w:jc w:val="left"/>
              <w:rPr>
                <w:rFonts w:ascii="Times New Roman" w:hAnsi="Times New Roman" w:cs="Times New Roman" w:eastAsia="Times New Roman" w:hint="default"/>
                <w:sz w:val="18"/>
                <w:szCs w:val="18"/>
              </w:rPr>
            </w:pPr>
            <w:r>
              <w:rPr>
                <w:rFonts w:ascii="Times New Roman"/>
                <w:sz w:val="18"/>
              </w:rPr>
              <w:t>1,800</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16" w:right="0"/>
              <w:jc w:val="left"/>
              <w:rPr>
                <w:rFonts w:ascii="Times New Roman" w:hAnsi="Times New Roman" w:cs="Times New Roman" w:eastAsia="Times New Roman" w:hint="default"/>
                <w:sz w:val="18"/>
                <w:szCs w:val="18"/>
              </w:rPr>
            </w:pPr>
            <w:r>
              <w:rPr>
                <w:rFonts w:ascii="Times New Roman"/>
                <w:sz w:val="18"/>
              </w:rPr>
              <w:t>1,865.54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exact" w:before="23"/>
              <w:ind w:left="23"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日巨潮资讯 网 </w:t>
            </w:r>
            <w:r>
              <w:rPr>
                <w:rFonts w:ascii="Times New Roman" w:hAnsi="Times New Roman" w:cs="Times New Roman" w:eastAsia="Times New Roman" w:hint="default"/>
                <w:sz w:val="18"/>
                <w:szCs w:val="18"/>
              </w:rPr>
              <w:t>http://www.cni </w:t>
            </w:r>
            <w:r>
              <w:rPr>
                <w:rFonts w:ascii="Times New Roman" w:hAnsi="Times New Roman" w:cs="Times New Roman" w:eastAsia="Times New Roman" w:hint="default"/>
                <w:spacing w:val="-5"/>
                <w:sz w:val="18"/>
                <w:szCs w:val="18"/>
              </w:rPr>
              <w:t>nfo.com.cn</w:t>
            </w:r>
            <w:r>
              <w:rPr>
                <w:rFonts w:ascii="宋体" w:hAnsi="宋体" w:cs="宋体" w:eastAsia="宋体" w:hint="default"/>
                <w:spacing w:val="-5"/>
                <w:sz w:val="18"/>
                <w:szCs w:val="18"/>
              </w:rPr>
              <w:t>《关</w:t>
            </w:r>
            <w:r>
              <w:rPr>
                <w:rFonts w:ascii="宋体" w:hAnsi="宋体" w:cs="宋体" w:eastAsia="宋体" w:hint="default"/>
                <w:spacing w:val="-82"/>
                <w:sz w:val="18"/>
                <w:szCs w:val="18"/>
              </w:rPr>
              <w:t> </w:t>
            </w:r>
            <w:r>
              <w:rPr>
                <w:rFonts w:ascii="宋体" w:hAnsi="宋体" w:cs="宋体" w:eastAsia="宋体" w:hint="default"/>
                <w:sz w:val="18"/>
                <w:szCs w:val="18"/>
              </w:rPr>
              <w:t>于现金收购北 京志东方科技</w:t>
            </w:r>
          </w:p>
          <w:p>
            <w:pPr>
              <w:pStyle w:val="TableParagraph"/>
              <w:spacing w:line="312" w:lineRule="auto" w:before="40"/>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有限责任公司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股权的 </w:t>
            </w:r>
            <w:r>
              <w:rPr>
                <w:rFonts w:ascii="宋体" w:hAnsi="宋体" w:cs="宋体" w:eastAsia="宋体" w:hint="default"/>
                <w:spacing w:val="-21"/>
                <w:sz w:val="18"/>
                <w:szCs w:val="18"/>
              </w:rPr>
              <w:t>公告》，公告编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2019-056</w:t>
            </w:r>
          </w:p>
        </w:tc>
      </w:tr>
    </w:tbl>
    <w:p>
      <w:pPr>
        <w:pStyle w:val="BodyText"/>
        <w:spacing w:line="240" w:lineRule="auto" w:before="33"/>
        <w:ind w:right="1133"/>
        <w:jc w:val="left"/>
      </w:pPr>
      <w:r>
        <w:rPr/>
        <w:t>公司股东、交易对手方在报告年度经营业绩做出的承诺情况</w:t>
      </w:r>
    </w:p>
    <w:p>
      <w:pPr>
        <w:pStyle w:val="BodyText"/>
        <w:spacing w:line="372" w:lineRule="auto" w:before="91"/>
        <w:ind w:left="554" w:right="1133" w:hanging="4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w:t>
      </w:r>
      <w:r>
        <w:rPr>
          <w:w w:val="99"/>
        </w:rPr>
        <w:t> </w:t>
      </w:r>
      <w:r>
        <w:rPr>
          <w:spacing w:val="-3"/>
          <w:w w:val="99"/>
        </w:rPr>
        <w:t>经公司</w:t>
      </w:r>
      <w:r>
        <w:rPr>
          <w:rFonts w:ascii="Times New Roman" w:hAnsi="Times New Roman" w:cs="Times New Roman" w:eastAsia="Times New Roman" w:hint="default"/>
          <w:spacing w:val="-3"/>
          <w:w w:val="99"/>
        </w:rPr>
        <w:t>2019</w:t>
      </w:r>
      <w:r>
        <w:rPr>
          <w:spacing w:val="-3"/>
          <w:w w:val="99"/>
        </w:rPr>
        <w:t>年</w:t>
      </w:r>
      <w:r>
        <w:rPr>
          <w:rFonts w:ascii="Times New Roman" w:hAnsi="Times New Roman" w:cs="Times New Roman" w:eastAsia="Times New Roman" w:hint="default"/>
          <w:spacing w:val="-3"/>
          <w:w w:val="99"/>
        </w:rPr>
        <w:t>11</w:t>
      </w:r>
      <w:r>
        <w:rPr>
          <w:spacing w:val="-3"/>
          <w:w w:val="99"/>
        </w:rPr>
        <w:t>月</w:t>
      </w:r>
      <w:r>
        <w:rPr>
          <w:rFonts w:ascii="Times New Roman" w:hAnsi="Times New Roman" w:cs="Times New Roman" w:eastAsia="Times New Roman" w:hint="default"/>
          <w:spacing w:val="-3"/>
          <w:w w:val="99"/>
        </w:rPr>
        <w:t>15</w:t>
      </w:r>
      <w:r>
        <w:rPr>
          <w:spacing w:val="-3"/>
          <w:w w:val="99"/>
        </w:rPr>
        <w:t>日第五届董事会第四次会议审议通过，公司与临沂市志东方网络信息科技合伙企业（有</w:t>
      </w:r>
      <w:r>
        <w:rPr>
          <w:spacing w:val="-3"/>
        </w:rPr>
      </w:r>
    </w:p>
    <w:p>
      <w:pPr>
        <w:pStyle w:val="BodyText"/>
        <w:spacing w:line="240" w:lineRule="auto" w:before="69"/>
        <w:ind w:right="1133"/>
        <w:jc w:val="left"/>
      </w:pPr>
      <w:r>
        <w:rPr/>
        <w:t>限合伙）、张广清、陈志延、陈嘉玮签署了《股权收购协议》和《股权收购协议之补充协议》，公司以自有资</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88" w:lineRule="auto"/>
        <w:ind w:right="1129"/>
        <w:jc w:val="left"/>
      </w:pPr>
      <w:r>
        <w:rPr/>
        <w:t>金</w:t>
      </w:r>
      <w:r>
        <w:rPr>
          <w:rFonts w:ascii="Times New Roman" w:hAnsi="Times New Roman" w:cs="Times New Roman" w:eastAsia="Times New Roman" w:hint="default"/>
        </w:rPr>
        <w:t>25,000</w:t>
      </w:r>
      <w:r>
        <w:rPr/>
        <w:t>万元人民币的价格收购北京志东方</w:t>
      </w:r>
      <w:r>
        <w:rPr>
          <w:rFonts w:ascii="Times New Roman" w:hAnsi="Times New Roman" w:cs="Times New Roman" w:eastAsia="Times New Roman" w:hint="default"/>
        </w:rPr>
        <w:t>100%</w:t>
      </w:r>
      <w:r>
        <w:rPr/>
        <w:t>股权。交易对方向公司承诺北京志东方</w:t>
      </w:r>
      <w:r>
        <w:rPr>
          <w:rFonts w:ascii="Times New Roman" w:hAnsi="Times New Roman" w:cs="Times New Roman" w:eastAsia="Times New Roman" w:hint="default"/>
        </w:rPr>
        <w:t>2019</w:t>
      </w:r>
      <w:r>
        <w:rPr/>
        <w:t>年度、</w:t>
      </w:r>
      <w:r>
        <w:rPr>
          <w:rFonts w:ascii="Times New Roman" w:hAnsi="Times New Roman" w:cs="Times New Roman" w:eastAsia="Times New Roman" w:hint="default"/>
        </w:rPr>
        <w:t>2020</w:t>
      </w:r>
      <w:r>
        <w:rPr/>
        <w:t>年度、</w:t>
      </w:r>
      <w:r>
        <w:rPr>
          <w:spacing w:val="-86"/>
        </w:rPr>
        <w:t> </w:t>
      </w:r>
      <w:r>
        <w:rPr>
          <w:spacing w:val="-86"/>
        </w:rPr>
      </w:r>
      <w:r>
        <w:rPr>
          <w:rFonts w:ascii="Times New Roman" w:hAnsi="Times New Roman" w:cs="Times New Roman" w:eastAsia="Times New Roman" w:hint="default"/>
        </w:rPr>
        <w:t>2021</w:t>
      </w:r>
      <w:r>
        <w:rPr/>
        <w:t>年度对应的净利润分别为不低于</w:t>
      </w:r>
      <w:r>
        <w:rPr>
          <w:rFonts w:ascii="Times New Roman" w:hAnsi="Times New Roman" w:cs="Times New Roman" w:eastAsia="Times New Roman" w:hint="default"/>
        </w:rPr>
        <w:t>1,800</w:t>
      </w:r>
      <w:r>
        <w:rPr/>
        <w:t>万元、</w:t>
      </w:r>
      <w:r>
        <w:rPr>
          <w:rFonts w:ascii="Times New Roman" w:hAnsi="Times New Roman" w:cs="Times New Roman" w:eastAsia="Times New Roman" w:hint="default"/>
        </w:rPr>
        <w:t>2,200</w:t>
      </w:r>
      <w:r>
        <w:rPr/>
        <w:t>万元、</w:t>
      </w:r>
      <w:r>
        <w:rPr>
          <w:rFonts w:ascii="Times New Roman" w:hAnsi="Times New Roman" w:cs="Times New Roman" w:eastAsia="Times New Roman" w:hint="default"/>
        </w:rPr>
        <w:t>2,700</w:t>
      </w:r>
      <w:r>
        <w:rPr/>
        <w:t>万元。</w:t>
      </w:r>
      <w:r>
        <w:rPr>
          <w:w w:val="99"/>
        </w:rPr>
        <w:t> </w:t>
      </w:r>
      <w:r>
        <w:rPr/>
        <w:t>业绩承诺的完成情况及其对商誉减值测试的影响</w:t>
      </w:r>
    </w:p>
    <w:p>
      <w:pPr>
        <w:pStyle w:val="BodyText"/>
        <w:spacing w:line="429" w:lineRule="auto" w:before="44"/>
        <w:ind w:right="1131" w:firstLine="401"/>
        <w:jc w:val="both"/>
      </w:pPr>
      <w:r>
        <w:rPr>
          <w:rFonts w:ascii="宋体" w:hAnsi="宋体" w:cs="宋体" w:eastAsia="宋体" w:hint="default"/>
        </w:rPr>
        <w:t>2019</w:t>
      </w:r>
      <w:r>
        <w:rPr/>
        <w:t>年度，北京志东方合并利润表归属于母公司所有者的净利润金额为</w:t>
      </w:r>
      <w:r>
        <w:rPr>
          <w:rFonts w:ascii="宋体" w:hAnsi="宋体" w:cs="宋体" w:eastAsia="宋体" w:hint="default"/>
        </w:rPr>
        <w:t>2,236.50</w:t>
      </w:r>
      <w:r>
        <w:rPr/>
        <w:t>万元，扣除非经常性损益</w:t>
      </w:r>
      <w:r>
        <w:rPr>
          <w:w w:val="99"/>
        </w:rPr>
        <w:t> </w:t>
      </w:r>
      <w:r>
        <w:rPr>
          <w:spacing w:val="-3"/>
          <w:w w:val="99"/>
        </w:rPr>
        <w:t>后归属于母公司所有者的净利润金额为</w:t>
      </w:r>
      <w:r>
        <w:rPr>
          <w:rFonts w:ascii="宋体" w:hAnsi="宋体" w:cs="宋体" w:eastAsia="宋体" w:hint="default"/>
          <w:spacing w:val="-3"/>
          <w:w w:val="99"/>
        </w:rPr>
        <w:t>2,244.25</w:t>
      </w:r>
      <w:r>
        <w:rPr>
          <w:spacing w:val="-3"/>
          <w:w w:val="99"/>
        </w:rPr>
        <w:t>万元；根据交易协议的约定，扣除立信出具的信会师报字</w:t>
      </w:r>
      <w:r>
        <w:rPr>
          <w:rFonts w:ascii="宋体" w:hAnsi="宋体" w:cs="宋体" w:eastAsia="宋体" w:hint="default"/>
          <w:spacing w:val="-3"/>
          <w:w w:val="99"/>
        </w:rPr>
        <w:t>[2019]</w:t>
      </w:r>
      <w:r>
        <w:rPr>
          <w:rFonts w:ascii="宋体" w:hAnsi="宋体" w:cs="宋体" w:eastAsia="宋体" w:hint="default"/>
          <w:spacing w:val="-58"/>
          <w:w w:val="99"/>
        </w:rPr>
        <w:t> </w:t>
      </w:r>
      <w:r>
        <w:rPr>
          <w:spacing w:val="-1"/>
          <w:w w:val="95"/>
        </w:rPr>
        <w:t>第</w:t>
      </w:r>
      <w:r>
        <w:rPr>
          <w:rFonts w:ascii="宋体" w:hAnsi="宋体" w:cs="宋体" w:eastAsia="宋体" w:hint="default"/>
          <w:spacing w:val="-1"/>
          <w:w w:val="95"/>
        </w:rPr>
        <w:t>ZB50778</w:t>
      </w:r>
      <w:r>
        <w:rPr>
          <w:spacing w:val="-1"/>
          <w:w w:val="95"/>
        </w:rPr>
        <w:t>号《审计报告》利润表中所列示的资产减值损失金额</w:t>
      </w:r>
      <w:r>
        <w:rPr>
          <w:rFonts w:ascii="宋体" w:hAnsi="宋体" w:cs="宋体" w:eastAsia="宋体" w:hint="default"/>
          <w:spacing w:val="-1"/>
          <w:w w:val="95"/>
        </w:rPr>
        <w:t>378.71</w:t>
      </w:r>
      <w:r>
        <w:rPr>
          <w:spacing w:val="-1"/>
          <w:w w:val="95"/>
        </w:rPr>
        <w:t>万元后，</w:t>
      </w:r>
      <w:r>
        <w:rPr>
          <w:rFonts w:ascii="宋体" w:hAnsi="宋体" w:cs="宋体" w:eastAsia="宋体" w:hint="default"/>
          <w:spacing w:val="-1"/>
          <w:w w:val="95"/>
        </w:rPr>
        <w:t>2019</w:t>
      </w:r>
      <w:r>
        <w:rPr>
          <w:spacing w:val="-1"/>
          <w:w w:val="95"/>
        </w:rPr>
        <w:t>年度北京志东方实际业绩为</w:t>
      </w:r>
      <w:r>
        <w:rPr>
          <w:spacing w:val="91"/>
          <w:w w:val="95"/>
        </w:rPr>
        <w:t> </w:t>
      </w:r>
      <w:r>
        <w:rPr>
          <w:spacing w:val="91"/>
          <w:w w:val="95"/>
        </w:rPr>
      </w:r>
      <w:r>
        <w:rPr>
          <w:rFonts w:ascii="宋体" w:hAnsi="宋体" w:cs="宋体" w:eastAsia="宋体" w:hint="default"/>
        </w:rPr>
        <w:t>1,865.54</w:t>
      </w:r>
      <w:r>
        <w:rPr/>
        <w:t>万元，完成了</w:t>
      </w:r>
      <w:r>
        <w:rPr>
          <w:rFonts w:ascii="宋体" w:hAnsi="宋体" w:cs="宋体" w:eastAsia="宋体" w:hint="default"/>
        </w:rPr>
        <w:t>2019</w:t>
      </w:r>
      <w:r>
        <w:rPr/>
        <w:t>年度的业绩承诺。预计北京志东方可实现未来年度的业绩承诺，对商誉减值测试无</w:t>
      </w:r>
      <w:r>
        <w:rPr>
          <w:spacing w:val="-79"/>
        </w:rPr>
        <w:t> </w:t>
      </w:r>
      <w:r>
        <w:rPr>
          <w:spacing w:val="-79"/>
        </w:rPr>
      </w:r>
      <w:r>
        <w:rPr/>
        <w:t>影响。</w:t>
      </w:r>
    </w:p>
    <w:p>
      <w:pPr>
        <w:spacing w:line="240" w:lineRule="auto" w:before="4"/>
        <w:rPr>
          <w:rFonts w:ascii="宋体" w:hAnsi="宋体" w:cs="宋体" w:eastAsia="宋体" w:hint="default"/>
          <w:sz w:val="18"/>
          <w:szCs w:val="18"/>
        </w:rPr>
      </w:pPr>
    </w:p>
    <w:p>
      <w:pPr>
        <w:pStyle w:val="Heading2"/>
        <w:spacing w:line="240" w:lineRule="auto"/>
        <w:ind w:right="1133"/>
        <w:jc w:val="left"/>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3"/>
        <w:rPr>
          <w:rFonts w:ascii="宋体" w:hAnsi="宋体" w:cs="宋体" w:eastAsia="宋体" w:hint="default"/>
          <w:b/>
          <w:bCs/>
          <w:sz w:val="25"/>
          <w:szCs w:val="25"/>
        </w:rPr>
      </w:pPr>
    </w:p>
    <w:p>
      <w:pPr>
        <w:pStyle w:val="BodyText"/>
        <w:spacing w:line="304" w:lineRule="auto"/>
        <w:ind w:right="43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t>公司报告期不存在控股股东及其关联方对上市公司的非经营性占用资金。</w:t>
      </w:r>
    </w:p>
    <w:p>
      <w:pPr>
        <w:spacing w:line="240" w:lineRule="auto" w:before="2"/>
        <w:rPr>
          <w:rFonts w:ascii="宋体" w:hAnsi="宋体" w:cs="宋体" w:eastAsia="宋体" w:hint="default"/>
          <w:sz w:val="20"/>
          <w:szCs w:val="20"/>
        </w:rPr>
      </w:pPr>
    </w:p>
    <w:p>
      <w:pPr>
        <w:pStyle w:val="Heading2"/>
        <w:spacing w:line="240" w:lineRule="auto"/>
        <w:ind w:right="982"/>
        <w:jc w:val="left"/>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4"/>
        <w:rPr>
          <w:rFonts w:ascii="宋体" w:hAnsi="宋体" w:cs="宋体" w:eastAsia="宋体" w:hint="default"/>
          <w:sz w:val="23"/>
          <w:szCs w:val="23"/>
        </w:rPr>
      </w:pPr>
    </w:p>
    <w:p>
      <w:pPr>
        <w:pStyle w:val="Heading2"/>
        <w:spacing w:line="240" w:lineRule="auto"/>
        <w:ind w:right="1133"/>
        <w:jc w:val="left"/>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t>不适用</w:t>
      </w:r>
    </w:p>
    <w:p>
      <w:pPr>
        <w:pStyle w:val="BodyText"/>
        <w:spacing w:line="405" w:lineRule="auto" w:before="152"/>
        <w:ind w:right="1134" w:firstLine="401"/>
        <w:jc w:val="both"/>
      </w:pPr>
      <w:r>
        <w:rPr>
          <w:spacing w:val="-1"/>
          <w:w w:val="95"/>
        </w:rPr>
        <w:t>（</w:t>
      </w:r>
      <w:r>
        <w:rPr>
          <w:rFonts w:ascii="Times New Roman" w:hAnsi="Times New Roman" w:cs="Times New Roman" w:eastAsia="Times New Roman" w:hint="default"/>
          <w:spacing w:val="-1"/>
          <w:w w:val="95"/>
        </w:rPr>
        <w:t>1</w:t>
      </w:r>
      <w:r>
        <w:rPr>
          <w:spacing w:val="-1"/>
          <w:w w:val="95"/>
        </w:rPr>
        <w:t>）执行《财政部关于修订印发</w:t>
      </w:r>
      <w:r>
        <w:rPr>
          <w:rFonts w:ascii="Times New Roman" w:hAnsi="Times New Roman" w:cs="Times New Roman" w:eastAsia="Times New Roman" w:hint="default"/>
          <w:spacing w:val="-1"/>
          <w:w w:val="95"/>
        </w:rPr>
        <w:t>2019</w:t>
      </w:r>
      <w:r>
        <w:rPr>
          <w:spacing w:val="-1"/>
          <w:w w:val="95"/>
        </w:rPr>
        <w:t>年度一般企业财务报表格式的通知》和《关于修订印发合并财务报表</w:t>
      </w:r>
      <w:r>
        <w:rPr>
          <w:spacing w:val="-54"/>
          <w:w w:val="95"/>
        </w:rPr>
        <w:t> </w:t>
      </w:r>
      <w:r>
        <w:rPr>
          <w:spacing w:val="-54"/>
          <w:w w:val="95"/>
        </w:rPr>
      </w:r>
      <w:r>
        <w:rPr/>
        <w:t>格式（</w:t>
      </w:r>
      <w:r>
        <w:rPr>
          <w:rFonts w:ascii="Times New Roman" w:hAnsi="Times New Roman" w:cs="Times New Roman" w:eastAsia="Times New Roman" w:hint="default"/>
        </w:rPr>
        <w:t>2019</w:t>
      </w:r>
      <w:r>
        <w:rPr/>
        <w:t>版）的通知》</w:t>
      </w:r>
    </w:p>
    <w:p>
      <w:pPr>
        <w:pStyle w:val="BodyText"/>
        <w:spacing w:line="405" w:lineRule="auto" w:before="38"/>
        <w:ind w:right="1133" w:firstLine="401"/>
        <w:jc w:val="both"/>
      </w:pPr>
      <w:r>
        <w:rPr/>
        <w:t>财政部分别于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日发布了《关于修订印发</w:t>
      </w:r>
      <w:r>
        <w:rPr>
          <w:rFonts w:ascii="Times New Roman" w:hAnsi="Times New Roman" w:cs="Times New Roman" w:eastAsia="Times New Roman" w:hint="default"/>
        </w:rPr>
        <w:t>2019</w:t>
      </w:r>
      <w:r>
        <w:rPr/>
        <w:t>年度一般企业财务报表格式的通</w:t>
      </w:r>
      <w:r>
        <w:rPr>
          <w:w w:val="99"/>
        </w:rPr>
        <w:t> </w:t>
      </w:r>
      <w:r>
        <w:rPr>
          <w:spacing w:val="-1"/>
          <w:w w:val="95"/>
        </w:rPr>
        <w:t>知》（财会（</w:t>
      </w:r>
      <w:r>
        <w:rPr>
          <w:rFonts w:ascii="Times New Roman" w:hAnsi="Times New Roman" w:cs="Times New Roman" w:eastAsia="Times New Roman" w:hint="default"/>
          <w:spacing w:val="-1"/>
          <w:w w:val="95"/>
        </w:rPr>
        <w:t>2019</w:t>
      </w:r>
      <w:r>
        <w:rPr>
          <w:spacing w:val="-1"/>
          <w:w w:val="95"/>
        </w:rPr>
        <w:t>）</w:t>
      </w:r>
      <w:r>
        <w:rPr>
          <w:rFonts w:ascii="Times New Roman" w:hAnsi="Times New Roman" w:cs="Times New Roman" w:eastAsia="Times New Roman" w:hint="default"/>
          <w:spacing w:val="-1"/>
          <w:w w:val="95"/>
        </w:rPr>
        <w:t>6</w:t>
      </w:r>
      <w:r>
        <w:rPr>
          <w:spacing w:val="-1"/>
          <w:w w:val="95"/>
        </w:rPr>
        <w:t>号）和《关于修订印发合并财务报表格式（</w:t>
      </w:r>
      <w:r>
        <w:rPr>
          <w:rFonts w:ascii="Times New Roman" w:hAnsi="Times New Roman" w:cs="Times New Roman" w:eastAsia="Times New Roman" w:hint="default"/>
          <w:spacing w:val="-1"/>
          <w:w w:val="95"/>
        </w:rPr>
        <w:t>2019</w:t>
      </w:r>
      <w:r>
        <w:rPr>
          <w:spacing w:val="-1"/>
          <w:w w:val="95"/>
        </w:rPr>
        <w:t>版）的通知》（财会（</w:t>
      </w:r>
      <w:r>
        <w:rPr>
          <w:rFonts w:ascii="Times New Roman" w:hAnsi="Times New Roman" w:cs="Times New Roman" w:eastAsia="Times New Roman" w:hint="default"/>
          <w:spacing w:val="-1"/>
          <w:w w:val="95"/>
        </w:rPr>
        <w:t>2019</w:t>
      </w:r>
      <w:r>
        <w:rPr>
          <w:spacing w:val="-1"/>
          <w:w w:val="95"/>
        </w:rPr>
        <w:t>）</w:t>
      </w:r>
      <w:r>
        <w:rPr>
          <w:rFonts w:ascii="Times New Roman" w:hAnsi="Times New Roman" w:cs="Times New Roman" w:eastAsia="Times New Roman" w:hint="default"/>
          <w:spacing w:val="-1"/>
          <w:w w:val="95"/>
        </w:rPr>
        <w:t>16</w:t>
      </w:r>
      <w:r>
        <w:rPr>
          <w:spacing w:val="-1"/>
          <w:w w:val="95"/>
        </w:rPr>
        <w:t>号），对</w:t>
      </w:r>
      <w:r>
        <w:rPr>
          <w:spacing w:val="88"/>
          <w:w w:val="95"/>
        </w:rPr>
        <w:t> </w:t>
      </w:r>
      <w:r>
        <w:rPr>
          <w:spacing w:val="88"/>
          <w:w w:val="95"/>
        </w:rPr>
      </w:r>
      <w:r>
        <w:rPr/>
        <w:t>一般企业财务报表格式进行了修订。</w:t>
      </w:r>
      <w:r>
        <w:rPr>
          <w:spacing w:val="-26"/>
        </w:rPr>
        <w:t> </w:t>
      </w:r>
      <w:r>
        <w:rPr/>
        <w:t>本公司执行上述规定的主要影响如下：</w:t>
      </w:r>
    </w:p>
    <w:tbl>
      <w:tblPr>
        <w:tblW w:w="0" w:type="auto"/>
        <w:jc w:val="left"/>
        <w:tblInd w:w="196" w:type="dxa"/>
        <w:tblLayout w:type="fixed"/>
        <w:tblCellMar>
          <w:top w:w="0" w:type="dxa"/>
          <w:left w:w="0" w:type="dxa"/>
          <w:bottom w:w="0" w:type="dxa"/>
          <w:right w:w="0" w:type="dxa"/>
        </w:tblCellMar>
        <w:tblLook w:val="01E0"/>
      </w:tblPr>
      <w:tblGrid>
        <w:gridCol w:w="2701"/>
        <w:gridCol w:w="1128"/>
        <w:gridCol w:w="2832"/>
        <w:gridCol w:w="2881"/>
      </w:tblGrid>
      <w:tr>
        <w:trPr>
          <w:trHeight w:val="343" w:hRule="exact"/>
        </w:trPr>
        <w:tc>
          <w:tcPr>
            <w:tcW w:w="270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57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682"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341" w:hRule="exact"/>
        </w:trPr>
        <w:tc>
          <w:tcPr>
            <w:tcW w:w="2701"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2840"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00" w:lineRule="auto"/>
              <w:ind w:left="7" w:right="2"/>
              <w:jc w:val="both"/>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）资产负债表中</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应收票据及应</w:t>
            </w:r>
            <w:r>
              <w:rPr>
                <w:rFonts w:ascii="宋体" w:hAnsi="宋体" w:cs="宋体" w:eastAsia="宋体" w:hint="default"/>
                <w:spacing w:val="-85"/>
                <w:sz w:val="18"/>
                <w:szCs w:val="18"/>
              </w:rPr>
              <w:t> </w:t>
            </w:r>
            <w:r>
              <w:rPr>
                <w:rFonts w:ascii="宋体" w:hAnsi="宋体" w:cs="宋体" w:eastAsia="宋体" w:hint="default"/>
                <w:sz w:val="18"/>
                <w:szCs w:val="18"/>
              </w:rPr>
              <w:t>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 </w:t>
            </w:r>
            <w:r>
              <w:rPr>
                <w:rFonts w:ascii="宋体" w:hAnsi="宋体" w:cs="宋体" w:eastAsia="宋体" w:hint="default"/>
                <w:spacing w:val="-5"/>
                <w:w w:val="100"/>
                <w:sz w:val="18"/>
                <w:szCs w:val="18"/>
              </w:rPr>
              <w:t>账款</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列示；</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应付票据及应付账款</w:t>
            </w:r>
            <w:r>
              <w:rPr>
                <w:rFonts w:ascii="Times New Roman" w:hAnsi="Times New Roman" w:cs="Times New Roman" w:eastAsia="Times New Roman" w:hint="default"/>
                <w:spacing w:val="-5"/>
                <w:w w:val="100"/>
                <w:sz w:val="18"/>
                <w:szCs w:val="18"/>
              </w:rPr>
              <w:t>”</w:t>
            </w:r>
            <w:r>
              <w:rPr>
                <w:rFonts w:ascii="Times New Roman" w:hAnsi="Times New Roman" w:cs="Times New Roman" w:eastAsia="Times New Roman" w:hint="default"/>
                <w:spacing w:val="-43"/>
                <w:w w:val="100"/>
                <w:sz w:val="18"/>
                <w:szCs w:val="18"/>
              </w:rPr>
              <w:t> </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列 示；比较数据相应调整。</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7"/>
              <w:ind w:left="7" w:right="-1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 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上 年年末余额</w:t>
            </w:r>
            <w:r>
              <w:rPr>
                <w:rFonts w:ascii="Times New Roman" w:hAnsi="Times New Roman" w:cs="Times New Roman" w:eastAsia="Times New Roman" w:hint="default"/>
                <w:sz w:val="18"/>
                <w:szCs w:val="18"/>
              </w:rPr>
              <w:t>28,821,652.00</w:t>
            </w:r>
            <w:r>
              <w:rPr>
                <w:rFonts w:ascii="宋体" w:hAnsi="宋体" w:cs="宋体" w:eastAsia="宋体" w:hint="default"/>
                <w:sz w:val="18"/>
                <w:szCs w:val="18"/>
              </w:rPr>
              <w:t>元，</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应收 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w:t>
            </w:r>
            <w:r>
              <w:rPr>
                <w:rFonts w:ascii="Times New Roman" w:hAnsi="Times New Roman" w:cs="Times New Roman" w:eastAsia="Times New Roman" w:hint="default"/>
                <w:sz w:val="18"/>
                <w:szCs w:val="18"/>
              </w:rPr>
              <w:t>108,821,967.43 </w:t>
            </w:r>
            <w:r>
              <w:rPr>
                <w:rFonts w:ascii="宋体" w:hAnsi="宋体" w:cs="宋体" w:eastAsia="宋体" w:hint="default"/>
                <w:sz w:val="18"/>
                <w:szCs w:val="18"/>
              </w:rPr>
              <w:t>元； </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 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上 年年末余额</w:t>
            </w:r>
            <w:r>
              <w:rPr>
                <w:rFonts w:ascii="Times New Roman" w:hAnsi="Times New Roman" w:cs="Times New Roman" w:eastAsia="Times New Roman" w:hint="default"/>
                <w:sz w:val="18"/>
                <w:szCs w:val="18"/>
              </w:rPr>
              <w:t>426,324.80</w:t>
            </w:r>
            <w:r>
              <w:rPr>
                <w:rFonts w:ascii="宋体" w:hAnsi="宋体" w:cs="宋体" w:eastAsia="宋体" w:hint="default"/>
                <w:sz w:val="18"/>
                <w:szCs w:val="18"/>
              </w:rPr>
              <w:t>元，</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 款</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w:t>
            </w:r>
            <w:r>
              <w:rPr>
                <w:rFonts w:ascii="Times New Roman" w:hAnsi="Times New Roman" w:cs="Times New Roman" w:eastAsia="Times New Roman" w:hint="default"/>
                <w:sz w:val="18"/>
                <w:szCs w:val="18"/>
              </w:rPr>
              <w:t>313,996,638.90</w:t>
            </w:r>
            <w:r>
              <w:rPr>
                <w:rFonts w:ascii="宋体" w:hAnsi="宋体" w:cs="宋体" w:eastAsia="宋体" w:hint="default"/>
                <w:sz w:val="18"/>
                <w:szCs w:val="18"/>
              </w:rPr>
              <w:t>元。</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7"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 </w:t>
            </w:r>
            <w:r>
              <w:rPr>
                <w:rFonts w:ascii="宋体" w:hAnsi="宋体" w:cs="宋体" w:eastAsia="宋体" w:hint="default"/>
                <w:spacing w:val="-4"/>
                <w:sz w:val="18"/>
                <w:szCs w:val="18"/>
              </w:rPr>
              <w:t>票据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和</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应收账款</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应收票据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上年</w:t>
            </w:r>
            <w:r>
              <w:rPr>
                <w:rFonts w:ascii="宋体" w:hAnsi="宋体" w:cs="宋体" w:eastAsia="宋体" w:hint="default"/>
                <w:spacing w:val="-77"/>
                <w:sz w:val="18"/>
                <w:szCs w:val="18"/>
              </w:rPr>
              <w:t> </w:t>
            </w:r>
            <w:r>
              <w:rPr>
                <w:rFonts w:ascii="宋体" w:hAnsi="宋体" w:cs="宋体" w:eastAsia="宋体" w:hint="default"/>
                <w:sz w:val="18"/>
                <w:szCs w:val="18"/>
              </w:rPr>
              <w:t>年末余额</w:t>
            </w:r>
            <w:r>
              <w:rPr>
                <w:rFonts w:ascii="Times New Roman" w:hAnsi="Times New Roman" w:cs="Times New Roman" w:eastAsia="Times New Roman" w:hint="default"/>
                <w:sz w:val="18"/>
                <w:szCs w:val="18"/>
              </w:rPr>
              <w:t>28,821,652.00</w:t>
            </w:r>
            <w:r>
              <w:rPr>
                <w:rFonts w:ascii="宋体" w:hAnsi="宋体" w:cs="宋体" w:eastAsia="宋体" w:hint="default"/>
                <w:sz w:val="18"/>
                <w:szCs w:val="18"/>
              </w:rPr>
              <w:t>元，</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 款</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w:t>
            </w:r>
            <w:r>
              <w:rPr>
                <w:rFonts w:ascii="Times New Roman" w:hAnsi="Times New Roman" w:cs="Times New Roman" w:eastAsia="Times New Roman" w:hint="default"/>
                <w:sz w:val="18"/>
                <w:szCs w:val="18"/>
              </w:rPr>
              <w:t>98,039,076.04</w:t>
            </w:r>
            <w:r>
              <w:rPr>
                <w:rFonts w:ascii="宋体" w:hAnsi="宋体" w:cs="宋体" w:eastAsia="宋体" w:hint="default"/>
                <w:sz w:val="18"/>
                <w:szCs w:val="18"/>
              </w:rPr>
              <w:t>元。 </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 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 </w:t>
            </w:r>
            <w:r>
              <w:rPr>
                <w:rFonts w:ascii="Times New Roman" w:hAnsi="Times New Roman" w:cs="Times New Roman" w:eastAsia="Times New Roman" w:hint="default"/>
                <w:sz w:val="18"/>
                <w:szCs w:val="18"/>
              </w:rPr>
              <w:t>426,324.80</w:t>
            </w:r>
            <w:r>
              <w:rPr>
                <w:rFonts w:ascii="宋体" w:hAnsi="宋体" w:cs="宋体" w:eastAsia="宋体" w:hint="default"/>
                <w:sz w:val="18"/>
                <w:szCs w:val="18"/>
              </w:rPr>
              <w:t>元，</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 余额</w:t>
            </w:r>
            <w:r>
              <w:rPr>
                <w:rFonts w:ascii="Times New Roman" w:hAnsi="Times New Roman" w:cs="Times New Roman" w:eastAsia="Times New Roman" w:hint="default"/>
                <w:sz w:val="18"/>
                <w:szCs w:val="18"/>
              </w:rPr>
              <w:t>310,572,247.91</w:t>
            </w:r>
            <w:r>
              <w:rPr>
                <w:rFonts w:ascii="宋体" w:hAnsi="宋体" w:cs="宋体" w:eastAsia="宋体" w:hint="default"/>
                <w:sz w:val="18"/>
                <w:szCs w:val="18"/>
              </w:rPr>
              <w:t>元。</w:t>
            </w:r>
          </w:p>
        </w:tc>
      </w:tr>
    </w:tbl>
    <w:p>
      <w:pPr>
        <w:spacing w:after="0" w:line="30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554" w:right="982"/>
        <w:jc w:val="left"/>
      </w:pPr>
      <w:r>
        <w:rPr>
          <w:spacing w:val="-3"/>
        </w:rPr>
        <w:t>（</w:t>
      </w:r>
      <w:r>
        <w:rPr>
          <w:rFonts w:ascii="宋体" w:hAnsi="宋体" w:cs="宋体" w:eastAsia="宋体" w:hint="default"/>
          <w:spacing w:val="-3"/>
        </w:rPr>
        <w:t>2</w:t>
      </w:r>
      <w:r>
        <w:rPr>
          <w:spacing w:val="-3"/>
        </w:rPr>
        <w:t>）执行《企业会计准则第</w:t>
      </w:r>
      <w:r>
        <w:rPr>
          <w:rFonts w:ascii="宋体" w:hAnsi="宋体" w:cs="宋体" w:eastAsia="宋体" w:hint="default"/>
          <w:spacing w:val="-3"/>
        </w:rPr>
        <w:t>22</w:t>
      </w:r>
      <w:r>
        <w:rPr>
          <w:spacing w:val="-3"/>
        </w:rPr>
        <w:t>号——金融工具确认和计量》、《企业会计准则第</w:t>
      </w:r>
      <w:r>
        <w:rPr>
          <w:rFonts w:ascii="宋体" w:hAnsi="宋体" w:cs="宋体" w:eastAsia="宋体" w:hint="default"/>
          <w:spacing w:val="-3"/>
        </w:rPr>
        <w:t>23</w:t>
      </w:r>
      <w:r>
        <w:rPr>
          <w:spacing w:val="-3"/>
        </w:rPr>
        <w:t>号——金融资产转移》、</w:t>
      </w:r>
    </w:p>
    <w:p>
      <w:pPr>
        <w:spacing w:line="240" w:lineRule="auto" w:before="10"/>
        <w:rPr>
          <w:rFonts w:ascii="宋体" w:hAnsi="宋体" w:cs="宋体" w:eastAsia="宋体" w:hint="default"/>
          <w:sz w:val="15"/>
          <w:szCs w:val="15"/>
        </w:rPr>
      </w:pPr>
    </w:p>
    <w:p>
      <w:pPr>
        <w:pStyle w:val="BodyText"/>
        <w:spacing w:line="429" w:lineRule="auto"/>
        <w:ind w:left="554" w:right="1129" w:hanging="402"/>
        <w:jc w:val="left"/>
      </w:pPr>
      <w:r>
        <w:rPr/>
        <w:t>《企业会计准则第</w:t>
      </w:r>
      <w:r>
        <w:rPr>
          <w:rFonts w:ascii="宋体" w:hAnsi="宋体" w:cs="宋体" w:eastAsia="宋体" w:hint="default"/>
        </w:rPr>
        <w:t>24</w:t>
      </w:r>
      <w:r>
        <w:rPr/>
        <w:t>号——套期会计》和《企业会计准则第</w:t>
      </w:r>
      <w:r>
        <w:rPr>
          <w:rFonts w:ascii="宋体" w:hAnsi="宋体" w:cs="宋体" w:eastAsia="宋体" w:hint="default"/>
        </w:rPr>
        <w:t>37</w:t>
      </w:r>
      <w:r>
        <w:rPr/>
        <w:t>号——金融工具列报》（</w:t>
      </w:r>
      <w:r>
        <w:rPr>
          <w:rFonts w:ascii="宋体" w:hAnsi="宋体" w:cs="宋体" w:eastAsia="宋体" w:hint="default"/>
        </w:rPr>
        <w:t>2017</w:t>
      </w:r>
      <w:r>
        <w:rPr/>
        <w:t>年修订）</w:t>
      </w:r>
      <w:r>
        <w:rPr>
          <w:w w:val="99"/>
        </w:rPr>
        <w:t> </w:t>
      </w:r>
      <w:r>
        <w:rPr/>
        <w:t>财政部于</w:t>
      </w:r>
      <w:r>
        <w:rPr>
          <w:rFonts w:ascii="宋体" w:hAnsi="宋体" w:cs="宋体" w:eastAsia="宋体" w:hint="default"/>
        </w:rPr>
        <w:t>2017</w:t>
      </w:r>
      <w:r>
        <w:rPr/>
        <w:t>年度修订了《企业会计准则第</w:t>
      </w:r>
      <w:r>
        <w:rPr>
          <w:rFonts w:ascii="宋体" w:hAnsi="宋体" w:cs="宋体" w:eastAsia="宋体" w:hint="default"/>
        </w:rPr>
        <w:t>22</w:t>
      </w:r>
      <w:r>
        <w:rPr/>
        <w:t>号——金融工具确认和计量》、《企业会计准则第</w:t>
      </w:r>
      <w:r>
        <w:rPr>
          <w:rFonts w:ascii="宋体" w:hAnsi="宋体" w:cs="宋体" w:eastAsia="宋体" w:hint="default"/>
        </w:rPr>
        <w:t>23</w:t>
      </w:r>
      <w:r>
        <w:rPr/>
        <w:t>号——</w:t>
      </w:r>
    </w:p>
    <w:p>
      <w:pPr>
        <w:pStyle w:val="BodyText"/>
        <w:spacing w:line="429" w:lineRule="auto" w:before="48"/>
        <w:ind w:right="1135"/>
        <w:jc w:val="both"/>
      </w:pPr>
      <w:r>
        <w:rPr/>
        <w:t>金融资产转移》、《企业会计准则第</w:t>
      </w:r>
      <w:r>
        <w:rPr>
          <w:rFonts w:ascii="宋体" w:hAnsi="宋体" w:cs="宋体" w:eastAsia="宋体" w:hint="default"/>
        </w:rPr>
        <w:t>24</w:t>
      </w:r>
      <w:r>
        <w:rPr/>
        <w:t>号——套期会计》和《企业会计准则第</w:t>
      </w:r>
      <w:r>
        <w:rPr>
          <w:rFonts w:ascii="宋体" w:hAnsi="宋体" w:cs="宋体" w:eastAsia="宋体" w:hint="default"/>
        </w:rPr>
        <w:t>37</w:t>
      </w:r>
      <w:r>
        <w:rPr/>
        <w:t>号——金融工具列报》。修订</w:t>
      </w:r>
      <w:r>
        <w:rPr>
          <w:spacing w:val="-72"/>
        </w:rPr>
        <w:t> </w:t>
      </w:r>
      <w:r>
        <w:rPr>
          <w:spacing w:val="-72"/>
        </w:rPr>
      </w:r>
      <w:r>
        <w:rPr/>
        <w:t>后的准则规定，对于首次执行日尚未终止确认的金融工具，之前的确认和计量与修订后的准则要求不一致的，</w:t>
      </w:r>
      <w:r>
        <w:rPr>
          <w:spacing w:val="-77"/>
        </w:rPr>
        <w:t> </w:t>
      </w:r>
      <w:r>
        <w:rPr>
          <w:spacing w:val="-77"/>
        </w:rPr>
      </w:r>
      <w:r>
        <w:rPr/>
        <w:t>应当追溯调整。涉及前期比较财务报表数据与修订后的准则要求不一致的，无需调整。本公司将因追溯调整产</w:t>
      </w:r>
      <w:r>
        <w:rPr>
          <w:spacing w:val="-77"/>
        </w:rPr>
        <w:t> </w:t>
      </w:r>
      <w:r>
        <w:rPr>
          <w:spacing w:val="-77"/>
        </w:rPr>
      </w:r>
      <w:r>
        <w:rPr/>
        <w:t>生的累积影响数调整当年年初留存收益和其他综合收益。</w:t>
      </w:r>
    </w:p>
    <w:p>
      <w:pPr>
        <w:pStyle w:val="BodyText"/>
        <w:spacing w:line="429" w:lineRule="auto" w:before="48"/>
        <w:ind w:right="1133" w:firstLine="401"/>
        <w:jc w:val="left"/>
      </w:pPr>
      <w:r>
        <w:rPr/>
        <w:pict>
          <v:shape style="position:absolute;margin-left:92.783997pt;margin-top:45.669693pt;width:410pt;height:257.7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61"/>
                    <w:gridCol w:w="1099"/>
                    <w:gridCol w:w="2153"/>
                    <w:gridCol w:w="1873"/>
                  </w:tblGrid>
                  <w:tr>
                    <w:trPr>
                      <w:trHeight w:val="341" w:hRule="exact"/>
                    </w:trPr>
                    <w:tc>
                      <w:tcPr>
                        <w:tcW w:w="306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43"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09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40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37"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343" w:hRule="exact"/>
                    </w:trPr>
                    <w:tc>
                      <w:tcPr>
                        <w:tcW w:w="3061" w:type="dxa"/>
                        <w:vMerge/>
                        <w:tcBorders>
                          <w:left w:val="single" w:sz="4" w:space="0" w:color="000000"/>
                          <w:bottom w:val="single" w:sz="4" w:space="0" w:color="000000"/>
                          <w:right w:val="single" w:sz="4" w:space="0" w:color="000000"/>
                        </w:tcBorders>
                      </w:tcPr>
                      <w:p>
                        <w:pPr/>
                      </w:p>
                    </w:tc>
                    <w:tc>
                      <w:tcPr>
                        <w:tcW w:w="1099" w:type="dxa"/>
                        <w:vMerge/>
                        <w:tcBorders>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277"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00" w:lineRule="auto"/>
                          <w:ind w:left="4" w:right="7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）可供出售权益工具投资重分类为 </w:t>
                        </w:r>
                        <w:r>
                          <w:rPr>
                            <w:rFonts w:ascii="Times New Roman" w:hAnsi="Times New Roman" w:cs="Times New Roman" w:eastAsia="Times New Roman" w:hint="default"/>
                            <w:sz w:val="18"/>
                            <w:szCs w:val="18"/>
                          </w:rPr>
                          <w:t>“</w:t>
                        </w:r>
                        <w:r>
                          <w:rPr>
                            <w:rFonts w:ascii="宋体" w:hAnsi="宋体" w:cs="宋体" w:eastAsia="宋体" w:hint="default"/>
                            <w:sz w:val="18"/>
                            <w:szCs w:val="18"/>
                          </w:rPr>
                          <w:t>以公允价值计量且其变动计入当期损 益的金融资产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可供出售金融资产：减少</w:t>
                        </w:r>
                      </w:p>
                      <w:p>
                        <w:pPr>
                          <w:pStyle w:val="TableParagraph"/>
                          <w:spacing w:line="240" w:lineRule="auto" w:before="7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18,248,400.00</w:t>
                        </w:r>
                        <w:r>
                          <w:rPr>
                            <w:rFonts w:ascii="宋体" w:hAnsi="宋体" w:cs="宋体" w:eastAsia="宋体" w:hint="default"/>
                            <w:sz w:val="18"/>
                            <w:szCs w:val="18"/>
                          </w:rPr>
                          <w:t>元</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其他非流动金融资产：增加</w:t>
                        </w:r>
                      </w:p>
                      <w:p>
                        <w:pPr>
                          <w:pStyle w:val="TableParagraph"/>
                          <w:spacing w:line="240" w:lineRule="auto" w:before="7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18,248,400.00</w:t>
                        </w:r>
                        <w:r>
                          <w:rPr>
                            <w:rFonts w:ascii="宋体" w:hAnsi="宋体" w:cs="宋体" w:eastAsia="宋体" w:hint="default"/>
                            <w:sz w:val="18"/>
                            <w:szCs w:val="18"/>
                          </w:rPr>
                          <w:t>元</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53"/>
                          <w:jc w:val="left"/>
                          <w:rPr>
                            <w:rFonts w:ascii="宋体" w:hAnsi="宋体" w:cs="宋体" w:eastAsia="宋体" w:hint="default"/>
                            <w:sz w:val="18"/>
                            <w:szCs w:val="18"/>
                          </w:rPr>
                        </w:pPr>
                        <w:r>
                          <w:rPr>
                            <w:rFonts w:ascii="宋体" w:hAnsi="宋体" w:cs="宋体" w:eastAsia="宋体" w:hint="default"/>
                            <w:sz w:val="18"/>
                            <w:szCs w:val="18"/>
                          </w:rPr>
                          <w:t>可供出售金融资产：减 少</w:t>
                        </w:r>
                        <w:r>
                          <w:rPr>
                            <w:rFonts w:ascii="Times New Roman" w:hAnsi="Times New Roman" w:cs="Times New Roman" w:eastAsia="Times New Roman" w:hint="default"/>
                            <w:sz w:val="18"/>
                            <w:szCs w:val="18"/>
                          </w:rPr>
                          <w:t>4,800,000.00</w:t>
                        </w:r>
                        <w:r>
                          <w:rPr>
                            <w:rFonts w:ascii="宋体" w:hAnsi="宋体" w:cs="宋体" w:eastAsia="宋体" w:hint="default"/>
                            <w:sz w:val="18"/>
                            <w:szCs w:val="18"/>
                          </w:rPr>
                          <w:t>元</w:t>
                        </w:r>
                      </w:p>
                      <w:p>
                        <w:pPr>
                          <w:pStyle w:val="TableParagraph"/>
                          <w:spacing w:line="316" w:lineRule="auto"/>
                          <w:ind w:left="7" w:right="53"/>
                          <w:jc w:val="left"/>
                          <w:rPr>
                            <w:rFonts w:ascii="宋体" w:hAnsi="宋体" w:cs="宋体" w:eastAsia="宋体" w:hint="default"/>
                            <w:sz w:val="18"/>
                            <w:szCs w:val="18"/>
                          </w:rPr>
                        </w:pPr>
                        <w:r>
                          <w:rPr>
                            <w:rFonts w:ascii="宋体" w:hAnsi="宋体" w:cs="宋体" w:eastAsia="宋体" w:hint="default"/>
                            <w:sz w:val="18"/>
                            <w:szCs w:val="18"/>
                          </w:rPr>
                          <w:t>其他非流动金融资产： 增加</w:t>
                        </w:r>
                        <w:r>
                          <w:rPr>
                            <w:rFonts w:ascii="Times New Roman" w:hAnsi="Times New Roman" w:cs="Times New Roman" w:eastAsia="Times New Roman" w:hint="default"/>
                            <w:sz w:val="18"/>
                            <w:szCs w:val="18"/>
                          </w:rPr>
                          <w:t>4,800,000.00</w:t>
                        </w:r>
                        <w:r>
                          <w:rPr>
                            <w:rFonts w:ascii="宋体" w:hAnsi="宋体" w:cs="宋体" w:eastAsia="宋体" w:hint="default"/>
                            <w:sz w:val="18"/>
                            <w:szCs w:val="18"/>
                          </w:rPr>
                          <w:t>元</w:t>
                        </w:r>
                      </w:p>
                    </w:tc>
                  </w:tr>
                  <w:tr>
                    <w:trPr>
                      <w:trHeight w:val="1279"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）可供出售债务工具投资重分类为</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以摊余成本计量的金融资产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其他非流动资产：减少</w:t>
                        </w:r>
                      </w:p>
                      <w:p>
                        <w:pPr>
                          <w:pStyle w:val="TableParagraph"/>
                          <w:spacing w:line="240" w:lineRule="auto" w:before="7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600,000,000.00</w:t>
                        </w:r>
                        <w:r>
                          <w:rPr>
                            <w:rFonts w:ascii="宋体" w:hAnsi="宋体" w:cs="宋体" w:eastAsia="宋体" w:hint="default"/>
                            <w:sz w:val="18"/>
                            <w:szCs w:val="18"/>
                          </w:rPr>
                          <w:t>元</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债权投资：增加</w:t>
                        </w:r>
                      </w:p>
                      <w:p>
                        <w:pPr>
                          <w:pStyle w:val="TableParagraph"/>
                          <w:spacing w:line="240" w:lineRule="auto" w:before="7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600,000,000.00</w:t>
                        </w:r>
                        <w:r>
                          <w:rPr>
                            <w:rFonts w:ascii="宋体" w:hAnsi="宋体" w:cs="宋体" w:eastAsia="宋体" w:hint="default"/>
                            <w:sz w:val="18"/>
                            <w:szCs w:val="18"/>
                          </w:rPr>
                          <w:t>元</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无影响</w:t>
                        </w:r>
                      </w:p>
                    </w:tc>
                  </w:tr>
                  <w:tr>
                    <w:trPr>
                      <w:trHeight w:val="1904"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00" w:lineRule="auto"/>
                          <w:ind w:left="4" w:right="7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）可供出售债务工具投资重分类为 </w:t>
                        </w:r>
                        <w:r>
                          <w:rPr>
                            <w:rFonts w:ascii="Times New Roman" w:hAnsi="Times New Roman" w:cs="Times New Roman" w:eastAsia="Times New Roman" w:hint="default"/>
                            <w:sz w:val="18"/>
                            <w:szCs w:val="18"/>
                          </w:rPr>
                          <w:t>“</w:t>
                        </w:r>
                        <w:r>
                          <w:rPr>
                            <w:rFonts w:ascii="宋体" w:hAnsi="宋体" w:cs="宋体" w:eastAsia="宋体" w:hint="default"/>
                            <w:sz w:val="18"/>
                            <w:szCs w:val="18"/>
                          </w:rPr>
                          <w:t>以公允价值计量且其变动计入当期损 益的金融资产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其他流动资产：减少</w:t>
                        </w:r>
                      </w:p>
                      <w:p>
                        <w:pPr>
                          <w:pStyle w:val="TableParagraph"/>
                          <w:spacing w:line="240" w:lineRule="auto" w:before="7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986,300,000.00</w:t>
                        </w:r>
                        <w:r>
                          <w:rPr>
                            <w:rFonts w:ascii="宋体" w:hAnsi="宋体" w:cs="宋体" w:eastAsia="宋体" w:hint="default"/>
                            <w:sz w:val="18"/>
                            <w:szCs w:val="18"/>
                          </w:rPr>
                          <w:t>元</w:t>
                        </w:r>
                      </w:p>
                      <w:p>
                        <w:pPr>
                          <w:pStyle w:val="TableParagraph"/>
                          <w:spacing w:line="307"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交易性金融资产：增加 </w:t>
                        </w:r>
                        <w:r>
                          <w:rPr>
                            <w:rFonts w:ascii="Times New Roman" w:hAnsi="Times New Roman" w:cs="Times New Roman" w:eastAsia="Times New Roman" w:hint="default"/>
                            <w:spacing w:val="-4"/>
                            <w:sz w:val="18"/>
                            <w:szCs w:val="18"/>
                          </w:rPr>
                          <w:t>991,114,277.07</w:t>
                        </w:r>
                        <w:r>
                          <w:rPr>
                            <w:rFonts w:ascii="宋体" w:hAnsi="宋体" w:cs="宋体" w:eastAsia="宋体" w:hint="default"/>
                            <w:spacing w:val="-4"/>
                            <w:sz w:val="18"/>
                            <w:szCs w:val="18"/>
                          </w:rPr>
                          <w:t>元，公允价值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变动收益：增加</w:t>
                        </w:r>
                        <w:r>
                          <w:rPr>
                            <w:rFonts w:ascii="Times New Roman" w:hAnsi="Times New Roman" w:cs="Times New Roman" w:eastAsia="Times New Roman" w:hint="default"/>
                            <w:spacing w:val="-5"/>
                            <w:sz w:val="18"/>
                            <w:szCs w:val="18"/>
                          </w:rPr>
                          <w:t>4,814,277.07</w:t>
                        </w:r>
                        <w:r>
                          <w:rPr>
                            <w:rFonts w:ascii="Times New Roman" w:hAnsi="Times New Roman" w:cs="Times New Roman" w:eastAsia="Times New Roman" w:hint="default"/>
                            <w:spacing w:val="-28"/>
                            <w:sz w:val="18"/>
                            <w:szCs w:val="18"/>
                          </w:rPr>
                          <w:t> </w:t>
                        </w:r>
                        <w:r>
                          <w:rPr>
                            <w:rFonts w:ascii="Times New Roman" w:hAnsi="Times New Roman" w:cs="Times New Roman" w:eastAsia="Times New Roman" w:hint="default"/>
                            <w:spacing w:val="-28"/>
                            <w:sz w:val="18"/>
                            <w:szCs w:val="18"/>
                          </w:rPr>
                        </w:r>
                        <w:r>
                          <w:rPr>
                            <w:rFonts w:ascii="宋体" w:hAnsi="宋体" w:cs="宋体" w:eastAsia="宋体" w:hint="default"/>
                            <w:sz w:val="18"/>
                            <w:szCs w:val="18"/>
                          </w:rPr>
                          <w:t>元</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其他流动资产：减少</w:t>
                        </w:r>
                      </w:p>
                      <w:p>
                        <w:pPr>
                          <w:pStyle w:val="TableParagraph"/>
                          <w:spacing w:line="240" w:lineRule="auto" w:before="7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784,000,000.00</w:t>
                        </w:r>
                        <w:r>
                          <w:rPr>
                            <w:rFonts w:ascii="宋体" w:hAnsi="宋体" w:cs="宋体" w:eastAsia="宋体" w:hint="default"/>
                            <w:sz w:val="18"/>
                            <w:szCs w:val="18"/>
                          </w:rPr>
                          <w:t>元</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交易性金融资产：增加</w:t>
                        </w:r>
                      </w:p>
                      <w:p>
                        <w:pPr>
                          <w:pStyle w:val="TableParagraph"/>
                          <w:spacing w:line="240" w:lineRule="auto" w:before="7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786,997,376.72</w:t>
                        </w:r>
                        <w:r>
                          <w:rPr>
                            <w:rFonts w:ascii="宋体" w:hAnsi="宋体" w:cs="宋体" w:eastAsia="宋体" w:hint="default"/>
                            <w:sz w:val="18"/>
                            <w:szCs w:val="18"/>
                          </w:rPr>
                          <w:t>元公允价</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值变动收益：增加</w:t>
                        </w:r>
                      </w:p>
                      <w:p>
                        <w:pPr>
                          <w:pStyle w:val="TableParagraph"/>
                          <w:spacing w:line="240" w:lineRule="auto" w:before="7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2,997,376.72</w:t>
                        </w:r>
                        <w:r>
                          <w:rPr>
                            <w:rFonts w:ascii="宋体" w:hAnsi="宋体" w:cs="宋体" w:eastAsia="宋体" w:hint="default"/>
                            <w:sz w:val="18"/>
                            <w:szCs w:val="18"/>
                          </w:rPr>
                          <w:t>元</w:t>
                        </w:r>
                      </w:p>
                    </w:tc>
                  </w:tr>
                </w:tbl>
                <w:p>
                  <w:pPr/>
                </w:p>
              </w:txbxContent>
            </v:textbox>
            <w10:wrap type="none"/>
          </v:shape>
        </w:pict>
      </w:r>
      <w:r>
        <w:rPr>
          <w:spacing w:val="-1"/>
          <w:w w:val="95"/>
        </w:rPr>
        <w:t>以按照财会〔</w:t>
      </w:r>
      <w:r>
        <w:rPr>
          <w:rFonts w:ascii="宋体" w:hAnsi="宋体" w:cs="宋体" w:eastAsia="宋体" w:hint="default"/>
          <w:spacing w:val="-1"/>
          <w:w w:val="95"/>
        </w:rPr>
        <w:t>2019</w:t>
      </w:r>
      <w:r>
        <w:rPr>
          <w:spacing w:val="-1"/>
          <w:w w:val="95"/>
        </w:rPr>
        <w:t>〕</w:t>
      </w:r>
      <w:r>
        <w:rPr>
          <w:rFonts w:ascii="宋体" w:hAnsi="宋体" w:cs="宋体" w:eastAsia="宋体" w:hint="default"/>
          <w:spacing w:val="-1"/>
          <w:w w:val="95"/>
        </w:rPr>
        <w:t>6</w:t>
      </w:r>
      <w:r>
        <w:rPr>
          <w:spacing w:val="-1"/>
          <w:w w:val="95"/>
        </w:rPr>
        <w:t>号和财会〔</w:t>
      </w:r>
      <w:r>
        <w:rPr>
          <w:rFonts w:ascii="宋体" w:hAnsi="宋体" w:cs="宋体" w:eastAsia="宋体" w:hint="default"/>
          <w:spacing w:val="-1"/>
          <w:w w:val="95"/>
        </w:rPr>
        <w:t>2019</w:t>
      </w:r>
      <w:r>
        <w:rPr>
          <w:spacing w:val="-1"/>
          <w:w w:val="95"/>
        </w:rPr>
        <w:t>〕</w:t>
      </w:r>
      <w:r>
        <w:rPr>
          <w:rFonts w:ascii="宋体" w:hAnsi="宋体" w:cs="宋体" w:eastAsia="宋体" w:hint="default"/>
          <w:spacing w:val="-1"/>
          <w:w w:val="95"/>
        </w:rPr>
        <w:t>16</w:t>
      </w:r>
      <w:r>
        <w:rPr>
          <w:spacing w:val="-1"/>
          <w:w w:val="95"/>
        </w:rPr>
        <w:t>号的规定调整后的上年年末余额为基础，执行上述新金融工具准</w:t>
      </w:r>
      <w:r>
        <w:rPr>
          <w:spacing w:val="-48"/>
          <w:w w:val="95"/>
        </w:rPr>
        <w:t> </w:t>
      </w:r>
      <w:r>
        <w:rPr>
          <w:spacing w:val="-48"/>
          <w:w w:val="95"/>
        </w:rPr>
      </w:r>
      <w:r>
        <w:rPr/>
        <w:t>则的主要影响如下：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429" w:lineRule="auto" w:before="37"/>
        <w:ind w:right="1133" w:firstLine="401"/>
        <w:jc w:val="left"/>
      </w:pPr>
      <w:r>
        <w:rPr>
          <w:spacing w:val="-1"/>
          <w:w w:val="95"/>
        </w:rPr>
        <w:t>以按照财会〔</w:t>
      </w:r>
      <w:r>
        <w:rPr>
          <w:rFonts w:ascii="宋体" w:hAnsi="宋体" w:cs="宋体" w:eastAsia="宋体" w:hint="default"/>
          <w:spacing w:val="-1"/>
          <w:w w:val="95"/>
        </w:rPr>
        <w:t>2019</w:t>
      </w:r>
      <w:r>
        <w:rPr>
          <w:spacing w:val="-1"/>
          <w:w w:val="95"/>
        </w:rPr>
        <w:t>〕</w:t>
      </w:r>
      <w:r>
        <w:rPr>
          <w:rFonts w:ascii="宋体" w:hAnsi="宋体" w:cs="宋体" w:eastAsia="宋体" w:hint="default"/>
          <w:spacing w:val="-1"/>
          <w:w w:val="95"/>
        </w:rPr>
        <w:t>6</w:t>
      </w:r>
      <w:r>
        <w:rPr>
          <w:spacing w:val="-1"/>
          <w:w w:val="95"/>
        </w:rPr>
        <w:t>号和财会〔</w:t>
      </w:r>
      <w:r>
        <w:rPr>
          <w:rFonts w:ascii="宋体" w:hAnsi="宋体" w:cs="宋体" w:eastAsia="宋体" w:hint="default"/>
          <w:spacing w:val="-1"/>
          <w:w w:val="95"/>
        </w:rPr>
        <w:t>2019</w:t>
      </w:r>
      <w:r>
        <w:rPr>
          <w:spacing w:val="-1"/>
          <w:w w:val="95"/>
        </w:rPr>
        <w:t>〕</w:t>
      </w:r>
      <w:r>
        <w:rPr>
          <w:rFonts w:ascii="宋体" w:hAnsi="宋体" w:cs="宋体" w:eastAsia="宋体" w:hint="default"/>
          <w:spacing w:val="-1"/>
          <w:w w:val="95"/>
        </w:rPr>
        <w:t>16</w:t>
      </w:r>
      <w:r>
        <w:rPr>
          <w:spacing w:val="-1"/>
          <w:w w:val="95"/>
        </w:rPr>
        <w:t>号的规定调整后的上年年末余额为基础，各项金融资产和金融负</w:t>
      </w:r>
      <w:r>
        <w:rPr>
          <w:spacing w:val="-48"/>
          <w:w w:val="95"/>
        </w:rPr>
        <w:t> </w:t>
      </w:r>
      <w:r>
        <w:rPr>
          <w:spacing w:val="-48"/>
          <w:w w:val="95"/>
        </w:rPr>
      </w:r>
      <w:r>
        <w:rPr/>
        <w:t>债按照修订前后金融工具确认计量准则的规定进行分类和计量结果对比如下：</w:t>
      </w:r>
    </w:p>
    <w:p>
      <w:pPr>
        <w:pStyle w:val="BodyText"/>
        <w:spacing w:line="240" w:lineRule="auto" w:before="48"/>
        <w:ind w:right="1133"/>
        <w:jc w:val="left"/>
      </w:pPr>
      <w:r>
        <w:rPr/>
        <w:t>合并</w:t>
      </w:r>
    </w:p>
    <w:p>
      <w:pPr>
        <w:spacing w:line="240" w:lineRule="auto" w:before="4"/>
        <w:rPr>
          <w:rFonts w:ascii="宋体" w:hAnsi="宋体" w:cs="宋体" w:eastAsia="宋体" w:hint="default"/>
          <w:sz w:val="10"/>
          <w:szCs w:val="10"/>
        </w:rPr>
      </w:pPr>
    </w:p>
    <w:tbl>
      <w:tblPr>
        <w:tblW w:w="0" w:type="auto"/>
        <w:jc w:val="left"/>
        <w:tblInd w:w="140" w:type="dxa"/>
        <w:tblLayout w:type="fixed"/>
        <w:tblCellMar>
          <w:top w:w="0" w:type="dxa"/>
          <w:left w:w="0" w:type="dxa"/>
          <w:bottom w:w="0" w:type="dxa"/>
          <w:right w:w="0" w:type="dxa"/>
        </w:tblCellMar>
        <w:tblLook w:val="01E0"/>
      </w:tblPr>
      <w:tblGrid>
        <w:gridCol w:w="1628"/>
        <w:gridCol w:w="1801"/>
        <w:gridCol w:w="1440"/>
        <w:gridCol w:w="1443"/>
        <w:gridCol w:w="1801"/>
        <w:gridCol w:w="1543"/>
      </w:tblGrid>
      <w:tr>
        <w:trPr>
          <w:trHeight w:val="341" w:hRule="exact"/>
        </w:trPr>
        <w:tc>
          <w:tcPr>
            <w:tcW w:w="48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原金融工具准则</w:t>
            </w:r>
          </w:p>
        </w:tc>
        <w:tc>
          <w:tcPr>
            <w:tcW w:w="47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4" w:right="0"/>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343"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49"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37"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账面价值（元）</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7"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37"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账面价值（元）</w:t>
            </w:r>
          </w:p>
        </w:tc>
      </w:tr>
      <w:tr>
        <w:trPr>
          <w:trHeight w:val="341"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389,651,012.22</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9"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389,651,012.22</w:t>
            </w:r>
          </w:p>
        </w:tc>
      </w:tr>
      <w:tr>
        <w:trPr>
          <w:trHeight w:val="967"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171"/>
              <w:jc w:val="both"/>
              <w:rPr>
                <w:rFonts w:ascii="宋体" w:hAnsi="宋体" w:cs="宋体" w:eastAsia="宋体" w:hint="default"/>
                <w:sz w:val="18"/>
                <w:szCs w:val="18"/>
              </w:rPr>
            </w:pPr>
            <w:r>
              <w:rPr>
                <w:rFonts w:ascii="宋体" w:hAnsi="宋体" w:cs="宋体" w:eastAsia="宋体" w:hint="default"/>
                <w:sz w:val="18"/>
                <w:szCs w:val="18"/>
              </w:rPr>
              <w:t>以公允价值计量且 其变动计入当期损 益的金融资产</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7" w:right="161"/>
              <w:jc w:val="left"/>
              <w:rPr>
                <w:rFonts w:ascii="宋体" w:hAnsi="宋体" w:cs="宋体" w:eastAsia="宋体" w:hint="default"/>
                <w:sz w:val="18"/>
                <w:szCs w:val="18"/>
              </w:rPr>
            </w:pPr>
            <w:r>
              <w:rPr>
                <w:rFonts w:ascii="宋体" w:hAnsi="宋体" w:cs="宋体" w:eastAsia="宋体" w:hint="default"/>
                <w:sz w:val="18"/>
                <w:szCs w:val="18"/>
              </w:rPr>
              <w:t>以公允价值计量且其 变动计入当期损益</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7" w:right="161"/>
              <w:jc w:val="left"/>
              <w:rPr>
                <w:rFonts w:ascii="宋体" w:hAnsi="宋体" w:cs="宋体" w:eastAsia="宋体" w:hint="default"/>
                <w:sz w:val="18"/>
                <w:szCs w:val="18"/>
              </w:rPr>
            </w:pPr>
            <w:r>
              <w:rPr>
                <w:rFonts w:ascii="宋体" w:hAnsi="宋体" w:cs="宋体" w:eastAsia="宋体" w:hint="default"/>
                <w:sz w:val="18"/>
                <w:szCs w:val="18"/>
              </w:rPr>
              <w:t>以公允价值计量且其 变动计入当期损益</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61"/>
              <w:jc w:val="left"/>
              <w:rPr>
                <w:rFonts w:ascii="宋体" w:hAnsi="宋体" w:cs="宋体" w:eastAsia="宋体" w:hint="default"/>
                <w:sz w:val="18"/>
                <w:szCs w:val="18"/>
              </w:rPr>
            </w:pPr>
            <w:r>
              <w:rPr>
                <w:rFonts w:ascii="宋体" w:hAnsi="宋体" w:cs="宋体" w:eastAsia="宋体" w:hint="default"/>
                <w:sz w:val="18"/>
                <w:szCs w:val="18"/>
              </w:rPr>
              <w:t>以公允价值计量且其 变动计入当期损益</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61"/>
              <w:jc w:val="left"/>
              <w:rPr>
                <w:rFonts w:ascii="宋体" w:hAnsi="宋体" w:cs="宋体" w:eastAsia="宋体" w:hint="default"/>
                <w:sz w:val="18"/>
                <w:szCs w:val="18"/>
              </w:rPr>
            </w:pPr>
            <w:r>
              <w:rPr>
                <w:rFonts w:ascii="宋体" w:hAnsi="宋体" w:cs="宋体" w:eastAsia="宋体" w:hint="default"/>
                <w:sz w:val="18"/>
                <w:szCs w:val="18"/>
              </w:rPr>
              <w:t>以公允价值计量且其 变动计入当期损益</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28,821,652.00</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28,821,652.00</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0" w:type="dxa"/>
        <w:tblLayout w:type="fixed"/>
        <w:tblCellMar>
          <w:top w:w="0" w:type="dxa"/>
          <w:left w:w="0" w:type="dxa"/>
          <w:bottom w:w="0" w:type="dxa"/>
          <w:right w:w="0" w:type="dxa"/>
        </w:tblCellMar>
        <w:tblLook w:val="01E0"/>
      </w:tblPr>
      <w:tblGrid>
        <w:gridCol w:w="1628"/>
        <w:gridCol w:w="1801"/>
        <w:gridCol w:w="1440"/>
        <w:gridCol w:w="1443"/>
        <w:gridCol w:w="1801"/>
        <w:gridCol w:w="1543"/>
      </w:tblGrid>
      <w:tr>
        <w:trPr>
          <w:trHeight w:val="965" w:hRule="exact"/>
        </w:trPr>
        <w:tc>
          <w:tcPr>
            <w:tcW w:w="1628"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161"/>
              <w:jc w:val="both"/>
              <w:rPr>
                <w:rFonts w:ascii="宋体" w:hAnsi="宋体" w:cs="宋体" w:eastAsia="宋体" w:hint="default"/>
                <w:sz w:val="18"/>
                <w:szCs w:val="18"/>
              </w:rPr>
            </w:pPr>
            <w:r>
              <w:rPr>
                <w:rFonts w:ascii="宋体" w:hAnsi="宋体" w:cs="宋体" w:eastAsia="宋体" w:hint="default"/>
                <w:sz w:val="18"/>
                <w:szCs w:val="18"/>
              </w:rPr>
              <w:t>以公允价值计量且其 变动计入其他综合收 益</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6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108,821,967.43</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108,821,967.43</w:t>
            </w:r>
          </w:p>
        </w:tc>
      </w:tr>
      <w:tr>
        <w:trPr>
          <w:trHeight w:val="965" w:hRule="exact"/>
        </w:trPr>
        <w:tc>
          <w:tcPr>
            <w:tcW w:w="1628" w:type="dxa"/>
            <w:vMerge/>
            <w:tcBorders>
              <w:left w:val="single" w:sz="4" w:space="0" w:color="000000"/>
              <w:bottom w:val="single" w:sz="4" w:space="0" w:color="000000"/>
              <w:right w:val="single" w:sz="4" w:space="0" w:color="000000"/>
            </w:tcBorders>
          </w:tcPr>
          <w:p>
            <w:pPr/>
          </w:p>
        </w:tc>
        <w:tc>
          <w:tcPr>
            <w:tcW w:w="1801"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61"/>
              <w:jc w:val="both"/>
              <w:rPr>
                <w:rFonts w:ascii="宋体" w:hAnsi="宋体" w:cs="宋体" w:eastAsia="宋体" w:hint="default"/>
                <w:sz w:val="18"/>
                <w:szCs w:val="18"/>
              </w:rPr>
            </w:pPr>
            <w:r>
              <w:rPr>
                <w:rFonts w:ascii="宋体" w:hAnsi="宋体" w:cs="宋体" w:eastAsia="宋体" w:hint="default"/>
                <w:sz w:val="18"/>
                <w:szCs w:val="18"/>
              </w:rPr>
              <w:t>以公允价值计量且其 变动计入其他综合收 益</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9" w:right="0"/>
              <w:jc w:val="left"/>
              <w:rPr>
                <w:rFonts w:ascii="Times New Roman" w:hAnsi="Times New Roman" w:cs="Times New Roman" w:eastAsia="Times New Roman" w:hint="default"/>
                <w:sz w:val="18"/>
                <w:szCs w:val="18"/>
              </w:rPr>
            </w:pPr>
            <w:r>
              <w:rPr>
                <w:rFonts w:ascii="Times New Roman"/>
                <w:sz w:val="18"/>
              </w:rPr>
              <w:t>94,884,447.92</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94,884,447.92</w:t>
            </w:r>
          </w:p>
        </w:tc>
      </w:tr>
      <w:tr>
        <w:trPr>
          <w:trHeight w:val="965"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7"/>
              <w:ind w:left="4" w:right="3"/>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持有至到期投资 </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含其他流动资产、其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他非流动资产</w:t>
            </w:r>
            <w:r>
              <w:rPr>
                <w:rFonts w:ascii="Times New Roman" w:hAnsi="Times New Roman" w:cs="Times New Roman" w:eastAsia="Times New Roman" w:hint="default"/>
                <w:sz w:val="18"/>
                <w:szCs w:val="18"/>
              </w:rPr>
              <w:t>)</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53" w:right="0"/>
              <w:jc w:val="left"/>
              <w:rPr>
                <w:rFonts w:ascii="Times New Roman" w:hAnsi="Times New Roman" w:cs="Times New Roman" w:eastAsia="Times New Roman" w:hint="default"/>
                <w:sz w:val="18"/>
                <w:szCs w:val="18"/>
              </w:rPr>
            </w:pPr>
            <w:r>
              <w:rPr>
                <w:rFonts w:ascii="Times New Roman"/>
                <w:sz w:val="18"/>
              </w:rPr>
              <w:t>886,548,160.59</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债权投资</w:t>
            </w:r>
          </w:p>
          <w:p>
            <w:pPr>
              <w:pStyle w:val="TableParagraph"/>
              <w:spacing w:line="240" w:lineRule="auto" w:before="76"/>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含其他流动资产</w:t>
            </w:r>
            <w:r>
              <w:rPr>
                <w:rFonts w:ascii="Times New Roman" w:hAnsi="Times New Roman" w:cs="Times New Roman" w:eastAsia="Times New Roman" w:hint="default"/>
                <w:sz w:val="18"/>
                <w:szCs w:val="18"/>
              </w:rPr>
              <w:t>)</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4" w:right="0"/>
              <w:jc w:val="center"/>
              <w:rPr>
                <w:rFonts w:ascii="Times New Roman" w:hAnsi="Times New Roman" w:cs="Times New Roman" w:eastAsia="Times New Roman" w:hint="default"/>
                <w:sz w:val="18"/>
                <w:szCs w:val="18"/>
              </w:rPr>
            </w:pPr>
            <w:r>
              <w:rPr>
                <w:rFonts w:ascii="Times New Roman"/>
                <w:sz w:val="18"/>
              </w:rPr>
              <w:t>886,548,160.59</w:t>
            </w:r>
          </w:p>
        </w:tc>
      </w:tr>
      <w:tr>
        <w:trPr>
          <w:trHeight w:val="656" w:hRule="exact"/>
        </w:trPr>
        <w:tc>
          <w:tcPr>
            <w:tcW w:w="16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p>
            <w:pPr>
              <w:pStyle w:val="TableParagraph"/>
              <w:spacing w:line="240" w:lineRule="auto" w:before="7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含其他流动资产</w:t>
            </w:r>
            <w:r>
              <w:rPr>
                <w:rFonts w:ascii="Times New Roman" w:hAnsi="Times New Roman" w:cs="Times New Roman" w:eastAsia="Times New Roman" w:hint="default"/>
                <w:sz w:val="18"/>
                <w:szCs w:val="18"/>
              </w:rPr>
              <w:t>)</w:t>
            </w:r>
          </w:p>
        </w:tc>
        <w:tc>
          <w:tcPr>
            <w:tcW w:w="180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316" w:lineRule="auto"/>
              <w:ind w:left="7" w:right="161"/>
              <w:jc w:val="both"/>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以公允价值计量且其 变动计入其他综合收 益</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债务工具</w:t>
            </w:r>
            <w:r>
              <w:rPr>
                <w:rFonts w:ascii="Times New Roman" w:hAnsi="Times New Roman" w:cs="Times New Roman" w:eastAsia="Times New Roman" w:hint="default"/>
                <w:sz w:val="18"/>
                <w:szCs w:val="18"/>
              </w:rPr>
              <w:t>)</w:t>
            </w:r>
          </w:p>
        </w:tc>
        <w:tc>
          <w:tcPr>
            <w:tcW w:w="1440" w:type="dxa"/>
            <w:vMerge w:val="restart"/>
            <w:tcBorders>
              <w:top w:val="single" w:sz="4" w:space="0" w:color="000000"/>
              <w:left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债权投资</w:t>
            </w:r>
          </w:p>
          <w:p>
            <w:pPr>
              <w:pStyle w:val="TableParagraph"/>
              <w:spacing w:line="240" w:lineRule="auto" w:before="77"/>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含其他流动资产</w:t>
            </w:r>
            <w:r>
              <w:rPr>
                <w:rFonts w:ascii="Times New Roman" w:hAnsi="Times New Roman" w:cs="Times New Roman" w:eastAsia="Times New Roman" w:hint="default"/>
                <w:sz w:val="18"/>
                <w:szCs w:val="18"/>
              </w:rPr>
              <w:t>)</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965" w:hRule="exact"/>
        </w:trPr>
        <w:tc>
          <w:tcPr>
            <w:tcW w:w="1628" w:type="dxa"/>
            <w:vMerge/>
            <w:tcBorders>
              <w:left w:val="single" w:sz="4" w:space="0" w:color="000000"/>
              <w:right w:val="single" w:sz="4" w:space="0" w:color="000000"/>
            </w:tcBorders>
          </w:tcPr>
          <w:p>
            <w:pPr/>
          </w:p>
        </w:tc>
        <w:tc>
          <w:tcPr>
            <w:tcW w:w="1801"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其他债权投资</w:t>
            </w:r>
          </w:p>
          <w:p>
            <w:pPr>
              <w:pStyle w:val="TableParagraph"/>
              <w:spacing w:line="240" w:lineRule="auto" w:before="76"/>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含其他流动资产</w:t>
            </w:r>
            <w:r>
              <w:rPr>
                <w:rFonts w:ascii="Times New Roman" w:hAnsi="Times New Roman" w:cs="Times New Roman" w:eastAsia="Times New Roman" w:hint="default"/>
                <w:sz w:val="18"/>
                <w:szCs w:val="18"/>
              </w:rPr>
              <w:t>)</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61"/>
              <w:jc w:val="both"/>
              <w:rPr>
                <w:rFonts w:ascii="宋体" w:hAnsi="宋体" w:cs="宋体" w:eastAsia="宋体" w:hint="default"/>
                <w:sz w:val="18"/>
                <w:szCs w:val="18"/>
              </w:rPr>
            </w:pPr>
            <w:r>
              <w:rPr>
                <w:rFonts w:ascii="宋体" w:hAnsi="宋体" w:cs="宋体" w:eastAsia="宋体" w:hint="default"/>
                <w:sz w:val="18"/>
                <w:szCs w:val="18"/>
              </w:rPr>
              <w:t>以公允价值计量且其 变动计入其他综合收 益</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628" w:type="dxa"/>
            <w:vMerge/>
            <w:tcBorders>
              <w:left w:val="single" w:sz="4" w:space="0" w:color="000000"/>
              <w:right w:val="single" w:sz="4" w:space="0" w:color="000000"/>
            </w:tcBorders>
          </w:tcPr>
          <w:p>
            <w:pPr/>
          </w:p>
        </w:tc>
        <w:tc>
          <w:tcPr>
            <w:tcW w:w="18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7" w:right="161"/>
              <w:jc w:val="both"/>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以公允价值计量且其 变动计入其他综合收 益</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权益工具</w:t>
            </w:r>
            <w:r>
              <w:rPr>
                <w:rFonts w:ascii="Times New Roman" w:hAnsi="Times New Roman" w:cs="Times New Roman" w:eastAsia="Times New Roman" w:hint="default"/>
                <w:sz w:val="18"/>
                <w:szCs w:val="18"/>
              </w:rPr>
              <w:t>)</w:t>
            </w:r>
          </w:p>
        </w:tc>
        <w:tc>
          <w:tcPr>
            <w:tcW w:w="1440" w:type="dxa"/>
            <w:vMerge w:val="restart"/>
            <w:tcBorders>
              <w:top w:val="single" w:sz="4" w:space="0" w:color="000000"/>
              <w:left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0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7" w:right="161"/>
              <w:jc w:val="left"/>
              <w:rPr>
                <w:rFonts w:ascii="宋体" w:hAnsi="宋体" w:cs="宋体" w:eastAsia="宋体" w:hint="default"/>
                <w:sz w:val="18"/>
                <w:szCs w:val="18"/>
              </w:rPr>
            </w:pPr>
            <w:r>
              <w:rPr>
                <w:rFonts w:ascii="宋体" w:hAnsi="宋体" w:cs="宋体" w:eastAsia="宋体" w:hint="default"/>
                <w:sz w:val="18"/>
                <w:szCs w:val="18"/>
              </w:rPr>
              <w:t>以公允价值计量且其 变动计入当期损益</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1628" w:type="dxa"/>
            <w:vMerge/>
            <w:tcBorders>
              <w:left w:val="single" w:sz="4" w:space="0" w:color="000000"/>
              <w:right w:val="single" w:sz="4" w:space="0" w:color="000000"/>
            </w:tcBorders>
          </w:tcPr>
          <w:p>
            <w:pPr/>
          </w:p>
        </w:tc>
        <w:tc>
          <w:tcPr>
            <w:tcW w:w="1801"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63"/>
              <w:jc w:val="left"/>
              <w:rPr>
                <w:rFonts w:ascii="宋体" w:hAnsi="宋体" w:cs="宋体" w:eastAsia="宋体" w:hint="default"/>
                <w:sz w:val="18"/>
                <w:szCs w:val="18"/>
              </w:rPr>
            </w:pPr>
            <w:r>
              <w:rPr>
                <w:rFonts w:ascii="宋体" w:hAnsi="宋体" w:cs="宋体" w:eastAsia="宋体" w:hint="default"/>
                <w:sz w:val="18"/>
                <w:szCs w:val="18"/>
              </w:rPr>
              <w:t>其他非流动金融 资产</w:t>
            </w:r>
          </w:p>
        </w:tc>
        <w:tc>
          <w:tcPr>
            <w:tcW w:w="1801" w:type="dxa"/>
            <w:vMerge/>
            <w:tcBorders>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967" w:hRule="exact"/>
        </w:trPr>
        <w:tc>
          <w:tcPr>
            <w:tcW w:w="1628" w:type="dxa"/>
            <w:vMerge/>
            <w:tcBorders>
              <w:left w:val="single" w:sz="4" w:space="0" w:color="000000"/>
              <w:right w:val="single" w:sz="4" w:space="0" w:color="000000"/>
            </w:tcBorders>
          </w:tcPr>
          <w:p>
            <w:pPr/>
          </w:p>
        </w:tc>
        <w:tc>
          <w:tcPr>
            <w:tcW w:w="1801"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7" w:right="165"/>
              <w:jc w:val="left"/>
              <w:rPr>
                <w:rFonts w:ascii="宋体" w:hAnsi="宋体" w:cs="宋体" w:eastAsia="宋体" w:hint="default"/>
                <w:sz w:val="18"/>
                <w:szCs w:val="18"/>
              </w:rPr>
            </w:pPr>
            <w:r>
              <w:rPr>
                <w:rFonts w:ascii="宋体" w:hAnsi="宋体" w:cs="宋体" w:eastAsia="宋体" w:hint="default"/>
                <w:sz w:val="18"/>
                <w:szCs w:val="18"/>
              </w:rPr>
              <w:t>其他权益工具投 资</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61"/>
              <w:jc w:val="both"/>
              <w:rPr>
                <w:rFonts w:ascii="宋体" w:hAnsi="宋体" w:cs="宋体" w:eastAsia="宋体" w:hint="default"/>
                <w:sz w:val="18"/>
                <w:szCs w:val="18"/>
              </w:rPr>
            </w:pPr>
            <w:r>
              <w:rPr>
                <w:rFonts w:ascii="宋体" w:hAnsi="宋体" w:cs="宋体" w:eastAsia="宋体" w:hint="default"/>
                <w:sz w:val="18"/>
                <w:szCs w:val="18"/>
              </w:rPr>
              <w:t>以公允价值计量且其 变动计入其他综合收 益</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628" w:type="dxa"/>
            <w:vMerge/>
            <w:tcBorders>
              <w:left w:val="single" w:sz="4" w:space="0" w:color="000000"/>
              <w:right w:val="single" w:sz="4" w:space="0" w:color="000000"/>
            </w:tcBorders>
          </w:tcPr>
          <w:p>
            <w:pPr/>
          </w:p>
        </w:tc>
        <w:tc>
          <w:tcPr>
            <w:tcW w:w="18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以成本计量</w:t>
            </w:r>
            <w:r>
              <w:rPr>
                <w:rFonts w:ascii="Times New Roman" w:hAnsi="Times New Roman" w:cs="Times New Roman" w:eastAsia="Times New Roman" w:hint="default"/>
                <w:sz w:val="18"/>
                <w:szCs w:val="18"/>
              </w:rPr>
              <w:t>(</w:t>
            </w:r>
            <w:r>
              <w:rPr>
                <w:rFonts w:ascii="宋体" w:hAnsi="宋体" w:cs="宋体" w:eastAsia="宋体" w:hint="default"/>
                <w:sz w:val="18"/>
                <w:szCs w:val="18"/>
              </w:rPr>
              <w:t>权益工具</w:t>
            </w:r>
            <w:r>
              <w:rPr>
                <w:rFonts w:ascii="Times New Roman" w:hAnsi="Times New Roman" w:cs="Times New Roman" w:eastAsia="Times New Roman" w:hint="default"/>
                <w:sz w:val="18"/>
                <w:szCs w:val="18"/>
              </w:rPr>
              <w:t>)</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18,248,400.00</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0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316" w:lineRule="auto"/>
              <w:ind w:left="7" w:right="161"/>
              <w:jc w:val="left"/>
              <w:rPr>
                <w:rFonts w:ascii="宋体" w:hAnsi="宋体" w:cs="宋体" w:eastAsia="宋体" w:hint="default"/>
                <w:sz w:val="18"/>
                <w:szCs w:val="18"/>
              </w:rPr>
            </w:pPr>
            <w:r>
              <w:rPr>
                <w:rFonts w:ascii="宋体" w:hAnsi="宋体" w:cs="宋体" w:eastAsia="宋体" w:hint="default"/>
                <w:sz w:val="18"/>
                <w:szCs w:val="18"/>
              </w:rPr>
              <w:t>以公允价值计量且其 变动计入当期损益</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1628" w:type="dxa"/>
            <w:vMerge/>
            <w:tcBorders>
              <w:left w:val="single" w:sz="4" w:space="0" w:color="000000"/>
              <w:right w:val="single" w:sz="4" w:space="0" w:color="000000"/>
            </w:tcBorders>
          </w:tcPr>
          <w:p>
            <w:pPr/>
          </w:p>
        </w:tc>
        <w:tc>
          <w:tcPr>
            <w:tcW w:w="1801"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65"/>
              <w:jc w:val="left"/>
              <w:rPr>
                <w:rFonts w:ascii="宋体" w:hAnsi="宋体" w:cs="宋体" w:eastAsia="宋体" w:hint="default"/>
                <w:sz w:val="18"/>
                <w:szCs w:val="18"/>
              </w:rPr>
            </w:pPr>
            <w:r>
              <w:rPr>
                <w:rFonts w:ascii="宋体" w:hAnsi="宋体" w:cs="宋体" w:eastAsia="宋体" w:hint="default"/>
                <w:sz w:val="18"/>
                <w:szCs w:val="18"/>
              </w:rPr>
              <w:t>其他非流动金融 资产</w:t>
            </w:r>
          </w:p>
        </w:tc>
        <w:tc>
          <w:tcPr>
            <w:tcW w:w="1801" w:type="dxa"/>
            <w:vMerge/>
            <w:tcBorders>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18,248,400.00</w:t>
            </w:r>
          </w:p>
        </w:tc>
      </w:tr>
      <w:tr>
        <w:trPr>
          <w:trHeight w:val="965" w:hRule="exact"/>
        </w:trPr>
        <w:tc>
          <w:tcPr>
            <w:tcW w:w="1628" w:type="dxa"/>
            <w:vMerge/>
            <w:tcBorders>
              <w:left w:val="single" w:sz="4" w:space="0" w:color="000000"/>
              <w:bottom w:val="single" w:sz="4" w:space="0" w:color="000000"/>
              <w:right w:val="single" w:sz="4" w:space="0" w:color="000000"/>
            </w:tcBorders>
          </w:tcPr>
          <w:p>
            <w:pPr/>
          </w:p>
        </w:tc>
        <w:tc>
          <w:tcPr>
            <w:tcW w:w="1801"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7" w:right="165"/>
              <w:jc w:val="left"/>
              <w:rPr>
                <w:rFonts w:ascii="宋体" w:hAnsi="宋体" w:cs="宋体" w:eastAsia="宋体" w:hint="default"/>
                <w:sz w:val="18"/>
                <w:szCs w:val="18"/>
              </w:rPr>
            </w:pPr>
            <w:r>
              <w:rPr>
                <w:rFonts w:ascii="宋体" w:hAnsi="宋体" w:cs="宋体" w:eastAsia="宋体" w:hint="default"/>
                <w:sz w:val="18"/>
                <w:szCs w:val="18"/>
              </w:rPr>
              <w:t>其他权益工具投 资</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61"/>
              <w:jc w:val="both"/>
              <w:rPr>
                <w:rFonts w:ascii="宋体" w:hAnsi="宋体" w:cs="宋体" w:eastAsia="宋体" w:hint="default"/>
                <w:sz w:val="18"/>
                <w:szCs w:val="18"/>
              </w:rPr>
            </w:pPr>
            <w:r>
              <w:rPr>
                <w:rFonts w:ascii="宋体" w:hAnsi="宋体" w:cs="宋体" w:eastAsia="宋体" w:hint="default"/>
                <w:sz w:val="18"/>
                <w:szCs w:val="18"/>
              </w:rPr>
              <w:t>以公允价值计量且其 变动计入其他综合收 益</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p>
            <w:pPr>
              <w:pStyle w:val="TableParagraph"/>
              <w:spacing w:line="240" w:lineRule="auto" w:before="7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含其他流动资产</w:t>
            </w:r>
            <w:r>
              <w:rPr>
                <w:rFonts w:ascii="Times New Roman" w:hAnsi="Times New Roman" w:cs="Times New Roman" w:eastAsia="Times New Roman" w:hint="default"/>
                <w:sz w:val="18"/>
                <w:szCs w:val="18"/>
              </w:rPr>
              <w:t>)</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以成本计量</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债务工具</w:t>
            </w:r>
            <w:r>
              <w:rPr>
                <w:rFonts w:ascii="Times New Roman" w:hAnsi="Times New Roman" w:cs="Times New Roman" w:eastAsia="Times New Roman"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986,300,000.00</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61"/>
              <w:jc w:val="left"/>
              <w:rPr>
                <w:rFonts w:ascii="宋体" w:hAnsi="宋体" w:cs="宋体" w:eastAsia="宋体" w:hint="default"/>
                <w:sz w:val="18"/>
                <w:szCs w:val="18"/>
              </w:rPr>
            </w:pPr>
            <w:r>
              <w:rPr>
                <w:rFonts w:ascii="宋体" w:hAnsi="宋体" w:cs="宋体" w:eastAsia="宋体" w:hint="default"/>
                <w:sz w:val="18"/>
                <w:szCs w:val="18"/>
              </w:rPr>
              <w:t>以公允价值计量且其 变动计入当期损益</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991,114,277.07</w:t>
            </w:r>
          </w:p>
        </w:tc>
      </w:tr>
      <w:tr>
        <w:trPr>
          <w:trHeight w:val="341"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968"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71"/>
              <w:jc w:val="both"/>
              <w:rPr>
                <w:rFonts w:ascii="宋体" w:hAnsi="宋体" w:cs="宋体" w:eastAsia="宋体" w:hint="default"/>
                <w:sz w:val="18"/>
                <w:szCs w:val="18"/>
              </w:rPr>
            </w:pPr>
            <w:r>
              <w:rPr>
                <w:rFonts w:ascii="宋体" w:hAnsi="宋体" w:cs="宋体" w:eastAsia="宋体" w:hint="default"/>
                <w:sz w:val="18"/>
                <w:szCs w:val="18"/>
              </w:rPr>
              <w:t>以公允价值计量且 其变动计入当期损 益的金融负债</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7" w:right="161"/>
              <w:jc w:val="left"/>
              <w:rPr>
                <w:rFonts w:ascii="宋体" w:hAnsi="宋体" w:cs="宋体" w:eastAsia="宋体" w:hint="default"/>
                <w:sz w:val="18"/>
                <w:szCs w:val="18"/>
              </w:rPr>
            </w:pPr>
            <w:r>
              <w:rPr>
                <w:rFonts w:ascii="宋体" w:hAnsi="宋体" w:cs="宋体" w:eastAsia="宋体" w:hint="default"/>
                <w:sz w:val="18"/>
                <w:szCs w:val="18"/>
              </w:rPr>
              <w:t>以公允价值计量且其 变动计入当期损益</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7" w:right="161"/>
              <w:jc w:val="left"/>
              <w:rPr>
                <w:rFonts w:ascii="宋体" w:hAnsi="宋体" w:cs="宋体" w:eastAsia="宋体" w:hint="default"/>
                <w:sz w:val="18"/>
                <w:szCs w:val="18"/>
              </w:rPr>
            </w:pPr>
            <w:r>
              <w:rPr>
                <w:rFonts w:ascii="宋体" w:hAnsi="宋体" w:cs="宋体" w:eastAsia="宋体" w:hint="default"/>
                <w:sz w:val="18"/>
                <w:szCs w:val="18"/>
              </w:rPr>
              <w:t>以公允价值计量且其 变动计入当期损益</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61"/>
              <w:jc w:val="left"/>
              <w:rPr>
                <w:rFonts w:ascii="宋体" w:hAnsi="宋体" w:cs="宋体" w:eastAsia="宋体" w:hint="default"/>
                <w:sz w:val="18"/>
                <w:szCs w:val="18"/>
              </w:rPr>
            </w:pPr>
            <w:r>
              <w:rPr>
                <w:rFonts w:ascii="宋体" w:hAnsi="宋体" w:cs="宋体" w:eastAsia="宋体" w:hint="default"/>
                <w:sz w:val="18"/>
                <w:szCs w:val="18"/>
              </w:rPr>
              <w:t>以公允价值计量且其 变动计入当期损益</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61"/>
              <w:jc w:val="left"/>
              <w:rPr>
                <w:rFonts w:ascii="宋体" w:hAnsi="宋体" w:cs="宋体" w:eastAsia="宋体" w:hint="default"/>
                <w:sz w:val="18"/>
                <w:szCs w:val="18"/>
              </w:rPr>
            </w:pPr>
            <w:r>
              <w:rPr>
                <w:rFonts w:ascii="宋体" w:hAnsi="宋体" w:cs="宋体" w:eastAsia="宋体" w:hint="default"/>
                <w:sz w:val="18"/>
                <w:szCs w:val="18"/>
              </w:rPr>
              <w:t>以公允价值计量且其 变动计入当期损益</w:t>
            </w:r>
          </w:p>
        </w:tc>
        <w:tc>
          <w:tcPr>
            <w:tcW w:w="154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4"/>
        <w:spacing w:line="240" w:lineRule="auto"/>
        <w:ind w:right="1133"/>
        <w:jc w:val="left"/>
      </w:pPr>
      <w:r>
        <w:rPr/>
        <w:t>母公司</w:t>
      </w: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661"/>
        <w:gridCol w:w="1801"/>
        <w:gridCol w:w="1440"/>
        <w:gridCol w:w="1440"/>
        <w:gridCol w:w="1760"/>
        <w:gridCol w:w="1620"/>
      </w:tblGrid>
      <w:tr>
        <w:trPr>
          <w:trHeight w:val="341" w:hRule="exact"/>
        </w:trPr>
        <w:tc>
          <w:tcPr>
            <w:tcW w:w="49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原金融工具准则</w:t>
            </w:r>
          </w:p>
        </w:tc>
        <w:tc>
          <w:tcPr>
            <w:tcW w:w="4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4" w:right="0"/>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343"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68"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37"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6" w:right="0"/>
              <w:jc w:val="left"/>
              <w:rPr>
                <w:rFonts w:ascii="宋体" w:hAnsi="宋体" w:cs="宋体" w:eastAsia="宋体" w:hint="default"/>
                <w:sz w:val="18"/>
                <w:szCs w:val="18"/>
              </w:rPr>
            </w:pPr>
            <w:r>
              <w:rPr>
                <w:rFonts w:ascii="宋体" w:hAnsi="宋体" w:cs="宋体" w:eastAsia="宋体" w:hint="default"/>
                <w:sz w:val="18"/>
                <w:szCs w:val="18"/>
              </w:rPr>
              <w:t>账面价值（元）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7"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16"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77" w:right="0"/>
              <w:jc w:val="left"/>
              <w:rPr>
                <w:rFonts w:ascii="宋体" w:hAnsi="宋体" w:cs="宋体" w:eastAsia="宋体" w:hint="default"/>
                <w:sz w:val="18"/>
                <w:szCs w:val="18"/>
              </w:rPr>
            </w:pPr>
            <w:r>
              <w:rPr>
                <w:rFonts w:ascii="宋体" w:hAnsi="宋体" w:cs="宋体" w:eastAsia="宋体" w:hint="default"/>
                <w:sz w:val="18"/>
                <w:szCs w:val="18"/>
              </w:rPr>
              <w:t>账面价值（元）</w:t>
            </w:r>
          </w:p>
        </w:tc>
      </w:tr>
      <w:tr>
        <w:trPr>
          <w:trHeight w:val="341"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02" w:right="0"/>
              <w:jc w:val="left"/>
              <w:rPr>
                <w:rFonts w:ascii="Times New Roman" w:hAnsi="Times New Roman" w:cs="Times New Roman" w:eastAsia="Times New Roman" w:hint="default"/>
                <w:sz w:val="18"/>
                <w:szCs w:val="18"/>
              </w:rPr>
            </w:pPr>
            <w:r>
              <w:rPr>
                <w:rFonts w:ascii="Times New Roman"/>
                <w:sz w:val="18"/>
              </w:rPr>
              <w:t>215,626,374.05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9"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82" w:right="0"/>
              <w:jc w:val="left"/>
              <w:rPr>
                <w:rFonts w:ascii="Times New Roman" w:hAnsi="Times New Roman" w:cs="Times New Roman" w:eastAsia="Times New Roman" w:hint="default"/>
                <w:sz w:val="18"/>
                <w:szCs w:val="18"/>
              </w:rPr>
            </w:pPr>
            <w:r>
              <w:rPr>
                <w:rFonts w:ascii="Times New Roman"/>
                <w:sz w:val="18"/>
              </w:rPr>
              <w:t>215,626,374.05</w:t>
            </w:r>
          </w:p>
        </w:tc>
      </w:tr>
      <w:tr>
        <w:trPr>
          <w:trHeight w:val="343"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以公允价值计量且其</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以公允价值计量且其</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以公允价值计量且其</w:t>
            </w: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1661"/>
        <w:gridCol w:w="1801"/>
        <w:gridCol w:w="1440"/>
        <w:gridCol w:w="1440"/>
        <w:gridCol w:w="1760"/>
        <w:gridCol w:w="1620"/>
      </w:tblGrid>
      <w:tr>
        <w:trPr>
          <w:trHeight w:val="653"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22"/>
              <w:jc w:val="left"/>
              <w:rPr>
                <w:rFonts w:ascii="宋体" w:hAnsi="宋体" w:cs="宋体" w:eastAsia="宋体" w:hint="default"/>
                <w:sz w:val="18"/>
                <w:szCs w:val="18"/>
              </w:rPr>
            </w:pPr>
            <w:r>
              <w:rPr>
                <w:rFonts w:ascii="宋体" w:hAnsi="宋体" w:cs="宋体" w:eastAsia="宋体" w:hint="default"/>
                <w:sz w:val="18"/>
                <w:szCs w:val="18"/>
              </w:rPr>
              <w:t>变动计入当期损益的 金融资产</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变动计入当期损益</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变动计入当期损益</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61"/>
              <w:jc w:val="left"/>
              <w:rPr>
                <w:rFonts w:ascii="宋体" w:hAnsi="宋体" w:cs="宋体" w:eastAsia="宋体" w:hint="default"/>
                <w:sz w:val="18"/>
                <w:szCs w:val="18"/>
              </w:rPr>
            </w:pPr>
            <w:r>
              <w:rPr>
                <w:rFonts w:ascii="宋体" w:hAnsi="宋体" w:cs="宋体" w:eastAsia="宋体" w:hint="default"/>
                <w:sz w:val="18"/>
                <w:szCs w:val="18"/>
              </w:rPr>
              <w:t>以公允价值计量且其 变动计入当期损益</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22"/>
              <w:jc w:val="left"/>
              <w:rPr>
                <w:rFonts w:ascii="宋体" w:hAnsi="宋体" w:cs="宋体" w:eastAsia="宋体" w:hint="default"/>
                <w:sz w:val="18"/>
                <w:szCs w:val="18"/>
              </w:rPr>
            </w:pPr>
            <w:r>
              <w:rPr>
                <w:rFonts w:ascii="宋体" w:hAnsi="宋体" w:cs="宋体" w:eastAsia="宋体" w:hint="default"/>
                <w:sz w:val="18"/>
                <w:szCs w:val="18"/>
              </w:rPr>
              <w:t>以公允价值计量且其 变动计入当期损益</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6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393" w:right="0"/>
              <w:jc w:val="left"/>
              <w:rPr>
                <w:rFonts w:ascii="Times New Roman" w:hAnsi="Times New Roman" w:cs="Times New Roman" w:eastAsia="Times New Roman" w:hint="default"/>
                <w:sz w:val="18"/>
                <w:szCs w:val="18"/>
              </w:rPr>
            </w:pPr>
            <w:r>
              <w:rPr>
                <w:rFonts w:ascii="Times New Roman"/>
                <w:sz w:val="18"/>
              </w:rPr>
              <w:t>28,821,652.00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28,821,652.00</w:t>
            </w:r>
          </w:p>
        </w:tc>
      </w:tr>
      <w:tr>
        <w:trPr>
          <w:trHeight w:val="967" w:hRule="exact"/>
        </w:trPr>
        <w:tc>
          <w:tcPr>
            <w:tcW w:w="1661" w:type="dxa"/>
            <w:vMerge/>
            <w:tcBorders>
              <w:left w:val="single" w:sz="4" w:space="0" w:color="000000"/>
              <w:bottom w:val="single" w:sz="4" w:space="0" w:color="000000"/>
              <w:right w:val="single" w:sz="4" w:space="0" w:color="000000"/>
            </w:tcBorders>
          </w:tcPr>
          <w:p>
            <w:pPr/>
          </w:p>
        </w:tc>
        <w:tc>
          <w:tcPr>
            <w:tcW w:w="1801"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22"/>
              <w:jc w:val="both"/>
              <w:rPr>
                <w:rFonts w:ascii="宋体" w:hAnsi="宋体" w:cs="宋体" w:eastAsia="宋体" w:hint="default"/>
                <w:sz w:val="18"/>
                <w:szCs w:val="18"/>
              </w:rPr>
            </w:pPr>
            <w:r>
              <w:rPr>
                <w:rFonts w:ascii="宋体" w:hAnsi="宋体" w:cs="宋体" w:eastAsia="宋体" w:hint="default"/>
                <w:sz w:val="18"/>
                <w:szCs w:val="18"/>
              </w:rPr>
              <w:t>以公允价值计量且其 变动计入其他综合收 益</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6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393" w:right="0"/>
              <w:jc w:val="left"/>
              <w:rPr>
                <w:rFonts w:ascii="Times New Roman" w:hAnsi="Times New Roman" w:cs="Times New Roman" w:eastAsia="Times New Roman" w:hint="default"/>
                <w:sz w:val="18"/>
                <w:szCs w:val="18"/>
              </w:rPr>
            </w:pPr>
            <w:r>
              <w:rPr>
                <w:rFonts w:ascii="Times New Roman"/>
                <w:sz w:val="18"/>
              </w:rPr>
              <w:t>98,039,076.04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98,039,076.04</w:t>
            </w:r>
          </w:p>
        </w:tc>
      </w:tr>
      <w:tr>
        <w:trPr>
          <w:trHeight w:val="968" w:hRule="exact"/>
        </w:trPr>
        <w:tc>
          <w:tcPr>
            <w:tcW w:w="1661" w:type="dxa"/>
            <w:vMerge/>
            <w:tcBorders>
              <w:left w:val="single" w:sz="4" w:space="0" w:color="000000"/>
              <w:bottom w:val="single" w:sz="4" w:space="0" w:color="000000"/>
              <w:right w:val="single" w:sz="4" w:space="0" w:color="000000"/>
            </w:tcBorders>
          </w:tcPr>
          <w:p>
            <w:pPr/>
          </w:p>
        </w:tc>
        <w:tc>
          <w:tcPr>
            <w:tcW w:w="1801"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22"/>
              <w:jc w:val="both"/>
              <w:rPr>
                <w:rFonts w:ascii="宋体" w:hAnsi="宋体" w:cs="宋体" w:eastAsia="宋体" w:hint="default"/>
                <w:sz w:val="18"/>
                <w:szCs w:val="18"/>
              </w:rPr>
            </w:pPr>
            <w:r>
              <w:rPr>
                <w:rFonts w:ascii="宋体" w:hAnsi="宋体" w:cs="宋体" w:eastAsia="宋体" w:hint="default"/>
                <w:sz w:val="18"/>
                <w:szCs w:val="18"/>
              </w:rPr>
              <w:t>以公允价值计量且其 变动计入其他综合收 益</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235,424,934.28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235,424,934.28</w:t>
            </w:r>
          </w:p>
        </w:tc>
      </w:tr>
      <w:tr>
        <w:trPr>
          <w:trHeight w:val="655"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持有至到期投资</w:t>
            </w:r>
          </w:p>
          <w:p>
            <w:pPr>
              <w:pStyle w:val="TableParagraph"/>
              <w:spacing w:line="240" w:lineRule="auto" w:before="76"/>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含其他流动资产</w:t>
            </w:r>
            <w:r>
              <w:rPr>
                <w:rFonts w:ascii="Times New Roman" w:hAnsi="Times New Roman" w:cs="Times New Roman" w:eastAsia="Times New Roman" w:hint="default"/>
                <w:sz w:val="18"/>
                <w:szCs w:val="18"/>
              </w:rPr>
              <w:t>)</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债权投资</w:t>
            </w:r>
          </w:p>
          <w:p>
            <w:pPr>
              <w:pStyle w:val="TableParagraph"/>
              <w:spacing w:line="240" w:lineRule="auto" w:before="76"/>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含其他流动资产</w:t>
            </w:r>
            <w:r>
              <w:rPr>
                <w:rFonts w:ascii="Times New Roman" w:hAnsi="Times New Roman" w:cs="Times New Roman" w:eastAsia="Times New Roman" w:hint="default"/>
                <w:sz w:val="18"/>
                <w:szCs w:val="18"/>
              </w:rPr>
              <w:t>)</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16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p>
            <w:pPr>
              <w:pStyle w:val="TableParagraph"/>
              <w:spacing w:line="240" w:lineRule="auto" w:before="76"/>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含其他流动资产</w:t>
            </w:r>
            <w:r>
              <w:rPr>
                <w:rFonts w:ascii="Times New Roman" w:hAnsi="Times New Roman" w:cs="Times New Roman" w:eastAsia="Times New Roman" w:hint="default"/>
                <w:sz w:val="18"/>
                <w:szCs w:val="18"/>
              </w:rPr>
              <w:t>)</w:t>
            </w:r>
          </w:p>
        </w:tc>
        <w:tc>
          <w:tcPr>
            <w:tcW w:w="18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9"/>
              <w:ind w:left="7" w:right="161"/>
              <w:jc w:val="both"/>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以公允价值计量且其 变动计入其他综合收 益</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债务工具</w:t>
            </w:r>
            <w:r>
              <w:rPr>
                <w:rFonts w:ascii="Times New Roman" w:hAnsi="Times New Roman" w:cs="Times New Roman" w:eastAsia="Times New Roman" w:hint="default"/>
                <w:sz w:val="18"/>
                <w:szCs w:val="18"/>
              </w:rPr>
              <w:t>)</w:t>
            </w:r>
          </w:p>
        </w:tc>
        <w:tc>
          <w:tcPr>
            <w:tcW w:w="1440" w:type="dxa"/>
            <w:vMerge w:val="restart"/>
            <w:tcBorders>
              <w:top w:val="single" w:sz="4" w:space="0" w:color="000000"/>
              <w:left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债权投资</w:t>
            </w:r>
          </w:p>
          <w:p>
            <w:pPr>
              <w:pStyle w:val="TableParagraph"/>
              <w:spacing w:line="240" w:lineRule="auto" w:before="76"/>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含其他流动资产</w:t>
            </w:r>
            <w:r>
              <w:rPr>
                <w:rFonts w:ascii="Times New Roman" w:hAnsi="Times New Roman" w:cs="Times New Roman" w:eastAsia="Times New Roman" w:hint="default"/>
                <w:sz w:val="18"/>
                <w:szCs w:val="18"/>
              </w:rPr>
              <w:t>)</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967" w:hRule="exact"/>
        </w:trPr>
        <w:tc>
          <w:tcPr>
            <w:tcW w:w="1661" w:type="dxa"/>
            <w:vMerge/>
            <w:tcBorders>
              <w:left w:val="single" w:sz="4" w:space="0" w:color="000000"/>
              <w:right w:val="single" w:sz="4" w:space="0" w:color="000000"/>
            </w:tcBorders>
          </w:tcPr>
          <w:p>
            <w:pPr/>
          </w:p>
        </w:tc>
        <w:tc>
          <w:tcPr>
            <w:tcW w:w="1801"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其他债权投资</w:t>
            </w:r>
          </w:p>
          <w:p>
            <w:pPr>
              <w:pStyle w:val="TableParagraph"/>
              <w:spacing w:line="240" w:lineRule="auto" w:before="76"/>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含其他流动资产</w:t>
            </w:r>
            <w:r>
              <w:rPr>
                <w:rFonts w:ascii="Times New Roman" w:hAnsi="Times New Roman" w:cs="Times New Roman" w:eastAsia="Times New Roman" w:hint="default"/>
                <w:sz w:val="18"/>
                <w:szCs w:val="18"/>
              </w:rPr>
              <w:t>)</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22"/>
              <w:jc w:val="both"/>
              <w:rPr>
                <w:rFonts w:ascii="宋体" w:hAnsi="宋体" w:cs="宋体" w:eastAsia="宋体" w:hint="default"/>
                <w:sz w:val="18"/>
                <w:szCs w:val="18"/>
              </w:rPr>
            </w:pPr>
            <w:r>
              <w:rPr>
                <w:rFonts w:ascii="宋体" w:hAnsi="宋体" w:cs="宋体" w:eastAsia="宋体" w:hint="default"/>
                <w:sz w:val="18"/>
                <w:szCs w:val="18"/>
              </w:rPr>
              <w:t>以公允价值计量且其 变动计入其他综合收 益</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661" w:type="dxa"/>
            <w:vMerge/>
            <w:tcBorders>
              <w:left w:val="single" w:sz="4" w:space="0" w:color="000000"/>
              <w:right w:val="single" w:sz="4" w:space="0" w:color="000000"/>
            </w:tcBorders>
          </w:tcPr>
          <w:p>
            <w:pPr/>
          </w:p>
        </w:tc>
        <w:tc>
          <w:tcPr>
            <w:tcW w:w="18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7" w:right="161"/>
              <w:jc w:val="both"/>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以公允价值计量且其 变动计入其他综合收 益</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权益工具</w:t>
            </w:r>
            <w:r>
              <w:rPr>
                <w:rFonts w:ascii="Times New Roman" w:hAnsi="Times New Roman" w:cs="Times New Roman" w:eastAsia="Times New Roman" w:hint="default"/>
                <w:sz w:val="18"/>
                <w:szCs w:val="18"/>
              </w:rPr>
              <w:t>)</w:t>
            </w:r>
          </w:p>
        </w:tc>
        <w:tc>
          <w:tcPr>
            <w:tcW w:w="1440" w:type="dxa"/>
            <w:vMerge w:val="restart"/>
            <w:tcBorders>
              <w:top w:val="single" w:sz="4" w:space="0" w:color="000000"/>
              <w:left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76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316" w:lineRule="auto"/>
              <w:ind w:left="7" w:right="122"/>
              <w:jc w:val="left"/>
              <w:rPr>
                <w:rFonts w:ascii="宋体" w:hAnsi="宋体" w:cs="宋体" w:eastAsia="宋体" w:hint="default"/>
                <w:sz w:val="18"/>
                <w:szCs w:val="18"/>
              </w:rPr>
            </w:pPr>
            <w:r>
              <w:rPr>
                <w:rFonts w:ascii="宋体" w:hAnsi="宋体" w:cs="宋体" w:eastAsia="宋体" w:hint="default"/>
                <w:sz w:val="18"/>
                <w:szCs w:val="18"/>
              </w:rPr>
              <w:t>以公允价值计量且其 变动计入当期损益</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656" w:hRule="exact"/>
        </w:trPr>
        <w:tc>
          <w:tcPr>
            <w:tcW w:w="1661" w:type="dxa"/>
            <w:vMerge/>
            <w:tcBorders>
              <w:left w:val="single" w:sz="4" w:space="0" w:color="000000"/>
              <w:right w:val="single" w:sz="4" w:space="0" w:color="000000"/>
            </w:tcBorders>
          </w:tcPr>
          <w:p>
            <w:pPr/>
          </w:p>
        </w:tc>
        <w:tc>
          <w:tcPr>
            <w:tcW w:w="1801"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61"/>
              <w:jc w:val="left"/>
              <w:rPr>
                <w:rFonts w:ascii="宋体" w:hAnsi="宋体" w:cs="宋体" w:eastAsia="宋体" w:hint="default"/>
                <w:sz w:val="18"/>
                <w:szCs w:val="18"/>
              </w:rPr>
            </w:pPr>
            <w:r>
              <w:rPr>
                <w:rFonts w:ascii="宋体" w:hAnsi="宋体" w:cs="宋体" w:eastAsia="宋体" w:hint="default"/>
                <w:sz w:val="18"/>
                <w:szCs w:val="18"/>
              </w:rPr>
              <w:t>其他非流动金融 资产</w:t>
            </w:r>
          </w:p>
        </w:tc>
        <w:tc>
          <w:tcPr>
            <w:tcW w:w="1760" w:type="dxa"/>
            <w:vMerge/>
            <w:tcBorders>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965" w:hRule="exact"/>
        </w:trPr>
        <w:tc>
          <w:tcPr>
            <w:tcW w:w="1661" w:type="dxa"/>
            <w:vMerge/>
            <w:tcBorders>
              <w:left w:val="single" w:sz="4" w:space="0" w:color="000000"/>
              <w:right w:val="single" w:sz="4" w:space="0" w:color="000000"/>
            </w:tcBorders>
          </w:tcPr>
          <w:p>
            <w:pPr/>
          </w:p>
        </w:tc>
        <w:tc>
          <w:tcPr>
            <w:tcW w:w="1801"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7" w:right="161"/>
              <w:jc w:val="left"/>
              <w:rPr>
                <w:rFonts w:ascii="宋体" w:hAnsi="宋体" w:cs="宋体" w:eastAsia="宋体" w:hint="default"/>
                <w:sz w:val="18"/>
                <w:szCs w:val="18"/>
              </w:rPr>
            </w:pPr>
            <w:r>
              <w:rPr>
                <w:rFonts w:ascii="宋体" w:hAnsi="宋体" w:cs="宋体" w:eastAsia="宋体" w:hint="default"/>
                <w:sz w:val="18"/>
                <w:szCs w:val="18"/>
              </w:rPr>
              <w:t>其他权益工具投 资</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22"/>
              <w:jc w:val="both"/>
              <w:rPr>
                <w:rFonts w:ascii="宋体" w:hAnsi="宋体" w:cs="宋体" w:eastAsia="宋体" w:hint="default"/>
                <w:sz w:val="18"/>
                <w:szCs w:val="18"/>
              </w:rPr>
            </w:pPr>
            <w:r>
              <w:rPr>
                <w:rFonts w:ascii="宋体" w:hAnsi="宋体" w:cs="宋体" w:eastAsia="宋体" w:hint="default"/>
                <w:sz w:val="18"/>
                <w:szCs w:val="18"/>
              </w:rPr>
              <w:t>以公允价值计量且其 变动计入其他综合收 益</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661" w:type="dxa"/>
            <w:vMerge/>
            <w:tcBorders>
              <w:left w:val="single" w:sz="4" w:space="0" w:color="000000"/>
              <w:right w:val="single" w:sz="4" w:space="0" w:color="000000"/>
            </w:tcBorders>
          </w:tcPr>
          <w:p>
            <w:pPr/>
          </w:p>
        </w:tc>
        <w:tc>
          <w:tcPr>
            <w:tcW w:w="18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以成本计量</w:t>
            </w:r>
            <w:r>
              <w:rPr>
                <w:rFonts w:ascii="Times New Roman" w:hAnsi="Times New Roman" w:cs="Times New Roman" w:eastAsia="Times New Roman" w:hint="default"/>
                <w:sz w:val="18"/>
                <w:szCs w:val="18"/>
              </w:rPr>
              <w:t>(</w:t>
            </w:r>
            <w:r>
              <w:rPr>
                <w:rFonts w:ascii="宋体" w:hAnsi="宋体" w:cs="宋体" w:eastAsia="宋体" w:hint="default"/>
                <w:sz w:val="18"/>
                <w:szCs w:val="18"/>
              </w:rPr>
              <w:t>权益工具</w:t>
            </w:r>
            <w:r>
              <w:rPr>
                <w:rFonts w:ascii="Times New Roman" w:hAnsi="Times New Roman" w:cs="Times New Roman" w:eastAsia="Times New Roman" w:hint="default"/>
                <w:sz w:val="18"/>
                <w:szCs w:val="18"/>
              </w:rPr>
              <w:t>)</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sz w:val="18"/>
              </w:rPr>
              <w:t>4,800,000.00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76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316" w:lineRule="auto"/>
              <w:ind w:left="7" w:right="122"/>
              <w:jc w:val="left"/>
              <w:rPr>
                <w:rFonts w:ascii="宋体" w:hAnsi="宋体" w:cs="宋体" w:eastAsia="宋体" w:hint="default"/>
                <w:sz w:val="18"/>
                <w:szCs w:val="18"/>
              </w:rPr>
            </w:pPr>
            <w:r>
              <w:rPr>
                <w:rFonts w:ascii="宋体" w:hAnsi="宋体" w:cs="宋体" w:eastAsia="宋体" w:hint="default"/>
                <w:sz w:val="18"/>
                <w:szCs w:val="18"/>
              </w:rPr>
              <w:t>以公允价值计量且其 变动计入当期损益</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1661" w:type="dxa"/>
            <w:vMerge/>
            <w:tcBorders>
              <w:left w:val="single" w:sz="4" w:space="0" w:color="000000"/>
              <w:right w:val="single" w:sz="4" w:space="0" w:color="000000"/>
            </w:tcBorders>
          </w:tcPr>
          <w:p>
            <w:pPr/>
          </w:p>
        </w:tc>
        <w:tc>
          <w:tcPr>
            <w:tcW w:w="1801"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61"/>
              <w:jc w:val="left"/>
              <w:rPr>
                <w:rFonts w:ascii="宋体" w:hAnsi="宋体" w:cs="宋体" w:eastAsia="宋体" w:hint="default"/>
                <w:sz w:val="18"/>
                <w:szCs w:val="18"/>
              </w:rPr>
            </w:pPr>
            <w:r>
              <w:rPr>
                <w:rFonts w:ascii="宋体" w:hAnsi="宋体" w:cs="宋体" w:eastAsia="宋体" w:hint="default"/>
                <w:sz w:val="18"/>
                <w:szCs w:val="18"/>
              </w:rPr>
              <w:t>其他非流动金融 资产</w:t>
            </w:r>
          </w:p>
        </w:tc>
        <w:tc>
          <w:tcPr>
            <w:tcW w:w="1760" w:type="dxa"/>
            <w:vMerge/>
            <w:tcBorders>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4,800,000.00</w:t>
            </w:r>
          </w:p>
        </w:tc>
      </w:tr>
      <w:tr>
        <w:trPr>
          <w:trHeight w:val="967" w:hRule="exact"/>
        </w:trPr>
        <w:tc>
          <w:tcPr>
            <w:tcW w:w="1661" w:type="dxa"/>
            <w:vMerge/>
            <w:tcBorders>
              <w:left w:val="single" w:sz="4" w:space="0" w:color="000000"/>
              <w:bottom w:val="single" w:sz="4" w:space="0" w:color="000000"/>
              <w:right w:val="single" w:sz="4" w:space="0" w:color="000000"/>
            </w:tcBorders>
          </w:tcPr>
          <w:p>
            <w:pPr/>
          </w:p>
        </w:tc>
        <w:tc>
          <w:tcPr>
            <w:tcW w:w="1801"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6" w:lineRule="auto"/>
              <w:ind w:left="7" w:right="161"/>
              <w:jc w:val="left"/>
              <w:rPr>
                <w:rFonts w:ascii="宋体" w:hAnsi="宋体" w:cs="宋体" w:eastAsia="宋体" w:hint="default"/>
                <w:sz w:val="18"/>
                <w:szCs w:val="18"/>
              </w:rPr>
            </w:pPr>
            <w:r>
              <w:rPr>
                <w:rFonts w:ascii="宋体" w:hAnsi="宋体" w:cs="宋体" w:eastAsia="宋体" w:hint="default"/>
                <w:sz w:val="18"/>
                <w:szCs w:val="18"/>
              </w:rPr>
              <w:t>其他权益工具投 资</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22"/>
              <w:jc w:val="both"/>
              <w:rPr>
                <w:rFonts w:ascii="宋体" w:hAnsi="宋体" w:cs="宋体" w:eastAsia="宋体" w:hint="default"/>
                <w:sz w:val="18"/>
                <w:szCs w:val="18"/>
              </w:rPr>
            </w:pPr>
            <w:r>
              <w:rPr>
                <w:rFonts w:ascii="宋体" w:hAnsi="宋体" w:cs="宋体" w:eastAsia="宋体" w:hint="default"/>
                <w:sz w:val="18"/>
                <w:szCs w:val="18"/>
              </w:rPr>
              <w:t>以公允价值计量且其 变动计入其他综合收 益</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p>
            <w:pPr>
              <w:pStyle w:val="TableParagraph"/>
              <w:spacing w:line="240" w:lineRule="auto" w:before="76"/>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含其他流动资产</w:t>
            </w:r>
            <w:r>
              <w:rPr>
                <w:rFonts w:ascii="Times New Roman" w:hAnsi="Times New Roman" w:cs="Times New Roman" w:eastAsia="Times New Roman" w:hint="default"/>
                <w:sz w:val="18"/>
                <w:szCs w:val="18"/>
              </w:rPr>
              <w:t>)</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以成本计量</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债务工具</w:t>
            </w:r>
            <w:r>
              <w:rPr>
                <w:rFonts w:ascii="Times New Roman" w:hAnsi="Times New Roman" w:cs="Times New Roman" w:eastAsia="Times New Roman"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784,000,000.00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22"/>
              <w:jc w:val="left"/>
              <w:rPr>
                <w:rFonts w:ascii="宋体" w:hAnsi="宋体" w:cs="宋体" w:eastAsia="宋体" w:hint="default"/>
                <w:sz w:val="18"/>
                <w:szCs w:val="18"/>
              </w:rPr>
            </w:pPr>
            <w:r>
              <w:rPr>
                <w:rFonts w:ascii="宋体" w:hAnsi="宋体" w:cs="宋体" w:eastAsia="宋体" w:hint="default"/>
                <w:sz w:val="18"/>
                <w:szCs w:val="18"/>
              </w:rPr>
              <w:t>以公允价值计量且其 变动计入当期损益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786,997,376.72</w:t>
            </w:r>
          </w:p>
        </w:tc>
      </w:tr>
      <w:tr>
        <w:trPr>
          <w:trHeight w:val="343"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965"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2"/>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 金融负债</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7" w:right="161"/>
              <w:jc w:val="left"/>
              <w:rPr>
                <w:rFonts w:ascii="宋体" w:hAnsi="宋体" w:cs="宋体" w:eastAsia="宋体" w:hint="default"/>
                <w:sz w:val="18"/>
                <w:szCs w:val="18"/>
              </w:rPr>
            </w:pPr>
            <w:r>
              <w:rPr>
                <w:rFonts w:ascii="宋体" w:hAnsi="宋体" w:cs="宋体" w:eastAsia="宋体" w:hint="default"/>
                <w:sz w:val="18"/>
                <w:szCs w:val="18"/>
              </w:rPr>
              <w:t>以公允价值计量且其 变动计入当期损益</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7" w:right="122"/>
              <w:jc w:val="left"/>
              <w:rPr>
                <w:rFonts w:ascii="宋体" w:hAnsi="宋体" w:cs="宋体" w:eastAsia="宋体" w:hint="default"/>
                <w:sz w:val="18"/>
                <w:szCs w:val="18"/>
              </w:rPr>
            </w:pPr>
            <w:r>
              <w:rPr>
                <w:rFonts w:ascii="宋体" w:hAnsi="宋体" w:cs="宋体" w:eastAsia="宋体" w:hint="default"/>
                <w:sz w:val="18"/>
                <w:szCs w:val="18"/>
              </w:rPr>
              <w:t>以公允价值计量且其 变动计入当期损益</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61"/>
              <w:jc w:val="left"/>
              <w:rPr>
                <w:rFonts w:ascii="宋体" w:hAnsi="宋体" w:cs="宋体" w:eastAsia="宋体" w:hint="default"/>
                <w:sz w:val="18"/>
                <w:szCs w:val="18"/>
              </w:rPr>
            </w:pPr>
            <w:r>
              <w:rPr>
                <w:rFonts w:ascii="宋体" w:hAnsi="宋体" w:cs="宋体" w:eastAsia="宋体" w:hint="default"/>
                <w:sz w:val="18"/>
                <w:szCs w:val="18"/>
              </w:rPr>
              <w:t>以公允价值计量且其 变动计入当期损益</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22"/>
              <w:jc w:val="left"/>
              <w:rPr>
                <w:rFonts w:ascii="宋体" w:hAnsi="宋体" w:cs="宋体" w:eastAsia="宋体" w:hint="default"/>
                <w:sz w:val="18"/>
                <w:szCs w:val="18"/>
              </w:rPr>
            </w:pPr>
            <w:r>
              <w:rPr>
                <w:rFonts w:ascii="宋体" w:hAnsi="宋体" w:cs="宋体" w:eastAsia="宋体" w:hint="default"/>
                <w:sz w:val="18"/>
                <w:szCs w:val="18"/>
              </w:rPr>
              <w:t>以公允价值计量且其 变动计入当期损益</w:t>
            </w: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10"/>
        <w:rPr>
          <w:rFonts w:ascii="Times New Roman" w:hAnsi="Times New Roman" w:cs="Times New Roman" w:eastAsia="Times New Roman" w:hint="default"/>
          <w:sz w:val="26"/>
          <w:szCs w:val="26"/>
        </w:rPr>
      </w:pPr>
    </w:p>
    <w:p>
      <w:pPr>
        <w:pStyle w:val="Heading2"/>
        <w:spacing w:line="240" w:lineRule="auto" w:before="26"/>
        <w:ind w:right="0"/>
        <w:jc w:val="both"/>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4"/>
        <w:rPr>
          <w:rFonts w:ascii="宋体" w:hAnsi="宋体" w:cs="宋体" w:eastAsia="宋体" w:hint="default"/>
          <w:b/>
          <w:bCs/>
          <w:sz w:val="25"/>
          <w:szCs w:val="25"/>
        </w:rPr>
      </w:pPr>
    </w:p>
    <w:p>
      <w:pPr>
        <w:pStyle w:val="BodyText"/>
        <w:spacing w:line="304" w:lineRule="auto"/>
        <w:ind w:right="6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t>公司报告期无重大会计差错更正需追溯重述的情况。</w:t>
      </w:r>
    </w:p>
    <w:p>
      <w:pPr>
        <w:spacing w:line="240" w:lineRule="auto" w:before="5"/>
        <w:rPr>
          <w:rFonts w:ascii="宋体" w:hAnsi="宋体" w:cs="宋体" w:eastAsia="宋体" w:hint="default"/>
          <w:sz w:val="20"/>
          <w:szCs w:val="20"/>
        </w:rPr>
      </w:pPr>
    </w:p>
    <w:p>
      <w:pPr>
        <w:pStyle w:val="Heading2"/>
        <w:spacing w:line="240" w:lineRule="auto"/>
        <w:ind w:right="0"/>
        <w:jc w:val="both"/>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3"/>
        <w:rPr>
          <w:rFonts w:ascii="宋体" w:hAnsi="宋体" w:cs="宋体" w:eastAsia="宋体" w:hint="default"/>
          <w:b/>
          <w:bCs/>
          <w:sz w:val="25"/>
          <w:szCs w:val="25"/>
        </w:rPr>
      </w:pPr>
    </w:p>
    <w:p>
      <w:pPr>
        <w:pStyle w:val="BodyText"/>
        <w:spacing w:line="372" w:lineRule="auto"/>
        <w:ind w:left="554" w:right="1133" w:hanging="4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w:t>
      </w:r>
      <w:r>
        <w:rPr>
          <w:w w:val="99"/>
        </w:rPr>
        <w:t> </w:t>
      </w:r>
      <w:r>
        <w:rPr>
          <w:w w:val="95"/>
        </w:rPr>
        <w:t>本年与上年比较减少合并单位</w:t>
      </w:r>
      <w:r>
        <w:rPr>
          <w:rFonts w:ascii="Times New Roman" w:hAnsi="Times New Roman" w:cs="Times New Roman" w:eastAsia="Times New Roman" w:hint="default"/>
          <w:w w:val="95"/>
        </w:rPr>
        <w:t>4</w:t>
      </w:r>
      <w:r>
        <w:rPr>
          <w:w w:val="95"/>
        </w:rPr>
        <w:t>家，增加</w:t>
      </w:r>
      <w:r>
        <w:rPr>
          <w:rFonts w:ascii="Times New Roman" w:hAnsi="Times New Roman" w:cs="Times New Roman" w:eastAsia="Times New Roman" w:hint="default"/>
          <w:w w:val="95"/>
        </w:rPr>
        <w:t>2</w:t>
      </w:r>
      <w:r>
        <w:rPr>
          <w:w w:val="95"/>
        </w:rPr>
        <w:t>家。报告期内因注销减少霍尔果斯滨河创新软件技术有限公司、</w:t>
      </w:r>
      <w:r>
        <w:rPr/>
      </w:r>
    </w:p>
    <w:p>
      <w:pPr>
        <w:pStyle w:val="BodyText"/>
        <w:spacing w:line="429" w:lineRule="auto" w:before="69"/>
        <w:ind w:right="1177"/>
        <w:jc w:val="both"/>
      </w:pPr>
      <w:r>
        <w:rPr>
          <w:w w:val="95"/>
        </w:rPr>
        <w:t>霍尔果斯金财科技服务有限公司、上海中科金财资产管理中心（有限合伙）；报告期内因股权被动稀释，核算</w:t>
      </w:r>
      <w:r>
        <w:rPr>
          <w:spacing w:val="91"/>
          <w:w w:val="95"/>
        </w:rPr>
        <w:t> </w:t>
      </w:r>
      <w:r>
        <w:rPr>
          <w:spacing w:val="91"/>
          <w:w w:val="95"/>
        </w:rPr>
      </w:r>
      <w:r>
        <w:rPr>
          <w:w w:val="95"/>
        </w:rPr>
        <w:t>方法由长期股权投资成本法改为权益法减少大连金融资产交易所有限公司。报告期内因投资设立增加北京中科</w:t>
      </w:r>
      <w:r>
        <w:rPr>
          <w:spacing w:val="91"/>
          <w:w w:val="95"/>
        </w:rPr>
        <w:t> </w:t>
      </w:r>
      <w:r>
        <w:rPr>
          <w:spacing w:val="91"/>
          <w:w w:val="95"/>
        </w:rPr>
      </w:r>
      <w:r>
        <w:rPr/>
        <w:t>金财智能技术有限公司，因非同一控制下企业合并增加北京志东方科技有限责任公司。</w:t>
      </w:r>
    </w:p>
    <w:p>
      <w:pPr>
        <w:pStyle w:val="BodyText"/>
        <w:spacing w:line="240" w:lineRule="auto" w:before="48"/>
        <w:ind w:left="554" w:right="1133"/>
        <w:jc w:val="left"/>
      </w:pPr>
      <w:r>
        <w:rPr/>
        <w:t>详见本报告“第十二节 财务报告</w:t>
      </w:r>
      <w:r>
        <w:rPr>
          <w:spacing w:val="-46"/>
        </w:rPr>
        <w:t> </w:t>
      </w:r>
      <w:r>
        <w:rPr/>
        <w:t>八、合并范围的变更”。</w:t>
      </w:r>
    </w:p>
    <w:p>
      <w:pPr>
        <w:spacing w:line="240" w:lineRule="auto" w:before="0"/>
        <w:rPr>
          <w:rFonts w:ascii="宋体" w:hAnsi="宋体" w:cs="宋体" w:eastAsia="宋体" w:hint="default"/>
          <w:sz w:val="20"/>
          <w:szCs w:val="20"/>
        </w:rPr>
      </w:pPr>
    </w:p>
    <w:p>
      <w:pPr>
        <w:pStyle w:val="Heading2"/>
        <w:spacing w:line="240" w:lineRule="auto" w:before="135"/>
        <w:ind w:right="0"/>
        <w:jc w:val="both"/>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both"/>
      </w:pPr>
      <w:r>
        <w:rPr/>
        <w:t>现聘任的会计师事务所</w:t>
      </w:r>
    </w:p>
    <w:p>
      <w:pPr>
        <w:spacing w:line="240" w:lineRule="auto" w:before="7"/>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w:t>
            </w:r>
          </w:p>
        </w:tc>
      </w:tr>
      <w:tr>
        <w:trPr>
          <w:trHeight w:val="404"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张金华、郭晓清</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r>
    </w:tbl>
    <w:p>
      <w:pPr>
        <w:pStyle w:val="BodyText"/>
        <w:spacing w:line="240" w:lineRule="auto" w:before="33"/>
        <w:ind w:right="1133"/>
        <w:jc w:val="left"/>
      </w:pPr>
      <w:r>
        <w:rPr/>
        <w:t>当期是否改聘会计师事务所</w:t>
      </w:r>
    </w:p>
    <w:p>
      <w:pPr>
        <w:pStyle w:val="BodyText"/>
        <w:spacing w:line="304" w:lineRule="auto" w:before="91"/>
        <w:ind w:right="57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r>
        <w:rPr>
          <w:w w:val="99"/>
        </w:rPr>
        <w:t> </w:t>
      </w:r>
      <w:r>
        <w:rPr/>
        <w:t>聘请内部控制审计会计师事务所、财务顾问或保荐人情况</w:t>
      </w:r>
    </w:p>
    <w:p>
      <w:pPr>
        <w:pStyle w:val="BodyText"/>
        <w:spacing w:line="240" w:lineRule="auto" w:before="3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4"/>
        <w:rPr>
          <w:rFonts w:ascii="宋体" w:hAnsi="宋体" w:cs="宋体" w:eastAsia="宋体" w:hint="default"/>
          <w:sz w:val="23"/>
          <w:szCs w:val="23"/>
        </w:rPr>
      </w:pPr>
    </w:p>
    <w:p>
      <w:pPr>
        <w:pStyle w:val="Heading2"/>
        <w:spacing w:line="240" w:lineRule="auto"/>
        <w:ind w:right="1133"/>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5"/>
        <w:rPr>
          <w:rFonts w:ascii="宋体" w:hAnsi="宋体" w:cs="宋体" w:eastAsia="宋体" w:hint="default"/>
          <w:sz w:val="23"/>
          <w:szCs w:val="23"/>
        </w:rPr>
      </w:pPr>
    </w:p>
    <w:p>
      <w:pPr>
        <w:pStyle w:val="Heading2"/>
        <w:spacing w:line="240" w:lineRule="auto"/>
        <w:ind w:right="1133"/>
        <w:jc w:val="left"/>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3"/>
        <w:rPr>
          <w:rFonts w:ascii="宋体" w:hAnsi="宋体" w:cs="宋体" w:eastAsia="宋体" w:hint="default"/>
          <w:b/>
          <w:bCs/>
          <w:sz w:val="25"/>
          <w:szCs w:val="25"/>
        </w:rPr>
      </w:pPr>
    </w:p>
    <w:p>
      <w:pPr>
        <w:pStyle w:val="BodyText"/>
        <w:spacing w:line="304" w:lineRule="auto"/>
        <w:ind w:right="73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t>公司报告期未发生破产重整相关事项。</w:t>
      </w:r>
    </w:p>
    <w:p>
      <w:pPr>
        <w:spacing w:line="240" w:lineRule="auto" w:before="2"/>
        <w:rPr>
          <w:rFonts w:ascii="宋体" w:hAnsi="宋体" w:cs="宋体" w:eastAsia="宋体" w:hint="default"/>
          <w:sz w:val="20"/>
          <w:szCs w:val="20"/>
        </w:rPr>
      </w:pPr>
    </w:p>
    <w:p>
      <w:pPr>
        <w:pStyle w:val="Heading2"/>
        <w:spacing w:line="240" w:lineRule="auto"/>
        <w:ind w:right="1133"/>
        <w:jc w:val="left"/>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t>不适用</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60"/>
        <w:gridCol w:w="1070"/>
        <w:gridCol w:w="1249"/>
        <w:gridCol w:w="941"/>
        <w:gridCol w:w="1373"/>
        <w:gridCol w:w="1248"/>
        <w:gridCol w:w="1064"/>
        <w:gridCol w:w="1066"/>
      </w:tblGrid>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686" w:right="83"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50" w:right="19" w:hanging="327"/>
              <w:jc w:val="left"/>
              <w:rPr>
                <w:rFonts w:ascii="宋体" w:hAnsi="宋体" w:cs="宋体" w:eastAsia="宋体" w:hint="default"/>
                <w:sz w:val="18"/>
                <w:szCs w:val="18"/>
              </w:rPr>
            </w:pPr>
            <w:r>
              <w:rPr>
                <w:rFonts w:ascii="宋体" w:hAnsi="宋体" w:cs="宋体" w:eastAsia="宋体" w:hint="default"/>
                <w:spacing w:val="-11"/>
                <w:sz w:val="18"/>
                <w:szCs w:val="18"/>
              </w:rPr>
              <w:t>涉案金额（万</w:t>
            </w:r>
            <w:r>
              <w:rPr>
                <w:rFonts w:ascii="宋体" w:hAnsi="宋体" w:cs="宋体" w:eastAsia="宋体" w:hint="default"/>
                <w:sz w:val="18"/>
                <w:szCs w:val="18"/>
              </w:rPr>
              <w:t> 元）</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9" w:right="77"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85" w:right="43"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2" w:right="79" w:hanging="152"/>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70" w:right="107"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公司已经结案的诉 </w:t>
            </w:r>
            <w:r>
              <w:rPr>
                <w:rFonts w:ascii="宋体" w:hAnsi="宋体" w:cs="宋体" w:eastAsia="宋体" w:hint="default"/>
                <w:spacing w:val="-9"/>
                <w:sz w:val="18"/>
                <w:szCs w:val="18"/>
              </w:rPr>
              <w:t>讼、仲裁案件共计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起</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205.54</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执行完毕</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执行完毕</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公司正在审理中的 诉讼、仲裁案件共 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起</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109.82</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85"/>
              <w:jc w:val="left"/>
              <w:rPr>
                <w:rFonts w:ascii="宋体" w:hAnsi="宋体" w:cs="宋体" w:eastAsia="宋体" w:hint="default"/>
                <w:sz w:val="18"/>
                <w:szCs w:val="18"/>
              </w:rPr>
            </w:pPr>
            <w:r>
              <w:rPr>
                <w:rFonts w:ascii="宋体" w:hAnsi="宋体" w:cs="宋体" w:eastAsia="宋体" w:hint="default"/>
                <w:sz w:val="18"/>
                <w:szCs w:val="18"/>
              </w:rPr>
              <w:t>正在进行 中</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十三、处罚及整改情况" w:id="78"/>
      <w:bookmarkEnd w:id="78"/>
      <w:r>
        <w:rPr>
          <w:b w:val="0"/>
          <w:bCs w:val="0"/>
        </w:rPr>
      </w:r>
      <w:r>
        <w:rPr/>
        <w:t>十三、处罚及整改情况</w:t>
      </w:r>
      <w:r>
        <w:rPr>
          <w:b w:val="0"/>
          <w:bCs w:val="0"/>
        </w:rPr>
      </w:r>
    </w:p>
    <w:p>
      <w:pPr>
        <w:spacing w:line="240" w:lineRule="auto" w:before="1"/>
        <w:rPr>
          <w:rFonts w:ascii="宋体" w:hAnsi="宋体" w:cs="宋体" w:eastAsia="宋体" w:hint="default"/>
          <w:b/>
          <w:bCs/>
          <w:sz w:val="25"/>
          <w:szCs w:val="25"/>
        </w:rPr>
      </w:pPr>
    </w:p>
    <w:p>
      <w:pPr>
        <w:pStyle w:val="BodyText"/>
        <w:spacing w:line="304" w:lineRule="auto"/>
        <w:ind w:right="75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t>公司报告期不存在处罚及整改情况。</w:t>
      </w:r>
    </w:p>
    <w:p>
      <w:pPr>
        <w:spacing w:line="240" w:lineRule="auto" w:before="5"/>
        <w:rPr>
          <w:rFonts w:ascii="宋体" w:hAnsi="宋体" w:cs="宋体" w:eastAsia="宋体" w:hint="default"/>
          <w:sz w:val="20"/>
          <w:szCs w:val="20"/>
        </w:rPr>
      </w:pPr>
    </w:p>
    <w:p>
      <w:pPr>
        <w:pStyle w:val="Heading2"/>
        <w:spacing w:line="240" w:lineRule="auto"/>
        <w:ind w:right="1133"/>
        <w:jc w:val="left"/>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1"/>
        <w:rPr>
          <w:rFonts w:ascii="宋体" w:hAnsi="宋体" w:cs="宋体" w:eastAsia="宋体" w:hint="default"/>
          <w:b/>
          <w:bCs/>
          <w:sz w:val="25"/>
          <w:szCs w:val="25"/>
        </w:rPr>
      </w:pPr>
    </w:p>
    <w:p>
      <w:pPr>
        <w:pStyle w:val="BodyText"/>
        <w:spacing w:line="374" w:lineRule="auto"/>
        <w:ind w:left="554" w:right="1133" w:hanging="4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w:t>
      </w:r>
      <w:r>
        <w:rPr>
          <w:w w:val="99"/>
        </w:rPr>
        <w:t> </w:t>
      </w:r>
      <w:r>
        <w:rPr/>
        <w:t>报告期内，公司及控股股东、实际控制人依法诚信经营，信用状况良好，不存在未履行法院生效判决、所</w:t>
      </w:r>
    </w:p>
    <w:p>
      <w:pPr>
        <w:pStyle w:val="BodyText"/>
        <w:spacing w:line="240" w:lineRule="auto" w:before="94"/>
        <w:ind w:right="1133"/>
        <w:jc w:val="left"/>
      </w:pPr>
      <w:r>
        <w:rPr/>
        <w:t>负数额较大的债务到期未清偿等情况。</w:t>
      </w:r>
    </w:p>
    <w:p>
      <w:pPr>
        <w:spacing w:line="240" w:lineRule="auto" w:before="0"/>
        <w:rPr>
          <w:rFonts w:ascii="宋体" w:hAnsi="宋体" w:cs="宋体" w:eastAsia="宋体" w:hint="default"/>
          <w:sz w:val="20"/>
          <w:szCs w:val="20"/>
        </w:rPr>
      </w:pPr>
    </w:p>
    <w:p>
      <w:pPr>
        <w:pStyle w:val="Heading2"/>
        <w:spacing w:line="240" w:lineRule="auto" w:before="135"/>
        <w:ind w:right="1133"/>
        <w:jc w:val="left"/>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4"/>
        <w:rPr>
          <w:rFonts w:ascii="宋体" w:hAnsi="宋体" w:cs="宋体" w:eastAsia="宋体" w:hint="default"/>
          <w:b/>
          <w:bCs/>
          <w:sz w:val="25"/>
          <w:szCs w:val="25"/>
        </w:rPr>
      </w:pPr>
    </w:p>
    <w:p>
      <w:pPr>
        <w:pStyle w:val="BodyText"/>
        <w:spacing w:line="304" w:lineRule="auto"/>
        <w:ind w:right="37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w w:val="95"/>
        </w:rPr>
        <w:t>公司报告期无股权激励计划、员工持股计划或其他员工激励措施及其实施情况。</w:t>
      </w:r>
      <w:r>
        <w:rPr/>
      </w:r>
    </w:p>
    <w:p>
      <w:pPr>
        <w:spacing w:line="240" w:lineRule="auto" w:before="5"/>
        <w:rPr>
          <w:rFonts w:ascii="宋体" w:hAnsi="宋体" w:cs="宋体" w:eastAsia="宋体" w:hint="default"/>
          <w:sz w:val="20"/>
          <w:szCs w:val="20"/>
        </w:rPr>
      </w:pPr>
    </w:p>
    <w:p>
      <w:pPr>
        <w:pStyle w:val="Heading2"/>
        <w:spacing w:line="240" w:lineRule="auto"/>
        <w:ind w:right="1133"/>
        <w:jc w:val="left"/>
        <w:rPr>
          <w:b w:val="0"/>
          <w:bCs w:val="0"/>
        </w:rPr>
      </w:pPr>
      <w:bookmarkStart w:name="十六、重大关联交易" w:id="81"/>
      <w:bookmarkEnd w:id="81"/>
      <w:r>
        <w:rPr>
          <w:b w:val="0"/>
          <w:bCs w:val="0"/>
        </w:rPr>
      </w: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与日常经营相关的关联交易" w:id="82"/>
      <w:bookmarkEnd w:id="8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12"/>
        <w:rPr>
          <w:rFonts w:ascii="宋体" w:hAnsi="宋体" w:cs="宋体" w:eastAsia="宋体" w:hint="default"/>
          <w:b/>
          <w:bCs/>
          <w:sz w:val="24"/>
          <w:szCs w:val="24"/>
        </w:rPr>
      </w:pPr>
    </w:p>
    <w:p>
      <w:pPr>
        <w:pStyle w:val="BodyText"/>
        <w:spacing w:line="304" w:lineRule="auto"/>
        <w:ind w:right="65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t>公司报告期未发生与日常经营相关的关联交易。</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2"/>
        <w:rPr>
          <w:rFonts w:ascii="宋体" w:hAnsi="宋体" w:cs="宋体" w:eastAsia="宋体" w:hint="default"/>
          <w:b/>
          <w:bCs/>
          <w:sz w:val="25"/>
          <w:szCs w:val="25"/>
        </w:rPr>
      </w:pPr>
    </w:p>
    <w:p>
      <w:pPr>
        <w:pStyle w:val="BodyText"/>
        <w:spacing w:line="304" w:lineRule="auto"/>
        <w:ind w:right="59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t>公司报告期未发生资产或股权收购、出售的关联交易。</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bookmarkStart w:name="3、共同对外投资的关联交易" w:id="84"/>
      <w:bookmarkEnd w:id="8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1"/>
        <w:rPr>
          <w:rFonts w:ascii="宋体" w:hAnsi="宋体" w:cs="宋体" w:eastAsia="宋体" w:hint="default"/>
          <w:b/>
          <w:bCs/>
          <w:sz w:val="25"/>
          <w:szCs w:val="25"/>
        </w:rPr>
      </w:pPr>
    </w:p>
    <w:p>
      <w:pPr>
        <w:pStyle w:val="BodyText"/>
        <w:spacing w:line="304" w:lineRule="auto"/>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t>公司报告期未发生共同对外投资的关联交易。</w:t>
      </w:r>
    </w:p>
    <w:p>
      <w:pPr>
        <w:spacing w:after="0" w:line="304"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1"/>
        <w:rPr>
          <w:rFonts w:ascii="宋体" w:hAnsi="宋体" w:cs="宋体" w:eastAsia="宋体" w:hint="default"/>
          <w:b/>
          <w:bCs/>
          <w:sz w:val="25"/>
          <w:szCs w:val="25"/>
        </w:rPr>
      </w:pPr>
    </w:p>
    <w:p>
      <w:pPr>
        <w:pStyle w:val="BodyText"/>
        <w:spacing w:line="304" w:lineRule="auto"/>
        <w:ind w:right="73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t>公司报告期不存在关联债权债务往来。</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bookmarkStart w:name="5、其他重大关联交易" w:id="86"/>
      <w:bookmarkEnd w:id="8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1"/>
        <w:rPr>
          <w:rFonts w:ascii="宋体" w:hAnsi="宋体" w:cs="宋体" w:eastAsia="宋体" w:hint="default"/>
          <w:b/>
          <w:bCs/>
          <w:sz w:val="25"/>
          <w:szCs w:val="25"/>
        </w:rPr>
      </w:pPr>
    </w:p>
    <w:p>
      <w:pPr>
        <w:pStyle w:val="BodyText"/>
        <w:spacing w:line="304" w:lineRule="auto"/>
        <w:ind w:right="73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t>公司报告期无其他重大关联交易。</w:t>
      </w:r>
    </w:p>
    <w:p>
      <w:pPr>
        <w:spacing w:line="240" w:lineRule="auto" w:before="5"/>
        <w:rPr>
          <w:rFonts w:ascii="宋体" w:hAnsi="宋体" w:cs="宋体" w:eastAsia="宋体" w:hint="default"/>
          <w:sz w:val="20"/>
          <w:szCs w:val="20"/>
        </w:rPr>
      </w:pPr>
    </w:p>
    <w:p>
      <w:pPr>
        <w:pStyle w:val="Heading2"/>
        <w:spacing w:line="240" w:lineRule="auto"/>
        <w:ind w:right="1133"/>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1"/>
        <w:rPr>
          <w:rFonts w:ascii="宋体" w:hAnsi="宋体" w:cs="宋体" w:eastAsia="宋体" w:hint="default"/>
          <w:b/>
          <w:bCs/>
          <w:sz w:val="25"/>
          <w:szCs w:val="25"/>
        </w:rPr>
      </w:pPr>
    </w:p>
    <w:p>
      <w:pPr>
        <w:pStyle w:val="BodyText"/>
        <w:spacing w:line="304" w:lineRule="auto"/>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99"/>
        </w:rPr>
        <w:t> </w:t>
      </w:r>
      <w:r>
        <w:rPr/>
        <w:t>公司报告期不存在托管情况。</w:t>
      </w:r>
    </w:p>
    <w:p>
      <w:pPr>
        <w:spacing w:line="240" w:lineRule="auto" w:before="2"/>
        <w:rPr>
          <w:rFonts w:ascii="宋体" w:hAnsi="宋体" w:cs="宋体" w:eastAsia="宋体" w:hint="default"/>
          <w:sz w:val="22"/>
          <w:szCs w:val="22"/>
        </w:rPr>
      </w:pPr>
    </w:p>
    <w:p>
      <w:pPr>
        <w:pStyle w:val="Heading3"/>
        <w:spacing w:line="240" w:lineRule="auto"/>
        <w:ind w:right="1133"/>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1"/>
        <w:rPr>
          <w:rFonts w:ascii="宋体" w:hAnsi="宋体" w:cs="宋体" w:eastAsia="宋体" w:hint="default"/>
          <w:b/>
          <w:bCs/>
          <w:sz w:val="25"/>
          <w:szCs w:val="25"/>
        </w:rPr>
      </w:pPr>
    </w:p>
    <w:p>
      <w:pPr>
        <w:pStyle w:val="BodyText"/>
        <w:spacing w:line="304" w:lineRule="auto"/>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99"/>
        </w:rPr>
        <w:t> </w:t>
      </w:r>
      <w:r>
        <w:rPr/>
        <w:t>公司报告期不存在承包情况。</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12"/>
        <w:rPr>
          <w:rFonts w:ascii="宋体" w:hAnsi="宋体" w:cs="宋体" w:eastAsia="宋体" w:hint="default"/>
          <w:b/>
          <w:bCs/>
          <w:sz w:val="24"/>
          <w:szCs w:val="24"/>
        </w:rPr>
      </w:pPr>
    </w:p>
    <w:p>
      <w:pPr>
        <w:pStyle w:val="BodyText"/>
        <w:spacing w:line="304" w:lineRule="auto"/>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99"/>
        </w:rPr>
        <w:t> </w:t>
      </w:r>
      <w:r>
        <w:rPr/>
        <w:t>公司报告期不存在租赁情况。</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1"/>
        <w:rPr>
          <w:rFonts w:ascii="宋体" w:hAnsi="宋体" w:cs="宋体" w:eastAsia="宋体" w:hint="default"/>
          <w:b/>
          <w:bCs/>
          <w:sz w:val="25"/>
          <w:szCs w:val="25"/>
        </w:rPr>
      </w:pPr>
    </w:p>
    <w:p>
      <w:pPr>
        <w:pStyle w:val="BodyText"/>
        <w:spacing w:line="304" w:lineRule="auto"/>
        <w:ind w:right="73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t>公司报告期不存在担保情况。</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委托理财情况" w:id="94"/>
      <w:bookmarkEnd w:id="9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304" w:lineRule="auto" w:before="3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w w:val="95"/>
        </w:rPr>
        <w:t>报告期内委托理财概况</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150" w:space="6591"/>
            <w:col w:w="2189"/>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1"/>
        <w:gridCol w:w="1846"/>
      </w:tblGrid>
      <w:tr>
        <w:trPr>
          <w:trHeight w:val="403"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116,630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1"/>
        <w:gridCol w:w="1846"/>
      </w:tblGrid>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信托理财产品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13,604.71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146,234.71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33"/>
        <w:ind w:right="0"/>
        <w:jc w:val="left"/>
      </w:pPr>
      <w:r>
        <w:rPr>
          <w:w w:val="95"/>
        </w:rPr>
        <w:t>单项金额重大或安全性较低、流动性较差、不保本的高风险委托理财具体情况</w:t>
      </w:r>
      <w:r>
        <w:rPr/>
      </w:r>
    </w:p>
    <w:p>
      <w:pPr>
        <w:pStyle w:val="BodyText"/>
        <w:spacing w:line="240" w:lineRule="auto" w:before="8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948" w:space="1792"/>
            <w:col w:w="219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2276" w:hRule="exact"/>
        </w:trPr>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99"/>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9" w:lineRule="auto" w:before="19"/>
              <w:ind w:left="100" w:right="99"/>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0" w:right="108"/>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9" w:lineRule="auto" w:before="19"/>
              <w:ind w:left="24" w:right="21"/>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3"/>
                <w:sz w:val="18"/>
                <w:szCs w:val="18"/>
              </w:rPr>
              <w:t>人）类</w:t>
            </w:r>
            <w:r>
              <w:rPr>
                <w:rFonts w:ascii="宋体" w:hAnsi="宋体" w:cs="宋体" w:eastAsia="宋体" w:hint="default"/>
                <w:sz w:val="18"/>
                <w:szCs w:val="18"/>
              </w:rPr>
              <w:t> 型</w:t>
            </w:r>
          </w:p>
        </w:tc>
        <w:tc>
          <w:tcPr>
            <w:tcW w:w="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08"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6" w:right="94"/>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5" w:right="91"/>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5" w:right="95"/>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5"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95" w:right="9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96" w:right="91"/>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5"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9" w:lineRule="auto" w:before="19"/>
              <w:ind w:left="184" w:right="95" w:hanging="89"/>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96"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5" w:right="95"/>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87"/>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6" w:lineRule="auto" w:before="19"/>
              <w:ind w:left="88" w:right="87"/>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88" w:right="86"/>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88"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19" w:hanging="3"/>
              <w:jc w:val="center"/>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r>
        <w:trPr>
          <w:trHeight w:val="258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76"/>
              <w:jc w:val="both"/>
              <w:rPr>
                <w:rFonts w:ascii="宋体" w:hAnsi="宋体" w:cs="宋体" w:eastAsia="宋体" w:hint="default"/>
                <w:sz w:val="18"/>
                <w:szCs w:val="18"/>
              </w:rPr>
            </w:pPr>
            <w:r>
              <w:rPr>
                <w:rFonts w:ascii="宋体" w:hAnsi="宋体" w:cs="宋体" w:eastAsia="宋体" w:hint="default"/>
                <w:sz w:val="18"/>
                <w:szCs w:val="18"/>
              </w:rPr>
              <w:t>厦门 国际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 w:right="194"/>
              <w:jc w:val="left"/>
              <w:rPr>
                <w:rFonts w:ascii="宋体" w:hAnsi="宋体" w:cs="宋体" w:eastAsia="宋体" w:hint="default"/>
                <w:sz w:val="18"/>
                <w:szCs w:val="18"/>
              </w:rPr>
            </w:pPr>
            <w:r>
              <w:rPr>
                <w:rFonts w:ascii="宋体" w:hAnsi="宋体" w:cs="宋体" w:eastAsia="宋体" w:hint="default"/>
                <w:sz w:val="18"/>
                <w:szCs w:val="18"/>
              </w:rPr>
              <w:t>商业 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15,000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银行 理财</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3.35%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42"/>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 资讯 网 </w:t>
            </w:r>
            <w:r>
              <w:rPr>
                <w:rFonts w:ascii="Times New Roman" w:hAnsi="Times New Roman" w:cs="Times New Roman" w:eastAsia="Times New Roman" w:hint="default"/>
                <w:sz w:val="18"/>
                <w:szCs w:val="18"/>
              </w:rPr>
              <w:t>http:// </w:t>
            </w:r>
            <w:hyperlink r:id="rId12">
              <w:r>
                <w:rPr>
                  <w:rFonts w:ascii="Times New Roman" w:hAnsi="Times New Roman" w:cs="Times New Roman" w:eastAsia="Times New Roman" w:hint="default"/>
                  <w:spacing w:val="-4"/>
                  <w:sz w:val="18"/>
                  <w:szCs w:val="18"/>
                </w:rPr>
                <w:t>www.</w:t>
              </w:r>
            </w:hyperlink>
            <w:r>
              <w:rPr>
                <w:rFonts w:ascii="Times New Roman" w:hAnsi="Times New Roman" w:cs="Times New Roman" w:eastAsia="Times New Roman" w:hint="default"/>
                <w:sz w:val="18"/>
                <w:szCs w:val="18"/>
              </w:rPr>
              <w:t> cninfo</w:t>
            </w:r>
          </w:p>
          <w:p>
            <w:pPr>
              <w:pStyle w:val="TableParagraph"/>
              <w:spacing w:line="362" w:lineRule="auto" w:before="81"/>
              <w:ind w:left="23" w:right="24"/>
              <w:jc w:val="left"/>
              <w:rPr>
                <w:rFonts w:ascii="Times New Roman" w:hAnsi="Times New Roman" w:cs="Times New Roman" w:eastAsia="Times New Roman" w:hint="default"/>
                <w:sz w:val="18"/>
                <w:szCs w:val="18"/>
              </w:rPr>
            </w:pPr>
            <w:r>
              <w:rPr>
                <w:rFonts w:ascii="Times New Roman"/>
                <w:sz w:val="18"/>
              </w:rPr>
              <w:t>.com.c n</w:t>
            </w:r>
          </w:p>
        </w:tc>
      </w:tr>
      <w:tr>
        <w:trPr>
          <w:trHeight w:val="404" w:hRule="exact"/>
        </w:trPr>
        <w:tc>
          <w:tcPr>
            <w:tcW w:w="17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15,000</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33"/>
        <w:ind w:right="1133"/>
        <w:jc w:val="left"/>
      </w:pPr>
      <w:r>
        <w:rPr/>
        <w:t>委托理财出现预期无法收回本金或存在其他可能导致减值的情形</w:t>
      </w:r>
    </w:p>
    <w:p>
      <w:pPr>
        <w:pStyle w:val="BodyText"/>
        <w:spacing w:line="240" w:lineRule="auto" w:before="88"/>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4"/>
        <w:rPr>
          <w:rFonts w:ascii="宋体" w:hAnsi="宋体" w:cs="宋体" w:eastAsia="宋体" w:hint="default"/>
          <w:sz w:val="25"/>
          <w:szCs w:val="25"/>
        </w:rPr>
      </w:pPr>
    </w:p>
    <w:p>
      <w:pPr>
        <w:pStyle w:val="Heading3"/>
        <w:spacing w:line="240" w:lineRule="auto"/>
        <w:ind w:right="1133"/>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1"/>
        <w:rPr>
          <w:rFonts w:ascii="宋体" w:hAnsi="宋体" w:cs="宋体" w:eastAsia="宋体" w:hint="default"/>
          <w:b/>
          <w:bCs/>
          <w:sz w:val="25"/>
          <w:szCs w:val="25"/>
        </w:rPr>
      </w:pPr>
    </w:p>
    <w:p>
      <w:pPr>
        <w:pStyle w:val="BodyText"/>
        <w:spacing w:line="304" w:lineRule="auto"/>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99"/>
        </w:rPr>
        <w:t> </w:t>
      </w:r>
      <w:r>
        <w:rPr/>
        <w:t>公司报告期不存在委托贷款。</w:t>
      </w:r>
    </w:p>
    <w:p>
      <w:pPr>
        <w:spacing w:line="240" w:lineRule="auto" w:before="2"/>
        <w:rPr>
          <w:rFonts w:ascii="宋体" w:hAnsi="宋体" w:cs="宋体" w:eastAsia="宋体" w:hint="default"/>
          <w:sz w:val="22"/>
          <w:szCs w:val="22"/>
        </w:rPr>
      </w:pPr>
    </w:p>
    <w:p>
      <w:pPr>
        <w:pStyle w:val="Heading3"/>
        <w:spacing w:line="240" w:lineRule="auto"/>
        <w:ind w:right="1133"/>
        <w:jc w:val="left"/>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1"/>
        <w:rPr>
          <w:rFonts w:ascii="宋体" w:hAnsi="宋体" w:cs="宋体" w:eastAsia="宋体" w:hint="default"/>
          <w:b/>
          <w:bCs/>
          <w:sz w:val="25"/>
          <w:szCs w:val="25"/>
        </w:rPr>
      </w:pPr>
    </w:p>
    <w:p>
      <w:pPr>
        <w:pStyle w:val="BodyText"/>
        <w:spacing w:line="307" w:lineRule="auto"/>
        <w:ind w:right="7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t>公司报告期不存在其他重大合同。</w:t>
      </w:r>
    </w:p>
    <w:p>
      <w:pPr>
        <w:spacing w:line="240" w:lineRule="auto" w:before="0"/>
        <w:rPr>
          <w:rFonts w:ascii="宋体" w:hAnsi="宋体" w:cs="宋体" w:eastAsia="宋体" w:hint="default"/>
          <w:sz w:val="20"/>
          <w:szCs w:val="20"/>
        </w:rPr>
      </w:pPr>
    </w:p>
    <w:p>
      <w:pPr>
        <w:pStyle w:val="Heading2"/>
        <w:spacing w:line="240" w:lineRule="auto"/>
        <w:ind w:right="1133"/>
        <w:jc w:val="left"/>
        <w:rPr>
          <w:b w:val="0"/>
          <w:bCs w:val="0"/>
        </w:rPr>
      </w:pPr>
      <w:bookmarkStart w:name="十八、社会责任情况" w:id="97"/>
      <w:bookmarkEnd w:id="97"/>
      <w:r>
        <w:rPr>
          <w:b w:val="0"/>
          <w:bCs w:val="0"/>
        </w:rPr>
      </w:r>
      <w:r>
        <w:rPr/>
        <w:t>十八、社会责任情况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履行社会责任情况" w:id="98"/>
      <w:bookmarkEnd w:id="98"/>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31"/>
          <w:szCs w:val="31"/>
        </w:rPr>
      </w:pPr>
    </w:p>
    <w:p>
      <w:pPr>
        <w:pStyle w:val="BodyText"/>
        <w:spacing w:line="240" w:lineRule="auto"/>
        <w:ind w:left="554" w:right="1133"/>
        <w:jc w:val="left"/>
      </w:pPr>
      <w:r>
        <w:rPr/>
        <w:t>公司在努力做好各项业务的同时，积极主动履行社会责任，具体如下：</w:t>
      </w:r>
    </w:p>
    <w:p>
      <w:pPr>
        <w:spacing w:line="240" w:lineRule="auto" w:before="10"/>
        <w:rPr>
          <w:rFonts w:ascii="宋体" w:hAnsi="宋体" w:cs="宋体" w:eastAsia="宋体" w:hint="default"/>
          <w:sz w:val="15"/>
          <w:szCs w:val="15"/>
        </w:rPr>
      </w:pPr>
    </w:p>
    <w:p>
      <w:pPr>
        <w:pStyle w:val="BodyText"/>
        <w:spacing w:line="240" w:lineRule="auto"/>
        <w:ind w:left="554" w:right="1133"/>
        <w:jc w:val="left"/>
      </w:pPr>
      <w:r>
        <w:rPr/>
        <w:t>（一）股东与债权人的权益保护</w:t>
      </w:r>
    </w:p>
    <w:p>
      <w:pPr>
        <w:spacing w:after="0" w:line="240"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29" w:lineRule="auto"/>
        <w:ind w:right="1136" w:firstLine="401"/>
        <w:jc w:val="both"/>
      </w:pPr>
      <w:r>
        <w:rPr/>
        <w:t>公司严格按照《公司法》、《证券法》、《上市公司治理准则》等法律法规要求，不断完善公司治理，制</w:t>
      </w:r>
      <w:r>
        <w:rPr>
          <w:w w:val="99"/>
        </w:rPr>
        <w:t> </w:t>
      </w:r>
      <w:r>
        <w:rPr/>
        <w:t>定了《股东大会议事规则》、《董事会议事规则》、《监事会议事规则》、《对外投资管理制度》、《关联交</w:t>
      </w:r>
      <w:r>
        <w:rPr>
          <w:spacing w:val="-77"/>
        </w:rPr>
        <w:t> </w:t>
      </w:r>
      <w:r>
        <w:rPr>
          <w:spacing w:val="-77"/>
        </w:rPr>
      </w:r>
      <w:r>
        <w:rPr/>
        <w:t>易决策制度》等制度，建立了以《公司章程》为基础的内控体系，以股东大会、董事会、监事会及管理层为主</w:t>
      </w:r>
      <w:r>
        <w:rPr>
          <w:spacing w:val="-72"/>
        </w:rPr>
        <w:t> </w:t>
      </w:r>
      <w:r>
        <w:rPr>
          <w:spacing w:val="-72"/>
        </w:rPr>
      </w:r>
      <w:r>
        <w:rPr/>
        <w:t>的决策与经营体系，从制度上切实保障全体股东及债权人的权益。</w:t>
      </w:r>
    </w:p>
    <w:p>
      <w:pPr>
        <w:pStyle w:val="BodyText"/>
        <w:spacing w:line="429" w:lineRule="auto" w:before="48"/>
        <w:ind w:right="1141" w:firstLine="401"/>
        <w:jc w:val="both"/>
      </w:pPr>
      <w:r>
        <w:rPr/>
        <w:t>公司自成立以来，一直努力确保公司发展的持续性、成长性和竞争力，依法经营，稳步推进公司业务，逐</w:t>
      </w:r>
      <w:r>
        <w:rPr>
          <w:w w:val="99"/>
        </w:rPr>
        <w:t> </w:t>
      </w:r>
      <w:r>
        <w:rPr/>
        <w:t>步巩固和深化在金融机构、企业、政府等行业客户中的市场领先地位，本着诚信勤勉、尽职守责的原则，努力</w:t>
      </w:r>
      <w:r>
        <w:rPr>
          <w:spacing w:val="-77"/>
        </w:rPr>
        <w:t> </w:t>
      </w:r>
      <w:r>
        <w:rPr>
          <w:spacing w:val="-77"/>
        </w:rPr>
      </w:r>
      <w:r>
        <w:rPr/>
        <w:t>经营，规范运作，努力实现资产、所有者权益和营业总收入的稳定增长，为投资者创造稳定的回报。</w:t>
      </w:r>
    </w:p>
    <w:p>
      <w:pPr>
        <w:pStyle w:val="BodyText"/>
        <w:spacing w:line="240" w:lineRule="auto" w:before="48"/>
        <w:ind w:left="554" w:right="1129"/>
        <w:jc w:val="left"/>
      </w:pPr>
      <w:r>
        <w:rPr/>
        <w:t>在保护股东权益方面，</w:t>
      </w:r>
      <w:r>
        <w:rPr>
          <w:rFonts w:ascii="Times New Roman" w:hAnsi="Times New Roman" w:cs="Times New Roman" w:eastAsia="Times New Roman" w:hint="default"/>
        </w:rPr>
        <w:t>2019</w:t>
      </w:r>
      <w:r>
        <w:rPr/>
        <w:t>年公司召开了三次股东大会，大会的召集、召开、表决程序均合法有效，符合</w:t>
      </w:r>
    </w:p>
    <w:p>
      <w:pPr>
        <w:spacing w:line="240" w:lineRule="auto" w:before="9"/>
        <w:rPr>
          <w:rFonts w:ascii="宋体" w:hAnsi="宋体" w:cs="宋体" w:eastAsia="宋体" w:hint="default"/>
          <w:sz w:val="14"/>
          <w:szCs w:val="14"/>
        </w:rPr>
      </w:pPr>
    </w:p>
    <w:p>
      <w:pPr>
        <w:pStyle w:val="BodyText"/>
        <w:spacing w:line="422" w:lineRule="auto"/>
        <w:ind w:right="1138"/>
        <w:jc w:val="both"/>
      </w:pPr>
      <w:r>
        <w:rPr/>
        <w:t>《公司章程》及《股东大会议事规则》的规定，确保了股东对公司重大事项的知情权、参与权和表决权。信息</w:t>
      </w:r>
      <w:r>
        <w:rPr>
          <w:spacing w:val="-74"/>
        </w:rPr>
        <w:t> </w:t>
      </w:r>
      <w:r>
        <w:rPr>
          <w:spacing w:val="-74"/>
        </w:rPr>
      </w:r>
      <w:r>
        <w:rPr/>
        <w:t>披露方面，公司严格按照深圳证券交易所《股票上市规则》及《规范运作指引》的要求开展工作，所有达到信</w:t>
      </w:r>
      <w:r>
        <w:rPr>
          <w:spacing w:val="-77"/>
        </w:rPr>
        <w:t> </w:t>
      </w:r>
      <w:r>
        <w:rPr>
          <w:spacing w:val="-77"/>
        </w:rPr>
      </w:r>
      <w:r>
        <w:rPr/>
        <w:t>息披露标准的事项公司均进行了公告，不存在应披露而未披露的信息。与此同时，公司积极开展与投资者的沟</w:t>
      </w:r>
      <w:r>
        <w:rPr>
          <w:spacing w:val="-77"/>
        </w:rPr>
        <w:t> </w:t>
      </w:r>
      <w:r>
        <w:rPr>
          <w:spacing w:val="-77"/>
        </w:rPr>
      </w:r>
      <w:r>
        <w:rPr/>
        <w:t>通交流工作，</w:t>
      </w:r>
      <w:r>
        <w:rPr>
          <w:rFonts w:ascii="Times New Roman" w:hAnsi="Times New Roman" w:cs="Times New Roman" w:eastAsia="Times New Roman" w:hint="default"/>
        </w:rPr>
        <w:t>2019</w:t>
      </w:r>
      <w:r>
        <w:rPr/>
        <w:t>年通过现场交流、电话交流、投资者互动平台等方式，搭建了与投资者沟通的桥梁，增进了</w:t>
      </w:r>
      <w:r>
        <w:rPr>
          <w:spacing w:val="-76"/>
        </w:rPr>
        <w:t> </w:t>
      </w:r>
      <w:r>
        <w:rPr>
          <w:spacing w:val="-76"/>
        </w:rPr>
      </w:r>
      <w:r>
        <w:rPr/>
        <w:t>投资者对公司价值的了解。</w:t>
      </w:r>
    </w:p>
    <w:p>
      <w:pPr>
        <w:pStyle w:val="BodyText"/>
        <w:spacing w:line="429" w:lineRule="auto" w:before="54"/>
        <w:ind w:right="1141" w:firstLine="401"/>
        <w:jc w:val="both"/>
      </w:pPr>
      <w:r>
        <w:rPr/>
        <w:t>公司高度重视债权人合法权益的保护，制订了严格的经营管理制度和风险控制措施，确保公司财务稳健与</w:t>
      </w:r>
      <w:r>
        <w:rPr>
          <w:w w:val="99"/>
        </w:rPr>
        <w:t> </w:t>
      </w:r>
      <w:r>
        <w:rPr/>
        <w:t>公司资产、资金安全，公司严格按照与债权人签订的合同履行债务，积极保护债权人的权益。</w:t>
      </w:r>
    </w:p>
    <w:p>
      <w:pPr>
        <w:pStyle w:val="BodyText"/>
        <w:spacing w:line="429" w:lineRule="auto" w:before="48"/>
        <w:ind w:left="554" w:right="1133"/>
        <w:jc w:val="left"/>
      </w:pPr>
      <w:r>
        <w:rPr/>
        <w:t>（二）与供应商和客户精诚合作</w:t>
      </w:r>
      <w:r>
        <w:rPr>
          <w:w w:val="99"/>
        </w:rPr>
        <w:t> </w:t>
      </w:r>
      <w:r>
        <w:rPr/>
        <w:t>公司相关商品和服务的采购，均严格选择在工商部门登记注册、合法纳税并具备与所采购规模相匹配的生</w:t>
      </w:r>
    </w:p>
    <w:p>
      <w:pPr>
        <w:pStyle w:val="BodyText"/>
        <w:spacing w:line="429" w:lineRule="auto" w:before="48"/>
        <w:ind w:left="554" w:right="1133" w:hanging="402"/>
        <w:jc w:val="left"/>
      </w:pPr>
      <w:r>
        <w:rPr/>
        <w:t>产服务能力的供应商，合法签订合同，实行互惠共赢，确保企业产品、服务的质量信誉与消费者安全。</w:t>
      </w:r>
      <w:r>
        <w:rPr>
          <w:w w:val="99"/>
        </w:rPr>
        <w:t> </w:t>
      </w:r>
      <w:r>
        <w:rPr/>
        <w:t>为了提高客户满意度，公司不断提高公司产品、服务的质量及研发水平，获得了相关的专利权证书和计算</w:t>
      </w:r>
    </w:p>
    <w:p>
      <w:pPr>
        <w:pStyle w:val="BodyText"/>
        <w:spacing w:line="410" w:lineRule="auto" w:before="48"/>
        <w:ind w:right="1131"/>
        <w:jc w:val="both"/>
      </w:pPr>
      <w:r>
        <w:rPr/>
        <w:t>机软件著作权证书，并拥有包括计算机信息系统集成及服务一级资质、</w:t>
      </w:r>
      <w:r>
        <w:rPr>
          <w:rFonts w:ascii="Times New Roman" w:hAnsi="Times New Roman" w:cs="Times New Roman" w:eastAsia="Times New Roman" w:hint="default"/>
        </w:rPr>
        <w:t>ITSS</w:t>
      </w:r>
      <w:r>
        <w:rPr/>
        <w:t>信息技术服务运行维护能力成熟度</w:t>
      </w:r>
      <w:r>
        <w:rPr>
          <w:spacing w:val="-83"/>
        </w:rPr>
        <w:t> </w:t>
      </w:r>
      <w:r>
        <w:rPr>
          <w:spacing w:val="-83"/>
        </w:rPr>
      </w:r>
      <w:r>
        <w:rPr/>
        <w:t>一级证书、安防工程企业一级资质、音视频智能系统集成工程资质证书（一级）、信息安全服务资质证书（安</w:t>
      </w:r>
      <w:r>
        <w:rPr>
          <w:spacing w:val="-71"/>
        </w:rPr>
        <w:t> </w:t>
      </w:r>
      <w:r>
        <w:rPr>
          <w:spacing w:val="-71"/>
        </w:rPr>
      </w:r>
      <w:r>
        <w:rPr>
          <w:w w:val="95"/>
        </w:rPr>
        <w:t>全工程一级）、电信与信息服务业务经营许可证、</w:t>
      </w:r>
      <w:r>
        <w:rPr>
          <w:rFonts w:ascii="Times New Roman" w:hAnsi="Times New Roman" w:cs="Times New Roman" w:eastAsia="Times New Roman" w:hint="default"/>
          <w:w w:val="95"/>
        </w:rPr>
        <w:t>ISO20000</w:t>
      </w:r>
      <w:r>
        <w:rPr>
          <w:w w:val="95"/>
        </w:rPr>
        <w:t>服务管理体系认证、</w:t>
      </w:r>
      <w:r>
        <w:rPr>
          <w:rFonts w:ascii="Times New Roman" w:hAnsi="Times New Roman" w:cs="Times New Roman" w:eastAsia="Times New Roman" w:hint="default"/>
          <w:w w:val="95"/>
        </w:rPr>
        <w:t>ISO27001</w:t>
      </w:r>
      <w:r>
        <w:rPr>
          <w:w w:val="95"/>
        </w:rPr>
        <w:t>信息安全管理体系认</w:t>
      </w:r>
      <w:r>
        <w:rPr>
          <w:spacing w:val="91"/>
          <w:w w:val="95"/>
        </w:rPr>
        <w:t> </w:t>
      </w:r>
      <w:r>
        <w:rPr>
          <w:spacing w:val="91"/>
          <w:w w:val="95"/>
        </w:rPr>
      </w:r>
      <w:r>
        <w:rPr/>
        <w:t>证、</w:t>
      </w:r>
      <w:r>
        <w:rPr>
          <w:rFonts w:ascii="Times New Roman" w:hAnsi="Times New Roman" w:cs="Times New Roman" w:eastAsia="Times New Roman" w:hint="default"/>
        </w:rPr>
        <w:t>ISO9001</w:t>
      </w:r>
      <w:r>
        <w:rPr/>
        <w:t>质量管理体系认证、</w:t>
      </w:r>
      <w:r>
        <w:rPr>
          <w:rFonts w:ascii="Times New Roman" w:hAnsi="Times New Roman" w:cs="Times New Roman" w:eastAsia="Times New Roman" w:hint="default"/>
        </w:rPr>
        <w:t>ISO14001</w:t>
      </w:r>
      <w:r>
        <w:rPr/>
        <w:t>环境管理体系认证、</w:t>
      </w:r>
      <w:r>
        <w:rPr>
          <w:rFonts w:ascii="Times New Roman" w:hAnsi="Times New Roman" w:cs="Times New Roman" w:eastAsia="Times New Roman" w:hint="default"/>
        </w:rPr>
        <w:t>ISO45001</w:t>
      </w:r>
      <w:r>
        <w:rPr/>
        <w:t>职业健康管理体系认证、软件能力成</w:t>
      </w:r>
      <w:r>
        <w:rPr>
          <w:spacing w:val="-48"/>
        </w:rPr>
        <w:t> </w:t>
      </w:r>
      <w:r>
        <w:rPr>
          <w:spacing w:val="-48"/>
        </w:rPr>
      </w:r>
      <w:r>
        <w:rPr/>
        <w:t>熟度模型</w:t>
      </w:r>
      <w:r>
        <w:rPr>
          <w:rFonts w:ascii="Times New Roman" w:hAnsi="Times New Roman" w:cs="Times New Roman" w:eastAsia="Times New Roman" w:hint="default"/>
        </w:rPr>
        <w:t>CMMI</w:t>
      </w:r>
      <w:r>
        <w:rPr/>
        <w:t>三级认证、</w:t>
      </w:r>
      <w:r>
        <w:rPr>
          <w:rFonts w:ascii="Times New Roman" w:hAnsi="Times New Roman" w:cs="Times New Roman" w:eastAsia="Times New Roman" w:hint="default"/>
        </w:rPr>
        <w:t>AAA</w:t>
      </w:r>
      <w:r>
        <w:rPr/>
        <w:t>级重合同守信用单位等各种资质，为客户提供优质的产品及服务，并不断提高</w:t>
      </w:r>
      <w:r>
        <w:rPr>
          <w:spacing w:val="-67"/>
        </w:rPr>
        <w:t> </w:t>
      </w:r>
      <w:r>
        <w:rPr>
          <w:spacing w:val="-67"/>
        </w:rPr>
      </w:r>
      <w:r>
        <w:rPr/>
        <w:t>公司行业声誉。</w:t>
      </w:r>
    </w:p>
    <w:p>
      <w:pPr>
        <w:pStyle w:val="BodyText"/>
        <w:spacing w:line="429" w:lineRule="auto" w:before="64"/>
        <w:ind w:left="554" w:right="1133"/>
        <w:jc w:val="left"/>
      </w:pPr>
      <w:r>
        <w:rPr/>
        <w:t>（三）重视员工权益和个人发展</w:t>
      </w:r>
      <w:r>
        <w:rPr>
          <w:w w:val="99"/>
        </w:rPr>
        <w:t> </w:t>
      </w:r>
      <w:r>
        <w:rPr>
          <w:spacing w:val="-1"/>
          <w:w w:val="95"/>
        </w:rPr>
        <w:t>公司始终视人才为公司最重要的战略资源，是公司核心的生产要素。近年来在公司推行并不断升级</w:t>
      </w:r>
      <w:r>
        <w:rPr>
          <w:rFonts w:ascii="Times New Roman" w:hAnsi="Times New Roman" w:cs="Times New Roman" w:eastAsia="Times New Roman" w:hint="default"/>
          <w:spacing w:val="-1"/>
          <w:w w:val="95"/>
        </w:rPr>
        <w:t>“</w:t>
      </w:r>
      <w:r>
        <w:rPr>
          <w:spacing w:val="-1"/>
          <w:w w:val="95"/>
        </w:rPr>
        <w:t>中科金</w:t>
      </w:r>
      <w:r>
        <w:rPr>
          <w:spacing w:val="-1"/>
        </w:rPr>
      </w:r>
    </w:p>
    <w:p>
      <w:pPr>
        <w:pStyle w:val="BodyText"/>
        <w:spacing w:line="417" w:lineRule="auto" w:before="16"/>
        <w:ind w:right="1084"/>
        <w:jc w:val="both"/>
      </w:pPr>
      <w:r>
        <w:rPr/>
        <w:t>财多层级合伙人经营责任制</w:t>
      </w:r>
      <w:r>
        <w:rPr>
          <w:rFonts w:ascii="Times New Roman" w:hAnsi="Times New Roman" w:cs="Times New Roman" w:eastAsia="Times New Roman" w:hint="default"/>
        </w:rPr>
        <w:t>”</w:t>
      </w:r>
      <w:r>
        <w:rPr/>
        <w:t>，将公司划分为独立经营单元，通过建立与市场直接联系的独立核算制进行运营，</w:t>
      </w:r>
      <w:r>
        <w:rPr>
          <w:w w:val="99"/>
        </w:rPr>
        <w:t> </w:t>
      </w:r>
      <w:r>
        <w:rPr/>
        <w:t>调动员工参与经营管理，从而实现全员参与的经营模式。中科金财多层级合伙人经营责任制注重发现及培养经</w:t>
      </w:r>
      <w:r>
        <w:rPr>
          <w:spacing w:val="-77"/>
        </w:rPr>
        <w:t> </w:t>
      </w:r>
      <w:r>
        <w:rPr>
          <w:spacing w:val="-77"/>
        </w:rPr>
      </w:r>
      <w:r>
        <w:rPr/>
        <w:t>营人才，强调以客户为中心、全局观及组织协同性，打破了传统企业部门间的隔阂，有效调动员工参与经营管</w:t>
      </w:r>
    </w:p>
    <w:p>
      <w:pPr>
        <w:spacing w:after="0" w:line="417"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29" w:lineRule="auto"/>
        <w:ind w:right="1142"/>
        <w:jc w:val="both"/>
      </w:pPr>
      <w:r>
        <w:rPr/>
        <w:t>理的自主性和积极性，极大提升了员工的经营热情及主人翁意识。在实际经营过程中各经营单元体现出极强的</w:t>
      </w:r>
      <w:r>
        <w:rPr>
          <w:spacing w:val="-77"/>
        </w:rPr>
        <w:t> </w:t>
      </w:r>
      <w:r>
        <w:rPr>
          <w:spacing w:val="-77"/>
        </w:rPr>
      </w:r>
      <w:r>
        <w:rPr/>
        <w:t>经营智慧与合作意识，大大降低了沟通成本、交易成本、营销成本及运营成本，操作风险大幅降低，劳动生产</w:t>
      </w:r>
      <w:r>
        <w:rPr>
          <w:spacing w:val="-77"/>
        </w:rPr>
        <w:t> </w:t>
      </w:r>
      <w:r>
        <w:rPr>
          <w:spacing w:val="-77"/>
        </w:rPr>
      </w:r>
      <w:r>
        <w:rPr/>
        <w:t>率大幅提高，同时吸引了大量的各领域精英加盟中科金财。</w:t>
      </w:r>
    </w:p>
    <w:p>
      <w:pPr>
        <w:pStyle w:val="BodyText"/>
        <w:spacing w:line="422" w:lineRule="auto" w:before="48"/>
        <w:ind w:right="1136" w:firstLine="401"/>
        <w:jc w:val="both"/>
      </w:pPr>
      <w:r>
        <w:rPr/>
        <w:t>公司一直非常注重提高员工的个人能力，通过各种培训及讲座提高员工业务能力和管理水平。</w:t>
      </w:r>
      <w:r>
        <w:rPr>
          <w:rFonts w:ascii="Times New Roman" w:hAnsi="Times New Roman" w:cs="Times New Roman" w:eastAsia="Times New Roman" w:hint="default"/>
        </w:rPr>
        <w:t>2019</w:t>
      </w:r>
      <w:r>
        <w:rPr/>
        <w:t>年公司</w:t>
      </w:r>
      <w:r>
        <w:rPr>
          <w:w w:val="99"/>
        </w:rPr>
        <w:t> </w:t>
      </w:r>
      <w:r>
        <w:rPr/>
        <w:t>组织了包括新员工入职培训、在职员工业务培训、管理人员业务培训、管理能力提升培训及其他单场讲座等多</w:t>
      </w:r>
      <w:r>
        <w:rPr>
          <w:spacing w:val="-77"/>
        </w:rPr>
        <w:t> </w:t>
      </w:r>
      <w:r>
        <w:rPr>
          <w:spacing w:val="-77"/>
        </w:rPr>
      </w:r>
      <w:r>
        <w:rPr/>
        <w:t>层次培训，事前通过调查员工需求，寻求各种培训资源和渠道，来提高培训的有效性和效率，这些培训充分调</w:t>
      </w:r>
      <w:r>
        <w:rPr>
          <w:spacing w:val="-77"/>
        </w:rPr>
        <w:t> </w:t>
      </w:r>
      <w:r>
        <w:rPr>
          <w:spacing w:val="-77"/>
        </w:rPr>
      </w:r>
      <w:r>
        <w:rPr/>
        <w:t>动了员工学习积极性，既能促进公司整体战略目标的实施，又能满足员工个人能力和职业发展的需求，实现企</w:t>
      </w:r>
      <w:r>
        <w:rPr>
          <w:spacing w:val="-77"/>
        </w:rPr>
        <w:t> </w:t>
      </w:r>
      <w:r>
        <w:rPr>
          <w:spacing w:val="-77"/>
        </w:rPr>
      </w:r>
      <w:r>
        <w:rPr/>
        <w:t>业和员工的共同进步，共同发展。</w:t>
      </w:r>
    </w:p>
    <w:p>
      <w:pPr>
        <w:pStyle w:val="BodyText"/>
        <w:spacing w:line="405" w:lineRule="auto" w:before="55"/>
        <w:ind w:right="1040" w:firstLine="401"/>
        <w:jc w:val="both"/>
      </w:pPr>
      <w:r>
        <w:rPr>
          <w:rFonts w:ascii="Times New Roman" w:hAnsi="Times New Roman" w:cs="Times New Roman" w:eastAsia="Times New Roman" w:hint="default"/>
        </w:rPr>
        <w:t>2020</w:t>
      </w:r>
      <w:r>
        <w:rPr/>
        <w:t>年，公司将继续努力提升公司竞争能力和经营业绩，保障股东利益，维护债权人的权益，与供应商和</w:t>
      </w:r>
      <w:r>
        <w:rPr>
          <w:w w:val="99"/>
        </w:rPr>
        <w:t> </w:t>
      </w:r>
      <w:r>
        <w:rPr>
          <w:spacing w:val="-1"/>
          <w:w w:val="95"/>
        </w:rPr>
        <w:t>客户精诚合作，促进员工发展与成长，深入切实地履行企业的社会责任，实现商业利益与社会责任的和谐共赢。</w:t>
      </w:r>
      <w:r>
        <w:rPr>
          <w:spacing w:val="-1"/>
        </w:rPr>
      </w:r>
    </w:p>
    <w:p>
      <w:pPr>
        <w:spacing w:line="240" w:lineRule="auto" w:before="10"/>
        <w:rPr>
          <w:rFonts w:ascii="宋体" w:hAnsi="宋体" w:cs="宋体" w:eastAsia="宋体" w:hint="default"/>
          <w:sz w:val="21"/>
          <w:szCs w:val="21"/>
        </w:rPr>
      </w:pPr>
    </w:p>
    <w:p>
      <w:pPr>
        <w:pStyle w:val="Heading3"/>
        <w:spacing w:line="240" w:lineRule="auto"/>
        <w:ind w:right="0"/>
        <w:jc w:val="both"/>
        <w:rPr>
          <w:b w:val="0"/>
          <w:bCs w:val="0"/>
        </w:rPr>
      </w:pPr>
      <w:bookmarkStart w:name="2、履行精准扶贫社会责任情况" w:id="99"/>
      <w:bookmarkEnd w:id="99"/>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2"/>
        <w:rPr>
          <w:rFonts w:ascii="宋体" w:hAnsi="宋体" w:cs="宋体" w:eastAsia="宋体" w:hint="default"/>
          <w:b/>
          <w:bCs/>
          <w:sz w:val="31"/>
          <w:szCs w:val="31"/>
        </w:rPr>
      </w:pPr>
    </w:p>
    <w:p>
      <w:pPr>
        <w:pStyle w:val="BodyText"/>
        <w:spacing w:line="240" w:lineRule="auto"/>
        <w:ind w:left="554" w:right="1133"/>
        <w:jc w:val="left"/>
      </w:pPr>
      <w:r>
        <w:rPr/>
        <w:t>公司报告年度暂未开展精准扶贫工作，也暂无后续精准扶贫计划。</w:t>
      </w:r>
    </w:p>
    <w:p>
      <w:pPr>
        <w:spacing w:line="240" w:lineRule="auto" w:before="0"/>
        <w:rPr>
          <w:rFonts w:ascii="宋体" w:hAnsi="宋体" w:cs="宋体" w:eastAsia="宋体" w:hint="default"/>
          <w:sz w:val="20"/>
          <w:szCs w:val="20"/>
        </w:rPr>
      </w:pPr>
    </w:p>
    <w:p>
      <w:pPr>
        <w:pStyle w:val="Heading3"/>
        <w:spacing w:line="240" w:lineRule="auto" w:before="161"/>
        <w:ind w:right="0"/>
        <w:jc w:val="both"/>
        <w:rPr>
          <w:b w:val="0"/>
          <w:bCs w:val="0"/>
        </w:rPr>
      </w:pPr>
      <w:bookmarkStart w:name="3、环境保护相关的情况" w:id="100"/>
      <w:bookmarkEnd w:id="100"/>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12"/>
        <w:rPr>
          <w:rFonts w:ascii="宋体" w:hAnsi="宋体" w:cs="宋体" w:eastAsia="宋体" w:hint="default"/>
          <w:b/>
          <w:bCs/>
          <w:sz w:val="24"/>
          <w:szCs w:val="24"/>
        </w:rPr>
      </w:pPr>
    </w:p>
    <w:p>
      <w:pPr>
        <w:pStyle w:val="BodyText"/>
        <w:spacing w:line="324" w:lineRule="auto"/>
        <w:ind w:right="5352"/>
        <w:jc w:val="left"/>
      </w:pPr>
      <w:r>
        <w:rPr>
          <w:w w:val="95"/>
        </w:rPr>
        <w:t>上市公司及其子公司是否属于环境保护部门公布的重点排污单位 </w:t>
      </w:r>
      <w:r>
        <w:rPr>
          <w:spacing w:val="83"/>
          <w:w w:val="95"/>
        </w:rPr>
        <w:t> </w:t>
      </w:r>
      <w:r>
        <w:rPr>
          <w:spacing w:val="83"/>
          <w:w w:val="95"/>
        </w:rPr>
      </w:r>
      <w:r>
        <w:rPr/>
        <w:t>否</w:t>
      </w:r>
    </w:p>
    <w:p>
      <w:pPr>
        <w:pStyle w:val="BodyText"/>
        <w:spacing w:line="240" w:lineRule="auto" w:before="98"/>
        <w:ind w:left="554" w:right="1133"/>
        <w:jc w:val="left"/>
      </w:pPr>
      <w:r>
        <w:rPr/>
        <w:t>公司及子公司不属于环境保护部门公布的重点排污单位。</w:t>
      </w:r>
    </w:p>
    <w:p>
      <w:pPr>
        <w:spacing w:line="240" w:lineRule="auto" w:before="0"/>
        <w:rPr>
          <w:rFonts w:ascii="宋体" w:hAnsi="宋体" w:cs="宋体" w:eastAsia="宋体" w:hint="default"/>
          <w:sz w:val="20"/>
          <w:szCs w:val="20"/>
        </w:rPr>
      </w:pPr>
    </w:p>
    <w:p>
      <w:pPr>
        <w:pStyle w:val="Heading2"/>
        <w:spacing w:line="240" w:lineRule="auto" w:before="135"/>
        <w:ind w:right="0"/>
        <w:jc w:val="both"/>
        <w:rPr>
          <w:b w:val="0"/>
          <w:bCs w:val="0"/>
        </w:rPr>
      </w:pPr>
      <w:bookmarkStart w:name="十九、其他重大事项的说明" w:id="101"/>
      <w:bookmarkEnd w:id="101"/>
      <w:r>
        <w:rPr>
          <w:b w:val="0"/>
          <w:bCs w:val="0"/>
        </w:rPr>
      </w:r>
      <w:r>
        <w:rPr/>
        <w:t>十九、其他重大事项的说明</w:t>
      </w:r>
      <w:r>
        <w:rPr>
          <w:b w:val="0"/>
          <w:bCs w:val="0"/>
        </w:rPr>
      </w:r>
    </w:p>
    <w:p>
      <w:pPr>
        <w:spacing w:line="240" w:lineRule="auto" w:before="3"/>
        <w:rPr>
          <w:rFonts w:ascii="宋体" w:hAnsi="宋体" w:cs="宋体" w:eastAsia="宋体" w:hint="default"/>
          <w:b/>
          <w:bCs/>
          <w:sz w:val="25"/>
          <w:szCs w:val="25"/>
        </w:rPr>
      </w:pPr>
    </w:p>
    <w:p>
      <w:pPr>
        <w:pStyle w:val="BodyText"/>
        <w:spacing w:line="304" w:lineRule="auto"/>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t>公司报告期不存在需要说明的其他重大事项。</w:t>
      </w:r>
    </w:p>
    <w:p>
      <w:pPr>
        <w:spacing w:line="240" w:lineRule="auto" w:before="2"/>
        <w:rPr>
          <w:rFonts w:ascii="宋体" w:hAnsi="宋体" w:cs="宋体" w:eastAsia="宋体" w:hint="default"/>
          <w:sz w:val="20"/>
          <w:szCs w:val="20"/>
        </w:rPr>
      </w:pPr>
    </w:p>
    <w:p>
      <w:pPr>
        <w:pStyle w:val="Heading2"/>
        <w:spacing w:line="240" w:lineRule="auto"/>
        <w:ind w:right="0"/>
        <w:jc w:val="both"/>
        <w:rPr>
          <w:b w:val="0"/>
          <w:bCs w:val="0"/>
        </w:rPr>
      </w:pPr>
      <w:bookmarkStart w:name="二十、公司子公司重大事项" w:id="102"/>
      <w:bookmarkEnd w:id="102"/>
      <w:r>
        <w:rPr>
          <w:b w:val="0"/>
          <w:bCs w:val="0"/>
        </w:rPr>
      </w:r>
      <w:r>
        <w:rPr/>
        <w:t>二十、公司子公司重大事项</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after="0" w:line="240"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4" w:right="1133"/>
        <w:jc w:val="left"/>
        <w:rPr>
          <w:b w:val="0"/>
          <w:bCs w:val="0"/>
        </w:rPr>
      </w:pPr>
      <w:bookmarkStart w:name="_TOC_250007" w:id="103"/>
      <w:bookmarkStart w:name="第六节 股份变动及股东情况" w:id="104"/>
      <w:r>
        <w:rPr>
          <w:b w:val="0"/>
          <w:bCs w:val="0"/>
        </w:rPr>
      </w:r>
      <w:r>
        <w:rPr/>
        <w:t>第六节</w:t>
      </w:r>
      <w:r>
        <w:rPr>
          <w:spacing w:val="-6"/>
        </w:rPr>
        <w:t> </w:t>
      </w:r>
      <w:r>
        <w:rPr/>
        <w:t>股份变动及股东情况</w:t>
      </w:r>
      <w:bookmarkEnd w:id="103"/>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bookmarkStart w:name="一、股份变动情况" w:id="105"/>
      <w:bookmarkEnd w:id="105"/>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bookmarkStart w:name="1、股份变动情况" w:id="106"/>
      <w:bookmarkEnd w:id="106"/>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4"/>
        <w:gridCol w:w="823"/>
        <w:gridCol w:w="823"/>
        <w:gridCol w:w="821"/>
        <w:gridCol w:w="823"/>
        <w:gridCol w:w="821"/>
        <w:gridCol w:w="824"/>
        <w:gridCol w:w="794"/>
        <w:gridCol w:w="792"/>
      </w:tblGrid>
      <w:tr>
        <w:trPr>
          <w:trHeight w:val="40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0"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55,370,88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16.40%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2,064,373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2,064,373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57,435,25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17.01%</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55,370,88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16.40%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2,064,373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2,064,373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57,435,25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17.01%</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55,370,88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16.40%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2,064,373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2,064,373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57,435,25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17.01%</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282,205,8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83.60%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-2,064,37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-2,064,37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280,141,4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82.99%</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282,205,8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83.60%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-2,064,37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-2,064,37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280,141,4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82.99%</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337,576,6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337,576,6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33"/>
        <w:ind w:right="1133"/>
        <w:jc w:val="left"/>
      </w:pPr>
      <w:r>
        <w:rPr/>
        <w:t>股份变动的原因</w:t>
      </w:r>
    </w:p>
    <w:p>
      <w:pPr>
        <w:pStyle w:val="BodyText"/>
        <w:spacing w:line="372" w:lineRule="auto" w:before="91"/>
        <w:ind w:left="554" w:right="1133" w:hanging="4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w:t>
      </w:r>
      <w:r>
        <w:rPr>
          <w:w w:val="99"/>
        </w:rPr>
        <w:t> </w:t>
      </w:r>
      <w:r>
        <w:rPr>
          <w:spacing w:val="-1"/>
          <w:w w:val="95"/>
        </w:rPr>
        <w:t>公司董事于</w:t>
      </w:r>
      <w:r>
        <w:rPr>
          <w:rFonts w:ascii="Times New Roman" w:hAnsi="Times New Roman" w:cs="Times New Roman" w:eastAsia="Times New Roman" w:hint="default"/>
          <w:spacing w:val="-1"/>
          <w:w w:val="95"/>
        </w:rPr>
        <w:t>2019</w:t>
      </w:r>
      <w:r>
        <w:rPr>
          <w:spacing w:val="-1"/>
          <w:w w:val="95"/>
        </w:rPr>
        <w:t>年</w:t>
      </w:r>
      <w:r>
        <w:rPr>
          <w:rFonts w:ascii="Times New Roman" w:hAnsi="Times New Roman" w:cs="Times New Roman" w:eastAsia="Times New Roman" w:hint="default"/>
          <w:spacing w:val="-1"/>
          <w:w w:val="95"/>
        </w:rPr>
        <w:t>7</w:t>
      </w:r>
      <w:r>
        <w:rPr>
          <w:spacing w:val="-1"/>
          <w:w w:val="95"/>
        </w:rPr>
        <w:t>月任期届满不再担任董事，其离任后</w:t>
      </w:r>
      <w:r>
        <w:rPr>
          <w:rFonts w:ascii="Times New Roman" w:hAnsi="Times New Roman" w:cs="Times New Roman" w:eastAsia="Times New Roman" w:hint="default"/>
          <w:spacing w:val="-1"/>
          <w:w w:val="95"/>
        </w:rPr>
        <w:t>6</w:t>
      </w:r>
      <w:r>
        <w:rPr>
          <w:spacing w:val="-1"/>
          <w:w w:val="95"/>
        </w:rPr>
        <w:t>个月内持有的公司股份予以锁定，离任</w:t>
      </w:r>
      <w:r>
        <w:rPr>
          <w:rFonts w:ascii="Times New Roman" w:hAnsi="Times New Roman" w:cs="Times New Roman" w:eastAsia="Times New Roman" w:hint="default"/>
          <w:spacing w:val="-1"/>
          <w:w w:val="95"/>
        </w:rPr>
        <w:t>6</w:t>
      </w:r>
      <w:r>
        <w:rPr>
          <w:spacing w:val="-1"/>
          <w:w w:val="95"/>
        </w:rPr>
        <w:t>个月后的</w:t>
      </w:r>
      <w:r>
        <w:rPr>
          <w:spacing w:val="-1"/>
        </w:rPr>
      </w:r>
    </w:p>
    <w:p>
      <w:pPr>
        <w:pStyle w:val="BodyText"/>
        <w:spacing w:line="372" w:lineRule="auto" w:before="69"/>
        <w:ind w:right="7987"/>
        <w:jc w:val="left"/>
      </w:pPr>
      <w:r>
        <w:rPr>
          <w:rFonts w:ascii="Times New Roman" w:hAnsi="Times New Roman" w:cs="Times New Roman" w:eastAsia="Times New Roman" w:hint="default"/>
        </w:rPr>
        <w:t>12</w:t>
      </w:r>
      <w:r>
        <w:rPr/>
        <w:t>个月内出售比例不超过</w:t>
      </w:r>
      <w:r>
        <w:rPr>
          <w:rFonts w:ascii="Times New Roman" w:hAnsi="Times New Roman" w:cs="Times New Roman" w:eastAsia="Times New Roman" w:hint="default"/>
        </w:rPr>
        <w:t>50%</w:t>
      </w:r>
      <w:r>
        <w:rPr/>
        <w:t>。</w:t>
      </w:r>
      <w:r>
        <w:rPr>
          <w:w w:val="99"/>
        </w:rPr>
        <w:t> </w:t>
      </w:r>
      <w:r>
        <w:rPr/>
        <w:t>股份变动的批准情况</w:t>
      </w:r>
    </w:p>
    <w:p>
      <w:pPr>
        <w:pStyle w:val="BodyText"/>
        <w:spacing w:line="258" w:lineRule="exact"/>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pStyle w:val="BodyText"/>
        <w:spacing w:line="240" w:lineRule="auto" w:before="73"/>
        <w:ind w:right="1133"/>
        <w:jc w:val="left"/>
      </w:pPr>
      <w:r>
        <w:rPr/>
        <w:t>股份变动的过户情况</w:t>
      </w:r>
    </w:p>
    <w:p>
      <w:pPr>
        <w:pStyle w:val="BodyText"/>
        <w:spacing w:line="304" w:lineRule="auto" w:before="91"/>
        <w:ind w:right="85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99"/>
        </w:rPr>
        <w:t> </w:t>
      </w:r>
      <w:r>
        <w:rPr/>
        <w:t>股份回购的实施进展情况</w:t>
      </w:r>
    </w:p>
    <w:p>
      <w:pPr>
        <w:pStyle w:val="BodyText"/>
        <w:spacing w:line="304" w:lineRule="auto" w:before="34"/>
        <w:ind w:right="65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t>采用集中竞价方式减持回购股份的实施进展情况</w:t>
      </w:r>
    </w:p>
    <w:p>
      <w:pPr>
        <w:pStyle w:val="BodyText"/>
        <w:spacing w:line="295" w:lineRule="auto" w:before="3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w w:val="95"/>
        </w:rPr>
        <w:t>股份变动对最近一年和最近一期基本每股收益和稀释每股收益、归属于公司普通股股东的每股净资产等财务指</w:t>
      </w:r>
      <w:r>
        <w:rPr>
          <w:spacing w:val="92"/>
          <w:w w:val="95"/>
        </w:rPr>
        <w:t> </w:t>
      </w:r>
      <w:r>
        <w:rPr>
          <w:spacing w:val="92"/>
          <w:w w:val="95"/>
        </w:rPr>
      </w:r>
      <w:r>
        <w:rPr/>
        <w:t>标的影响</w:t>
      </w:r>
    </w:p>
    <w:p>
      <w:pPr>
        <w:pStyle w:val="BodyText"/>
        <w:spacing w:line="240" w:lineRule="auto" w:before="4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5"/>
          <w:szCs w:val="25"/>
        </w:rPr>
      </w:pPr>
    </w:p>
    <w:p>
      <w:pPr>
        <w:pStyle w:val="BodyText"/>
        <w:spacing w:line="240" w:lineRule="auto" w:before="37"/>
        <w:ind w:right="1133"/>
        <w:jc w:val="left"/>
      </w:pPr>
      <w:r>
        <w:rPr/>
        <w:t>公司认为必要或证券监管机构要求披露的其他内容</w:t>
      </w:r>
    </w:p>
    <w:p>
      <w:pPr>
        <w:pStyle w:val="BodyText"/>
        <w:spacing w:line="240" w:lineRule="auto" w:before="9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1"/>
        <w:rPr>
          <w:rFonts w:ascii="宋体" w:hAnsi="宋体" w:cs="宋体" w:eastAsia="宋体" w:hint="default"/>
          <w:sz w:val="25"/>
          <w:szCs w:val="25"/>
        </w:rPr>
      </w:pPr>
    </w:p>
    <w:p>
      <w:pPr>
        <w:pStyle w:val="Heading3"/>
        <w:spacing w:line="240" w:lineRule="auto"/>
        <w:ind w:right="1133"/>
        <w:jc w:val="left"/>
        <w:rPr>
          <w:b w:val="0"/>
          <w:bCs w:val="0"/>
        </w:rPr>
      </w:pPr>
      <w:bookmarkStart w:name="2、限售股份变动情况" w:id="107"/>
      <w:bookmarkEnd w:id="107"/>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37"/>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683" w:space="7238"/>
            <w:col w:w="2009"/>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88" w:right="46"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0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42,819,688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42,819,688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每年度第一个交 易日解锁持股总 数的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朱烨东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2,448,400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2,448,400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每年度第一个交 易日解锁持股总 数的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196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刘开同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10,093,117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2,064,373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12,157,490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月离任</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个月内股份</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予以锁定</w:t>
            </w:r>
            <w:r>
              <w:rPr>
                <w:rFonts w:ascii="宋体" w:hAnsi="宋体" w:cs="宋体" w:eastAsia="宋体" w:hint="default"/>
                <w:spacing w:val="-85"/>
                <w:sz w:val="18"/>
                <w:szCs w:val="18"/>
              </w:rPr>
              <w:t>，</w:t>
            </w:r>
            <w:r>
              <w:rPr>
                <w:rFonts w:ascii="宋体" w:hAnsi="宋体" w:cs="宋体" w:eastAsia="宋体" w:hint="default"/>
                <w:sz w:val="18"/>
                <w:szCs w:val="18"/>
              </w:rPr>
              <w:t>离任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p>
            <w:pPr>
              <w:pStyle w:val="TableParagraph"/>
              <w:spacing w:line="309" w:lineRule="auto" w:before="63"/>
              <w:ind w:left="23" w:right="19"/>
              <w:jc w:val="both"/>
              <w:rPr>
                <w:rFonts w:ascii="Times New Roman" w:hAnsi="Times New Roman" w:cs="Times New Roman" w:eastAsia="Times New Roman" w:hint="default"/>
                <w:sz w:val="18"/>
                <w:szCs w:val="18"/>
              </w:rPr>
            </w:pPr>
            <w:r>
              <w:rPr>
                <w:rFonts w:ascii="宋体" w:hAnsi="宋体" w:cs="宋体" w:eastAsia="宋体" w:hint="default"/>
                <w:sz w:val="18"/>
                <w:szCs w:val="18"/>
              </w:rPr>
              <w:t>个月后的</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个月 内出售比例不超 过</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50%</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孙昕</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每年度第一个交 易日解锁持股总 数的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55,370,880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2,064,373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57,435,253</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二、证券发行与上市情况" w:id="108"/>
      <w:bookmarkEnd w:id="108"/>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bookmarkStart w:name="1、报告期内证券发行（不含优先股）情况" w:id="109"/>
      <w:bookmarkEnd w:id="109"/>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1"/>
        <w:rPr>
          <w:rFonts w:ascii="宋体" w:hAnsi="宋体" w:cs="宋体" w:eastAsia="宋体" w:hint="default"/>
          <w:sz w:val="25"/>
          <w:szCs w:val="25"/>
        </w:rPr>
      </w:pPr>
    </w:p>
    <w:p>
      <w:pPr>
        <w:pStyle w:val="Heading3"/>
        <w:spacing w:line="240" w:lineRule="auto"/>
        <w:ind w:right="1133"/>
        <w:jc w:val="left"/>
        <w:rPr>
          <w:b w:val="0"/>
          <w:bCs w:val="0"/>
        </w:rPr>
      </w:pPr>
      <w:bookmarkStart w:name="2、公司股份总数及股东结构的变动、公司资产和负债结构的变动情况说明" w:id="110"/>
      <w:bookmarkEnd w:id="110"/>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4"/>
        <w:rPr>
          <w:rFonts w:ascii="宋体" w:hAnsi="宋体" w:cs="宋体" w:eastAsia="宋体" w:hint="default"/>
          <w:sz w:val="25"/>
          <w:szCs w:val="25"/>
        </w:rPr>
      </w:pPr>
    </w:p>
    <w:p>
      <w:pPr>
        <w:pStyle w:val="Heading3"/>
        <w:spacing w:line="240" w:lineRule="auto"/>
        <w:ind w:right="1133"/>
        <w:jc w:val="left"/>
        <w:rPr>
          <w:b w:val="0"/>
          <w:bCs w:val="0"/>
        </w:rPr>
      </w:pPr>
      <w:bookmarkStart w:name="3、现存的内部职工股情况" w:id="111"/>
      <w:bookmarkEnd w:id="111"/>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after="0" w:line="240" w:lineRule="auto"/>
        <w:jc w:val="left"/>
        <w:sectPr>
          <w:type w:val="continuous"/>
          <w:pgSz w:w="11910" w:h="16840"/>
          <w:pgMar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三、股东和实际控制人情况" w:id="112"/>
      <w:bookmarkEnd w:id="112"/>
      <w:r>
        <w:rPr>
          <w:b w:val="0"/>
          <w:bCs w:val="0"/>
        </w:rPr>
      </w: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公司股东数量及持股情况" w:id="113"/>
      <w:bookmarkEnd w:id="113"/>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274"/>
        <w:gridCol w:w="934"/>
        <w:gridCol w:w="478"/>
        <w:gridCol w:w="697"/>
        <w:gridCol w:w="92"/>
        <w:gridCol w:w="785"/>
        <w:gridCol w:w="341"/>
        <w:gridCol w:w="449"/>
        <w:gridCol w:w="755"/>
        <w:gridCol w:w="872"/>
        <w:gridCol w:w="317"/>
        <w:gridCol w:w="1033"/>
        <w:gridCol w:w="140"/>
        <w:gridCol w:w="1208"/>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63" w:right="0"/>
              <w:jc w:val="left"/>
              <w:rPr>
                <w:rFonts w:ascii="Times New Roman" w:hAnsi="Times New Roman" w:cs="Times New Roman" w:eastAsia="Times New Roman" w:hint="default"/>
                <w:sz w:val="18"/>
                <w:szCs w:val="18"/>
              </w:rPr>
            </w:pPr>
            <w:r>
              <w:rPr>
                <w:rFonts w:ascii="Times New Roman"/>
                <w:sz w:val="18"/>
              </w:rPr>
              <w:t>68,824</w:t>
            </w:r>
          </w:p>
        </w:tc>
        <w:tc>
          <w:tcPr>
            <w:tcW w:w="1175"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4" w:right="0"/>
              <w:jc w:val="left"/>
              <w:rPr>
                <w:rFonts w:ascii="Times New Roman" w:hAnsi="Times New Roman" w:cs="Times New Roman" w:eastAsia="Times New Roman" w:hint="default"/>
                <w:sz w:val="18"/>
                <w:szCs w:val="18"/>
              </w:rPr>
            </w:pPr>
            <w:r>
              <w:rPr>
                <w:rFonts w:ascii="Times New Roman"/>
                <w:sz w:val="18"/>
              </w:rPr>
              <w:t>63,982</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9"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 w:right="9"/>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102"/>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6" w:lineRule="auto" w:before="19"/>
              <w:ind w:left="11" w:right="43"/>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71"/>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703"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7" w:type="dxa"/>
            <w:gridSpan w:val="2"/>
            <w:vMerge/>
            <w:tcBorders>
              <w:left w:val="single" w:sz="9" w:space="0" w:color="D2D2D2"/>
              <w:bottom w:val="single" w:sz="4" w:space="0" w:color="000000"/>
              <w:right w:val="single" w:sz="9" w:space="0" w:color="D2D2D2"/>
            </w:tcBorders>
          </w:tcPr>
          <w:p>
            <w:pPr/>
          </w:p>
        </w:tc>
        <w:tc>
          <w:tcPr>
            <w:tcW w:w="1175"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10"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9" w:type="dxa"/>
            <w:gridSpan w:val="2"/>
            <w:vMerge/>
            <w:tcBorders>
              <w:left w:val="single" w:sz="10"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8" w:type="dxa"/>
            <w:vMerge/>
            <w:tcBorders>
              <w:left w:val="single" w:sz="10" w:space="0" w:color="D2D2D2"/>
              <w:bottom w:val="single" w:sz="4" w:space="0" w:color="000000"/>
              <w:right w:val="single" w:sz="4" w:space="0" w:color="000000"/>
            </w:tcBorders>
          </w:tcPr>
          <w:p>
            <w:pPr/>
          </w:p>
        </w:tc>
      </w:tr>
      <w:tr>
        <w:trPr>
          <w:trHeight w:val="394" w:hRule="exact"/>
        </w:trPr>
        <w:tc>
          <w:tcPr>
            <w:tcW w:w="9571"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 w:right="-3"/>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7"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1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bottom w:val="nil" w:sz="6" w:space="0" w:color="auto"/>
              <w:right w:val="single" w:sz="4" w:space="0" w:color="000000"/>
            </w:tcBorders>
            <w:shd w:val="clear" w:color="auto" w:fill="D2D2D2"/>
          </w:tcPr>
          <w:p>
            <w:pP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8" w:type="dxa"/>
            <w:gridSpan w:val="4"/>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9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5"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8" w:type="dxa"/>
            <w:gridSpan w:val="4"/>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90" w:type="dxa"/>
            <w:gridSpan w:val="2"/>
            <w:vMerge w:val="restart"/>
            <w:tcBorders>
              <w:top w:val="nil" w:sz="6" w:space="0" w:color="auto"/>
              <w:left w:val="single" w:sz="4" w:space="0" w:color="000000"/>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14.93%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50,392,91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-6,700,00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42,819,68</w:t>
            </w:r>
          </w:p>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z w:val="18"/>
              </w:rPr>
              <w:t>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7,573,230</w:t>
            </w:r>
          </w:p>
        </w:tc>
        <w:tc>
          <w:tcPr>
            <w:tcW w:w="1349" w:type="dxa"/>
            <w:gridSpan w:val="2"/>
            <w:tcBorders>
              <w:top w:val="single" w:sz="44" w:space="0" w:color="D2D2D2"/>
              <w:left w:val="single" w:sz="4" w:space="0" w:color="000000"/>
              <w:bottom w:val="single" w:sz="4" w:space="0" w:color="000000"/>
              <w:right w:val="single" w:sz="4" w:space="0" w:color="000000"/>
            </w:tcBorders>
          </w:tcPr>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4" w:space="0" w:color="D2D2D2"/>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39,459,999</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刘开同</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3.60%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12,157,49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-1,300,00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12,157,49</w:t>
            </w:r>
          </w:p>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天津滨河数据信 息技术有限公司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2.32%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7,823,666</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7,823,666</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国盛证券有限责 任公司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1.98%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6,700,000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+6,700,00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6,700,000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赫喆</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1.95%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6,566,378</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6,566,378</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杨承宏</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1.87%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6,309,660</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6,309,660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青岛城投金融控 股集团有限公司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1.66%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5,596,937</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-7,300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5,596,937</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董书倩</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1.07%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3,608,660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-1,806,00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3,608,660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朱烨东</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0.97%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3,264,533</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2,448,400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816,133</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华融国际信托有 限责任公司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0.82%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2,754,007</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2,754,007</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8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90"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881"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690" w:type="dxa"/>
            <w:gridSpan w:val="11"/>
            <w:vMerge w:val="restart"/>
            <w:tcBorders>
              <w:top w:val="single" w:sz="4" w:space="0" w:color="000000"/>
              <w:left w:val="single" w:sz="10" w:space="0" w:color="D2D2D2"/>
              <w:right w:val="single" w:sz="4" w:space="0" w:color="000000"/>
            </w:tcBorders>
          </w:tcPr>
          <w:p>
            <w:pPr>
              <w:pStyle w:val="TableParagraph"/>
              <w:spacing w:line="316" w:lineRule="auto" w:before="49"/>
              <w:ind w:left="19" w:right="20"/>
              <w:jc w:val="both"/>
              <w:rPr>
                <w:rFonts w:ascii="宋体" w:hAnsi="宋体" w:cs="宋体" w:eastAsia="宋体" w:hint="default"/>
                <w:sz w:val="18"/>
                <w:szCs w:val="18"/>
              </w:rPr>
            </w:pPr>
            <w:r>
              <w:rPr>
                <w:rFonts w:ascii="宋体" w:hAnsi="宋体" w:cs="宋体" w:eastAsia="宋体" w:hint="default"/>
                <w:spacing w:val="-1"/>
                <w:sz w:val="18"/>
                <w:szCs w:val="18"/>
              </w:rPr>
              <w:t>上述股东中朱烨东、沈飒为夫妻关系，天津滨河数据信息技术有限公司是股东刘开同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控制的企业，刘开同与董书倩为夫妻关系。除上述关系外，公司未知上述其他股东是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否存在其他关联关系或属于《上市公司收购管理办法》中规定的一致行动人。</w:t>
            </w:r>
          </w:p>
        </w:tc>
      </w:tr>
      <w:tr>
        <w:trPr>
          <w:trHeight w:val="703" w:hRule="exact"/>
        </w:trPr>
        <w:tc>
          <w:tcPr>
            <w:tcW w:w="2881"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0" w:type="dxa"/>
            <w:gridSpan w:val="11"/>
            <w:vMerge/>
            <w:tcBorders>
              <w:left w:val="single" w:sz="10" w:space="0" w:color="D2D2D2"/>
              <w:right w:val="single" w:sz="4" w:space="0" w:color="000000"/>
            </w:tcBorders>
          </w:tcPr>
          <w:p>
            <w:pPr/>
          </w:p>
        </w:tc>
      </w:tr>
      <w:tr>
        <w:trPr>
          <w:trHeight w:val="161" w:hRule="exact"/>
        </w:trPr>
        <w:tc>
          <w:tcPr>
            <w:tcW w:w="2881"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690" w:type="dxa"/>
            <w:gridSpan w:val="11"/>
            <w:vMerge/>
            <w:tcBorders>
              <w:left w:val="single" w:sz="10" w:space="0" w:color="D2D2D2"/>
              <w:bottom w:val="single" w:sz="4" w:space="0" w:color="000000"/>
              <w:right w:val="single" w:sz="4" w:space="0" w:color="000000"/>
            </w:tcBorders>
          </w:tcPr>
          <w:p>
            <w:pPr/>
          </w:p>
        </w:tc>
      </w:tr>
      <w:tr>
        <w:trPr>
          <w:trHeight w:val="403" w:hRule="exact"/>
        </w:trPr>
        <w:tc>
          <w:tcPr>
            <w:tcW w:w="9571"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881"/>
        <w:gridCol w:w="3992"/>
        <w:gridCol w:w="1349"/>
        <w:gridCol w:w="1349"/>
      </w:tblGrid>
      <w:tr>
        <w:trPr>
          <w:trHeight w:val="402" w:hRule="exact"/>
        </w:trPr>
        <w:tc>
          <w:tcPr>
            <w:tcW w:w="28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4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881" w:type="dxa"/>
            <w:vMerge/>
            <w:tcBorders>
              <w:left w:val="single" w:sz="4" w:space="0" w:color="000000"/>
              <w:bottom w:val="single" w:sz="4" w:space="0" w:color="000000"/>
              <w:right w:val="single" w:sz="4" w:space="0" w:color="000000"/>
            </w:tcBorders>
            <w:shd w:val="clear" w:color="auto" w:fill="D2D2D2"/>
          </w:tcPr>
          <w:p>
            <w:pPr/>
          </w:p>
        </w:tc>
        <w:tc>
          <w:tcPr>
            <w:tcW w:w="3992" w:type="dxa"/>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天津滨河数据信息技术有限公司</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7,823,666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7,823,666</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7,573,230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7,573,230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国盛证券有限责任公司</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6,700,000</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赫喆</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6,566,378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6,566,378</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杨承宏</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6,309,660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6,309,660</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青岛城投金融控股集团有限公司</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5,596,937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5,596,937</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董书倩</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3,608,660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3,608,660</w:t>
            </w:r>
          </w:p>
        </w:tc>
      </w:tr>
      <w:tr>
        <w:trPr>
          <w:trHeight w:val="404"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华融国际信托有限责任公司</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2,754,007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2,754,007</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凯银投资管理有限公司</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1,950,991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1,950,991</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吴海洋</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1,917,171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1,917,171</w:t>
            </w:r>
          </w:p>
        </w:tc>
      </w:tr>
      <w:tr>
        <w:trPr>
          <w:trHeight w:val="1337"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0"/>
              <w:jc w:val="both"/>
              <w:rPr>
                <w:rFonts w:ascii="宋体" w:hAnsi="宋体" w:cs="宋体" w:eastAsia="宋体" w:hint="default"/>
                <w:sz w:val="18"/>
                <w:szCs w:val="18"/>
              </w:rPr>
            </w:pPr>
            <w:r>
              <w:rPr>
                <w:rFonts w:ascii="宋体" w:hAnsi="宋体" w:cs="宋体" w:eastAsia="宋体" w:hint="default"/>
                <w:spacing w:val="-1"/>
                <w:sz w:val="18"/>
                <w:szCs w:val="18"/>
              </w:rPr>
              <w:t>上述股东中朱烨东、沈飒为夫妻关系，天津滨河数据信息技术有限公司是股东刘开同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控制的企业，刘开同与董书倩为夫妻关系。除上述关系外，公司未知上述其他股东是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否存在其他关联关系或属于《上市公司收购管理办法》中规定的一致行动人。</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8"/>
                <w:sz w:val="18"/>
                <w:szCs w:val="18"/>
              </w:rPr>
              <w:t>务情况说明（如有）（参见注</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33"/>
        <w:ind w:right="1133"/>
        <w:jc w:val="left"/>
      </w:pPr>
      <w:r>
        <w:rPr/>
        <w:t>公司前</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名普通股股东、前</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74"/>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否</w:t>
      </w:r>
    </w:p>
    <w:p>
      <w:pPr>
        <w:pStyle w:val="BodyText"/>
        <w:spacing w:line="240" w:lineRule="auto" w:before="76"/>
        <w:ind w:right="1133"/>
        <w:jc w:val="left"/>
      </w:pPr>
      <w:r>
        <w:rPr/>
        <w:t>公司前</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名普通股股东、前</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4"/>
        <w:rPr>
          <w:rFonts w:ascii="宋体" w:hAnsi="宋体" w:cs="宋体" w:eastAsia="宋体" w:hint="default"/>
          <w:sz w:val="25"/>
          <w:szCs w:val="25"/>
        </w:rPr>
      </w:pPr>
    </w:p>
    <w:p>
      <w:pPr>
        <w:pStyle w:val="Heading3"/>
        <w:spacing w:line="240" w:lineRule="auto"/>
        <w:ind w:right="1133"/>
        <w:jc w:val="left"/>
        <w:rPr>
          <w:b w:val="0"/>
          <w:bCs w:val="0"/>
        </w:rPr>
      </w:pPr>
      <w:bookmarkStart w:name="2、公司控股股东情况" w:id="114"/>
      <w:bookmarkEnd w:id="114"/>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1"/>
        <w:rPr>
          <w:rFonts w:ascii="宋体" w:hAnsi="宋体" w:cs="宋体" w:eastAsia="宋体" w:hint="default"/>
          <w:b/>
          <w:bCs/>
          <w:sz w:val="25"/>
          <w:szCs w:val="25"/>
        </w:rPr>
      </w:pPr>
    </w:p>
    <w:p>
      <w:pPr>
        <w:pStyle w:val="BodyText"/>
        <w:spacing w:line="321" w:lineRule="auto"/>
        <w:ind w:right="8354"/>
        <w:jc w:val="left"/>
      </w:pPr>
      <w:r>
        <w:rPr/>
        <w:t>控股股东性质：自然人控股</w:t>
      </w:r>
      <w:r>
        <w:rPr>
          <w:w w:val="99"/>
        </w:rPr>
        <w:t> </w:t>
      </w:r>
      <w:r>
        <w:rPr/>
        <w:t>控股股东类型：自然人</w:t>
      </w:r>
    </w:p>
    <w:p>
      <w:pPr>
        <w:spacing w:line="240" w:lineRule="auto" w:before="5"/>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3419"/>
        <w:gridCol w:w="2302"/>
        <w:gridCol w:w="3850"/>
      </w:tblGrid>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9"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北京中科金财科技股份有限公司副董事长兼总经理</w:t>
            </w:r>
          </w:p>
        </w:tc>
      </w:tr>
      <w:tr>
        <w:trPr>
          <w:trHeight w:val="71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33"/>
        <w:ind w:right="1133"/>
        <w:jc w:val="left"/>
      </w:pPr>
      <w:r>
        <w:rPr/>
        <w:t>控股股东报告期内变更</w:t>
      </w:r>
    </w:p>
    <w:p>
      <w:pPr>
        <w:pStyle w:val="BodyText"/>
        <w:spacing w:line="304" w:lineRule="auto" w:before="91"/>
        <w:ind w:right="73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t>公司报告期控股股东未发生变更。</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bookmarkStart w:name="3、公司实际控制人及其一致行动人" w:id="115"/>
      <w:bookmarkEnd w:id="115"/>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t>实际控制人性质：境内自然人</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5"/>
          <w:szCs w:val="25"/>
        </w:rPr>
      </w:pPr>
    </w:p>
    <w:p>
      <w:pPr>
        <w:pStyle w:val="BodyText"/>
        <w:spacing w:line="240" w:lineRule="auto" w:before="37"/>
        <w:ind w:right="1133"/>
        <w:jc w:val="left"/>
      </w:pPr>
      <w:r>
        <w:rPr/>
        <w:t>实际控制人类型：自然人</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朱烨东</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陈绪华</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3"/>
              <w:jc w:val="left"/>
              <w:rPr>
                <w:rFonts w:ascii="宋体" w:hAnsi="宋体" w:cs="宋体" w:eastAsia="宋体" w:hint="default"/>
                <w:sz w:val="18"/>
                <w:szCs w:val="18"/>
              </w:rPr>
            </w:pPr>
            <w:r>
              <w:rPr>
                <w:rFonts w:ascii="宋体" w:hAnsi="宋体" w:cs="宋体" w:eastAsia="宋体" w:hint="default"/>
                <w:spacing w:val="-3"/>
                <w:sz w:val="18"/>
                <w:szCs w:val="18"/>
              </w:rPr>
              <w:t>朱烨东任职于北京中科金财科技股份有限公司，担任董事长一职。沈飒任职于北京中科金财</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科技股份有限公司，担任副董事长兼总经理一职。陈绪华已退休。</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33"/>
        <w:ind w:right="1133"/>
        <w:jc w:val="left"/>
      </w:pPr>
      <w:r>
        <w:rPr/>
        <w:t>实际控制人报告期内变更</w:t>
      </w:r>
    </w:p>
    <w:p>
      <w:pPr>
        <w:pStyle w:val="BodyText"/>
        <w:spacing w:line="314" w:lineRule="auto" w:before="88"/>
        <w:ind w:right="65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t>公司报告期实际控制人未发生变更。</w:t>
      </w:r>
      <w:r>
        <w:rPr>
          <w:w w:val="99"/>
        </w:rPr>
        <w:t> </w:t>
      </w:r>
      <w:r>
        <w:rPr>
          <w:w w:val="95"/>
        </w:rPr>
        <w:t>公司与实际控制人之间的产权及控制关系的方框图</w:t>
      </w:r>
      <w:r>
        <w:rPr/>
      </w:r>
    </w:p>
    <w:p>
      <w:pPr>
        <w:spacing w:line="240" w:lineRule="auto" w:before="5"/>
        <w:rPr>
          <w:rFonts w:ascii="宋体" w:hAnsi="宋体" w:cs="宋体" w:eastAsia="宋体" w:hint="default"/>
          <w:sz w:val="20"/>
          <w:szCs w:val="20"/>
        </w:rPr>
      </w:pPr>
    </w:p>
    <w:p>
      <w:pPr>
        <w:spacing w:line="3291" w:lineRule="exact"/>
        <w:ind w:left="2188" w:right="0" w:firstLine="0"/>
        <w:rPr>
          <w:rFonts w:ascii="宋体" w:hAnsi="宋体" w:cs="宋体" w:eastAsia="宋体" w:hint="default"/>
          <w:sz w:val="20"/>
          <w:szCs w:val="20"/>
        </w:rPr>
      </w:pPr>
      <w:r>
        <w:rPr>
          <w:rFonts w:ascii="宋体" w:hAnsi="宋体" w:cs="宋体" w:eastAsia="宋体" w:hint="default"/>
          <w:position w:val="-65"/>
          <w:sz w:val="20"/>
          <w:szCs w:val="20"/>
        </w:rPr>
        <w:drawing>
          <wp:inline distT="0" distB="0" distL="0" distR="0">
            <wp:extent cx="3534337" cy="2090261"/>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3534337" cy="2090261"/>
                    </a:xfrm>
                    <a:prstGeom prst="rect">
                      <a:avLst/>
                    </a:prstGeom>
                  </pic:spPr>
                </pic:pic>
              </a:graphicData>
            </a:graphic>
          </wp:inline>
        </w:drawing>
      </w:r>
      <w:r>
        <w:rPr>
          <w:rFonts w:ascii="宋体" w:hAnsi="宋体" w:cs="宋体" w:eastAsia="宋体" w:hint="default"/>
          <w:position w:val="-65"/>
          <w:sz w:val="20"/>
          <w:szCs w:val="20"/>
        </w:rPr>
      </w:r>
    </w:p>
    <w:p>
      <w:pPr>
        <w:spacing w:line="240" w:lineRule="auto" w:before="2"/>
        <w:rPr>
          <w:rFonts w:ascii="宋体" w:hAnsi="宋体" w:cs="宋体" w:eastAsia="宋体" w:hint="default"/>
          <w:sz w:val="20"/>
          <w:szCs w:val="20"/>
        </w:rPr>
      </w:pPr>
    </w:p>
    <w:p>
      <w:pPr>
        <w:pStyle w:val="BodyText"/>
        <w:spacing w:line="240" w:lineRule="auto"/>
        <w:ind w:right="1133"/>
        <w:jc w:val="left"/>
      </w:pPr>
      <w:r>
        <w:rPr/>
        <w:t>实际控制人通过信托或其他资产管理方式控制公司</w:t>
      </w:r>
    </w:p>
    <w:p>
      <w:pPr>
        <w:pStyle w:val="BodyText"/>
        <w:spacing w:line="240" w:lineRule="auto" w:before="9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1"/>
        <w:rPr>
          <w:rFonts w:ascii="宋体" w:hAnsi="宋体" w:cs="宋体" w:eastAsia="宋体" w:hint="default"/>
          <w:sz w:val="25"/>
          <w:szCs w:val="25"/>
        </w:rPr>
      </w:pPr>
    </w:p>
    <w:p>
      <w:pPr>
        <w:pStyle w:val="Heading3"/>
        <w:spacing w:line="240" w:lineRule="auto"/>
        <w:ind w:right="1133"/>
        <w:jc w:val="left"/>
        <w:rPr>
          <w:b w:val="0"/>
          <w:bCs w:val="0"/>
        </w:rPr>
      </w:pPr>
      <w:bookmarkStart w:name="4、其他持股在10%以上的法人股东" w:id="116"/>
      <w:bookmarkEnd w:id="116"/>
      <w:r>
        <w:rPr>
          <w:b w:val="0"/>
          <w:bCs w:val="0"/>
        </w:rPr>
      </w: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4"/>
        <w:rPr>
          <w:rFonts w:ascii="宋体" w:hAnsi="宋体" w:cs="宋体" w:eastAsia="宋体" w:hint="default"/>
          <w:sz w:val="25"/>
          <w:szCs w:val="25"/>
        </w:rPr>
      </w:pPr>
    </w:p>
    <w:p>
      <w:pPr>
        <w:pStyle w:val="Heading3"/>
        <w:spacing w:line="240" w:lineRule="auto"/>
        <w:ind w:right="1133"/>
        <w:jc w:val="left"/>
        <w:rPr>
          <w:b w:val="0"/>
          <w:bCs w:val="0"/>
        </w:rPr>
      </w:pPr>
      <w:bookmarkStart w:name="5、控股股东、实际控制人、重组方及其他承诺主体股份限制减持情况" w:id="117"/>
      <w:bookmarkEnd w:id="117"/>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1133"/>
        <w:jc w:val="left"/>
        <w:rPr>
          <w:b w:val="0"/>
          <w:bCs w:val="0"/>
        </w:rPr>
      </w:pPr>
      <w:bookmarkStart w:name="_TOC_250006" w:id="118"/>
      <w:bookmarkStart w:name="第七节 优先股相关情况" w:id="119"/>
      <w:r>
        <w:rPr>
          <w:b w:val="0"/>
          <w:bCs w:val="0"/>
        </w:rPr>
      </w:r>
      <w:r>
        <w:rPr/>
        <w:t>第七节</w:t>
      </w:r>
      <w:r>
        <w:rPr>
          <w:spacing w:val="-6"/>
        </w:rPr>
        <w:t> </w:t>
      </w:r>
      <w:r>
        <w:rPr/>
        <w:t>优先股相关情况</w:t>
      </w:r>
      <w:bookmarkEnd w:id="118"/>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8"/>
          <w:szCs w:val="18"/>
        </w:rPr>
      </w:pPr>
    </w:p>
    <w:p>
      <w:pPr>
        <w:pStyle w:val="BodyText"/>
        <w:spacing w:line="304" w:lineRule="auto" w:before="37"/>
        <w:ind w:right="83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99"/>
        </w:rPr>
        <w:t> </w:t>
      </w:r>
      <w:r>
        <w:rPr/>
        <w:t>报告期公司不存在优先股。</w:t>
      </w:r>
    </w:p>
    <w:p>
      <w:pPr>
        <w:spacing w:after="0" w:line="304"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1133"/>
        <w:jc w:val="left"/>
        <w:rPr>
          <w:b w:val="0"/>
          <w:bCs w:val="0"/>
        </w:rPr>
      </w:pPr>
      <w:bookmarkStart w:name="_TOC_250005" w:id="120"/>
      <w:bookmarkStart w:name="第八节 可转换公司债券相关情况" w:id="121"/>
      <w:r>
        <w:rPr>
          <w:b w:val="0"/>
          <w:bCs w:val="0"/>
        </w:rPr>
      </w:r>
      <w:r>
        <w:rPr/>
        <w:t>第八节</w:t>
      </w:r>
      <w:r>
        <w:rPr>
          <w:spacing w:val="-5"/>
        </w:rPr>
        <w:t> </w:t>
      </w:r>
      <w:r>
        <w:rPr/>
        <w:t>可转换公司债券相关情况</w:t>
      </w:r>
      <w:bookmarkEnd w:id="120"/>
      <w:r>
        <w:rPr>
          <w:b w:val="0"/>
          <w:bCs w:val="0"/>
        </w:rPr>
      </w:r>
    </w:p>
    <w:p>
      <w:pPr>
        <w:spacing w:line="240" w:lineRule="auto" w:before="6"/>
        <w:rPr>
          <w:rFonts w:ascii="宋体" w:hAnsi="宋体" w:cs="宋体" w:eastAsia="宋体" w:hint="default"/>
          <w:b/>
          <w:bCs/>
          <w:sz w:val="41"/>
          <w:szCs w:val="41"/>
        </w:rPr>
      </w:pPr>
    </w:p>
    <w:p>
      <w:pPr>
        <w:pStyle w:val="BodyText"/>
        <w:spacing w:line="304" w:lineRule="auto"/>
        <w:ind w:right="75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t>报告期公司不存在可转换公司债券。</w:t>
      </w:r>
    </w:p>
    <w:p>
      <w:pPr>
        <w:spacing w:after="0" w:line="304"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1133"/>
        <w:jc w:val="left"/>
        <w:rPr>
          <w:b w:val="0"/>
          <w:bCs w:val="0"/>
        </w:rPr>
      </w:pPr>
      <w:bookmarkStart w:name="_TOC_250004" w:id="122"/>
      <w:bookmarkStart w:name="第九节 董事、监事、高级管理人员和员工情况" w:id="123"/>
      <w:r>
        <w:rPr>
          <w:b w:val="0"/>
          <w:bCs w:val="0"/>
        </w:rPr>
      </w:r>
      <w:r>
        <w:rPr/>
        <w:t>第九节</w:t>
      </w:r>
      <w:r>
        <w:rPr>
          <w:spacing w:val="-8"/>
        </w:rPr>
        <w:t> </w:t>
      </w:r>
      <w:r>
        <w:rPr/>
        <w:t>董事、监事、高级管理人员和员工情况</w:t>
      </w:r>
      <w:bookmarkEnd w:id="122"/>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bookmarkStart w:name="一、董事、监事和高级管理人员持股变动" w:id="124"/>
      <w:bookmarkEnd w:id="124"/>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朱烨东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3,264,533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3,264,533</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副董事 长、总经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57,092,91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50,392,91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赵学荣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汪亮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洪珊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董事、副 总经理、 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33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董事、副 总经理、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刘开同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13,457,49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12,157,49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贺岩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顾凌云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刘书锦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季成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赵燕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白涛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孙昕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12,900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12,900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郭通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张旭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司苗珍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王之瑜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路一名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李烁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73,828,34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65,828,34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二、公司董事、监事、高级管理人员变动情况" w:id="125"/>
      <w:bookmarkEnd w:id="125"/>
      <w:r>
        <w:rPr>
          <w:b w:val="0"/>
          <w:bCs w:val="0"/>
        </w:rPr>
      </w:r>
      <w:r>
        <w:rPr/>
        <w:t>二、公司董事、监事、高级管理人员变动情况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t>不适用</w:t>
      </w:r>
    </w:p>
    <w:p>
      <w:pPr>
        <w:spacing w:line="240" w:lineRule="auto" w:before="5"/>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2"/>
        <w:gridCol w:w="1330"/>
        <w:gridCol w:w="4246"/>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司苗珍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刘开同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日任期届满不再任职</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2"/>
        <w:gridCol w:w="1330"/>
        <w:gridCol w:w="4246"/>
      </w:tblGrid>
      <w:tr>
        <w:trPr>
          <w:trHeight w:val="363"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贺岩</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日任期届满不再任职</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白涛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日任期届满不再任职</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赵燕</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日任期届满不再任职</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赵学荣</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4"/>
              <w:jc w:val="left"/>
              <w:rPr>
                <w:rFonts w:ascii="宋体" w:hAnsi="宋体" w:cs="宋体" w:eastAsia="宋体" w:hint="default"/>
                <w:sz w:val="18"/>
                <w:szCs w:val="18"/>
              </w:rPr>
            </w:pPr>
            <w:r>
              <w:rPr>
                <w:rFonts w:ascii="宋体" w:hAnsi="宋体" w:cs="宋体" w:eastAsia="宋体" w:hint="default"/>
                <w:sz w:val="18"/>
                <w:szCs w:val="18"/>
              </w:rPr>
              <w:t>副总经理、财务 总监</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日任期届满不再任职，仍担任公司 董事</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日任期届满不再任职</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三、任职情况" w:id="126"/>
      <w:bookmarkEnd w:id="126"/>
      <w:r>
        <w:rPr>
          <w:b w:val="0"/>
          <w:bCs w:val="0"/>
        </w:rPr>
      </w:r>
      <w:r>
        <w:rPr/>
        <w:t>三、任职情况</w:t>
      </w:r>
      <w:r>
        <w:rPr>
          <w:b w:val="0"/>
          <w:bCs w:val="0"/>
        </w:rPr>
      </w:r>
    </w:p>
    <w:p>
      <w:pPr>
        <w:spacing w:line="240" w:lineRule="auto" w:before="3"/>
        <w:rPr>
          <w:rFonts w:ascii="宋体" w:hAnsi="宋体" w:cs="宋体" w:eastAsia="宋体" w:hint="default"/>
          <w:b/>
          <w:bCs/>
          <w:sz w:val="25"/>
          <w:szCs w:val="25"/>
        </w:rPr>
      </w:pPr>
    </w:p>
    <w:p>
      <w:pPr>
        <w:pStyle w:val="BodyText"/>
        <w:spacing w:line="396" w:lineRule="auto"/>
        <w:ind w:right="2954"/>
        <w:jc w:val="left"/>
      </w:pPr>
      <w:r>
        <w:rPr>
          <w:w w:val="95"/>
        </w:rPr>
        <w:t>公司现任董事、监事、高级管理人员专业背景、主要工作经历以及目前在公司的主要职责 </w:t>
      </w:r>
      <w:r>
        <w:rPr>
          <w:spacing w:val="2"/>
          <w:w w:val="95"/>
        </w:rPr>
        <w:t> </w:t>
      </w:r>
      <w:r>
        <w:rPr>
          <w:spacing w:val="2"/>
          <w:w w:val="95"/>
        </w:rPr>
      </w:r>
      <w:r>
        <w:rPr/>
        <w:t>董事：</w:t>
      </w:r>
    </w:p>
    <w:p>
      <w:pPr>
        <w:pStyle w:val="BodyText"/>
        <w:spacing w:line="417" w:lineRule="auto" w:before="76"/>
        <w:ind w:right="1135" w:firstLine="401"/>
        <w:jc w:val="both"/>
      </w:pPr>
      <w:r>
        <w:rPr/>
        <w:t>朱烨东，男，中国国籍，无境外永久居留权，</w:t>
      </w:r>
      <w:r>
        <w:rPr>
          <w:rFonts w:ascii="Times New Roman" w:hAnsi="Times New Roman" w:cs="Times New Roman" w:eastAsia="Times New Roman" w:hint="default"/>
        </w:rPr>
        <w:t>1968</w:t>
      </w:r>
      <w:r>
        <w:rPr/>
        <w:t>年出生。南京理工大学计算机系软件专业学士、北京大</w:t>
      </w:r>
      <w:r>
        <w:rPr>
          <w:w w:val="99"/>
        </w:rPr>
        <w:t> </w:t>
      </w:r>
      <w:r>
        <w:rPr/>
        <w:t>学经济学院金融学硕士、北京大学经济学院政治经济学博士、高级工程师，</w:t>
      </w:r>
      <w:r>
        <w:rPr>
          <w:rFonts w:ascii="Times New Roman" w:hAnsi="Times New Roman" w:cs="Times New Roman" w:eastAsia="Times New Roman" w:hint="default"/>
        </w:rPr>
        <w:t>2007</w:t>
      </w:r>
      <w:r>
        <w:rPr/>
        <w:t>年获得信息产业部计算机信息</w:t>
      </w:r>
      <w:r>
        <w:rPr>
          <w:spacing w:val="-72"/>
        </w:rPr>
        <w:t> </w:t>
      </w:r>
      <w:r>
        <w:rPr>
          <w:spacing w:val="-72"/>
        </w:rPr>
      </w:r>
      <w:r>
        <w:rPr/>
        <w:t>系统集成高级项目经理证书。曾任北京大学北佳公司软件工程师，香港伟仕集团金融事业部总经理，北京奥德</w:t>
      </w:r>
      <w:r>
        <w:rPr>
          <w:spacing w:val="-77"/>
        </w:rPr>
        <w:t> </w:t>
      </w:r>
      <w:r>
        <w:rPr>
          <w:spacing w:val="-77"/>
        </w:rPr>
      </w:r>
      <w:r>
        <w:rPr/>
        <w:t>映真计算机技术有限公司董事、总经理，北京北大青鸟计算机智能技术有限公司董事、总经理等职，现任公司</w:t>
      </w:r>
      <w:r>
        <w:rPr>
          <w:spacing w:val="-77"/>
        </w:rPr>
        <w:t> </w:t>
      </w:r>
      <w:r>
        <w:rPr>
          <w:spacing w:val="-77"/>
        </w:rPr>
      </w:r>
      <w:r>
        <w:rPr/>
        <w:t>董事长。</w:t>
      </w:r>
    </w:p>
    <w:p>
      <w:pPr>
        <w:pStyle w:val="BodyText"/>
        <w:spacing w:line="420" w:lineRule="auto" w:before="58"/>
        <w:ind w:right="1128" w:firstLine="401"/>
        <w:jc w:val="right"/>
      </w:pPr>
      <w:r>
        <w:rPr/>
        <w:t>沈飒，女，中国国籍，无境外永久居留权，</w:t>
      </w:r>
      <w:r>
        <w:rPr>
          <w:rFonts w:ascii="Times New Roman" w:hAnsi="Times New Roman" w:cs="Times New Roman" w:eastAsia="Times New Roman" w:hint="default"/>
        </w:rPr>
        <w:t>1973</w:t>
      </w:r>
      <w:r>
        <w:rPr/>
        <w:t>年出生，北京大学经济学院金融专业硕士，中共党员。曾</w:t>
      </w:r>
      <w:r>
        <w:rPr>
          <w:w w:val="99"/>
        </w:rPr>
        <w:t> </w:t>
      </w:r>
      <w:r>
        <w:rPr/>
        <w:t>任北京奥德映真计算机技术有限公司销售经理、方正奥德集团公司大客户部销售总监、北京北大青鸟计算机智</w:t>
      </w:r>
      <w:r>
        <w:rPr>
          <w:w w:val="99"/>
        </w:rPr>
        <w:t> </w:t>
      </w:r>
      <w:r>
        <w:rPr>
          <w:w w:val="95"/>
        </w:rPr>
        <w:t>能技术有限公司营销副总经理、优利系统（中国）有限公司金融行业销售经理，现任公司副董事长兼总经理。</w:t>
      </w:r>
      <w:r>
        <w:rPr>
          <w:spacing w:val="38"/>
          <w:w w:val="95"/>
        </w:rPr>
        <w:t> </w:t>
      </w:r>
      <w:r>
        <w:rPr>
          <w:spacing w:val="38"/>
          <w:w w:val="95"/>
        </w:rPr>
      </w:r>
      <w:r>
        <w:rPr/>
        <w:t>赵学荣，女，中国国籍，无境外永久居留权，</w:t>
      </w:r>
      <w:r>
        <w:rPr>
          <w:rFonts w:ascii="Times New Roman" w:hAnsi="Times New Roman" w:cs="Times New Roman" w:eastAsia="Times New Roman" w:hint="default"/>
        </w:rPr>
        <w:t>1973</w:t>
      </w:r>
      <w:r>
        <w:rPr/>
        <w:t>年出生，上海交通大学上海高级金融学院</w:t>
      </w:r>
      <w:r>
        <w:rPr>
          <w:rFonts w:ascii="Times New Roman" w:hAnsi="Times New Roman" w:cs="Times New Roman" w:eastAsia="Times New Roman" w:hint="default"/>
        </w:rPr>
        <w:t>EMBA</w:t>
      </w:r>
      <w:r>
        <w:rPr/>
        <w:t>，高级</w:t>
      </w:r>
      <w:r>
        <w:rPr>
          <w:spacing w:val="2"/>
          <w:w w:val="99"/>
        </w:rPr>
        <w:t> </w:t>
      </w:r>
      <w:r>
        <w:rPr/>
        <w:t>会计师。曾任北京伟仕科技发展公司会计、北京奥德映真计算机技术有限公司财务主管、财务部经理、北京北</w:t>
      </w:r>
      <w:r>
        <w:rPr>
          <w:w w:val="99"/>
        </w:rPr>
        <w:t> </w:t>
      </w:r>
      <w:r>
        <w:rPr/>
        <w:t>大青鸟计算机智能技术有限公司财务经理。从事财务管理工作</w:t>
      </w:r>
      <w:r>
        <w:rPr>
          <w:rFonts w:ascii="Times New Roman" w:hAnsi="Times New Roman" w:cs="Times New Roman" w:eastAsia="Times New Roman" w:hint="default"/>
        </w:rPr>
        <w:t>20</w:t>
      </w:r>
      <w:r>
        <w:rPr/>
        <w:t>余年，具有丰富的</w:t>
      </w:r>
      <w:r>
        <w:rPr>
          <w:rFonts w:ascii="Times New Roman" w:hAnsi="Times New Roman" w:cs="Times New Roman" w:eastAsia="Times New Roman" w:hint="default"/>
        </w:rPr>
        <w:t>IT</w:t>
      </w:r>
      <w:r>
        <w:rPr>
          <w:rFonts w:ascii="Times New Roman" w:hAnsi="Times New Roman" w:cs="Times New Roman" w:eastAsia="Times New Roman" w:hint="default"/>
          <w:spacing w:val="-8"/>
        </w:rPr>
        <w:t> </w:t>
      </w:r>
      <w:r>
        <w:rPr/>
        <w:t>类企业财务核算与管理经</w:t>
      </w:r>
    </w:p>
    <w:p>
      <w:pPr>
        <w:pStyle w:val="BodyText"/>
        <w:spacing w:line="429" w:lineRule="auto" w:before="25"/>
        <w:ind w:left="554" w:right="1133" w:hanging="402"/>
        <w:jc w:val="left"/>
      </w:pPr>
      <w:r>
        <w:rPr/>
        <w:t>验。现任公司董事。</w:t>
      </w:r>
      <w:r>
        <w:rPr>
          <w:w w:val="99"/>
        </w:rPr>
        <w:t> </w:t>
      </w:r>
      <w:r>
        <w:rPr/>
        <w:t>汪亮，男，中国国籍，无境外永久居留权，</w:t>
      </w:r>
      <w:r>
        <w:rPr>
          <w:rFonts w:ascii="Times New Roman" w:hAnsi="Times New Roman" w:cs="Times New Roman" w:eastAsia="Times New Roman" w:hint="default"/>
        </w:rPr>
        <w:t>1982</w:t>
      </w:r>
      <w:r>
        <w:rPr/>
        <w:t>年出生。北京城市学院生物计算机专业，大专学历。现任</w:t>
      </w:r>
    </w:p>
    <w:p>
      <w:pPr>
        <w:pStyle w:val="BodyText"/>
        <w:spacing w:line="240" w:lineRule="auto" w:before="16"/>
        <w:ind w:right="1133"/>
        <w:jc w:val="left"/>
      </w:pPr>
      <w:r>
        <w:rPr/>
        <w:t>公司董事兼政府行业总监。</w:t>
      </w:r>
    </w:p>
    <w:p>
      <w:pPr>
        <w:spacing w:line="240" w:lineRule="auto" w:before="10"/>
        <w:rPr>
          <w:rFonts w:ascii="宋体" w:hAnsi="宋体" w:cs="宋体" w:eastAsia="宋体" w:hint="default"/>
          <w:sz w:val="15"/>
          <w:szCs w:val="15"/>
        </w:rPr>
      </w:pPr>
    </w:p>
    <w:p>
      <w:pPr>
        <w:pStyle w:val="BodyText"/>
        <w:spacing w:line="405" w:lineRule="auto"/>
        <w:ind w:right="1016" w:firstLine="401"/>
        <w:jc w:val="left"/>
      </w:pPr>
      <w:r>
        <w:rPr>
          <w:spacing w:val="-4"/>
        </w:rPr>
        <w:t>洪珊，女，中国国籍，无境外永久居留权，</w:t>
      </w:r>
      <w:r>
        <w:rPr>
          <w:rFonts w:ascii="Times New Roman" w:hAnsi="Times New Roman" w:cs="Times New Roman" w:eastAsia="Times New Roman" w:hint="default"/>
          <w:spacing w:val="-4"/>
        </w:rPr>
        <w:t>1981</w:t>
      </w:r>
      <w:r>
        <w:rPr>
          <w:rFonts w:ascii="Times New Roman" w:hAnsi="Times New Roman" w:cs="Times New Roman" w:eastAsia="Times New Roman" w:hint="default"/>
          <w:spacing w:val="-21"/>
        </w:rPr>
        <w:t> </w:t>
      </w:r>
      <w:r>
        <w:rPr/>
        <w:t>年出生，中央财经大学会计硕士研究生毕业，中级会计师。</w:t>
      </w:r>
      <w:r>
        <w:rPr>
          <w:w w:val="99"/>
        </w:rPr>
        <w:t> </w:t>
      </w:r>
      <w:r>
        <w:rPr/>
        <w:t>曾任中瑞岳华会计师事务所审计经理、现任公司董事、副总经理兼财务总监。</w:t>
      </w:r>
    </w:p>
    <w:p>
      <w:pPr>
        <w:pStyle w:val="BodyText"/>
        <w:spacing w:line="240" w:lineRule="auto" w:before="68"/>
        <w:ind w:left="0" w:right="1137"/>
        <w:jc w:val="right"/>
      </w:pPr>
      <w:r>
        <w:rPr/>
        <w:t>赵剑，男，中国国籍，无境外永久居留权，</w:t>
      </w:r>
      <w:r>
        <w:rPr>
          <w:rFonts w:ascii="Times New Roman" w:hAnsi="Times New Roman" w:cs="Times New Roman" w:eastAsia="Times New Roman" w:hint="default"/>
        </w:rPr>
        <w:t>1983</w:t>
      </w:r>
      <w:r>
        <w:rPr/>
        <w:t>年出生，中共党员。中国政法大学法学学士，本科学历。</w:t>
      </w:r>
    </w:p>
    <w:p>
      <w:pPr>
        <w:spacing w:after="0" w:line="240" w:lineRule="auto"/>
        <w:jc w:val="righ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05" w:lineRule="auto"/>
        <w:ind w:right="1133"/>
        <w:jc w:val="left"/>
      </w:pPr>
      <w:r>
        <w:rPr>
          <w:rFonts w:ascii="Times New Roman" w:hAnsi="Times New Roman" w:cs="Times New Roman" w:eastAsia="Times New Roman" w:hint="default"/>
          <w:spacing w:val="-1"/>
          <w:w w:val="95"/>
        </w:rPr>
        <w:t>2016</w:t>
      </w:r>
      <w:r>
        <w:rPr>
          <w:spacing w:val="-1"/>
          <w:w w:val="95"/>
        </w:rPr>
        <w:t>年</w:t>
      </w:r>
      <w:r>
        <w:rPr>
          <w:rFonts w:ascii="Times New Roman" w:hAnsi="Times New Roman" w:cs="Times New Roman" w:eastAsia="Times New Roman" w:hint="default"/>
          <w:spacing w:val="-1"/>
          <w:w w:val="95"/>
        </w:rPr>
        <w:t>12</w:t>
      </w:r>
      <w:r>
        <w:rPr>
          <w:spacing w:val="-1"/>
          <w:w w:val="95"/>
        </w:rPr>
        <w:t>月取得深圳证券交易所颁发的董事会秘书资格证书。曾任北京市金杜律师事务所律师，现任公司董事、</w:t>
      </w:r>
      <w:r>
        <w:rPr>
          <w:spacing w:val="89"/>
          <w:w w:val="95"/>
        </w:rPr>
        <w:t> </w:t>
      </w:r>
      <w:r>
        <w:rPr>
          <w:spacing w:val="89"/>
          <w:w w:val="95"/>
        </w:rPr>
      </w:r>
      <w:r>
        <w:rPr/>
        <w:t>副总经理兼董事会秘书。</w:t>
      </w:r>
    </w:p>
    <w:p>
      <w:pPr>
        <w:pStyle w:val="BodyText"/>
        <w:spacing w:line="405" w:lineRule="auto" w:before="68"/>
        <w:ind w:right="1133" w:firstLine="401"/>
        <w:jc w:val="left"/>
      </w:pPr>
      <w:r>
        <w:rPr>
          <w:spacing w:val="-1"/>
          <w:w w:val="95"/>
        </w:rPr>
        <w:t>顾凌云，男，中国国籍，美国永久居留权，</w:t>
      </w:r>
      <w:r>
        <w:rPr>
          <w:rFonts w:ascii="Times New Roman" w:hAnsi="Times New Roman" w:cs="Times New Roman" w:eastAsia="Times New Roman" w:hint="default"/>
          <w:spacing w:val="-1"/>
          <w:w w:val="95"/>
        </w:rPr>
        <w:t>1976</w:t>
      </w:r>
      <w:r>
        <w:rPr>
          <w:spacing w:val="-1"/>
          <w:w w:val="95"/>
        </w:rPr>
        <w:t>年出生，美国卡内基梅隆大学计算机科学专业，博士学历。</w:t>
      </w:r>
      <w:r>
        <w:rPr>
          <w:spacing w:val="-46"/>
          <w:w w:val="95"/>
        </w:rPr>
        <w:t> </w:t>
      </w:r>
      <w:r>
        <w:rPr>
          <w:spacing w:val="-46"/>
          <w:w w:val="95"/>
        </w:rPr>
      </w:r>
      <w:r>
        <w:rPr/>
        <w:t>曾任</w:t>
      </w:r>
      <w:r>
        <w:rPr>
          <w:rFonts w:ascii="Times New Roman" w:hAnsi="Times New Roman" w:cs="Times New Roman" w:eastAsia="Times New Roman" w:hint="default"/>
        </w:rPr>
        <w:t>IDG</w:t>
      </w:r>
      <w:r>
        <w:rPr/>
        <w:t>资本驻站企业家兼投资顾问，现任上海冰鉴信息科技有限公司董事长兼</w:t>
      </w:r>
      <w:r>
        <w:rPr>
          <w:rFonts w:ascii="Times New Roman" w:hAnsi="Times New Roman" w:cs="Times New Roman" w:eastAsia="Times New Roman" w:hint="default"/>
        </w:rPr>
        <w:t>CEO</w:t>
      </w:r>
      <w:r>
        <w:rPr/>
        <w:t>，兼任公司独立董事。</w:t>
      </w:r>
    </w:p>
    <w:p>
      <w:pPr>
        <w:pStyle w:val="BodyText"/>
        <w:spacing w:line="420" w:lineRule="auto" w:before="38"/>
        <w:ind w:right="1137" w:firstLine="401"/>
        <w:jc w:val="both"/>
      </w:pPr>
      <w:r>
        <w:rPr/>
        <w:t>刘书锦，男，中国国籍，无境外永久居留权，</w:t>
      </w:r>
      <w:r>
        <w:rPr>
          <w:rFonts w:ascii="Times New Roman" w:hAnsi="Times New Roman" w:cs="Times New Roman" w:eastAsia="Times New Roman" w:hint="default"/>
        </w:rPr>
        <w:t>1969</w:t>
      </w:r>
      <w:r>
        <w:rPr/>
        <w:t>年出生。厦门大学会计学硕士，注册会计师，注册资产</w:t>
      </w:r>
      <w:r>
        <w:rPr>
          <w:w w:val="99"/>
        </w:rPr>
        <w:t> </w:t>
      </w:r>
      <w:r>
        <w:rPr/>
        <w:t>评估师。历任甘肃会计师事务所项目经理；甘肃证券公司投资银行部高级经理；海通证券有限公司投资银行总</w:t>
      </w:r>
      <w:r>
        <w:rPr>
          <w:spacing w:val="-77"/>
        </w:rPr>
        <w:t> </w:t>
      </w:r>
      <w:r>
        <w:rPr>
          <w:spacing w:val="-77"/>
        </w:rPr>
      </w:r>
      <w:r>
        <w:rPr/>
        <w:t>部融资八部部门经理；长城证券有限责任公司投资银行事业部总经理助理，杭州营业部总经理；联合证券有限</w:t>
      </w:r>
      <w:r>
        <w:rPr>
          <w:spacing w:val="-77"/>
        </w:rPr>
        <w:t> </w:t>
      </w:r>
      <w:r>
        <w:rPr>
          <w:spacing w:val="-77"/>
        </w:rPr>
      </w:r>
      <w:r>
        <w:rPr/>
        <w:t>责任公司销售交易部副总经理；第一创业证券有限责任公司质量控制部执行董事，副总经理；太平洋证券股份</w:t>
      </w:r>
      <w:r>
        <w:rPr>
          <w:spacing w:val="-77"/>
        </w:rPr>
        <w:t> </w:t>
      </w:r>
      <w:r>
        <w:rPr>
          <w:spacing w:val="-77"/>
        </w:rPr>
      </w:r>
      <w:r>
        <w:rPr>
          <w:spacing w:val="-2"/>
        </w:rPr>
        <w:t>有限公司投资银行总部</w:t>
      </w:r>
      <w:r>
        <w:rPr>
          <w:rFonts w:ascii="Times New Roman" w:hAnsi="Times New Roman" w:cs="Times New Roman" w:eastAsia="Times New Roman" w:hint="default"/>
          <w:spacing w:val="-2"/>
        </w:rPr>
        <w:t>(</w:t>
      </w:r>
      <w:r>
        <w:rPr>
          <w:spacing w:val="-2"/>
        </w:rPr>
        <w:t>深圳</w:t>
      </w:r>
      <w:r>
        <w:rPr>
          <w:rFonts w:ascii="Times New Roman" w:hAnsi="Times New Roman" w:cs="Times New Roman" w:eastAsia="Times New Roman" w:hint="default"/>
          <w:spacing w:val="-2"/>
        </w:rPr>
        <w:t>)</w:t>
      </w:r>
      <w:r>
        <w:rPr>
          <w:spacing w:val="-2"/>
        </w:rPr>
        <w:t>执行总经理；新时代证券股份有限公司投资银行总部董事总经理。现任华林证券股</w:t>
      </w:r>
      <w:r>
        <w:rPr>
          <w:w w:val="99"/>
        </w:rPr>
        <w:t> </w:t>
      </w:r>
      <w:r>
        <w:rPr/>
        <w:t>份有限公司投资银行事业部董事总经理，兼任公司独立董事。</w:t>
      </w:r>
    </w:p>
    <w:p>
      <w:pPr>
        <w:pStyle w:val="BodyText"/>
        <w:spacing w:line="412" w:lineRule="auto" w:before="56"/>
        <w:ind w:right="1134" w:firstLine="401"/>
        <w:jc w:val="both"/>
      </w:pPr>
      <w:r>
        <w:rPr/>
        <w:t>季成，男，中国国籍，无境外永久居留权，</w:t>
      </w:r>
      <w:r>
        <w:rPr>
          <w:rFonts w:ascii="Times New Roman" w:hAnsi="Times New Roman" w:cs="Times New Roman" w:eastAsia="Times New Roman" w:hint="default"/>
        </w:rPr>
        <w:t>1975</w:t>
      </w:r>
      <w:r>
        <w:rPr>
          <w:rFonts w:ascii="Times New Roman" w:hAnsi="Times New Roman" w:cs="Times New Roman" w:eastAsia="Times New Roman" w:hint="default"/>
          <w:spacing w:val="-14"/>
        </w:rPr>
        <w:t> </w:t>
      </w:r>
      <w:r>
        <w:rPr/>
        <w:t>年出生，致公党员。毕业于中国政法大学，本科学历。曾</w:t>
      </w:r>
      <w:r>
        <w:rPr>
          <w:w w:val="99"/>
        </w:rPr>
        <w:t> </w:t>
      </w:r>
      <w:r>
        <w:rPr/>
        <w:t>任平安保险股份有限公司陕西分公司法务经理；北京电风文化发展有限公司业务经理；德衡律师集团（北京）</w:t>
      </w:r>
      <w:r>
        <w:rPr>
          <w:spacing w:val="-77"/>
        </w:rPr>
        <w:t> </w:t>
      </w:r>
      <w:r>
        <w:rPr>
          <w:spacing w:val="-77"/>
        </w:rPr>
      </w:r>
      <w:r>
        <w:rPr>
          <w:spacing w:val="-2"/>
        </w:rPr>
        <w:t>律师事务所律师，现任北京德和衡律师事务所高级合伙人，全球精品律所联盟（</w:t>
      </w:r>
      <w:r>
        <w:rPr>
          <w:rFonts w:ascii="Times New Roman" w:hAnsi="Times New Roman" w:cs="Times New Roman" w:eastAsia="Times New Roman" w:hint="default"/>
          <w:spacing w:val="-2"/>
        </w:rPr>
        <w:t>EGLA</w:t>
      </w:r>
      <w:r>
        <w:rPr>
          <w:spacing w:val="-2"/>
        </w:rPr>
        <w:t>）执行主席，兼任公司独</w:t>
      </w:r>
      <w:r>
        <w:rPr>
          <w:w w:val="99"/>
        </w:rPr>
        <w:t> </w:t>
      </w:r>
      <w:r>
        <w:rPr/>
        <w:t>立董事。</w:t>
      </w:r>
    </w:p>
    <w:p>
      <w:pPr>
        <w:pStyle w:val="BodyText"/>
        <w:spacing w:line="240" w:lineRule="auto" w:before="62"/>
        <w:ind w:right="1133"/>
        <w:jc w:val="left"/>
      </w:pPr>
      <w:r>
        <w:rPr/>
        <w:t>监事：</w:t>
      </w:r>
    </w:p>
    <w:p>
      <w:pPr>
        <w:spacing w:line="240" w:lineRule="auto" w:before="10"/>
        <w:rPr>
          <w:rFonts w:ascii="宋体" w:hAnsi="宋体" w:cs="宋体" w:eastAsia="宋体" w:hint="default"/>
          <w:sz w:val="15"/>
          <w:szCs w:val="15"/>
        </w:rPr>
      </w:pPr>
    </w:p>
    <w:p>
      <w:pPr>
        <w:pStyle w:val="BodyText"/>
        <w:spacing w:line="405" w:lineRule="auto"/>
        <w:ind w:right="1135" w:firstLine="401"/>
        <w:jc w:val="both"/>
      </w:pPr>
      <w:r>
        <w:rPr/>
        <w:t>孙昕，男，中国国籍，无境外永久居留权，</w:t>
      </w:r>
      <w:r>
        <w:rPr>
          <w:rFonts w:ascii="Times New Roman" w:hAnsi="Times New Roman" w:cs="Times New Roman" w:eastAsia="Times New Roman" w:hint="default"/>
        </w:rPr>
        <w:t>1975</w:t>
      </w:r>
      <w:r>
        <w:rPr>
          <w:rFonts w:ascii="Times New Roman" w:hAnsi="Times New Roman" w:cs="Times New Roman" w:eastAsia="Times New Roman" w:hint="default"/>
          <w:spacing w:val="-15"/>
        </w:rPr>
        <w:t> </w:t>
      </w:r>
      <w:r>
        <w:rPr/>
        <w:t>年出生。毕业于北京航空航天大学网络信息安全专业，硕</w:t>
      </w:r>
      <w:r>
        <w:rPr>
          <w:w w:val="99"/>
        </w:rPr>
        <w:t> </w:t>
      </w:r>
      <w:r>
        <w:rPr/>
        <w:t>士学位。现任公司</w:t>
      </w:r>
      <w:r>
        <w:rPr>
          <w:rFonts w:ascii="Times New Roman" w:hAnsi="Times New Roman" w:cs="Times New Roman" w:eastAsia="Times New Roman" w:hint="default"/>
        </w:rPr>
        <w:t>RPA</w:t>
      </w:r>
      <w:r>
        <w:rPr/>
        <w:t>事业部总经理。</w:t>
      </w:r>
    </w:p>
    <w:p>
      <w:pPr>
        <w:pStyle w:val="BodyText"/>
        <w:spacing w:line="405" w:lineRule="auto" w:before="38"/>
        <w:ind w:right="1137" w:firstLine="401"/>
        <w:jc w:val="both"/>
      </w:pPr>
      <w:r>
        <w:rPr/>
        <w:t>郭通，男，中国国籍，无境外永久居留权，</w:t>
      </w:r>
      <w:r>
        <w:rPr>
          <w:rFonts w:ascii="Times New Roman" w:hAnsi="Times New Roman" w:cs="Times New Roman" w:eastAsia="Times New Roman" w:hint="default"/>
        </w:rPr>
        <w:t>1979</w:t>
      </w:r>
      <w:r>
        <w:rPr/>
        <w:t>年出生。哈尔滨工业大学计算机及应用专业学士、高级工</w:t>
      </w:r>
      <w:r>
        <w:rPr>
          <w:w w:val="99"/>
        </w:rPr>
        <w:t> </w:t>
      </w:r>
      <w:r>
        <w:rPr/>
        <w:t>程师，</w:t>
      </w:r>
      <w:r>
        <w:rPr>
          <w:rFonts w:ascii="Times New Roman" w:hAnsi="Times New Roman" w:cs="Times New Roman" w:eastAsia="Times New Roman" w:hint="default"/>
        </w:rPr>
        <w:t>2006</w:t>
      </w:r>
      <w:r>
        <w:rPr/>
        <w:t>年获得信息产业部计算机信息系统集成项目经理证书。曾任北京联想集团有限公司高性能服务器事</w:t>
      </w:r>
      <w:r>
        <w:rPr>
          <w:spacing w:val="-77"/>
        </w:rPr>
        <w:t> </w:t>
      </w:r>
      <w:r>
        <w:rPr>
          <w:spacing w:val="-77"/>
        </w:rPr>
      </w:r>
      <w:r>
        <w:rPr/>
        <w:t>业部技术支持工程师，现任公司</w:t>
      </w:r>
      <w:r>
        <w:rPr>
          <w:rFonts w:ascii="Times New Roman" w:hAnsi="Times New Roman" w:cs="Times New Roman" w:eastAsia="Times New Roman" w:hint="default"/>
        </w:rPr>
        <w:t>IT</w:t>
      </w:r>
      <w:r>
        <w:rPr/>
        <w:t>服务实施部经理。</w:t>
      </w:r>
    </w:p>
    <w:p>
      <w:pPr>
        <w:pStyle w:val="BodyText"/>
        <w:spacing w:line="417" w:lineRule="auto" w:before="38"/>
        <w:ind w:right="982" w:firstLine="401"/>
        <w:jc w:val="left"/>
      </w:pPr>
      <w:r>
        <w:rPr/>
        <w:t>张旭，男，中国国籍，无境外永久居留权，</w:t>
      </w:r>
      <w:r>
        <w:rPr>
          <w:rFonts w:ascii="Times New Roman" w:hAnsi="Times New Roman" w:cs="Times New Roman" w:eastAsia="Times New Roman" w:hint="default"/>
        </w:rPr>
        <w:t>1976</w:t>
      </w:r>
      <w:r>
        <w:rPr>
          <w:rFonts w:ascii="Times New Roman" w:hAnsi="Times New Roman" w:cs="Times New Roman" w:eastAsia="Times New Roman" w:hint="default"/>
          <w:spacing w:val="8"/>
        </w:rPr>
        <w:t> </w:t>
      </w:r>
      <w:r>
        <w:rPr/>
        <w:t>年出生。西安电子科技大学学士学位，大学本科学历。曾</w:t>
      </w:r>
      <w:r>
        <w:rPr>
          <w:w w:val="99"/>
        </w:rPr>
        <w:t> </w:t>
      </w:r>
      <w:r>
        <w:rPr>
          <w:spacing w:val="-1"/>
          <w:w w:val="95"/>
        </w:rPr>
        <w:t>任西安未来国际信息股份有限公司软件工程师、项目经理，北京弘远新世纪科技有限公司售前经理、项目经理、</w:t>
      </w:r>
      <w:r>
        <w:rPr>
          <w:spacing w:val="85"/>
          <w:w w:val="95"/>
        </w:rPr>
        <w:t> </w:t>
      </w:r>
      <w:r>
        <w:rPr>
          <w:spacing w:val="85"/>
          <w:w w:val="95"/>
        </w:rPr>
      </w:r>
      <w:r>
        <w:rPr/>
        <w:t>部门经理等职务，现任公司</w:t>
      </w:r>
      <w:r>
        <w:rPr>
          <w:rFonts w:ascii="Times New Roman" w:hAnsi="Times New Roman" w:cs="Times New Roman" w:eastAsia="Times New Roman" w:hint="default"/>
        </w:rPr>
        <w:t>IT</w:t>
      </w:r>
      <w:r>
        <w:rPr/>
        <w:t>服务实施事业部经理。</w:t>
      </w:r>
    </w:p>
    <w:p>
      <w:pPr>
        <w:pStyle w:val="BodyText"/>
        <w:spacing w:line="429" w:lineRule="auto" w:before="28"/>
        <w:ind w:left="554" w:right="5352" w:hanging="402"/>
        <w:jc w:val="left"/>
      </w:pPr>
      <w:r>
        <w:rPr/>
        <w:t>高级管理人员：</w:t>
      </w:r>
      <w:r>
        <w:rPr>
          <w:w w:val="99"/>
        </w:rPr>
        <w:t> </w:t>
      </w:r>
      <w:r>
        <w:rPr/>
        <w:t>沈飒，现任公司副董事长、总经理，简历同上。</w:t>
      </w:r>
      <w:r>
        <w:rPr>
          <w:w w:val="99"/>
        </w:rPr>
        <w:t> </w:t>
      </w:r>
      <w:r>
        <w:rPr/>
        <w:t>洪珊，现任公司董事、副总经理兼财务总监，简历同上。</w:t>
      </w:r>
    </w:p>
    <w:p>
      <w:pPr>
        <w:pStyle w:val="BodyText"/>
        <w:spacing w:line="429" w:lineRule="auto" w:before="48"/>
        <w:ind w:left="554" w:right="1133"/>
        <w:jc w:val="left"/>
      </w:pPr>
      <w:r>
        <w:rPr/>
        <w:t>赵剑，现任公司董事、副总经理兼董事会秘书，简历同上。</w:t>
      </w:r>
      <w:r>
        <w:rPr>
          <w:w w:val="99"/>
        </w:rPr>
        <w:t> </w:t>
      </w:r>
      <w:r>
        <w:rPr/>
        <w:t>王之瑜，男，中国国籍，无境外永久居留权，</w:t>
      </w:r>
      <w:r>
        <w:rPr>
          <w:rFonts w:ascii="Times New Roman" w:hAnsi="Times New Roman" w:cs="Times New Roman" w:eastAsia="Times New Roman" w:hint="default"/>
        </w:rPr>
        <w:t>1976</w:t>
      </w:r>
      <w:r>
        <w:rPr/>
        <w:t>年出生。沈阳大学，本科学历。曾任北京网新易尚科技</w:t>
      </w:r>
    </w:p>
    <w:p>
      <w:pPr>
        <w:pStyle w:val="BodyText"/>
        <w:spacing w:line="429" w:lineRule="auto" w:before="16"/>
        <w:ind w:left="554" w:right="1133" w:hanging="402"/>
        <w:jc w:val="left"/>
      </w:pPr>
      <w:r>
        <w:rPr/>
        <w:t>有限公司沈阳办事处经理，现任公司副总经理。</w:t>
      </w:r>
      <w:r>
        <w:rPr>
          <w:w w:val="99"/>
        </w:rPr>
        <w:t> </w:t>
      </w:r>
      <w:r>
        <w:rPr>
          <w:w w:val="95"/>
        </w:rPr>
        <w:t>路一名，男，中国国籍，无境外永久居留权，</w:t>
      </w:r>
      <w:r>
        <w:rPr>
          <w:rFonts w:ascii="Times New Roman" w:hAnsi="Times New Roman" w:cs="Times New Roman" w:eastAsia="Times New Roman" w:hint="default"/>
          <w:w w:val="95"/>
        </w:rPr>
        <w:t>1983</w:t>
      </w:r>
      <w:r>
        <w:rPr>
          <w:w w:val="95"/>
        </w:rPr>
        <w:t>年出生。黑龙江工程学院，本科学历。曾任同方知网</w:t>
      </w:r>
      <w:r>
        <w:rPr>
          <w:rFonts w:ascii="Times New Roman" w:hAnsi="Times New Roman" w:cs="Times New Roman" w:eastAsia="Times New Roman" w:hint="default"/>
          <w:w w:val="95"/>
        </w:rPr>
        <w:t>(</w:t>
      </w:r>
      <w:r>
        <w:rPr>
          <w:w w:val="95"/>
        </w:rPr>
        <w:t>北</w:t>
      </w:r>
      <w:r>
        <w:rPr/>
      </w:r>
    </w:p>
    <w:p>
      <w:pPr>
        <w:spacing w:after="0" w:line="429"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right="1133"/>
        <w:jc w:val="left"/>
      </w:pPr>
      <w:r>
        <w:rPr/>
        <w:t>京</w:t>
      </w:r>
      <w:r>
        <w:rPr>
          <w:rFonts w:ascii="Times New Roman" w:hAnsi="Times New Roman" w:cs="Times New Roman" w:eastAsia="Times New Roman" w:hint="default"/>
        </w:rPr>
        <w:t>)</w:t>
      </w:r>
      <w:r>
        <w:rPr/>
        <w:t>技术有限公司销售总监，现任公司副总经理。</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40" w:lineRule="auto"/>
        <w:ind w:right="1133"/>
        <w:jc w:val="left"/>
      </w:pPr>
      <w:r>
        <w:rPr/>
        <w:t>在股东单位任职情况</w:t>
      </w:r>
    </w:p>
    <w:p>
      <w:pPr>
        <w:pStyle w:val="BodyText"/>
        <w:spacing w:line="304" w:lineRule="auto" w:before="88"/>
        <w:ind w:right="89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不适用</w:t>
      </w:r>
      <w:r>
        <w:rPr>
          <w:w w:val="99"/>
        </w:rPr>
        <w:t> </w:t>
      </w:r>
      <w:r>
        <w:rPr/>
        <w:t>在其他单位任职情况</w:t>
      </w:r>
    </w:p>
    <w:p>
      <w:pPr>
        <w:pStyle w:val="BodyText"/>
        <w:spacing w:line="240" w:lineRule="auto" w:before="3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t>不适用</w:t>
      </w:r>
    </w:p>
    <w:p>
      <w:pPr>
        <w:spacing w:line="240" w:lineRule="auto" w:before="3"/>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朱烨东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北京盛贸智博投资有限公司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朱烨东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北京坤洲投资管理有限公司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朱烨东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北京合伙时代咨询有限公司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朱烨东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广州众鑫智达科技有限公司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朱烨东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安粮期货股份有限公司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朱烨东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中科环嘉电子商务有限公司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朱烨东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北京中关村互联网金融信息服务中心有 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朱烨东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北京中科弘仪信息科技服务有限公司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朱烨东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天津赋能时代科技咨询有限公司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北京盛贸智博投资有限公司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北京坤洲投资管理有限公司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安粮期货股份有限公司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中科环嘉电子商务有限公司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天津赋能时代科技咨询有限公司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赵学荣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大连金融资产交易所有限公司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大连金融资产交易所有限公司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安粮期货股份有限公司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刘书锦</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华林证券股份有限公司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投资银行事 业部董事总 经理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刘书锦</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陕西金叶科教集团股份有限公司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刘书锦</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吉林成城集团股份有限公司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刘书锦</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惠州中京电子科技股份有限公司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刘书锦</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深圳安奈儿股份有限公司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季成</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北京德和衡律师事务所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高级合伙人</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顾凌云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上海冰鉴信息科技有限公司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董事兼总经 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顾凌云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上海冰鉴企业征信服务有限公司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董事兼总经 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顾凌云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北京冰鉴信息科技有限公司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董事兼总经 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顾凌云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成都冰鉴信息科技有限公司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董事兼总经 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顾凌云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南京冰鉴信息科技有限公司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董事兼总经 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顾凌云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常州冰鉴信息科技有限公司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董事兼总经 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顾凌云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南京本立道生数据科技有限公司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董事兼总经 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顾凌云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成都量化金服大数据技术服务有限公司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顾凌云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南京锐驰鼎欣科技股份有限公司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33"/>
        <w:ind w:right="0"/>
        <w:jc w:val="both"/>
      </w:pPr>
      <w:r>
        <w:rPr/>
        <w:t>公司现任及报告期内离任董事、监事和高级管理人员近三年证券监管机构处罚的情况</w:t>
      </w:r>
    </w:p>
    <w:p>
      <w:pPr>
        <w:pStyle w:val="BodyText"/>
        <w:spacing w:line="240" w:lineRule="auto" w:before="88"/>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5"/>
        <w:rPr>
          <w:rFonts w:ascii="宋体" w:hAnsi="宋体" w:cs="宋体" w:eastAsia="宋体" w:hint="default"/>
          <w:sz w:val="23"/>
          <w:szCs w:val="23"/>
        </w:rPr>
      </w:pPr>
    </w:p>
    <w:p>
      <w:pPr>
        <w:pStyle w:val="Heading2"/>
        <w:spacing w:line="240" w:lineRule="auto"/>
        <w:ind w:right="0"/>
        <w:jc w:val="both"/>
        <w:rPr>
          <w:b w:val="0"/>
          <w:bCs w:val="0"/>
        </w:rPr>
      </w:pPr>
      <w:bookmarkStart w:name="四、董事、监事、高级管理人员报酬情况" w:id="127"/>
      <w:bookmarkEnd w:id="127"/>
      <w:r>
        <w:rPr>
          <w:b w:val="0"/>
          <w:bCs w:val="0"/>
        </w:rPr>
      </w:r>
      <w:r>
        <w:rPr/>
        <w:t>四、董事、监事、高级管理人员报酬情况</w:t>
      </w:r>
      <w:r>
        <w:rPr>
          <w:b w:val="0"/>
          <w:bCs w:val="0"/>
        </w:rPr>
      </w:r>
    </w:p>
    <w:p>
      <w:pPr>
        <w:spacing w:line="240" w:lineRule="auto" w:before="3"/>
        <w:rPr>
          <w:rFonts w:ascii="宋体" w:hAnsi="宋体" w:cs="宋体" w:eastAsia="宋体" w:hint="default"/>
          <w:b/>
          <w:bCs/>
          <w:sz w:val="25"/>
          <w:szCs w:val="25"/>
        </w:rPr>
      </w:pPr>
    </w:p>
    <w:p>
      <w:pPr>
        <w:pStyle w:val="BodyText"/>
        <w:spacing w:line="393" w:lineRule="auto"/>
        <w:ind w:left="554" w:right="1133" w:hanging="402"/>
        <w:jc w:val="left"/>
      </w:pPr>
      <w:r>
        <w:rPr/>
        <w:t>董事、监事、高级管理人员报酬的决策程序、确定依据、实际支付情况</w:t>
      </w:r>
      <w:r>
        <w:rPr>
          <w:w w:val="99"/>
        </w:rPr>
        <w:t> </w:t>
      </w:r>
      <w:r>
        <w:rPr/>
        <w:t>高级管理人员报酬由董事会薪酬与考核委员会提出方案，经董事会审议通过后方可实施；董事的报酬由董</w:t>
      </w:r>
    </w:p>
    <w:p>
      <w:pPr>
        <w:pStyle w:val="BodyText"/>
        <w:spacing w:line="429" w:lineRule="auto" w:before="78"/>
        <w:ind w:right="1142"/>
        <w:jc w:val="both"/>
      </w:pPr>
      <w:r>
        <w:rPr/>
        <w:t>事会薪酬与考核委员会提出方案，经董事会审议通过后，报送股东大会审议通过方可实施，兼任管理职务的董</w:t>
      </w:r>
      <w:r>
        <w:rPr>
          <w:spacing w:val="-77"/>
        </w:rPr>
        <w:t> </w:t>
      </w:r>
      <w:r>
        <w:rPr>
          <w:spacing w:val="-77"/>
        </w:rPr>
      </w:r>
      <w:r>
        <w:rPr/>
        <w:t>事，仅领取管理职务薪酬，无董事职务薪酬；监事的报酬由监事会提出方案，经股东大会通过后方可实施，职</w:t>
      </w:r>
      <w:r>
        <w:rPr>
          <w:spacing w:val="-77"/>
        </w:rPr>
        <w:t> </w:t>
      </w:r>
      <w:r>
        <w:rPr>
          <w:spacing w:val="-77"/>
        </w:rPr>
      </w:r>
      <w:r>
        <w:rPr/>
        <w:t>工代表监事和兼任管理职务的监事，仅领取管理职务薪酬，无监事职务薪酬。</w:t>
      </w:r>
    </w:p>
    <w:p>
      <w:pPr>
        <w:pStyle w:val="BodyText"/>
        <w:spacing w:line="429" w:lineRule="auto" w:before="48"/>
        <w:ind w:right="1133" w:firstLine="401"/>
        <w:jc w:val="left"/>
      </w:pPr>
      <w:r>
        <w:rPr/>
        <w:t>确定依据：董事、监事及高级管理人员的报酬根据岗位的主要范围、职责、重要性、其它相关企业相关岗</w:t>
      </w:r>
      <w:r>
        <w:rPr>
          <w:w w:val="99"/>
        </w:rPr>
        <w:t> </w:t>
      </w:r>
      <w:r>
        <w:rPr/>
        <w:t>位的薪酬水平、履职情况、绩效考核结果和公司经营业绩的情况确定。</w:t>
      </w:r>
    </w:p>
    <w:p>
      <w:pPr>
        <w:spacing w:after="0" w:line="429" w:lineRule="auto"/>
        <w:jc w:val="left"/>
        <w:sectPr>
          <w:pgSz w:w="11910" w:h="16840"/>
          <w:pgMar w:header="745" w:footer="980" w:top="1060" w:bottom="1160" w:left="980" w:right="0"/>
        </w:sectPr>
      </w:pPr>
    </w:p>
    <w:p>
      <w:pPr>
        <w:pStyle w:val="BodyText"/>
        <w:spacing w:line="240" w:lineRule="auto" w:before="10"/>
        <w:ind w:right="0"/>
        <w:jc w:val="left"/>
      </w:pPr>
      <w:r>
        <w:rPr>
          <w:w w:val="95"/>
        </w:rPr>
        <w:t>公司报告期内董事、监事和高级管理人员报酬情况</w:t>
      </w:r>
      <w:r>
        <w:rPr/>
      </w:r>
    </w:p>
    <w:p>
      <w:pPr>
        <w:spacing w:line="240" w:lineRule="auto" w:before="0"/>
        <w:rPr>
          <w:rFonts w:ascii="宋体" w:hAnsi="宋体" w:cs="宋体" w:eastAsia="宋体" w:hint="default"/>
          <w:sz w:val="18"/>
          <w:szCs w:val="18"/>
        </w:rPr>
      </w:pPr>
      <w:r>
        <w:rPr/>
        <w:br w:type="column"/>
      </w:r>
      <w:r>
        <w:rPr>
          <w:rFonts w:ascii="宋体"/>
          <w:sz w:val="18"/>
        </w:rPr>
      </w:r>
    </w:p>
    <w:p>
      <w:pPr>
        <w:spacing w:before="141"/>
        <w:ind w:left="15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549" w:space="4192"/>
            <w:col w:w="2189"/>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朱烨东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副董事长、总经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赵学荣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贺岩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汪亮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68.27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刘开同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董事、副总经理 兼财务总监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董事、副总经理 兼董事会秘书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白涛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赵燕</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顾凌云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刘书锦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季成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孙昕</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司苗珍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95.85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王之瑜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98.51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路一名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116.96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820.21</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33"/>
        <w:ind w:right="1133"/>
        <w:jc w:val="left"/>
      </w:pPr>
      <w:r>
        <w:rPr/>
        <w:t>公司董事、高级管理人员报告期内被授予的股权激励情况</w:t>
      </w:r>
    </w:p>
    <w:p>
      <w:pPr>
        <w:spacing w:line="496" w:lineRule="auto" w:before="91"/>
        <w:ind w:left="152" w:right="7436" w:firstLine="0"/>
        <w:jc w:val="left"/>
        <w:rPr>
          <w:rFonts w:ascii="宋体" w:hAnsi="宋体" w:cs="宋体" w:eastAsia="宋体" w:hint="default"/>
          <w:sz w:val="21"/>
          <w:szCs w:val="21"/>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 </w:t>
      </w:r>
      <w:r>
        <w:rPr>
          <w:rFonts w:ascii="Times New Roman" w:hAnsi="Times New Roman" w:cs="Times New Roman" w:eastAsia="Times New Roman" w:hint="default"/>
          <w:sz w:val="20"/>
          <w:szCs w:val="20"/>
        </w:rPr>
        <w:t>√ </w:t>
      </w:r>
      <w:r>
        <w:rPr>
          <w:rFonts w:ascii="宋体" w:hAnsi="宋体" w:cs="宋体" w:eastAsia="宋体" w:hint="default"/>
          <w:sz w:val="20"/>
          <w:szCs w:val="20"/>
        </w:rPr>
        <w:t>不适用</w:t>
      </w:r>
      <w:r>
        <w:rPr>
          <w:rFonts w:ascii="宋体" w:hAnsi="宋体" w:cs="宋体" w:eastAsia="宋体" w:hint="default"/>
          <w:w w:val="99"/>
          <w:sz w:val="20"/>
          <w:szCs w:val="20"/>
        </w:rPr>
        <w:t> </w:t>
      </w:r>
      <w:bookmarkStart w:name="五、公司员工情况" w:id="128"/>
      <w:bookmarkEnd w:id="128"/>
      <w:r>
        <w:rPr>
          <w:rFonts w:ascii="宋体" w:hAnsi="宋体" w:cs="宋体" w:eastAsia="宋体" w:hint="default"/>
          <w:w w:val="99"/>
          <w:sz w:val="20"/>
          <w:szCs w:val="20"/>
        </w:rPr>
      </w:r>
      <w:r>
        <w:rPr>
          <w:rFonts w:ascii="宋体" w:hAnsi="宋体" w:cs="宋体" w:eastAsia="宋体" w:hint="default"/>
          <w:b/>
          <w:bCs/>
          <w:sz w:val="24"/>
          <w:szCs w:val="24"/>
        </w:rPr>
        <w:t>五、公司员工情况</w:t>
      </w:r>
      <w:r>
        <w:rPr>
          <w:rFonts w:ascii="宋体" w:hAnsi="宋体" w:cs="宋体" w:eastAsia="宋体" w:hint="default"/>
          <w:b/>
          <w:bCs/>
          <w:w w:val="99"/>
          <w:sz w:val="24"/>
          <w:szCs w:val="24"/>
        </w:rPr>
        <w:t> </w:t>
      </w:r>
      <w:bookmarkStart w:name="1、员工数量、专业构成及教育程度" w:id="129"/>
      <w:bookmarkEnd w:id="129"/>
      <w:r>
        <w:rPr>
          <w:rFonts w:ascii="宋体" w:hAnsi="宋体" w:cs="宋体" w:eastAsia="宋体" w:hint="default"/>
          <w:b/>
          <w:bCs/>
          <w:w w:val="99"/>
          <w:sz w:val="24"/>
          <w:szCs w:val="24"/>
        </w:rPr>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、员工数量、专业构成及教育程度</w:t>
      </w:r>
      <w:r>
        <w:rPr>
          <w:rFonts w:ascii="宋体" w:hAnsi="宋体" w:cs="宋体" w:eastAsia="宋体" w:hint="default"/>
          <w:spacing w:val="-1"/>
          <w:sz w:val="21"/>
          <w:szCs w:val="21"/>
        </w:rPr>
      </w:r>
    </w:p>
    <w:p>
      <w:pPr>
        <w:spacing w:line="240" w:lineRule="auto" w:before="9"/>
        <w:rPr>
          <w:rFonts w:ascii="宋体" w:hAnsi="宋体" w:cs="宋体" w:eastAsia="宋体" w:hint="default"/>
          <w:b/>
          <w:bCs/>
          <w:sz w:val="6"/>
          <w:szCs w:val="6"/>
        </w:rPr>
      </w:pPr>
    </w:p>
    <w:tbl>
      <w:tblPr>
        <w:tblW w:w="0" w:type="auto"/>
        <w:jc w:val="left"/>
        <w:tblInd w:w="160" w:type="dxa"/>
        <w:tblLayout w:type="fixed"/>
        <w:tblCellMar>
          <w:top w:w="0" w:type="dxa"/>
          <w:left w:w="0" w:type="dxa"/>
          <w:bottom w:w="0" w:type="dxa"/>
          <w:right w:w="0" w:type="dxa"/>
        </w:tblCellMar>
        <w:tblLook w:val="01E0"/>
      </w:tblPr>
      <w:tblGrid>
        <w:gridCol w:w="4767"/>
        <w:gridCol w:w="4791"/>
      </w:tblGrid>
      <w:tr>
        <w:trPr>
          <w:trHeight w:val="403"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747</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289</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1,036</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1,036</w:t>
            </w:r>
          </w:p>
        </w:tc>
      </w:tr>
      <w:tr>
        <w:trPr>
          <w:trHeight w:val="408"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4"/>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1"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79"/>
        <w:gridCol w:w="4792"/>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w:t>
            </w: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1,036</w:t>
            </w:r>
          </w:p>
        </w:tc>
      </w:tr>
      <w:tr>
        <w:trPr>
          <w:trHeight w:val="39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9"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r>
        <w:trPr>
          <w:trHeight w:val="404"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47</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611</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342</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中高职及以下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1,036</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bookmarkStart w:name="2、薪酬政策" w:id="130"/>
      <w:bookmarkEnd w:id="130"/>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2"/>
        <w:rPr>
          <w:rFonts w:ascii="宋体" w:hAnsi="宋体" w:cs="宋体" w:eastAsia="宋体" w:hint="default"/>
          <w:b/>
          <w:bCs/>
          <w:sz w:val="31"/>
          <w:szCs w:val="31"/>
        </w:rPr>
      </w:pPr>
    </w:p>
    <w:p>
      <w:pPr>
        <w:pStyle w:val="BodyText"/>
        <w:spacing w:line="417" w:lineRule="auto"/>
        <w:ind w:right="1124" w:firstLine="401"/>
        <w:jc w:val="both"/>
      </w:pPr>
      <w:r>
        <w:rPr/>
        <w:t>公司实行中科金财多层级合伙人经营责任制，让全体员工参与经营管理，实现</w:t>
      </w:r>
      <w:r>
        <w:rPr>
          <w:rFonts w:ascii="Times New Roman" w:hAnsi="Times New Roman" w:cs="Times New Roman" w:eastAsia="Times New Roman" w:hint="default"/>
        </w:rPr>
        <w:t>“</w:t>
      </w:r>
      <w:r>
        <w:rPr/>
        <w:t>全员参与</w:t>
      </w:r>
      <w:r>
        <w:rPr>
          <w:rFonts w:ascii="Times New Roman" w:hAnsi="Times New Roman" w:cs="Times New Roman" w:eastAsia="Times New Roman" w:hint="default"/>
        </w:rPr>
        <w:t>”</w:t>
      </w:r>
      <w:r>
        <w:rPr/>
        <w:t>的经营理念。公</w:t>
      </w:r>
      <w:r>
        <w:rPr>
          <w:spacing w:val="2"/>
          <w:w w:val="99"/>
        </w:rPr>
        <w:t> </w:t>
      </w:r>
      <w:r>
        <w:rPr/>
        <w:t>司向员工提供稳定且有竞争力的薪酬，通过业绩核算，将薪酬与绩效挂钩。公司积极加强对员工的激励，以充</w:t>
      </w:r>
      <w:r>
        <w:rPr>
          <w:spacing w:val="-71"/>
        </w:rPr>
        <w:t> </w:t>
      </w:r>
      <w:r>
        <w:rPr>
          <w:spacing w:val="-71"/>
        </w:rPr>
      </w:r>
      <w:r>
        <w:rPr/>
        <w:t>分调动员工的积极性和主动性，充分发挥薪酬吸引、保留、激励人才的战略作用。</w:t>
      </w:r>
    </w:p>
    <w:p>
      <w:pPr>
        <w:pStyle w:val="BodyText"/>
        <w:spacing w:line="403" w:lineRule="auto" w:before="99"/>
        <w:ind w:right="1117"/>
        <w:jc w:val="left"/>
      </w:pPr>
      <w:r>
        <w:rPr/>
        <w:t>公司需遵守《深圳证券交易所行业信息披露指引第</w:t>
      </w:r>
      <w:r>
        <w:rPr>
          <w:spacing w:val="-81"/>
        </w:rPr>
        <w:t> </w:t>
      </w:r>
      <w:r>
        <w:rPr>
          <w:rFonts w:ascii="Times New Roman" w:hAnsi="Times New Roman" w:cs="Times New Roman" w:eastAsia="Times New Roman" w:hint="default"/>
        </w:rPr>
        <w:t>12</w:t>
      </w:r>
      <w:r>
        <w:rPr>
          <w:rFonts w:ascii="Times New Roman" w:hAnsi="Times New Roman" w:cs="Times New Roman" w:eastAsia="Times New Roman" w:hint="default"/>
          <w:spacing w:val="-32"/>
        </w:rPr>
        <w:t> </w:t>
      </w:r>
      <w:r>
        <w:rPr/>
        <w:t>号</w:t>
      </w:r>
      <w:r>
        <w:rPr>
          <w:rFonts w:ascii="Times New Roman" w:hAnsi="Times New Roman" w:cs="Times New Roman" w:eastAsia="Times New Roman" w:hint="default"/>
        </w:rPr>
        <w:t>——</w:t>
      </w:r>
      <w:r>
        <w:rPr/>
        <w:t>上市公司从事软件与信息技术服务业务》的披露要</w:t>
      </w:r>
      <w:r>
        <w:rPr>
          <w:w w:val="99"/>
        </w:rPr>
        <w:t> </w:t>
      </w:r>
      <w:r>
        <w:rPr/>
        <w:t>求</w:t>
      </w:r>
    </w:p>
    <w:p>
      <w:pPr>
        <w:pStyle w:val="BodyText"/>
        <w:spacing w:line="405" w:lineRule="auto" w:before="111"/>
        <w:ind w:right="1135" w:firstLine="401"/>
        <w:jc w:val="both"/>
      </w:pPr>
      <w:r>
        <w:rPr/>
        <w:t>报告期内，公司职工薪酬总额</w:t>
      </w:r>
      <w:r>
        <w:rPr>
          <w:rFonts w:ascii="Times New Roman" w:hAnsi="Times New Roman" w:cs="Times New Roman" w:eastAsia="Times New Roman" w:hint="default"/>
        </w:rPr>
        <w:t>18,177.15</w:t>
      </w:r>
      <w:r>
        <w:rPr/>
        <w:t>万元，占公司成本总额的</w:t>
      </w:r>
      <w:r>
        <w:rPr>
          <w:rFonts w:ascii="Times New Roman" w:hAnsi="Times New Roman" w:cs="Times New Roman" w:eastAsia="Times New Roman" w:hint="default"/>
        </w:rPr>
        <w:t>10.38%</w:t>
      </w:r>
      <w:r>
        <w:rPr/>
        <w:t>，公司利润对职工薪酬变化较为敏</w:t>
      </w:r>
      <w:r>
        <w:rPr>
          <w:w w:val="99"/>
        </w:rPr>
        <w:t> </w:t>
      </w:r>
      <w:r>
        <w:rPr/>
        <w:t>感。公司核心技术人员共计</w:t>
      </w:r>
      <w:r>
        <w:rPr>
          <w:rFonts w:ascii="Times New Roman" w:hAnsi="Times New Roman" w:cs="Times New Roman" w:eastAsia="Times New Roman" w:hint="default"/>
        </w:rPr>
        <w:t>251</w:t>
      </w:r>
      <w:r>
        <w:rPr/>
        <w:t>人，占公司员工总数的</w:t>
      </w:r>
      <w:r>
        <w:rPr>
          <w:rFonts w:ascii="Times New Roman" w:hAnsi="Times New Roman" w:cs="Times New Roman" w:eastAsia="Times New Roman" w:hint="default"/>
        </w:rPr>
        <w:t>24%</w:t>
      </w:r>
      <w:r>
        <w:rPr/>
        <w:t>，核心技术人员薪酬占公司薪酬总额的</w:t>
      </w:r>
      <w:r>
        <w:rPr>
          <w:rFonts w:ascii="Times New Roman" w:hAnsi="Times New Roman" w:cs="Times New Roman" w:eastAsia="Times New Roman" w:hint="default"/>
        </w:rPr>
        <w:t>29%</w:t>
      </w:r>
      <w:r>
        <w:rPr/>
        <w:t>。</w:t>
      </w:r>
    </w:p>
    <w:p>
      <w:pPr>
        <w:spacing w:line="240" w:lineRule="auto" w:before="6"/>
        <w:rPr>
          <w:rFonts w:ascii="宋体" w:hAnsi="宋体" w:cs="宋体" w:eastAsia="宋体" w:hint="default"/>
          <w:sz w:val="19"/>
          <w:szCs w:val="19"/>
        </w:rPr>
      </w:pPr>
    </w:p>
    <w:p>
      <w:pPr>
        <w:pStyle w:val="Heading3"/>
        <w:spacing w:line="240" w:lineRule="auto"/>
        <w:ind w:right="1133"/>
        <w:jc w:val="left"/>
        <w:rPr>
          <w:b w:val="0"/>
          <w:bCs w:val="0"/>
        </w:rPr>
      </w:pPr>
      <w:bookmarkStart w:name="3、培训计划" w:id="131"/>
      <w:bookmarkEnd w:id="131"/>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2"/>
        <w:rPr>
          <w:rFonts w:ascii="宋体" w:hAnsi="宋体" w:cs="宋体" w:eastAsia="宋体" w:hint="default"/>
          <w:b/>
          <w:bCs/>
          <w:sz w:val="31"/>
          <w:szCs w:val="31"/>
        </w:rPr>
      </w:pPr>
    </w:p>
    <w:p>
      <w:pPr>
        <w:pStyle w:val="BodyText"/>
        <w:spacing w:line="429" w:lineRule="auto"/>
        <w:ind w:right="1141" w:firstLine="401"/>
        <w:jc w:val="both"/>
      </w:pPr>
      <w:r>
        <w:rPr/>
        <w:t>公司建立核心人才数据库，有层次有重点地推进人才培养，设计了从基础能力到战略落地的多层次人才培</w:t>
      </w:r>
      <w:r>
        <w:rPr>
          <w:w w:val="99"/>
        </w:rPr>
        <w:t> </w:t>
      </w:r>
      <w:r>
        <w:rPr/>
        <w:t>养体系，通过线上、线下、内训、外训结合的方式，进行人才的开发和培养，有效扩大了人才建设的广度和深</w:t>
      </w:r>
      <w:r>
        <w:rPr>
          <w:spacing w:val="-77"/>
        </w:rPr>
        <w:t> </w:t>
      </w:r>
      <w:r>
        <w:rPr>
          <w:spacing w:val="-77"/>
        </w:rPr>
      </w:r>
      <w:r>
        <w:rPr/>
        <w:t>度。同时，公司高度重视组织学习能力提升，将公司的战略模式、经营指导、业务培训全部上线，并将培训与</w:t>
      </w:r>
      <w:r>
        <w:rPr>
          <w:spacing w:val="-77"/>
        </w:rPr>
        <w:t> </w:t>
      </w:r>
      <w:r>
        <w:rPr>
          <w:spacing w:val="-77"/>
        </w:rPr>
      </w:r>
      <w:r>
        <w:rPr/>
        <w:t>绩效、员工转正挂钩，提高员工培训覆盖率，体现公司</w:t>
      </w:r>
      <w:r>
        <w:rPr>
          <w:rFonts w:ascii="Times New Roman" w:hAnsi="Times New Roman" w:cs="Times New Roman" w:eastAsia="Times New Roman" w:hint="default"/>
        </w:rPr>
        <w:t>“</w:t>
      </w:r>
      <w:r>
        <w:rPr/>
        <w:t>全员参与</w:t>
      </w:r>
      <w:r>
        <w:rPr>
          <w:rFonts w:ascii="Times New Roman" w:hAnsi="Times New Roman" w:cs="Times New Roman" w:eastAsia="Times New Roman" w:hint="default"/>
        </w:rPr>
        <w:t>”</w:t>
      </w:r>
      <w:r>
        <w:rPr/>
        <w:t>的经营理念。</w:t>
      </w:r>
    </w:p>
    <w:p>
      <w:pPr>
        <w:spacing w:line="240" w:lineRule="auto" w:before="10"/>
        <w:rPr>
          <w:rFonts w:ascii="宋体" w:hAnsi="宋体" w:cs="宋体" w:eastAsia="宋体" w:hint="default"/>
          <w:sz w:val="17"/>
          <w:szCs w:val="17"/>
        </w:rPr>
      </w:pPr>
    </w:p>
    <w:p>
      <w:pPr>
        <w:pStyle w:val="Heading3"/>
        <w:spacing w:line="240" w:lineRule="auto"/>
        <w:ind w:right="1133"/>
        <w:jc w:val="left"/>
        <w:rPr>
          <w:b w:val="0"/>
          <w:bCs w:val="0"/>
        </w:rPr>
      </w:pPr>
      <w:bookmarkStart w:name="4、劳务外包情况" w:id="132"/>
      <w:bookmarkEnd w:id="132"/>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976"/>
        <w:jc w:val="center"/>
        <w:rPr>
          <w:b w:val="0"/>
          <w:bCs w:val="0"/>
        </w:rPr>
      </w:pPr>
      <w:bookmarkStart w:name="_TOC_250003" w:id="133"/>
      <w:bookmarkStart w:name="第十节 公司治理" w:id="134"/>
      <w:r>
        <w:rPr>
          <w:b w:val="0"/>
          <w:bCs w:val="0"/>
        </w:rPr>
      </w:r>
      <w:r>
        <w:rPr/>
        <w:t>第十节</w:t>
      </w:r>
      <w:r>
        <w:rPr>
          <w:spacing w:val="-2"/>
        </w:rPr>
        <w:t> </w:t>
      </w:r>
      <w:r>
        <w:rPr/>
        <w:t>公司治理</w:t>
      </w:r>
      <w:bookmarkEnd w:id="133"/>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bookmarkStart w:name="一、公司治理的基本状况" w:id="135"/>
      <w:bookmarkEnd w:id="135"/>
      <w:r>
        <w:rPr>
          <w:b w:val="0"/>
          <w:bCs w:val="0"/>
        </w:rPr>
      </w:r>
      <w:r>
        <w:rPr/>
        <w:t>一、公司治理的基本状况</w:t>
      </w:r>
      <w:r>
        <w:rPr>
          <w:b w:val="0"/>
          <w:bCs w:val="0"/>
        </w:rPr>
      </w:r>
    </w:p>
    <w:p>
      <w:pPr>
        <w:spacing w:line="240" w:lineRule="auto" w:before="1"/>
        <w:rPr>
          <w:rFonts w:ascii="宋体" w:hAnsi="宋体" w:cs="宋体" w:eastAsia="宋体" w:hint="default"/>
          <w:b/>
          <w:bCs/>
          <w:sz w:val="31"/>
          <w:szCs w:val="31"/>
        </w:rPr>
      </w:pPr>
    </w:p>
    <w:p>
      <w:pPr>
        <w:pStyle w:val="BodyText"/>
        <w:spacing w:line="429" w:lineRule="auto"/>
        <w:ind w:right="1133" w:firstLine="401"/>
        <w:jc w:val="left"/>
      </w:pPr>
      <w:r>
        <w:rPr>
          <w:spacing w:val="-1"/>
          <w:w w:val="95"/>
        </w:rPr>
        <w:t>公司严格按照《公司法》、《证券法》、《上市公司治理准则》、《股票上市规则》等法律、法规的要求，</w:t>
      </w:r>
      <w:r>
        <w:rPr>
          <w:spacing w:val="-48"/>
          <w:w w:val="95"/>
        </w:rPr>
        <w:t> </w:t>
      </w:r>
      <w:r>
        <w:rPr>
          <w:spacing w:val="-48"/>
          <w:w w:val="95"/>
        </w:rPr>
      </w:r>
      <w:r>
        <w:rPr/>
        <w:t>不断完善公司治理结构，建立健全内部管理和控制制度，规范公司运作，提高公司治理水平。截至报告期末，</w:t>
      </w:r>
      <w:r>
        <w:rPr>
          <w:spacing w:val="-77"/>
        </w:rPr>
        <w:t> </w:t>
      </w:r>
      <w:r>
        <w:rPr>
          <w:spacing w:val="-77"/>
        </w:rPr>
      </w:r>
      <w:r>
        <w:rPr/>
        <w:t>公司已经形成了较为完善的法人治理结构，形成了完善的决策机制、监督机制和执行机制，公司治理的实际情</w:t>
      </w:r>
      <w:r>
        <w:rPr>
          <w:spacing w:val="-77"/>
        </w:rPr>
        <w:t> </w:t>
      </w:r>
      <w:r>
        <w:rPr>
          <w:spacing w:val="-77"/>
        </w:rPr>
      </w:r>
      <w:r>
        <w:rPr/>
        <w:t>况与《公司法》和中国证监会相关规定的要求不存在差异。具体情况如下：</w:t>
      </w:r>
    </w:p>
    <w:p>
      <w:pPr>
        <w:pStyle w:val="BodyText"/>
        <w:spacing w:line="429" w:lineRule="auto" w:before="49"/>
        <w:ind w:left="554" w:right="1133"/>
        <w:jc w:val="left"/>
      </w:pPr>
      <w:r>
        <w:rPr/>
        <w:t>（一）关于股东与股东大会</w:t>
      </w:r>
      <w:r>
        <w:rPr>
          <w:w w:val="99"/>
        </w:rPr>
        <w:t> </w:t>
      </w:r>
      <w:r>
        <w:rPr/>
        <w:t>股东大会是公司的最高权力机构，公司依据《公司法》、《上市公司治理准则》、《公司章程》等文件制</w:t>
      </w:r>
    </w:p>
    <w:p>
      <w:pPr>
        <w:pStyle w:val="BodyText"/>
        <w:spacing w:line="429" w:lineRule="auto" w:before="48"/>
        <w:ind w:right="1141"/>
        <w:jc w:val="both"/>
      </w:pPr>
      <w:r>
        <w:rPr/>
        <w:t>定了《股东大会议事规则》，规范了股东大会召集、召开、表决程序，平等对待所有股东，积极采用网络投票</w:t>
      </w:r>
      <w:r>
        <w:rPr>
          <w:spacing w:val="-77"/>
        </w:rPr>
        <w:t> </w:t>
      </w:r>
      <w:r>
        <w:rPr>
          <w:spacing w:val="-77"/>
        </w:rPr>
      </w:r>
      <w:r>
        <w:rPr/>
        <w:t>等形式，保障中小股东参与度，保证股东对公司重大事项的知情权和参与权，确保全体股东尤其是中小股东享</w:t>
      </w:r>
      <w:r>
        <w:rPr>
          <w:spacing w:val="-77"/>
        </w:rPr>
        <w:t> </w:t>
      </w:r>
      <w:r>
        <w:rPr>
          <w:spacing w:val="-77"/>
        </w:rPr>
      </w:r>
      <w:r>
        <w:rPr/>
        <w:t>有平等地位，充分行使自己的权利。</w:t>
      </w:r>
    </w:p>
    <w:p>
      <w:pPr>
        <w:pStyle w:val="BodyText"/>
        <w:spacing w:line="429" w:lineRule="auto" w:before="48"/>
        <w:ind w:left="554" w:right="1133"/>
        <w:jc w:val="left"/>
      </w:pPr>
      <w:r>
        <w:rPr/>
        <w:t>（二）关于公司与控股股东</w:t>
      </w:r>
      <w:r>
        <w:rPr>
          <w:w w:val="99"/>
        </w:rPr>
        <w:t> </w:t>
      </w:r>
      <w:r>
        <w:rPr>
          <w:spacing w:val="-1"/>
          <w:w w:val="95"/>
        </w:rPr>
        <w:t>公司拥有独立的业务和自主经营能力，在业务、人员、资产、机构、财务上独立于控股股东，公司董事会、</w:t>
      </w:r>
      <w:r>
        <w:rPr>
          <w:spacing w:val="-1"/>
        </w:rPr>
      </w:r>
    </w:p>
    <w:p>
      <w:pPr>
        <w:pStyle w:val="BodyText"/>
        <w:spacing w:line="429" w:lineRule="auto" w:before="48"/>
        <w:ind w:right="1133"/>
        <w:jc w:val="left"/>
      </w:pPr>
      <w:r>
        <w:rPr>
          <w:spacing w:val="-1"/>
          <w:w w:val="95"/>
        </w:rPr>
        <w:t>监事会和内部机构独立运作。公司控股股东严格根据《上市公司治理准则》、《股票上市规则》、《公司章程》</w:t>
      </w:r>
      <w:r>
        <w:rPr>
          <w:spacing w:val="85"/>
          <w:w w:val="95"/>
        </w:rPr>
        <w:t> </w:t>
      </w:r>
      <w:r>
        <w:rPr>
          <w:spacing w:val="85"/>
          <w:w w:val="95"/>
        </w:rPr>
      </w:r>
      <w:r>
        <w:rPr/>
        <w:t>规范股东行为，通过股东大会行使股东权利，未发生超越股东大会及董事会而直接或间接干预公司经营与决策</w:t>
      </w:r>
      <w:r>
        <w:rPr>
          <w:spacing w:val="-77"/>
        </w:rPr>
        <w:t> </w:t>
      </w:r>
      <w:r>
        <w:rPr>
          <w:spacing w:val="-77"/>
        </w:rPr>
      </w:r>
      <w:r>
        <w:rPr/>
        <w:t>的行为。</w:t>
      </w:r>
    </w:p>
    <w:p>
      <w:pPr>
        <w:pStyle w:val="BodyText"/>
        <w:spacing w:line="429" w:lineRule="auto" w:before="48"/>
        <w:ind w:left="554" w:right="1133"/>
        <w:jc w:val="left"/>
      </w:pPr>
      <w:r>
        <w:rPr/>
        <w:t>（三）关于董事与董事会</w:t>
      </w:r>
      <w:r>
        <w:rPr>
          <w:w w:val="99"/>
        </w:rPr>
        <w:t> </w:t>
      </w:r>
      <w:r>
        <w:rPr/>
        <w:t>公司严格按照《公司法》、《公司章程》等相关法律法规选举产生董事人选，公司目前有独立董事三名，</w:t>
      </w:r>
    </w:p>
    <w:p>
      <w:pPr>
        <w:pStyle w:val="BodyText"/>
        <w:spacing w:line="429" w:lineRule="auto" w:before="48"/>
        <w:ind w:right="1136"/>
        <w:jc w:val="both"/>
      </w:pPr>
      <w:r>
        <w:rPr>
          <w:spacing w:val="-3"/>
          <w:w w:val="95"/>
        </w:rPr>
        <w:t>占全体董事的三分之一，董事会人数及人员构成符合法律法规和《公司章程》的要求。公司董事会严格按照《公</w:t>
      </w:r>
      <w:r>
        <w:rPr>
          <w:spacing w:val="2"/>
          <w:w w:val="95"/>
        </w:rPr>
        <w:t> </w:t>
      </w:r>
      <w:r>
        <w:rPr>
          <w:spacing w:val="2"/>
          <w:w w:val="95"/>
        </w:rPr>
      </w:r>
      <w:r>
        <w:rPr/>
        <w:t>司章程》、《独立董事工作制度》及《董事会议事规则》、《规范运作指引》等相关规定召集召开董事会，各</w:t>
      </w:r>
      <w:r>
        <w:rPr>
          <w:spacing w:val="-77"/>
        </w:rPr>
        <w:t> </w:t>
      </w:r>
      <w:r>
        <w:rPr>
          <w:spacing w:val="-77"/>
        </w:rPr>
      </w:r>
      <w:r>
        <w:rPr/>
        <w:t>董事按要求出席董事会，认真审议各项议案，勤勉尽责。独立董事独立履行职责，维护公司整体利益，尤其关</w:t>
      </w:r>
      <w:r>
        <w:rPr>
          <w:spacing w:val="-77"/>
        </w:rPr>
        <w:t> </w:t>
      </w:r>
      <w:r>
        <w:rPr>
          <w:spacing w:val="-77"/>
        </w:rPr>
      </w:r>
      <w:r>
        <w:rPr/>
        <w:t>注中小股东的合法权益不受损害，对重要及重大事项发表独立意见。</w:t>
      </w:r>
    </w:p>
    <w:p>
      <w:pPr>
        <w:pStyle w:val="BodyText"/>
        <w:spacing w:line="429" w:lineRule="auto" w:before="48"/>
        <w:ind w:left="554" w:right="1052"/>
        <w:jc w:val="left"/>
      </w:pPr>
      <w:r>
        <w:rPr/>
        <w:t>（四）关于监事与监事会</w:t>
      </w:r>
      <w:r>
        <w:rPr>
          <w:w w:val="99"/>
        </w:rPr>
        <w:t> </w:t>
      </w:r>
      <w:r>
        <w:rPr/>
        <w:t>公司严格按照《公司法》、《公司章程》等相关法律法规选举产生监事人选，公司监事会由</w:t>
      </w:r>
      <w:r>
        <w:rPr>
          <w:rFonts w:ascii="Times New Roman" w:hAnsi="Times New Roman" w:cs="Times New Roman" w:eastAsia="Times New Roman" w:hint="default"/>
        </w:rPr>
        <w:t>3</w:t>
      </w:r>
      <w:r>
        <w:rPr/>
        <w:t>名监事组成，</w:t>
      </w:r>
    </w:p>
    <w:p>
      <w:pPr>
        <w:pStyle w:val="BodyText"/>
        <w:spacing w:line="429" w:lineRule="auto" w:before="16"/>
        <w:ind w:right="1142"/>
        <w:jc w:val="both"/>
      </w:pPr>
      <w:r>
        <w:rPr/>
        <w:t>监事会人数及人员构成符合法律法规的要求。公司监事会严格按照《公司章程》及《监事会议事规则》等相关</w:t>
      </w:r>
      <w:r>
        <w:rPr>
          <w:spacing w:val="-77"/>
        </w:rPr>
        <w:t> </w:t>
      </w:r>
      <w:r>
        <w:rPr>
          <w:spacing w:val="-77"/>
        </w:rPr>
      </w:r>
      <w:r>
        <w:rPr/>
        <w:t>规定召集召开监事会，各监事按要求出席监事会，认真履行职责，对公司重大事项、关联交易、财务状况等进</w:t>
      </w:r>
      <w:r>
        <w:rPr>
          <w:spacing w:val="-77"/>
        </w:rPr>
        <w:t> </w:t>
      </w:r>
      <w:r>
        <w:rPr>
          <w:spacing w:val="-77"/>
        </w:rPr>
      </w:r>
      <w:r>
        <w:rPr/>
        <w:t>行监督并发表意见，维护了公司及股东的合法权益。</w:t>
      </w:r>
    </w:p>
    <w:p>
      <w:pPr>
        <w:spacing w:after="0" w:line="429"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29" w:lineRule="auto"/>
        <w:ind w:left="554" w:right="1133"/>
        <w:jc w:val="left"/>
      </w:pPr>
      <w:r>
        <w:rPr/>
        <w:t>（五）关于信息披露与透明度</w:t>
      </w:r>
      <w:r>
        <w:rPr>
          <w:w w:val="99"/>
        </w:rPr>
        <w:t> </w:t>
      </w:r>
      <w:r>
        <w:rPr/>
        <w:t>公司严格执行《信息披露管理制度》、《董事会秘书工作制度》、《内幕信息知情人管理制度》等，由董</w:t>
      </w:r>
    </w:p>
    <w:p>
      <w:pPr>
        <w:pStyle w:val="BodyText"/>
        <w:spacing w:line="240" w:lineRule="auto" w:before="48"/>
        <w:ind w:right="982"/>
        <w:jc w:val="left"/>
      </w:pPr>
      <w:r>
        <w:rPr>
          <w:spacing w:val="-5"/>
        </w:rPr>
        <w:t>事会秘书负责信息披露工作，建立投资者专线电话、电子邮箱，提高公司运作的透明度。公司指定《证券时报》、</w:t>
      </w:r>
    </w:p>
    <w:p>
      <w:pPr>
        <w:spacing w:line="240" w:lineRule="auto" w:before="10"/>
        <w:rPr>
          <w:rFonts w:ascii="宋体" w:hAnsi="宋体" w:cs="宋体" w:eastAsia="宋体" w:hint="default"/>
          <w:sz w:val="15"/>
          <w:szCs w:val="15"/>
        </w:rPr>
      </w:pPr>
    </w:p>
    <w:p>
      <w:pPr>
        <w:pStyle w:val="BodyText"/>
        <w:spacing w:line="429" w:lineRule="auto"/>
        <w:ind w:right="1133"/>
        <w:jc w:val="left"/>
      </w:pPr>
      <w:r>
        <w:rPr/>
        <w:t>《证券日报》、《中国证券报》、《上海证券报》及巨潮资讯网作为公司信息披露的法定媒体，严格按照有关</w:t>
      </w:r>
      <w:r>
        <w:rPr>
          <w:spacing w:val="-74"/>
        </w:rPr>
        <w:t> </w:t>
      </w:r>
      <w:r>
        <w:rPr>
          <w:spacing w:val="-74"/>
        </w:rPr>
      </w:r>
      <w:r>
        <w:rPr/>
        <w:t>规定真实、准确、完整、及时地披露有关信息，确保所有投资者能够以平等的机会获取信息。</w:t>
      </w:r>
    </w:p>
    <w:p>
      <w:pPr>
        <w:pStyle w:val="BodyText"/>
        <w:spacing w:line="429" w:lineRule="auto" w:before="48"/>
        <w:ind w:left="554" w:right="1133"/>
        <w:jc w:val="left"/>
      </w:pPr>
      <w:r>
        <w:rPr/>
        <w:t>（六）关于相关利益者</w:t>
      </w:r>
      <w:r>
        <w:rPr>
          <w:w w:val="99"/>
        </w:rPr>
        <w:t> </w:t>
      </w:r>
      <w:r>
        <w:rPr>
          <w:spacing w:val="-1"/>
          <w:w w:val="95"/>
        </w:rPr>
        <w:t>公司充分尊重和维护相关利益者的合法权益，积极加强与相关利益者的沟通和交流，推动公司持续、稳定、</w:t>
      </w:r>
      <w:r>
        <w:rPr>
          <w:spacing w:val="-1"/>
        </w:rPr>
      </w:r>
    </w:p>
    <w:p>
      <w:pPr>
        <w:pStyle w:val="BodyText"/>
        <w:spacing w:line="240" w:lineRule="auto" w:before="48"/>
        <w:ind w:right="1133"/>
        <w:jc w:val="left"/>
      </w:pPr>
      <w:r>
        <w:rPr/>
        <w:t>健康地发展。公司的治理情况符合中国证监会有关上市公司治理的规范性文件要求。</w:t>
      </w:r>
    </w:p>
    <w:p>
      <w:pPr>
        <w:spacing w:line="240" w:lineRule="auto" w:before="11"/>
        <w:rPr>
          <w:rFonts w:ascii="宋体" w:hAnsi="宋体" w:cs="宋体" w:eastAsia="宋体" w:hint="default"/>
          <w:sz w:val="15"/>
          <w:szCs w:val="15"/>
        </w:rPr>
      </w:pPr>
    </w:p>
    <w:p>
      <w:pPr>
        <w:pStyle w:val="BodyText"/>
        <w:spacing w:line="429" w:lineRule="auto"/>
        <w:ind w:left="554" w:right="1133"/>
        <w:jc w:val="left"/>
      </w:pPr>
      <w:r>
        <w:rPr/>
        <w:t>（七）关于公司与投资者</w:t>
      </w:r>
      <w:r>
        <w:rPr>
          <w:w w:val="99"/>
        </w:rPr>
        <w:t> </w:t>
      </w:r>
      <w:r>
        <w:rPr/>
        <w:t>公司严格执行《投资者关系管理制度》、《机构投资者接待管理办法》，公司董事会秘书为投资者关系管</w:t>
      </w:r>
    </w:p>
    <w:p>
      <w:pPr>
        <w:pStyle w:val="BodyText"/>
        <w:spacing w:line="429" w:lineRule="auto" w:before="48"/>
        <w:ind w:right="1133"/>
        <w:jc w:val="left"/>
      </w:pPr>
      <w:r>
        <w:rPr/>
        <w:t>理负责人，组织实施投资者关系的日常管理工作。报告期内，公司通过电话、接待投资者、深交所投资者关系</w:t>
      </w:r>
      <w:r>
        <w:rPr>
          <w:spacing w:val="-73"/>
        </w:rPr>
        <w:t> </w:t>
      </w:r>
      <w:r>
        <w:rPr>
          <w:spacing w:val="-73"/>
        </w:rPr>
      </w:r>
      <w:r>
        <w:rPr/>
        <w:t>互动平台等方式，加强与投资者的沟通。</w:t>
      </w:r>
    </w:p>
    <w:p>
      <w:pPr>
        <w:pStyle w:val="BodyText"/>
        <w:spacing w:line="429" w:lineRule="auto" w:before="48"/>
        <w:ind w:left="554" w:right="1133"/>
        <w:jc w:val="left"/>
      </w:pPr>
      <w:r>
        <w:rPr/>
        <w:t>（八）关于绩效评价与激励约束机制</w:t>
      </w:r>
      <w:r>
        <w:rPr>
          <w:w w:val="99"/>
        </w:rPr>
        <w:t> </w:t>
      </w:r>
      <w:r>
        <w:rPr/>
        <w:t>公司逐步完善和建立公正、透明的董事、监事及高级管理人员绩效评价体系和激励约束机制，高级管理人</w:t>
      </w:r>
    </w:p>
    <w:p>
      <w:pPr>
        <w:pStyle w:val="BodyText"/>
        <w:spacing w:line="417" w:lineRule="auto" w:before="48"/>
        <w:ind w:right="1133"/>
        <w:jc w:val="left"/>
      </w:pPr>
      <w:r>
        <w:rPr/>
        <w:t>员的聘任公开、透明，符合有关法律法规和公司内部规章制度的要求。公司根据《公司章程》中对高级管理人</w:t>
      </w:r>
      <w:r>
        <w:rPr>
          <w:spacing w:val="-77"/>
        </w:rPr>
        <w:t> </w:t>
      </w:r>
      <w:r>
        <w:rPr>
          <w:spacing w:val="-77"/>
        </w:rPr>
      </w:r>
      <w:r>
        <w:rPr/>
        <w:t>员履职行为、权限和职责的规定进行综合考评，本公司高级管理人员实行年薪制，根据高级管理人员的年度履</w:t>
      </w:r>
      <w:r>
        <w:rPr>
          <w:spacing w:val="-77"/>
        </w:rPr>
        <w:t> </w:t>
      </w:r>
      <w:r>
        <w:rPr>
          <w:spacing w:val="-77"/>
        </w:rPr>
      </w:r>
      <w:r>
        <w:rPr/>
        <w:t>职情况、绩效考核结果和公司经营业绩的情况决定其年度薪酬。</w:t>
      </w:r>
      <w:r>
        <w:rPr>
          <w:w w:val="99"/>
        </w:rPr>
        <w:t> </w:t>
      </w:r>
      <w:r>
        <w:rPr/>
        <w:t>公司治理的实际状况与中国证监会发布的有关上市公司治理的规范性文件是否存在重大差异</w:t>
      </w:r>
    </w:p>
    <w:p>
      <w:pPr>
        <w:pStyle w:val="BodyText"/>
        <w:spacing w:line="218" w:lineRule="exact"/>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否</w:t>
      </w:r>
    </w:p>
    <w:p>
      <w:pPr>
        <w:pStyle w:val="BodyText"/>
        <w:spacing w:line="240" w:lineRule="auto" w:before="76"/>
        <w:ind w:right="1133"/>
        <w:jc w:val="left"/>
      </w:pPr>
      <w:r>
        <w:rPr/>
        <w:t>公司治理的实际状况与中国证监会发布的有关上市公司治理的规范性文件不存在重大差异。</w:t>
      </w:r>
    </w:p>
    <w:p>
      <w:pPr>
        <w:spacing w:line="240" w:lineRule="auto" w:before="6"/>
        <w:rPr>
          <w:rFonts w:ascii="宋体" w:hAnsi="宋体" w:cs="宋体" w:eastAsia="宋体" w:hint="default"/>
          <w:sz w:val="24"/>
          <w:szCs w:val="24"/>
        </w:rPr>
      </w:pPr>
    </w:p>
    <w:p>
      <w:pPr>
        <w:pStyle w:val="Heading2"/>
        <w:spacing w:line="240" w:lineRule="auto"/>
        <w:ind w:right="1133"/>
        <w:jc w:val="left"/>
        <w:rPr>
          <w:b w:val="0"/>
          <w:bCs w:val="0"/>
        </w:rPr>
      </w:pPr>
      <w:bookmarkStart w:name="二、公司相对于控股股东在业务、人员、资产、机构、财务等方面的独立情况" w:id="136"/>
      <w:bookmarkEnd w:id="136"/>
      <w:r>
        <w:rPr>
          <w:b w:val="0"/>
          <w:bCs w:val="0"/>
        </w:rPr>
      </w:r>
      <w:r>
        <w:rPr/>
        <w:t>二、公司相对于控股股东在业务、人员、资产、机构、财务等方面的独立情况</w:t>
      </w:r>
      <w:r>
        <w:rPr>
          <w:b w:val="0"/>
          <w:bCs w:val="0"/>
        </w:rPr>
      </w:r>
    </w:p>
    <w:p>
      <w:pPr>
        <w:spacing w:line="240" w:lineRule="auto" w:before="1"/>
        <w:rPr>
          <w:rFonts w:ascii="宋体" w:hAnsi="宋体" w:cs="宋体" w:eastAsia="宋体" w:hint="default"/>
          <w:b/>
          <w:bCs/>
          <w:sz w:val="31"/>
          <w:szCs w:val="31"/>
        </w:rPr>
      </w:pPr>
    </w:p>
    <w:p>
      <w:pPr>
        <w:pStyle w:val="BodyText"/>
        <w:spacing w:line="240" w:lineRule="auto"/>
        <w:ind w:left="554" w:right="0"/>
        <w:jc w:val="left"/>
      </w:pPr>
      <w:r>
        <w:rPr/>
        <w:t>公司与控股股东在业务、人员、资产、机构、财务等方面完全分开，具有独立完整的业务及自主经营能力。</w:t>
      </w:r>
    </w:p>
    <w:p>
      <w:pPr>
        <w:spacing w:line="240" w:lineRule="auto" w:before="10"/>
        <w:rPr>
          <w:rFonts w:ascii="宋体" w:hAnsi="宋体" w:cs="宋体" w:eastAsia="宋体" w:hint="default"/>
          <w:sz w:val="15"/>
          <w:szCs w:val="15"/>
        </w:rPr>
      </w:pPr>
    </w:p>
    <w:p>
      <w:pPr>
        <w:pStyle w:val="BodyText"/>
        <w:spacing w:line="429" w:lineRule="auto"/>
        <w:ind w:right="1133" w:firstLine="401"/>
        <w:jc w:val="left"/>
      </w:pPr>
      <w:r>
        <w:rPr/>
        <w:t>（一）业务独立：公司拥有独立完整的业务体系及自主经营能力，能够面向市场独立经营、核算和决策，</w:t>
      </w:r>
      <w:r>
        <w:rPr>
          <w:w w:val="99"/>
        </w:rPr>
        <w:t> </w:t>
      </w:r>
      <w:r>
        <w:rPr/>
        <w:t>独立承担责任与风险。公司的业务开展完全独立于控股股东，不存在受制于公司股东及其它关联方的情况。</w:t>
      </w:r>
    </w:p>
    <w:p>
      <w:pPr>
        <w:pStyle w:val="BodyText"/>
        <w:spacing w:line="422" w:lineRule="auto" w:before="48"/>
        <w:ind w:right="1133" w:firstLine="401"/>
        <w:jc w:val="left"/>
      </w:pPr>
      <w:r>
        <w:rPr>
          <w:w w:val="95"/>
        </w:rPr>
        <w:t>（二）人员独立：公司董事</w:t>
      </w:r>
      <w:r>
        <w:rPr>
          <w:rFonts w:ascii="Times New Roman" w:hAnsi="Times New Roman" w:cs="Times New Roman" w:eastAsia="Times New Roman" w:hint="default"/>
          <w:w w:val="95"/>
        </w:rPr>
        <w:t>(</w:t>
      </w:r>
      <w:r>
        <w:rPr>
          <w:w w:val="95"/>
        </w:rPr>
        <w:t>含独立董事</w:t>
      </w:r>
      <w:r>
        <w:rPr>
          <w:rFonts w:ascii="Times New Roman" w:hAnsi="Times New Roman" w:cs="Times New Roman" w:eastAsia="Times New Roman" w:hint="default"/>
          <w:w w:val="95"/>
        </w:rPr>
        <w:t>)</w:t>
      </w:r>
      <w:r>
        <w:rPr>
          <w:w w:val="95"/>
        </w:rPr>
        <w:t>、监事及高级管理人员严格按照《公司法》、《公司章程》的有关</w:t>
      </w:r>
      <w:r>
        <w:rPr>
          <w:w w:val="99"/>
        </w:rPr>
        <w:t> </w:t>
      </w:r>
      <w:r>
        <w:rPr>
          <w:spacing w:val="-1"/>
          <w:w w:val="95"/>
        </w:rPr>
        <w:t>规定产生，公司的总经理、副总经理、财务负责人、董事会秘书等高级管理人员均在公司专职工作并领取薪酬，</w:t>
      </w:r>
      <w:r>
        <w:rPr>
          <w:spacing w:val="90"/>
          <w:w w:val="95"/>
        </w:rPr>
        <w:t> </w:t>
      </w:r>
      <w:r>
        <w:rPr>
          <w:spacing w:val="90"/>
          <w:w w:val="95"/>
        </w:rPr>
      </w:r>
      <w:r>
        <w:rPr/>
        <w:t>不存在在关联企业兼职领薪的情况；公司高级管理人员的任免均由公司董事会通过合法程序决定，不存在控股</w:t>
      </w:r>
      <w:r>
        <w:rPr>
          <w:spacing w:val="-77"/>
        </w:rPr>
        <w:t> </w:t>
      </w:r>
      <w:r>
        <w:rPr>
          <w:spacing w:val="-77"/>
        </w:rPr>
      </w:r>
      <w:r>
        <w:rPr/>
        <w:t>股东干涉人事任免决定的现象；公司拥有独立的员工队伍，并已建立较为完善的劳动用工和人事管理制度。公</w:t>
      </w:r>
      <w:r>
        <w:rPr>
          <w:spacing w:val="-77"/>
        </w:rPr>
        <w:t> </w:t>
      </w:r>
      <w:r>
        <w:rPr>
          <w:spacing w:val="-77"/>
        </w:rPr>
      </w:r>
      <w:r>
        <w:rPr/>
        <w:t>司依据国家的法律法规与员工签定了劳动合同并缴纳社会保险费用，公司拥有独立的劳动用工权利，不存在受</w:t>
      </w:r>
    </w:p>
    <w:p>
      <w:pPr>
        <w:spacing w:after="0" w:line="422"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right="1133"/>
        <w:jc w:val="left"/>
      </w:pPr>
      <w:r>
        <w:rPr/>
        <w:t>控股股东控制的情形。</w:t>
      </w:r>
    </w:p>
    <w:p>
      <w:pPr>
        <w:spacing w:line="240" w:lineRule="auto" w:before="10"/>
        <w:rPr>
          <w:rFonts w:ascii="宋体" w:hAnsi="宋体" w:cs="宋体" w:eastAsia="宋体" w:hint="default"/>
          <w:sz w:val="15"/>
          <w:szCs w:val="15"/>
        </w:rPr>
      </w:pPr>
    </w:p>
    <w:p>
      <w:pPr>
        <w:pStyle w:val="BodyText"/>
        <w:spacing w:line="429" w:lineRule="auto"/>
        <w:ind w:right="1139" w:firstLine="401"/>
        <w:jc w:val="both"/>
      </w:pPr>
      <w:r>
        <w:rPr/>
        <w:t>（三）资产独立：公司的资产完整，拥有与生产经营范围相适应的各项资质、设备、知识产权等资产。公</w:t>
      </w:r>
      <w:r>
        <w:rPr>
          <w:w w:val="99"/>
        </w:rPr>
        <w:t> </w:t>
      </w:r>
      <w:r>
        <w:rPr/>
        <w:t>司的各项资产均不存在被抵押、质押的情况，并对其拥有完整的所有权。公司资产独立于公司控股股东，对所</w:t>
      </w:r>
      <w:r>
        <w:rPr>
          <w:spacing w:val="-77"/>
        </w:rPr>
        <w:t> </w:t>
      </w:r>
      <w:r>
        <w:rPr>
          <w:spacing w:val="-77"/>
        </w:rPr>
      </w:r>
      <w:r>
        <w:rPr/>
        <w:t>有资产有完全的控制支配权，不存在资产、资金被控股股东占用而损害公司利益的情况，亦不存在为股东和其</w:t>
      </w:r>
      <w:r>
        <w:rPr>
          <w:spacing w:val="-77"/>
        </w:rPr>
        <w:t> </w:t>
      </w:r>
      <w:r>
        <w:rPr>
          <w:spacing w:val="-77"/>
        </w:rPr>
      </w:r>
      <w:r>
        <w:rPr/>
        <w:t>他个人提供担保的情形。</w:t>
      </w:r>
    </w:p>
    <w:p>
      <w:pPr>
        <w:pStyle w:val="BodyText"/>
        <w:spacing w:line="429" w:lineRule="auto" w:before="48"/>
        <w:ind w:right="1141" w:firstLine="401"/>
        <w:jc w:val="both"/>
      </w:pPr>
      <w:r>
        <w:rPr/>
        <w:t>（四）机构独立：公司依照《公司法》和《公司章程》的规定，设置了股东大会、董事会、监事会，制定</w:t>
      </w:r>
      <w:r>
        <w:rPr>
          <w:w w:val="99"/>
        </w:rPr>
        <w:t> </w:t>
      </w:r>
      <w:r>
        <w:rPr/>
        <w:t>了议事规则，公司独立行使经营管理职权，独立于公司的控股股东、实际控制人及其控制的其他企业，不存在</w:t>
      </w:r>
      <w:r>
        <w:rPr>
          <w:spacing w:val="-77"/>
        </w:rPr>
        <w:t> </w:t>
      </w:r>
      <w:r>
        <w:rPr>
          <w:spacing w:val="-77"/>
        </w:rPr>
      </w:r>
      <w:r>
        <w:rPr/>
        <w:t>机构混同的情形。公司的办公场所独立于股东单位，不存在混合经营、合署办公的情形。</w:t>
      </w:r>
    </w:p>
    <w:p>
      <w:pPr>
        <w:pStyle w:val="BodyText"/>
        <w:spacing w:line="429" w:lineRule="auto" w:before="49"/>
        <w:ind w:right="1141" w:firstLine="401"/>
        <w:jc w:val="both"/>
      </w:pPr>
      <w:r>
        <w:rPr/>
        <w:t>（五）财务独立：公司设立了独立的财务部门，配备了专职财务人员，建立了独立的会计核算体系和财务</w:t>
      </w:r>
      <w:r>
        <w:rPr>
          <w:w w:val="99"/>
        </w:rPr>
        <w:t> </w:t>
      </w:r>
      <w:r>
        <w:rPr/>
        <w:t>管理制度。公司在银行独立开户，依法独立纳税，具有独立作出财务决策的能力。</w:t>
      </w:r>
    </w:p>
    <w:p>
      <w:pPr>
        <w:spacing w:line="240" w:lineRule="auto" w:before="4"/>
        <w:rPr>
          <w:rFonts w:ascii="宋体" w:hAnsi="宋体" w:cs="宋体" w:eastAsia="宋体" w:hint="default"/>
          <w:sz w:val="18"/>
          <w:szCs w:val="18"/>
        </w:rPr>
      </w:pPr>
    </w:p>
    <w:p>
      <w:pPr>
        <w:pStyle w:val="Heading2"/>
        <w:spacing w:line="240" w:lineRule="auto"/>
        <w:ind w:right="1133"/>
        <w:jc w:val="left"/>
        <w:rPr>
          <w:b w:val="0"/>
          <w:bCs w:val="0"/>
        </w:rPr>
      </w:pPr>
      <w:bookmarkStart w:name="三、同业竞争情况" w:id="137"/>
      <w:bookmarkEnd w:id="137"/>
      <w:r>
        <w:rPr>
          <w:b w:val="0"/>
          <w:bCs w:val="0"/>
        </w:rPr>
      </w:r>
      <w:r>
        <w:rPr/>
        <w:t>三、同业竞争情况</w:t>
      </w:r>
      <w:r>
        <w:rPr>
          <w:b w:val="0"/>
          <w:bCs w:val="0"/>
        </w:rPr>
      </w:r>
    </w:p>
    <w:p>
      <w:pPr>
        <w:spacing w:line="240" w:lineRule="auto" w:before="3"/>
        <w:rPr>
          <w:rFonts w:ascii="宋体" w:hAnsi="宋体" w:cs="宋体" w:eastAsia="宋体" w:hint="default"/>
          <w:b/>
          <w:bCs/>
          <w:sz w:val="25"/>
          <w:szCs w:val="25"/>
        </w:rPr>
      </w:pPr>
    </w:p>
    <w:p>
      <w:pPr>
        <w:spacing w:line="496" w:lineRule="auto" w:before="0"/>
        <w:ind w:left="152" w:right="4249" w:firstLine="0"/>
        <w:jc w:val="left"/>
        <w:rPr>
          <w:rFonts w:ascii="宋体" w:hAnsi="宋体" w:cs="宋体" w:eastAsia="宋体" w:hint="default"/>
          <w:sz w:val="21"/>
          <w:szCs w:val="21"/>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 </w:t>
      </w:r>
      <w:r>
        <w:rPr>
          <w:rFonts w:ascii="Times New Roman" w:hAnsi="Times New Roman" w:cs="Times New Roman" w:eastAsia="Times New Roman" w:hint="default"/>
          <w:sz w:val="20"/>
          <w:szCs w:val="20"/>
        </w:rPr>
        <w:t>√ </w:t>
      </w:r>
      <w:r>
        <w:rPr>
          <w:rFonts w:ascii="宋体" w:hAnsi="宋体" w:cs="宋体" w:eastAsia="宋体" w:hint="default"/>
          <w:sz w:val="20"/>
          <w:szCs w:val="20"/>
        </w:rPr>
        <w:t>不适用</w:t>
      </w:r>
      <w:r>
        <w:rPr>
          <w:rFonts w:ascii="宋体" w:hAnsi="宋体" w:cs="宋体" w:eastAsia="宋体" w:hint="default"/>
          <w:w w:val="99"/>
          <w:sz w:val="20"/>
          <w:szCs w:val="20"/>
        </w:rPr>
        <w:t> </w:t>
      </w:r>
      <w:bookmarkStart w:name="四、报告期内召开的年度股东大会和临时股东大会的有关情况" w:id="138"/>
      <w:bookmarkEnd w:id="138"/>
      <w:r>
        <w:rPr>
          <w:rFonts w:ascii="宋体" w:hAnsi="宋体" w:cs="宋体" w:eastAsia="宋体" w:hint="default"/>
          <w:w w:val="99"/>
          <w:sz w:val="20"/>
          <w:szCs w:val="20"/>
        </w:rPr>
      </w:r>
      <w:r>
        <w:rPr>
          <w:rFonts w:ascii="宋体" w:hAnsi="宋体" w:cs="宋体" w:eastAsia="宋体" w:hint="default"/>
          <w:b/>
          <w:bCs/>
          <w:sz w:val="24"/>
          <w:szCs w:val="24"/>
        </w:rPr>
        <w:t>四、报告期内召开的年度股东大会和临时股东大会的有关情况</w:t>
      </w:r>
      <w:r>
        <w:rPr>
          <w:rFonts w:ascii="宋体" w:hAnsi="宋体" w:cs="宋体" w:eastAsia="宋体" w:hint="default"/>
          <w:b/>
          <w:bCs/>
          <w:w w:val="99"/>
          <w:sz w:val="24"/>
          <w:szCs w:val="24"/>
        </w:rPr>
        <w:t> </w:t>
      </w:r>
      <w:bookmarkStart w:name="1、本报告期股东大会情况" w:id="139"/>
      <w:bookmarkEnd w:id="13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1"/>
          <w:szCs w:val="21"/>
        </w:rPr>
      </w:pPr>
    </w:p>
    <w:p>
      <w:pPr>
        <w:spacing w:before="44"/>
        <w:ind w:left="0" w:right="1150" w:firstLine="0"/>
        <w:jc w:val="right"/>
        <w:rPr>
          <w:rFonts w:ascii="宋体" w:hAnsi="宋体" w:cs="宋体" w:eastAsia="宋体" w:hint="default"/>
          <w:sz w:val="18"/>
          <w:szCs w:val="18"/>
        </w:rPr>
      </w:pPr>
      <w:r>
        <w:rPr/>
        <w:pict>
          <v:shape style="position:absolute;margin-left:56.400002pt;margin-top:-114.38826pt;width:479.15pt;height:324.0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21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1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26.42%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《北京中科金财科 技股份有限公司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w:t>
                        </w:r>
                        <w:r>
                          <w:rPr>
                            <w:rFonts w:ascii="宋体" w:hAnsi="宋体" w:cs="宋体" w:eastAsia="宋体" w:hint="default"/>
                            <w:spacing w:val="-10"/>
                            <w:sz w:val="18"/>
                            <w:szCs w:val="18"/>
                          </w:rPr>
                          <w:t>会决议公告》刊登于</w:t>
                        </w:r>
                      </w:p>
                      <w:p>
                        <w:pPr>
                          <w:pStyle w:val="TableParagraph"/>
                          <w:spacing w:line="316" w:lineRule="auto" w:before="22"/>
                          <w:ind w:left="24" w:right="22"/>
                          <w:jc w:val="left"/>
                          <w:rPr>
                            <w:rFonts w:ascii="宋体" w:hAnsi="宋体" w:cs="宋体" w:eastAsia="宋体" w:hint="default"/>
                            <w:sz w:val="18"/>
                            <w:szCs w:val="18"/>
                          </w:rPr>
                        </w:pPr>
                        <w:r>
                          <w:rPr>
                            <w:rFonts w:ascii="宋体" w:hAnsi="宋体" w:cs="宋体" w:eastAsia="宋体" w:hint="default"/>
                            <w:spacing w:val="-27"/>
                            <w:sz w:val="18"/>
                            <w:szCs w:val="18"/>
                          </w:rPr>
                          <w:t>《证券时报》、《证券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1"/>
                            <w:sz w:val="18"/>
                            <w:szCs w:val="18"/>
                          </w:rPr>
                          <w:t>日报》、《中国证券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1"/>
                            <w:sz w:val="18"/>
                            <w:szCs w:val="18"/>
                          </w:rPr>
                          <w:t>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及巨潮资讯网</w:t>
                        </w:r>
                      </w:p>
                      <w:p>
                        <w:pPr>
                          <w:pStyle w:val="TableParagraph"/>
                          <w:spacing w:line="362" w:lineRule="auto" w:before="61"/>
                          <w:ind w:left="24" w:right="31"/>
                          <w:jc w:val="left"/>
                          <w:rPr>
                            <w:rFonts w:ascii="Times New Roman" w:hAnsi="Times New Roman" w:cs="Times New Roman" w:eastAsia="Times New Roman" w:hint="default"/>
                            <w:sz w:val="18"/>
                            <w:szCs w:val="18"/>
                          </w:rPr>
                        </w:pPr>
                        <w:hyperlink r:id="rId14">
                          <w:r>
                            <w:rPr>
                              <w:rFonts w:ascii="Times New Roman"/>
                              <w:spacing w:val="-1"/>
                              <w:sz w:val="18"/>
                            </w:rPr>
                            <w:t>http://www.cninfo.co</w:t>
                          </w:r>
                        </w:hyperlink>
                        <w:r>
                          <w:rPr>
                            <w:rFonts w:ascii="Times New Roman"/>
                            <w:sz w:val="18"/>
                          </w:rPr>
                          <w:t> m.cn</w:t>
                        </w:r>
                      </w:p>
                    </w:tc>
                  </w:tr>
                  <w:tr>
                    <w:trPr>
                      <w:trHeight w:val="285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16"/>
                          <w:jc w:val="right"/>
                          <w:rPr>
                            <w:rFonts w:ascii="Times New Roman" w:hAnsi="Times New Roman" w:cs="Times New Roman" w:eastAsia="Times New Roman" w:hint="default"/>
                            <w:sz w:val="18"/>
                            <w:szCs w:val="18"/>
                          </w:rPr>
                        </w:pPr>
                        <w:r>
                          <w:rPr>
                            <w:rFonts w:ascii="Times New Roman"/>
                            <w:sz w:val="18"/>
                          </w:rPr>
                          <w:t>21.77%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《北京中科金财科 技股份有限公司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股东大会决议公告 </w:t>
                        </w:r>
                        <w:r>
                          <w:rPr>
                            <w:rFonts w:ascii="宋体" w:hAnsi="宋体" w:cs="宋体" w:eastAsia="宋体" w:hint="default"/>
                            <w:spacing w:val="-20"/>
                            <w:sz w:val="18"/>
                            <w:szCs w:val="18"/>
                          </w:rPr>
                          <w:t>刊登于《证券时报》</w:t>
                        </w:r>
                        <w:r>
                          <w:rPr>
                            <w:rFonts w:ascii="宋体" w:hAnsi="宋体" w:cs="宋体" w:eastAsia="宋体" w:hint="default"/>
                            <w:sz w:val="18"/>
                            <w:szCs w:val="18"/>
                          </w:rPr>
                        </w:r>
                      </w:p>
                      <w:p>
                        <w:pPr>
                          <w:pStyle w:val="TableParagraph"/>
                          <w:spacing w:line="316" w:lineRule="auto" w:before="22"/>
                          <w:ind w:left="24" w:right="22"/>
                          <w:jc w:val="both"/>
                          <w:rPr>
                            <w:rFonts w:ascii="宋体" w:hAnsi="宋体" w:cs="宋体" w:eastAsia="宋体" w:hint="default"/>
                            <w:sz w:val="18"/>
                            <w:szCs w:val="18"/>
                          </w:rPr>
                        </w:pPr>
                        <w:r>
                          <w:rPr>
                            <w:rFonts w:ascii="宋体" w:hAnsi="宋体" w:cs="宋体" w:eastAsia="宋体" w:hint="default"/>
                            <w:spacing w:val="-27"/>
                            <w:sz w:val="18"/>
                            <w:szCs w:val="18"/>
                          </w:rPr>
                          <w:t>《证券日报》、《中国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7"/>
                            <w:sz w:val="18"/>
                            <w:szCs w:val="18"/>
                          </w:rPr>
                          <w:t>证券报》、《上海证券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报》及巨潮资讯网</w:t>
                        </w:r>
                      </w:p>
                      <w:p>
                        <w:pPr>
                          <w:pStyle w:val="TableParagraph"/>
                          <w:spacing w:line="240" w:lineRule="auto" w:before="61"/>
                          <w:ind w:left="24" w:right="0"/>
                          <w:jc w:val="left"/>
                          <w:rPr>
                            <w:rFonts w:ascii="Times New Roman" w:hAnsi="Times New Roman" w:cs="Times New Roman" w:eastAsia="Times New Roman" w:hint="default"/>
                            <w:sz w:val="18"/>
                            <w:szCs w:val="18"/>
                          </w:rPr>
                        </w:pPr>
                        <w:hyperlink r:id="rId14">
                          <w:r>
                            <w:rPr>
                              <w:rFonts w:ascii="Times New Roman"/>
                              <w:sz w:val="18"/>
                            </w:rPr>
                            <w:t>http://www.cninfo.co</w:t>
                          </w:r>
                        </w:hyperlink>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0"/>
        <w:ind w:left="0" w:right="1148"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spacing w:before="44"/>
        <w:ind w:left="0" w:right="1148" w:firstLine="0"/>
        <w:jc w:val="right"/>
        <w:rPr>
          <w:rFonts w:ascii="宋体" w:hAnsi="宋体" w:cs="宋体" w:eastAsia="宋体" w:hint="default"/>
          <w:sz w:val="18"/>
          <w:szCs w:val="18"/>
        </w:rPr>
      </w:pPr>
      <w:r>
        <w:rPr/>
        <w:pict>
          <v:shape style="position:absolute;margin-left:56.400002pt;margin-top:-65.668304pt;width:479.15pt;height:339.6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6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m.cn</w:t>
                        </w:r>
                      </w:p>
                    </w:tc>
                  </w:tr>
                  <w:tr>
                    <w:trPr>
                      <w:trHeight w:val="320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1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《北京中科金财科 技股份有限公司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股东大会决议公告 </w:t>
                        </w:r>
                        <w:r>
                          <w:rPr>
                            <w:rFonts w:ascii="宋体" w:hAnsi="宋体" w:cs="宋体" w:eastAsia="宋体" w:hint="default"/>
                            <w:spacing w:val="-20"/>
                            <w:sz w:val="18"/>
                            <w:szCs w:val="18"/>
                          </w:rPr>
                          <w:t>刊登于《证券时报》</w:t>
                        </w:r>
                        <w:r>
                          <w:rPr>
                            <w:rFonts w:ascii="宋体" w:hAnsi="宋体" w:cs="宋体" w:eastAsia="宋体" w:hint="default"/>
                            <w:sz w:val="18"/>
                            <w:szCs w:val="18"/>
                          </w:rPr>
                        </w:r>
                      </w:p>
                      <w:p>
                        <w:pPr>
                          <w:pStyle w:val="TableParagraph"/>
                          <w:spacing w:line="316" w:lineRule="auto" w:before="20"/>
                          <w:ind w:left="24" w:right="22"/>
                          <w:jc w:val="both"/>
                          <w:rPr>
                            <w:rFonts w:ascii="宋体" w:hAnsi="宋体" w:cs="宋体" w:eastAsia="宋体" w:hint="default"/>
                            <w:sz w:val="18"/>
                            <w:szCs w:val="18"/>
                          </w:rPr>
                        </w:pPr>
                        <w:r>
                          <w:rPr>
                            <w:rFonts w:ascii="宋体" w:hAnsi="宋体" w:cs="宋体" w:eastAsia="宋体" w:hint="default"/>
                            <w:spacing w:val="-27"/>
                            <w:sz w:val="18"/>
                            <w:szCs w:val="18"/>
                          </w:rPr>
                          <w:t>《证券日报》、《中国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7"/>
                            <w:sz w:val="18"/>
                            <w:szCs w:val="18"/>
                          </w:rPr>
                          <w:t>证券报》、《上海证券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报》及巨潮资讯网</w:t>
                        </w:r>
                      </w:p>
                      <w:p>
                        <w:pPr>
                          <w:pStyle w:val="TableParagraph"/>
                          <w:spacing w:line="362" w:lineRule="auto" w:before="61"/>
                          <w:ind w:left="24" w:right="31"/>
                          <w:jc w:val="left"/>
                          <w:rPr>
                            <w:rFonts w:ascii="Times New Roman" w:hAnsi="Times New Roman" w:cs="Times New Roman" w:eastAsia="Times New Roman" w:hint="default"/>
                            <w:sz w:val="18"/>
                            <w:szCs w:val="18"/>
                          </w:rPr>
                        </w:pPr>
                        <w:hyperlink r:id="rId14">
                          <w:r>
                            <w:rPr>
                              <w:rFonts w:ascii="Times New Roman"/>
                              <w:spacing w:val="-1"/>
                              <w:sz w:val="18"/>
                            </w:rPr>
                            <w:t>http://www.cninfo.co</w:t>
                          </w:r>
                        </w:hyperlink>
                        <w:r>
                          <w:rPr>
                            <w:rFonts w:ascii="Times New Roman"/>
                            <w:sz w:val="18"/>
                          </w:rPr>
                          <w:t> m.cn</w:t>
                        </w:r>
                      </w:p>
                    </w:tc>
                  </w:tr>
                  <w:tr>
                    <w:trPr>
                      <w:trHeight w:val="321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0"/>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《北京中科金财科 技股份有限公司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股东大会决议公告 </w:t>
                        </w:r>
                        <w:r>
                          <w:rPr>
                            <w:rFonts w:ascii="宋体" w:hAnsi="宋体" w:cs="宋体" w:eastAsia="宋体" w:hint="default"/>
                            <w:spacing w:val="-20"/>
                            <w:sz w:val="18"/>
                            <w:szCs w:val="18"/>
                          </w:rPr>
                          <w:t>刊登于《证券时报》</w:t>
                        </w:r>
                        <w:r>
                          <w:rPr>
                            <w:rFonts w:ascii="宋体" w:hAnsi="宋体" w:cs="宋体" w:eastAsia="宋体" w:hint="default"/>
                            <w:sz w:val="18"/>
                            <w:szCs w:val="18"/>
                          </w:rPr>
                        </w:r>
                      </w:p>
                      <w:p>
                        <w:pPr>
                          <w:pStyle w:val="TableParagraph"/>
                          <w:spacing w:line="316" w:lineRule="auto" w:before="20"/>
                          <w:ind w:left="24" w:right="22"/>
                          <w:jc w:val="both"/>
                          <w:rPr>
                            <w:rFonts w:ascii="宋体" w:hAnsi="宋体" w:cs="宋体" w:eastAsia="宋体" w:hint="default"/>
                            <w:sz w:val="18"/>
                            <w:szCs w:val="18"/>
                          </w:rPr>
                        </w:pPr>
                        <w:r>
                          <w:rPr>
                            <w:rFonts w:ascii="宋体" w:hAnsi="宋体" w:cs="宋体" w:eastAsia="宋体" w:hint="default"/>
                            <w:spacing w:val="-27"/>
                            <w:sz w:val="18"/>
                            <w:szCs w:val="18"/>
                          </w:rPr>
                          <w:t>《证券日报》、《中国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7"/>
                            <w:sz w:val="18"/>
                            <w:szCs w:val="18"/>
                          </w:rPr>
                          <w:t>证券报》、《上海证券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报》及巨潮资讯网</w:t>
                        </w:r>
                      </w:p>
                      <w:p>
                        <w:pPr>
                          <w:pStyle w:val="TableParagraph"/>
                          <w:spacing w:line="362" w:lineRule="auto" w:before="61"/>
                          <w:ind w:left="24" w:right="31"/>
                          <w:jc w:val="left"/>
                          <w:rPr>
                            <w:rFonts w:ascii="Times New Roman" w:hAnsi="Times New Roman" w:cs="Times New Roman" w:eastAsia="Times New Roman" w:hint="default"/>
                            <w:sz w:val="18"/>
                            <w:szCs w:val="18"/>
                          </w:rPr>
                        </w:pPr>
                        <w:hyperlink r:id="rId14">
                          <w:r>
                            <w:rPr>
                              <w:rFonts w:ascii="Times New Roman"/>
                              <w:spacing w:val="-1"/>
                              <w:sz w:val="18"/>
                            </w:rPr>
                            <w:t>http://www.cninfo.co</w:t>
                          </w:r>
                        </w:hyperlink>
                        <w:r>
                          <w:rPr>
                            <w:rFonts w:ascii="Times New Roman"/>
                            <w:sz w:val="18"/>
                          </w:rPr>
                          <w:t> m.cn</w:t>
                        </w:r>
                      </w:p>
                    </w:tc>
                  </w:tr>
                </w:tbl>
                <w:p>
                  <w:pPr/>
                </w:p>
              </w:txbxContent>
            </v:textbox>
            <w10:wrap type="none"/>
          </v:shape>
        </w:pict>
      </w:r>
      <w:r>
        <w:rPr>
          <w:rFonts w:ascii="宋体" w:hAnsi="宋体" w:cs="宋体" w:eastAsia="宋体" w:hint="default"/>
          <w:sz w:val="18"/>
          <w:szCs w:val="18"/>
        </w:rPr>
        <w:t>》</w:t>
      </w:r>
    </w:p>
    <w:p>
      <w:pPr>
        <w:spacing w:before="76"/>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44"/>
        <w:ind w:left="0" w:right="1148"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before="36"/>
        <w:ind w:right="1133"/>
        <w:jc w:val="left"/>
        <w:rPr>
          <w:b w:val="0"/>
          <w:bCs w:val="0"/>
        </w:rPr>
      </w:pPr>
      <w:bookmarkStart w:name="2、表决权恢复的优先股股东请求召开临时股东大会" w:id="140"/>
      <w:bookmarkEnd w:id="140"/>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1"/>
        <w:rPr>
          <w:rFonts w:ascii="宋体" w:hAnsi="宋体" w:cs="宋体" w:eastAsia="宋体" w:hint="default"/>
          <w:b/>
          <w:bCs/>
          <w:sz w:val="25"/>
          <w:szCs w:val="25"/>
        </w:rPr>
      </w:pPr>
    </w:p>
    <w:p>
      <w:pPr>
        <w:spacing w:line="496" w:lineRule="auto" w:before="0"/>
        <w:ind w:left="152" w:right="6658" w:firstLine="0"/>
        <w:jc w:val="left"/>
        <w:rPr>
          <w:rFonts w:ascii="宋体" w:hAnsi="宋体" w:cs="宋体" w:eastAsia="宋体" w:hint="default"/>
          <w:sz w:val="21"/>
          <w:szCs w:val="21"/>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 </w:t>
      </w:r>
      <w:r>
        <w:rPr>
          <w:rFonts w:ascii="Times New Roman" w:hAnsi="Times New Roman" w:cs="Times New Roman" w:eastAsia="Times New Roman" w:hint="default"/>
          <w:sz w:val="20"/>
          <w:szCs w:val="20"/>
        </w:rPr>
        <w:t>√ </w:t>
      </w:r>
      <w:r>
        <w:rPr>
          <w:rFonts w:ascii="宋体" w:hAnsi="宋体" w:cs="宋体" w:eastAsia="宋体" w:hint="default"/>
          <w:sz w:val="20"/>
          <w:szCs w:val="20"/>
        </w:rPr>
        <w:t>不适用</w:t>
      </w:r>
      <w:r>
        <w:rPr>
          <w:rFonts w:ascii="宋体" w:hAnsi="宋体" w:cs="宋体" w:eastAsia="宋体" w:hint="default"/>
          <w:w w:val="99"/>
          <w:sz w:val="20"/>
          <w:szCs w:val="20"/>
        </w:rPr>
        <w:t> </w:t>
      </w:r>
      <w:bookmarkStart w:name="五、报告期内独立董事履行职责的情况" w:id="141"/>
      <w:bookmarkEnd w:id="141"/>
      <w:r>
        <w:rPr>
          <w:rFonts w:ascii="宋体" w:hAnsi="宋体" w:cs="宋体" w:eastAsia="宋体" w:hint="default"/>
          <w:w w:val="99"/>
          <w:sz w:val="20"/>
          <w:szCs w:val="20"/>
        </w:rPr>
      </w:r>
      <w:r>
        <w:rPr>
          <w:rFonts w:ascii="宋体" w:hAnsi="宋体" w:cs="宋体" w:eastAsia="宋体" w:hint="default"/>
          <w:b/>
          <w:bCs/>
          <w:sz w:val="24"/>
          <w:szCs w:val="24"/>
        </w:rPr>
        <w:t>五、报告期内独立董事履行职责的情况</w:t>
      </w:r>
      <w:r>
        <w:rPr>
          <w:rFonts w:ascii="宋体" w:hAnsi="宋体" w:cs="宋体" w:eastAsia="宋体" w:hint="default"/>
          <w:b/>
          <w:bCs/>
          <w:w w:val="99"/>
          <w:sz w:val="24"/>
          <w:szCs w:val="24"/>
        </w:rPr>
        <w:t> </w:t>
      </w:r>
      <w:bookmarkStart w:name="1、独立董事出席董事会及股东大会的情况" w:id="142"/>
      <w:bookmarkEnd w:id="14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9"/>
        <w:rPr>
          <w:rFonts w:ascii="宋体" w:hAnsi="宋体" w:cs="宋体" w:eastAsia="宋体" w:hint="default"/>
          <w:b/>
          <w:bCs/>
          <w:sz w:val="6"/>
          <w:szCs w:val="6"/>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1"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顾凌云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季成</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刘书锦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赵燕</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白涛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6"/>
        <w:ind w:right="0"/>
        <w:jc w:val="both"/>
        <w:rPr>
          <w:b w:val="0"/>
          <w:bCs w:val="0"/>
        </w:rPr>
      </w:pPr>
      <w:bookmarkStart w:name="2、独立董事对公司有关事项提出异议的情况" w:id="143"/>
      <w:bookmarkEnd w:id="143"/>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both"/>
      </w:pPr>
      <w:r>
        <w:rPr/>
        <w:t>独立董事对公司有关事项是否提出异议</w:t>
      </w:r>
    </w:p>
    <w:p>
      <w:pPr>
        <w:pStyle w:val="BodyText"/>
        <w:spacing w:line="304" w:lineRule="auto" w:before="88"/>
        <w:ind w:right="6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r>
        <w:rPr>
          <w:w w:val="99"/>
        </w:rPr>
        <w:t> </w:t>
      </w:r>
      <w:r>
        <w:rPr/>
        <w:t>报告期内独立董事对公司有关事项未提出异议。</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bookmarkStart w:name="3、独立董事履行职责的其他说明" w:id="144"/>
      <w:bookmarkEnd w:id="144"/>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0"/>
        <w:jc w:val="both"/>
      </w:pPr>
      <w:r>
        <w:rPr/>
        <w:t>独立董事对公司有关建议是否被采纳</w:t>
      </w:r>
    </w:p>
    <w:p>
      <w:pPr>
        <w:pStyle w:val="BodyText"/>
        <w:spacing w:line="304" w:lineRule="auto" w:before="91"/>
        <w:ind w:right="599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w:t>
      </w:r>
      <w:r>
        <w:rPr>
          <w:w w:val="99"/>
        </w:rPr>
        <w:t> </w:t>
      </w:r>
      <w:r>
        <w:rPr>
          <w:w w:val="95"/>
        </w:rPr>
        <w:t>独立董事对公司有关建议被采纳或未被采纳的说明</w:t>
      </w:r>
      <w:r>
        <w:rPr/>
      </w:r>
    </w:p>
    <w:p>
      <w:pPr>
        <w:pStyle w:val="BodyText"/>
        <w:spacing w:line="422" w:lineRule="auto" w:before="114"/>
        <w:ind w:right="1136" w:firstLine="401"/>
        <w:jc w:val="both"/>
      </w:pPr>
      <w:r>
        <w:rPr/>
        <w:t>公司独立董事在</w:t>
      </w:r>
      <w:r>
        <w:rPr>
          <w:rFonts w:ascii="Times New Roman" w:hAnsi="Times New Roman" w:cs="Times New Roman" w:eastAsia="Times New Roman" w:hint="default"/>
        </w:rPr>
        <w:t>2019</w:t>
      </w:r>
      <w:r>
        <w:rPr/>
        <w:t>年度勤勉尽责，积极了解公司的生产经营情况和财务状况；及时关注经济形势以及市</w:t>
      </w:r>
      <w:r>
        <w:rPr>
          <w:w w:val="99"/>
        </w:rPr>
        <w:t> </w:t>
      </w:r>
      <w:r>
        <w:rPr/>
        <w:t>场变化对公司经营状况的影响；关注传媒、网络有关公司的相关报道；及时获悉公司重大事项的进展情况，认</w:t>
      </w:r>
      <w:r>
        <w:rPr>
          <w:spacing w:val="-72"/>
        </w:rPr>
        <w:t> </w:t>
      </w:r>
      <w:r>
        <w:rPr>
          <w:spacing w:val="-72"/>
        </w:rPr>
      </w:r>
      <w:r>
        <w:rPr/>
        <w:t>真审阅公司提供的定期报告、临时公告；对报告期内公司发生的相关事项出具了独立、公正的独立董事意见，</w:t>
      </w:r>
      <w:r>
        <w:rPr>
          <w:spacing w:val="-77"/>
        </w:rPr>
        <w:t> </w:t>
      </w:r>
      <w:r>
        <w:rPr>
          <w:spacing w:val="-77"/>
        </w:rPr>
      </w:r>
      <w:r>
        <w:rPr/>
        <w:t>有效地履行了独立董事的职责，维护了公司和中小股东的合法权益。</w:t>
      </w:r>
    </w:p>
    <w:p>
      <w:pPr>
        <w:spacing w:line="240" w:lineRule="auto" w:before="10"/>
        <w:rPr>
          <w:rFonts w:ascii="宋体" w:hAnsi="宋体" w:cs="宋体" w:eastAsia="宋体" w:hint="default"/>
          <w:sz w:val="18"/>
          <w:szCs w:val="18"/>
        </w:rPr>
      </w:pPr>
    </w:p>
    <w:p>
      <w:pPr>
        <w:pStyle w:val="Heading2"/>
        <w:spacing w:line="240" w:lineRule="auto"/>
        <w:ind w:right="0"/>
        <w:jc w:val="both"/>
        <w:rPr>
          <w:b w:val="0"/>
          <w:bCs w:val="0"/>
        </w:rPr>
      </w:pPr>
      <w:bookmarkStart w:name="六、董事会下设专门委员会在报告期内履行职责情况" w:id="145"/>
      <w:bookmarkEnd w:id="145"/>
      <w:r>
        <w:rPr>
          <w:b w:val="0"/>
          <w:bCs w:val="0"/>
        </w:rPr>
      </w:r>
      <w:r>
        <w:rPr/>
        <w:t>六、董事会下设专门委员会在报告期内履行职责情况</w:t>
      </w:r>
      <w:r>
        <w:rPr>
          <w:b w:val="0"/>
          <w:bCs w:val="0"/>
        </w:rPr>
      </w:r>
    </w:p>
    <w:p>
      <w:pPr>
        <w:spacing w:line="240" w:lineRule="auto" w:before="4"/>
        <w:rPr>
          <w:rFonts w:ascii="宋体" w:hAnsi="宋体" w:cs="宋体" w:eastAsia="宋体" w:hint="default"/>
          <w:b/>
          <w:bCs/>
          <w:sz w:val="31"/>
          <w:szCs w:val="31"/>
        </w:rPr>
      </w:pPr>
    </w:p>
    <w:p>
      <w:pPr>
        <w:pStyle w:val="BodyText"/>
        <w:spacing w:line="405" w:lineRule="auto"/>
        <w:ind w:left="554" w:right="1133"/>
        <w:jc w:val="left"/>
      </w:pPr>
      <w:r>
        <w:rPr>
          <w:rFonts w:ascii="Times New Roman" w:hAnsi="Times New Roman" w:cs="Times New Roman" w:eastAsia="Times New Roman" w:hint="default"/>
        </w:rPr>
        <w:t>1.</w:t>
      </w:r>
      <w:r>
        <w:rPr/>
        <w:t>战略委员会</w:t>
      </w:r>
      <w:r>
        <w:rPr>
          <w:w w:val="99"/>
        </w:rPr>
        <w:t> </w:t>
      </w:r>
      <w:r>
        <w:rPr>
          <w:spacing w:val="-1"/>
          <w:w w:val="95"/>
        </w:rPr>
        <w:t>报告期内，战略委员会根据《董事会战略委员会工作制度》及其他有关规定积极开展工作，认真履行职责。</w:t>
      </w:r>
      <w:r>
        <w:rPr>
          <w:spacing w:val="-1"/>
        </w:rPr>
      </w:r>
    </w:p>
    <w:p>
      <w:pPr>
        <w:pStyle w:val="BodyText"/>
        <w:spacing w:line="429" w:lineRule="auto" w:before="68"/>
        <w:ind w:right="1133"/>
        <w:jc w:val="left"/>
      </w:pPr>
      <w:r>
        <w:rPr/>
        <w:t>报告期内，战略委员会向董事会提出的建议，明晰了公司的经营策略，对公司持续稳定健康的发展起到了极其</w:t>
      </w:r>
      <w:r>
        <w:rPr>
          <w:spacing w:val="-77"/>
        </w:rPr>
        <w:t> </w:t>
      </w:r>
      <w:r>
        <w:rPr>
          <w:spacing w:val="-77"/>
        </w:rPr>
      </w:r>
      <w:r>
        <w:rPr/>
        <w:t>重要的促进作用，对公司重要事项进行深入的分析研究，为公司发展战略的实施提出了合理的建议。</w:t>
      </w:r>
    </w:p>
    <w:p>
      <w:pPr>
        <w:pStyle w:val="BodyText"/>
        <w:spacing w:line="405" w:lineRule="auto" w:before="48"/>
        <w:ind w:left="554" w:right="1133"/>
        <w:jc w:val="left"/>
      </w:pPr>
      <w:r>
        <w:rPr>
          <w:rFonts w:ascii="Times New Roman" w:hAnsi="Times New Roman" w:cs="Times New Roman" w:eastAsia="Times New Roman" w:hint="default"/>
        </w:rPr>
        <w:t>2.</w:t>
      </w:r>
      <w:r>
        <w:rPr/>
        <w:t>审计委员会</w:t>
      </w:r>
      <w:r>
        <w:rPr>
          <w:w w:val="99"/>
        </w:rPr>
        <w:t> </w:t>
      </w:r>
      <w:r>
        <w:rPr>
          <w:spacing w:val="-1"/>
          <w:w w:val="95"/>
        </w:rPr>
        <w:t>报告期内，审计委员会根据《董事会审计委员会工作制度》及其他有关规定积极开展工作，认真履行职责，</w:t>
      </w:r>
      <w:r>
        <w:rPr>
          <w:spacing w:val="-1"/>
        </w:rPr>
      </w:r>
    </w:p>
    <w:p>
      <w:pPr>
        <w:pStyle w:val="BodyText"/>
        <w:spacing w:line="422" w:lineRule="auto" w:before="68"/>
        <w:ind w:right="1134"/>
        <w:jc w:val="both"/>
      </w:pPr>
      <w:r>
        <w:rPr/>
        <w:t>本着勤勉尽责的原则，充分发挥监督作用，维护审计的独立性，审议通过了内部审计部门</w:t>
      </w:r>
      <w:r>
        <w:rPr>
          <w:rFonts w:ascii="Times New Roman" w:hAnsi="Times New Roman" w:cs="Times New Roman" w:eastAsia="Times New Roman" w:hint="default"/>
        </w:rPr>
        <w:t>2019</w:t>
      </w:r>
      <w:r>
        <w:rPr/>
        <w:t>年各项审计工作</w:t>
      </w:r>
      <w:r>
        <w:rPr>
          <w:spacing w:val="-70"/>
        </w:rPr>
        <w:t> </w:t>
      </w:r>
      <w:r>
        <w:rPr>
          <w:spacing w:val="-70"/>
        </w:rPr>
      </w:r>
      <w:r>
        <w:rPr/>
        <w:t>汇报，对公司内部控制建立健全情况和财务审计情况进行了监督检查。审核了公司重要的会计政策，定期了解</w:t>
      </w:r>
      <w:r>
        <w:rPr>
          <w:spacing w:val="-77"/>
        </w:rPr>
        <w:t> </w:t>
      </w:r>
      <w:r>
        <w:rPr>
          <w:spacing w:val="-77"/>
        </w:rPr>
      </w:r>
      <w:r>
        <w:rPr/>
        <w:t>公司财务状况和经营情况，督促和指导公司内部审计部门对公司财务管理运行情况进行定期和不定期的检查和</w:t>
      </w:r>
      <w:r>
        <w:rPr>
          <w:spacing w:val="-77"/>
        </w:rPr>
        <w:t> </w:t>
      </w:r>
      <w:r>
        <w:rPr>
          <w:spacing w:val="-77"/>
        </w:rPr>
      </w:r>
      <w:r>
        <w:rPr/>
        <w:t>评估。</w:t>
      </w:r>
    </w:p>
    <w:p>
      <w:pPr>
        <w:pStyle w:val="BodyText"/>
        <w:spacing w:line="405" w:lineRule="auto" w:before="55"/>
        <w:ind w:left="554" w:right="1133"/>
        <w:jc w:val="left"/>
      </w:pPr>
      <w:r>
        <w:rPr>
          <w:rFonts w:ascii="Times New Roman" w:hAnsi="Times New Roman" w:cs="Times New Roman" w:eastAsia="Times New Roman" w:hint="default"/>
        </w:rPr>
        <w:t>3.</w:t>
      </w:r>
      <w:r>
        <w:rPr/>
        <w:t>薪酬与考核委员会</w:t>
      </w:r>
      <w:r>
        <w:rPr>
          <w:w w:val="99"/>
        </w:rPr>
        <w:t> </w:t>
      </w:r>
      <w:r>
        <w:rPr/>
        <w:t>报告期内，薪酬与考核委员会根据《董事会薪酬与考核委员会工作制度》及其他有关规定积极开展工作，</w:t>
      </w:r>
    </w:p>
    <w:p>
      <w:pPr>
        <w:pStyle w:val="BodyText"/>
        <w:spacing w:line="429" w:lineRule="auto" w:before="68"/>
        <w:ind w:right="1133"/>
        <w:jc w:val="left"/>
      </w:pPr>
      <w:r>
        <w:rPr/>
        <w:t>认真履行职责。报告期内，结合公司经营规模等实际情况并参照行业薪酬水平，对公司董事和高级管理人员的</w:t>
      </w:r>
      <w:r>
        <w:rPr>
          <w:spacing w:val="-77"/>
        </w:rPr>
        <w:t> </w:t>
      </w:r>
      <w:r>
        <w:rPr>
          <w:spacing w:val="-77"/>
        </w:rPr>
      </w:r>
      <w:r>
        <w:rPr/>
        <w:t>薪酬情况进行了审核，并对公司薪酬体系的改善提出了合理化的建议。</w:t>
      </w:r>
    </w:p>
    <w:p>
      <w:pPr>
        <w:pStyle w:val="BodyText"/>
        <w:spacing w:line="405" w:lineRule="auto" w:before="48"/>
        <w:ind w:left="554" w:right="1133"/>
        <w:jc w:val="left"/>
      </w:pPr>
      <w:r>
        <w:rPr>
          <w:rFonts w:ascii="Times New Roman" w:hAnsi="Times New Roman" w:cs="Times New Roman" w:eastAsia="Times New Roman" w:hint="default"/>
        </w:rPr>
        <w:t>4.</w:t>
      </w:r>
      <w:r>
        <w:rPr/>
        <w:t>提名委员会</w:t>
      </w:r>
      <w:r>
        <w:rPr>
          <w:w w:val="99"/>
        </w:rPr>
        <w:t> </w:t>
      </w:r>
      <w:r>
        <w:rPr>
          <w:spacing w:val="-1"/>
          <w:w w:val="95"/>
        </w:rPr>
        <w:t>报告期内，提名委员会根据《董事会提名委员会工作制度》及其他有关规定积极开展工作，认真履行职责。</w:t>
      </w:r>
      <w:r>
        <w:rPr>
          <w:spacing w:val="-1"/>
        </w:rPr>
      </w:r>
    </w:p>
    <w:p>
      <w:pPr>
        <w:spacing w:after="0" w:line="405"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right="1133"/>
        <w:jc w:val="left"/>
      </w:pPr>
      <w:r>
        <w:rPr/>
        <w:t>报告期内，提名委员会对公司董事和高级管理人员的构成情况及任职资格等相关情况进行了认真的审核。</w:t>
      </w:r>
    </w:p>
    <w:p>
      <w:pPr>
        <w:spacing w:line="240" w:lineRule="auto" w:before="0"/>
        <w:rPr>
          <w:rFonts w:ascii="宋体" w:hAnsi="宋体" w:cs="宋体" w:eastAsia="宋体" w:hint="default"/>
          <w:sz w:val="20"/>
          <w:szCs w:val="20"/>
        </w:rPr>
      </w:pPr>
    </w:p>
    <w:p>
      <w:pPr>
        <w:pStyle w:val="Heading2"/>
        <w:spacing w:line="240" w:lineRule="auto" w:before="136"/>
        <w:ind w:right="1133"/>
        <w:jc w:val="left"/>
        <w:rPr>
          <w:b w:val="0"/>
          <w:bCs w:val="0"/>
        </w:rPr>
      </w:pPr>
      <w:bookmarkStart w:name="七、监事会工作情况" w:id="146"/>
      <w:bookmarkEnd w:id="146"/>
      <w:r>
        <w:rPr>
          <w:b w:val="0"/>
          <w:bCs w:val="0"/>
        </w:rPr>
      </w:r>
      <w:r>
        <w:rPr/>
        <w:t>七、监事会工作情况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33"/>
        <w:jc w:val="left"/>
      </w:pPr>
      <w:r>
        <w:rPr/>
        <w:t>监事会在报告期内的监督活动中发现公司是否存在风险</w:t>
      </w:r>
    </w:p>
    <w:p>
      <w:pPr>
        <w:pStyle w:val="BodyText"/>
        <w:spacing w:line="304" w:lineRule="auto" w:before="88"/>
        <w:ind w:right="67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r>
        <w:rPr>
          <w:w w:val="99"/>
        </w:rPr>
        <w:t> </w:t>
      </w:r>
      <w:r>
        <w:rPr/>
        <w:t>监事会对报告期内的监督事项无异议。</w:t>
      </w:r>
    </w:p>
    <w:p>
      <w:pPr>
        <w:spacing w:line="240" w:lineRule="auto" w:before="5"/>
        <w:rPr>
          <w:rFonts w:ascii="宋体" w:hAnsi="宋体" w:cs="宋体" w:eastAsia="宋体" w:hint="default"/>
          <w:sz w:val="20"/>
          <w:szCs w:val="20"/>
        </w:rPr>
      </w:pPr>
    </w:p>
    <w:p>
      <w:pPr>
        <w:pStyle w:val="Heading2"/>
        <w:spacing w:line="240" w:lineRule="auto"/>
        <w:ind w:right="1133"/>
        <w:jc w:val="left"/>
        <w:rPr>
          <w:b w:val="0"/>
          <w:bCs w:val="0"/>
        </w:rPr>
      </w:pPr>
      <w:bookmarkStart w:name="八、高级管理人员的考评及激励情况" w:id="147"/>
      <w:bookmarkEnd w:id="147"/>
      <w:r>
        <w:rPr>
          <w:b w:val="0"/>
          <w:bCs w:val="0"/>
        </w:rPr>
      </w:r>
      <w:r>
        <w:rPr/>
        <w:t>八、高级管理人员的考评及激励情况</w:t>
      </w:r>
      <w:r>
        <w:rPr>
          <w:b w:val="0"/>
          <w:bCs w:val="0"/>
        </w:rPr>
      </w:r>
    </w:p>
    <w:p>
      <w:pPr>
        <w:spacing w:line="240" w:lineRule="auto" w:before="1"/>
        <w:rPr>
          <w:rFonts w:ascii="宋体" w:hAnsi="宋体" w:cs="宋体" w:eastAsia="宋体" w:hint="default"/>
          <w:b/>
          <w:bCs/>
          <w:sz w:val="31"/>
          <w:szCs w:val="31"/>
        </w:rPr>
      </w:pPr>
    </w:p>
    <w:p>
      <w:pPr>
        <w:pStyle w:val="BodyText"/>
        <w:spacing w:line="422" w:lineRule="auto"/>
        <w:ind w:right="982" w:firstLine="401"/>
        <w:jc w:val="left"/>
      </w:pPr>
      <w:r>
        <w:rPr>
          <w:spacing w:val="-1"/>
          <w:w w:val="95"/>
        </w:rPr>
        <w:t>公司建立了较为合理的高级管理人员的绩效评价标准和激励约束机制，根据高级管理人员的年度履职情况、</w:t>
      </w:r>
      <w:r>
        <w:rPr>
          <w:spacing w:val="-50"/>
          <w:w w:val="95"/>
        </w:rPr>
        <w:t> </w:t>
      </w:r>
      <w:r>
        <w:rPr>
          <w:spacing w:val="-50"/>
          <w:w w:val="95"/>
        </w:rPr>
      </w:r>
      <w:r>
        <w:rPr>
          <w:spacing w:val="-3"/>
        </w:rPr>
        <w:t>绩效考核结果和公司经营业绩的情况决定其年度薪酬。</w:t>
      </w:r>
      <w:r>
        <w:rPr>
          <w:rFonts w:ascii="Times New Roman" w:hAnsi="Times New Roman" w:cs="Times New Roman" w:eastAsia="Times New Roman" w:hint="default"/>
          <w:spacing w:val="-3"/>
        </w:rPr>
        <w:t>2019</w:t>
      </w:r>
      <w:r>
        <w:rPr>
          <w:spacing w:val="-3"/>
        </w:rPr>
        <w:t>年公司高级管理人员能够严格按照《公司法》、《公</w:t>
      </w:r>
      <w:r>
        <w:rPr>
          <w:w w:val="99"/>
        </w:rPr>
        <w:t> </w:t>
      </w:r>
      <w:r>
        <w:rPr>
          <w:spacing w:val="-1"/>
          <w:w w:val="95"/>
        </w:rPr>
        <w:t>司章程》及国家有关法律法规认真履行职责，积极落实公司股东大会和董事会相关决议，认真履行了工作职责，</w:t>
      </w:r>
      <w:r>
        <w:rPr>
          <w:spacing w:val="85"/>
          <w:w w:val="95"/>
        </w:rPr>
        <w:t> </w:t>
      </w:r>
      <w:r>
        <w:rPr>
          <w:spacing w:val="85"/>
          <w:w w:val="95"/>
        </w:rPr>
      </w:r>
      <w:r>
        <w:rPr/>
        <w:t>较好的完成了既定目标。公司各项考评及激励机制执行情况良好，起到了应有的激励和约束作用。</w:t>
      </w:r>
    </w:p>
    <w:p>
      <w:pPr>
        <w:spacing w:line="240" w:lineRule="auto" w:before="10"/>
        <w:rPr>
          <w:rFonts w:ascii="宋体" w:hAnsi="宋体" w:cs="宋体" w:eastAsia="宋体" w:hint="default"/>
          <w:sz w:val="18"/>
          <w:szCs w:val="18"/>
        </w:rPr>
      </w:pPr>
    </w:p>
    <w:p>
      <w:pPr>
        <w:pStyle w:val="Heading2"/>
        <w:spacing w:line="240" w:lineRule="auto"/>
        <w:ind w:right="1133"/>
        <w:jc w:val="left"/>
        <w:rPr>
          <w:b w:val="0"/>
          <w:bCs w:val="0"/>
        </w:rPr>
      </w:pPr>
      <w:bookmarkStart w:name="九、内部控制评价报告" w:id="148"/>
      <w:bookmarkEnd w:id="148"/>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报告期内发现的内部控制重大缺陷的具体情况" w:id="149"/>
      <w:bookmarkEnd w:id="149"/>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否</w:t>
      </w:r>
    </w:p>
    <w:p>
      <w:pPr>
        <w:spacing w:line="240" w:lineRule="auto" w:before="4"/>
        <w:rPr>
          <w:rFonts w:ascii="宋体" w:hAnsi="宋体" w:cs="宋体" w:eastAsia="宋体" w:hint="default"/>
          <w:sz w:val="25"/>
          <w:szCs w:val="25"/>
        </w:rPr>
      </w:pPr>
    </w:p>
    <w:p>
      <w:pPr>
        <w:pStyle w:val="Heading3"/>
        <w:spacing w:line="240" w:lineRule="auto"/>
        <w:ind w:right="1133"/>
        <w:jc w:val="left"/>
        <w:rPr>
          <w:b w:val="0"/>
          <w:bCs w:val="0"/>
        </w:rPr>
      </w:pPr>
      <w:bookmarkStart w:name="2、内控自我评价报告" w:id="150"/>
      <w:bookmarkEnd w:id="150"/>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327"/>
        <w:gridCol w:w="3053"/>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8"/>
                <w:sz w:val="18"/>
                <w:szCs w:val="18"/>
              </w:rPr>
              <w:t> </w:t>
            </w:r>
            <w:hyperlink r:id="rId11">
              <w:r>
                <w:rPr>
                  <w:rFonts w:ascii="Times New Roman" w:hAnsi="Times New Roman" w:cs="Times New Roman" w:eastAsia="Times New Roman" w:hint="default"/>
                  <w:sz w:val="18"/>
                  <w:szCs w:val="18"/>
                </w:rPr>
                <w:t>http://www.cninfo.com.cn/</w:t>
              </w:r>
            </w:hyperlink>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8"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234"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316" w:lineRule="auto" w:before="49"/>
              <w:ind w:left="23" w:right="46"/>
              <w:jc w:val="both"/>
              <w:rPr>
                <w:rFonts w:ascii="宋体" w:hAnsi="宋体" w:cs="宋体" w:eastAsia="宋体" w:hint="default"/>
                <w:sz w:val="18"/>
                <w:szCs w:val="18"/>
              </w:rPr>
            </w:pPr>
            <w:r>
              <w:rPr>
                <w:rFonts w:ascii="宋体" w:hAnsi="宋体" w:cs="宋体" w:eastAsia="宋体" w:hint="default"/>
                <w:sz w:val="18"/>
                <w:szCs w:val="18"/>
              </w:rPr>
              <w:t>公司确定的财务报告内部控制缺陷评价的 </w:t>
            </w:r>
            <w:r>
              <w:rPr>
                <w:rFonts w:ascii="宋体" w:hAnsi="宋体" w:cs="宋体" w:eastAsia="宋体" w:hint="default"/>
                <w:spacing w:val="-5"/>
                <w:sz w:val="18"/>
                <w:szCs w:val="18"/>
              </w:rPr>
              <w:t>定性标准如下：（</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）财务报告重大缺陷的</w:t>
            </w:r>
            <w:r>
              <w:rPr>
                <w:rFonts w:ascii="宋体" w:hAnsi="宋体" w:cs="宋体" w:eastAsia="宋体" w:hint="default"/>
                <w:spacing w:val="-86"/>
                <w:sz w:val="18"/>
                <w:szCs w:val="18"/>
              </w:rPr>
              <w:t> </w:t>
            </w:r>
            <w:r>
              <w:rPr>
                <w:rFonts w:ascii="宋体" w:hAnsi="宋体" w:cs="宋体" w:eastAsia="宋体" w:hint="default"/>
                <w:sz w:val="18"/>
                <w:szCs w:val="18"/>
              </w:rPr>
              <w:t>迹象包括：①公司董事、监事和高级管理 人员的舞弊行为；②公司因责任事故更正 已公布的财务报告；③注册会计师发现的 却未被公司内部控制识别的当期财务报告 中的重大错报；④审计委员会和审计部对 公司的对外财务报告和财务报告内部控制 </w:t>
            </w:r>
            <w:r>
              <w:rPr>
                <w:rFonts w:ascii="宋体" w:hAnsi="宋体" w:cs="宋体" w:eastAsia="宋体" w:hint="default"/>
                <w:spacing w:val="-5"/>
                <w:sz w:val="18"/>
                <w:szCs w:val="18"/>
              </w:rPr>
              <w:t>监督无效。（</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）财务报告重要缺陷迹象包</w:t>
            </w:r>
          </w:p>
        </w:tc>
        <w:tc>
          <w:tcPr>
            <w:tcW w:w="3053" w:type="dxa"/>
            <w:vMerge w:val="restart"/>
            <w:tcBorders>
              <w:top w:val="single" w:sz="4" w:space="0" w:color="000000"/>
              <w:left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w:t>
            </w:r>
            <w:r>
              <w:rPr>
                <w:rFonts w:ascii="宋体" w:hAnsi="宋体" w:cs="宋体" w:eastAsia="宋体" w:hint="default"/>
                <w:spacing w:val="-9"/>
                <w:sz w:val="18"/>
                <w:szCs w:val="18"/>
              </w:rPr>
              <w:t>评价的定性标准如下：（</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）非财务报告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重大缺陷的迹象包括：①公司经营活动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严重违反国家法律法规，受到重大处 </w:t>
            </w:r>
            <w:r>
              <w:rPr>
                <w:rFonts w:ascii="宋体" w:hAnsi="宋体" w:cs="宋体" w:eastAsia="宋体" w:hint="default"/>
                <w:spacing w:val="-4"/>
                <w:sz w:val="18"/>
                <w:szCs w:val="18"/>
              </w:rPr>
              <w:t>罚；②媒体负面新闻频频曝光，对公司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声誉造成重大损害；③重要业务缺乏制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度控制或制度系统性失效；④内部控制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评价的结果特别是重大缺陷未得到整 </w:t>
            </w:r>
            <w:r>
              <w:rPr>
                <w:rFonts w:ascii="宋体" w:hAnsi="宋体" w:cs="宋体" w:eastAsia="宋体" w:hint="default"/>
                <w:spacing w:val="-9"/>
                <w:sz w:val="18"/>
                <w:szCs w:val="18"/>
              </w:rPr>
              <w:t>改。（</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）非财务报告重要缺陷的迹象包</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1234"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8"/>
          <w:szCs w:val="18"/>
        </w:rPr>
      </w:pPr>
    </w:p>
    <w:p>
      <w:pPr>
        <w:spacing w:before="44"/>
        <w:ind w:left="0" w:right="1139" w:firstLine="0"/>
        <w:jc w:val="right"/>
        <w:rPr>
          <w:rFonts w:ascii="宋体" w:hAnsi="宋体" w:cs="宋体" w:eastAsia="宋体" w:hint="default"/>
          <w:sz w:val="18"/>
          <w:szCs w:val="18"/>
        </w:rPr>
      </w:pPr>
      <w:r>
        <w:rPr/>
        <w:pict>
          <v:shape style="position:absolute;margin-left:277.72699pt;margin-top:82.321732pt;width:257.25pt;height:109.25pt;mso-position-horizontal-relative:page;mso-position-vertical-relative:paragraph;z-index:-1105360" type="#_x0000_t202" filled="false" stroked="false">
            <v:textbox inset="0,0,0,0">
              <w:txbxContent>
                <w:p>
                  <w:pPr>
                    <w:spacing w:line="240" w:lineRule="auto" w:before="0"/>
                    <w:rPr>
                      <w:rFonts w:ascii="宋体" w:hAnsi="宋体" w:cs="宋体" w:eastAsia="宋体" w:hint="default"/>
                      <w:sz w:val="18"/>
                      <w:szCs w:val="18"/>
                    </w:rPr>
                  </w:pPr>
                </w:p>
                <w:p>
                  <w:pPr>
                    <w:spacing w:before="125"/>
                    <w:ind w:left="0" w:right="0" w:firstLine="0"/>
                    <w:jc w:val="left"/>
                    <w:rPr>
                      <w:rFonts w:ascii="宋体" w:hAnsi="宋体" w:cs="宋体" w:eastAsia="宋体" w:hint="default"/>
                      <w:sz w:val="18"/>
                      <w:szCs w:val="18"/>
                    </w:rPr>
                  </w:pPr>
                  <w:r>
                    <w:rPr>
                      <w:rFonts w:ascii="宋体" w:hAnsi="宋体" w:cs="宋体" w:eastAsia="宋体" w:hint="default"/>
                      <w:sz w:val="18"/>
                      <w:szCs w:val="18"/>
                    </w:rPr>
                    <w:t>定量标准以合并税前利润、</w:t>
                  </w:r>
                </w:p>
              </w:txbxContent>
            </v:textbox>
            <w10:wrap type="none"/>
          </v:shape>
        </w:pict>
      </w:r>
      <w:r>
        <w:rPr/>
        <w:pict>
          <v:shape style="position:absolute;margin-left:56.459999pt;margin-top:-45.50827pt;width:479.2pt;height:493.55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2"/>
                    <w:gridCol w:w="3053"/>
                  </w:tblGrid>
                  <w:tr>
                    <w:trPr>
                      <w:trHeight w:val="2547"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47"/>
                          <w:jc w:val="both"/>
                          <w:rPr>
                            <w:rFonts w:ascii="宋体" w:hAnsi="宋体" w:cs="宋体" w:eastAsia="宋体" w:hint="default"/>
                            <w:sz w:val="18"/>
                            <w:szCs w:val="18"/>
                          </w:rPr>
                        </w:pPr>
                        <w:r>
                          <w:rPr>
                            <w:rFonts w:ascii="宋体" w:hAnsi="宋体" w:cs="宋体" w:eastAsia="宋体" w:hint="default"/>
                            <w:sz w:val="18"/>
                            <w:szCs w:val="18"/>
                          </w:rPr>
                          <w:t>括：①未依照公认会计准则选择和应用会 计政策；②关键岗位人员舞弊；③合规性 监管职能失效，存在违反法规的行为，该 行为对财务报告的可靠性产生重大影响；</w:t>
                        </w:r>
                      </w:p>
                      <w:p>
                        <w:pPr>
                          <w:pStyle w:val="TableParagraph"/>
                          <w:spacing w:line="312" w:lineRule="auto" w:before="17"/>
                          <w:ind w:left="24" w:right="46"/>
                          <w:jc w:val="both"/>
                          <w:rPr>
                            <w:rFonts w:ascii="宋体" w:hAnsi="宋体" w:cs="宋体" w:eastAsia="宋体" w:hint="default"/>
                            <w:sz w:val="18"/>
                            <w:szCs w:val="18"/>
                          </w:rPr>
                        </w:pPr>
                        <w:r>
                          <w:rPr>
                            <w:rFonts w:ascii="宋体" w:hAnsi="宋体" w:cs="宋体" w:eastAsia="宋体" w:hint="default"/>
                            <w:sz w:val="18"/>
                            <w:szCs w:val="18"/>
                          </w:rPr>
                          <w:t>④业务过程控制存在一项或多项缺陷，不 能合理保证编制的财务报表达到真实、完 </w:t>
                        </w:r>
                        <w:r>
                          <w:rPr>
                            <w:rFonts w:ascii="宋体" w:hAnsi="宋体" w:cs="宋体" w:eastAsia="宋体" w:hint="default"/>
                            <w:spacing w:val="-5"/>
                            <w:sz w:val="18"/>
                            <w:szCs w:val="18"/>
                          </w:rPr>
                          <w:t>整的目标。（</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）一般缺陷是指除上述重大</w:t>
                        </w:r>
                        <w:r>
                          <w:rPr>
                            <w:rFonts w:ascii="宋体" w:hAnsi="宋体" w:cs="宋体" w:eastAsia="宋体" w:hint="default"/>
                            <w:spacing w:val="-86"/>
                            <w:sz w:val="18"/>
                            <w:szCs w:val="18"/>
                          </w:rPr>
                          <w:t> </w:t>
                        </w:r>
                        <w:r>
                          <w:rPr>
                            <w:rFonts w:ascii="宋体" w:hAnsi="宋体" w:cs="宋体" w:eastAsia="宋体" w:hint="default"/>
                            <w:sz w:val="18"/>
                            <w:szCs w:val="18"/>
                          </w:rPr>
                          <w:t>缺陷、重要缺陷之外的其他控制缺陷。</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6" w:right="20"/>
                          <w:jc w:val="left"/>
                          <w:rPr>
                            <w:rFonts w:ascii="宋体" w:hAnsi="宋体" w:cs="宋体" w:eastAsia="宋体" w:hint="default"/>
                            <w:sz w:val="18"/>
                            <w:szCs w:val="18"/>
                          </w:rPr>
                        </w:pPr>
                        <w:r>
                          <w:rPr>
                            <w:rFonts w:ascii="宋体" w:hAnsi="宋体" w:cs="宋体" w:eastAsia="宋体" w:hint="default"/>
                            <w:spacing w:val="-4"/>
                            <w:sz w:val="18"/>
                            <w:szCs w:val="18"/>
                          </w:rPr>
                          <w:t>括：①公司违反国家法律法规受到轻微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处罚；②重要业务制度控制或系统存在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缺陷；③内部控制重要缺陷未得到整 </w:t>
                        </w:r>
                        <w:r>
                          <w:rPr>
                            <w:rFonts w:ascii="宋体" w:hAnsi="宋体" w:cs="宋体" w:eastAsia="宋体" w:hint="default"/>
                            <w:spacing w:val="-14"/>
                            <w:sz w:val="18"/>
                            <w:szCs w:val="18"/>
                          </w:rPr>
                          <w:t>改。（</w:t>
                        </w:r>
                        <w:r>
                          <w:rPr>
                            <w:rFonts w:ascii="Times New Roman" w:hAnsi="Times New Roman" w:cs="Times New Roman" w:eastAsia="Times New Roman" w:hint="default"/>
                            <w:spacing w:val="-14"/>
                            <w:sz w:val="18"/>
                            <w:szCs w:val="18"/>
                          </w:rPr>
                          <w:t>3</w:t>
                        </w:r>
                        <w:r>
                          <w:rPr>
                            <w:rFonts w:ascii="宋体" w:hAnsi="宋体" w:cs="宋体" w:eastAsia="宋体" w:hint="default"/>
                            <w:spacing w:val="-14"/>
                            <w:sz w:val="18"/>
                            <w:szCs w:val="18"/>
                          </w:rPr>
                          <w:t>）一般缺陷是指除上述重大缺陷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重要缺陷之外的其他控制缺陷。</w:t>
                        </w:r>
                      </w:p>
                    </w:tc>
                  </w:tr>
                  <w:tr>
                    <w:trPr>
                      <w:trHeight w:val="570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4"/>
                          <w:jc w:val="left"/>
                          <w:rPr>
                            <w:rFonts w:ascii="宋体" w:hAnsi="宋体" w:cs="宋体" w:eastAsia="宋体" w:hint="default"/>
                            <w:sz w:val="18"/>
                            <w:szCs w:val="18"/>
                          </w:rPr>
                        </w:pPr>
                        <w:r>
                          <w:rPr>
                            <w:rFonts w:ascii="宋体" w:hAnsi="宋体" w:cs="宋体" w:eastAsia="宋体" w:hint="default"/>
                            <w:sz w:val="18"/>
                            <w:szCs w:val="18"/>
                          </w:rPr>
                          <w:t>公司确定的财务报告内部控制缺陷评价的 定量标准如下： 资产总额作为衡量指标。内部控制缺陷可 能导致或导致的损失与利润表相关的，以 当期合并税前利润指标衡量。如果该缺陷 单独或连同其他缺陷可能导致的财务报告 错报金额小于合并税前利润的</w:t>
                        </w:r>
                        <w:r>
                          <w:rPr>
                            <w:rFonts w:ascii="宋体" w:hAnsi="宋体" w:cs="宋体" w:eastAsia="宋体" w:hint="default"/>
                            <w:spacing w:val="-44"/>
                            <w:sz w:val="18"/>
                            <w:szCs w:val="18"/>
                          </w:rPr>
                          <w:t> </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，则认定</w:t>
                        </w:r>
                        <w:r>
                          <w:rPr>
                            <w:rFonts w:ascii="宋体" w:hAnsi="宋体" w:cs="宋体" w:eastAsia="宋体" w:hint="default"/>
                            <w:sz w:val="18"/>
                            <w:szCs w:val="18"/>
                          </w:rPr>
                          <w:t> </w:t>
                        </w:r>
                        <w:r>
                          <w:rPr>
                            <w:rFonts w:ascii="宋体" w:hAnsi="宋体" w:cs="宋体" w:eastAsia="宋体" w:hint="default"/>
                            <w:spacing w:val="-5"/>
                            <w:sz w:val="18"/>
                            <w:szCs w:val="18"/>
                          </w:rPr>
                          <w:t>为一般缺陷；如果超过合并税前利润的</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1% </w:t>
                        </w:r>
                        <w:r>
                          <w:rPr>
                            <w:rFonts w:ascii="宋体" w:hAnsi="宋体" w:cs="宋体" w:eastAsia="宋体" w:hint="default"/>
                            <w:sz w:val="18"/>
                            <w:szCs w:val="18"/>
                          </w:rPr>
                          <w:t>但小于</w:t>
                        </w:r>
                        <w:r>
                          <w:rPr>
                            <w:rFonts w:ascii="宋体" w:hAnsi="宋体" w:cs="宋体" w:eastAsia="宋体" w:hint="default"/>
                            <w:spacing w:val="-36"/>
                            <w:sz w:val="18"/>
                            <w:szCs w:val="18"/>
                          </w:rPr>
                          <w:t> </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，则为重要缺陷；如果超过合并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税前利润的</w:t>
                        </w:r>
                        <w:r>
                          <w:rPr>
                            <w:rFonts w:ascii="宋体" w:hAnsi="宋体" w:cs="宋体" w:eastAsia="宋体" w:hint="default"/>
                            <w:spacing w:val="-42"/>
                            <w:sz w:val="18"/>
                            <w:szCs w:val="18"/>
                          </w:rPr>
                          <w:t> </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，则认定为重大缺陷。内部</w:t>
                        </w:r>
                        <w:r>
                          <w:rPr>
                            <w:rFonts w:ascii="宋体" w:hAnsi="宋体" w:cs="宋体" w:eastAsia="宋体" w:hint="default"/>
                            <w:sz w:val="18"/>
                            <w:szCs w:val="18"/>
                          </w:rPr>
                          <w:t> 控制缺陷可能导致或导致的损失与资产管 理相关的， 如果该缺陷单独或连同其他缺陷可能导致 的财务报告错报金额小于合并资产总额的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，则认定为一般缺陷；如果超过合并 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认定为重要缺 </w:t>
                        </w:r>
                        <w:r>
                          <w:rPr>
                            <w:rFonts w:ascii="宋体" w:hAnsi="宋体" w:cs="宋体" w:eastAsia="宋体" w:hint="default"/>
                            <w:spacing w:val="-4"/>
                            <w:sz w:val="18"/>
                            <w:szCs w:val="18"/>
                          </w:rPr>
                          <w:t>陷；如果超过合并资产总额</w:t>
                        </w:r>
                        <w:r>
                          <w:rPr>
                            <w:rFonts w:ascii="宋体" w:hAnsi="宋体" w:cs="宋体" w:eastAsia="宋体" w:hint="default"/>
                            <w:spacing w:val="-38"/>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，则认定为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重大缺陷。</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26" w:right="-43"/>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w:t>
                        </w:r>
                        <w:r>
                          <w:rPr>
                            <w:rFonts w:ascii="宋体" w:hAnsi="宋体" w:cs="宋体" w:eastAsia="宋体" w:hint="default"/>
                            <w:spacing w:val="-4"/>
                            <w:sz w:val="18"/>
                            <w:szCs w:val="18"/>
                          </w:rPr>
                          <w:t>评价的定量标准如下：非财务报告内部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控制缺陷评价的定量标准参照财务报 告内部控制缺陷评价的定量标准执行。</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spacing w:line="2184" w:lineRule="exact"/>
        <w:ind w:left="6677" w:right="0" w:firstLine="0"/>
        <w:rPr>
          <w:rFonts w:ascii="宋体" w:hAnsi="宋体" w:cs="宋体" w:eastAsia="宋体" w:hint="default"/>
          <w:sz w:val="20"/>
          <w:szCs w:val="20"/>
        </w:rPr>
      </w:pPr>
      <w:r>
        <w:rPr>
          <w:rFonts w:ascii="宋体" w:hAnsi="宋体" w:cs="宋体" w:eastAsia="宋体" w:hint="default"/>
          <w:position w:val="-43"/>
          <w:sz w:val="20"/>
          <w:szCs w:val="20"/>
        </w:rPr>
        <w:pict>
          <v:group style="width:152.1pt;height:109.25pt;mso-position-horizontal-relative:char;mso-position-vertical-relative:line" coordorigin="0,0" coordsize="3042,2185">
            <v:group style="position:absolute;left:0;top:0;width:3042;height:2185" coordorigin="0,0" coordsize="3042,2185">
              <v:shape style="position:absolute;left:0;top:0;width:3042;height:2185" coordorigin="0,0" coordsize="3042,2185" path="m0,2184l3041,2184,3041,0,0,0,0,2184xe" filled="true" fillcolor="#ffffff" stroked="false">
                <v:path arrowok="t"/>
                <v:fill type="solid"/>
              </v:shape>
            </v:group>
          </v:group>
        </w:pict>
      </w:r>
      <w:r>
        <w:rPr>
          <w:rFonts w:ascii="宋体" w:hAnsi="宋体" w:cs="宋体" w:eastAsia="宋体" w:hint="default"/>
          <w:position w:val="-43"/>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line="2184" w:lineRule="exact"/>
        <w:ind w:left="6677" w:right="0" w:firstLine="0"/>
        <w:rPr>
          <w:rFonts w:ascii="宋体" w:hAnsi="宋体" w:cs="宋体" w:eastAsia="宋体" w:hint="default"/>
          <w:sz w:val="20"/>
          <w:szCs w:val="20"/>
        </w:rPr>
      </w:pPr>
      <w:r>
        <w:rPr>
          <w:rFonts w:ascii="宋体" w:hAnsi="宋体" w:cs="宋体" w:eastAsia="宋体" w:hint="default"/>
          <w:position w:val="-43"/>
          <w:sz w:val="20"/>
          <w:szCs w:val="20"/>
        </w:rPr>
        <w:pict>
          <v:group style="width:152.1pt;height:109.25pt;mso-position-horizontal-relative:char;mso-position-vertical-relative:line" coordorigin="0,0" coordsize="3042,2185">
            <v:group style="position:absolute;left:0;top:0;width:3042;height:2185" coordorigin="0,0" coordsize="3042,2185">
              <v:shape style="position:absolute;left:0;top:0;width:3042;height:2185" coordorigin="0,0" coordsize="3042,2185" path="m0,2184l3041,2184,3041,0,0,0,0,2184xe" filled="true" fillcolor="#ffffff" stroked="false">
                <v:path arrowok="t"/>
                <v:fill type="solid"/>
              </v:shape>
            </v:group>
          </v:group>
        </w:pict>
      </w:r>
      <w:r>
        <w:rPr>
          <w:rFonts w:ascii="宋体" w:hAnsi="宋体" w:cs="宋体" w:eastAsia="宋体" w:hint="default"/>
          <w:position w:val="-43"/>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2"/>
        <w:spacing w:line="240" w:lineRule="auto" w:before="26"/>
        <w:ind w:right="1133"/>
        <w:jc w:val="left"/>
        <w:rPr>
          <w:b w:val="0"/>
          <w:bCs w:val="0"/>
        </w:rPr>
      </w:pPr>
      <w:r>
        <w:rPr/>
        <w:pict>
          <v:shape style="position:absolute;margin-left:259.72699pt;margin-top:-201.904388pt;width:275.25pt;height:109.25pt;mso-position-horizontal-relative:page;mso-position-vertical-relative:paragraph;z-index:-1105336"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以当期合并资产总额指标衡量。</w:t>
                  </w:r>
                </w:p>
              </w:txbxContent>
            </v:textbox>
            <w10:wrap type="none"/>
          </v:shape>
        </w:pict>
      </w:r>
      <w:bookmarkStart w:name="十、内部控制审计报告或鉴证报告" w:id="151"/>
      <w:bookmarkEnd w:id="151"/>
      <w:r>
        <w:rPr>
          <w:b w:val="0"/>
          <w:bCs w:val="0"/>
        </w:rPr>
      </w:r>
      <w:r>
        <w:rPr/>
        <w:t>十、内部控制审计报告或鉴证报告</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33"/>
        <w:jc w:val="left"/>
      </w:pP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4" w:right="1133"/>
        <w:jc w:val="left"/>
        <w:rPr>
          <w:b w:val="0"/>
          <w:bCs w:val="0"/>
        </w:rPr>
      </w:pPr>
      <w:bookmarkStart w:name="_TOC_250002" w:id="152"/>
      <w:bookmarkStart w:name="第十一节 公司债券相关情况" w:id="153"/>
      <w:r>
        <w:rPr>
          <w:b w:val="0"/>
          <w:bCs w:val="0"/>
        </w:rPr>
      </w:r>
      <w:r>
        <w:rPr/>
        <w:t>第十一节</w:t>
      </w:r>
      <w:r>
        <w:rPr>
          <w:spacing w:val="-6"/>
        </w:rPr>
        <w:t> </w:t>
      </w:r>
      <w:r>
        <w:rPr/>
        <w:t>公司债券相关情况</w:t>
      </w:r>
      <w:bookmarkEnd w:id="152"/>
      <w:r>
        <w:rPr>
          <w:b w:val="0"/>
          <w:bCs w:val="0"/>
        </w:rPr>
      </w:r>
    </w:p>
    <w:p>
      <w:pPr>
        <w:spacing w:line="240" w:lineRule="auto" w:before="6"/>
        <w:rPr>
          <w:rFonts w:ascii="宋体" w:hAnsi="宋体" w:cs="宋体" w:eastAsia="宋体" w:hint="default"/>
          <w:b/>
          <w:bCs/>
          <w:sz w:val="41"/>
          <w:szCs w:val="41"/>
        </w:rPr>
      </w:pPr>
    </w:p>
    <w:p>
      <w:pPr>
        <w:pStyle w:val="BodyText"/>
        <w:spacing w:line="321" w:lineRule="auto"/>
        <w:ind w:right="1454"/>
        <w:jc w:val="left"/>
      </w:pPr>
      <w:r>
        <w:rPr>
          <w:w w:val="95"/>
        </w:rPr>
        <w:t>公司是否存在公开发行并在证券交易所上市，且在年度报告批准报出日未到期或到期未能全额兑付的公司债券   </w:t>
      </w:r>
      <w:r>
        <w:rPr>
          <w:spacing w:val="91"/>
          <w:w w:val="95"/>
        </w:rPr>
        <w:t> </w:t>
      </w:r>
      <w:r>
        <w:rPr>
          <w:spacing w:val="91"/>
          <w:w w:val="95"/>
        </w:rPr>
      </w:r>
      <w:r>
        <w:rPr/>
        <w:t>否</w:t>
      </w:r>
    </w:p>
    <w:p>
      <w:pPr>
        <w:spacing w:after="0" w:line="321"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1133"/>
        <w:jc w:val="left"/>
        <w:rPr>
          <w:b w:val="0"/>
          <w:bCs w:val="0"/>
        </w:rPr>
      </w:pPr>
      <w:bookmarkStart w:name="_TOC_250001" w:id="154"/>
      <w:bookmarkStart w:name="第十二节 财务报告" w:id="155"/>
      <w:r>
        <w:rPr>
          <w:b w:val="0"/>
          <w:bCs w:val="0"/>
        </w:rPr>
      </w:r>
      <w:r>
        <w:rPr/>
        <w:t>第十二节</w:t>
      </w:r>
      <w:r>
        <w:rPr>
          <w:spacing w:val="-6"/>
        </w:rPr>
        <w:t> </w:t>
      </w:r>
      <w:r>
        <w:rPr/>
        <w:t>财务报告</w:t>
      </w:r>
      <w:bookmarkEnd w:id="154"/>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bookmarkStart w:name="一、审计报告" w:id="156"/>
      <w:bookmarkEnd w:id="156"/>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ZB10540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张金华、郭晓清</w:t>
            </w:r>
          </w:p>
        </w:tc>
      </w:tr>
    </w:tbl>
    <w:p>
      <w:pPr>
        <w:spacing w:line="240" w:lineRule="auto" w:before="5"/>
        <w:rPr>
          <w:rFonts w:ascii="宋体" w:hAnsi="宋体" w:cs="宋体" w:eastAsia="宋体" w:hint="default"/>
          <w:b/>
          <w:bCs/>
          <w:sz w:val="26"/>
          <w:szCs w:val="26"/>
        </w:rPr>
      </w:pPr>
    </w:p>
    <w:p>
      <w:pPr>
        <w:pStyle w:val="BodyText"/>
        <w:spacing w:line="240" w:lineRule="auto" w:before="37"/>
        <w:ind w:left="0" w:right="981"/>
        <w:jc w:val="center"/>
      </w:pPr>
      <w:r>
        <w:rPr/>
        <w:t>审计报告正文</w:t>
      </w:r>
    </w:p>
    <w:p>
      <w:pPr>
        <w:spacing w:line="240" w:lineRule="auto" w:before="1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745" w:footer="980" w:top="1060" w:bottom="1160" w:left="980" w:right="0"/>
        </w:sectPr>
      </w:pPr>
    </w:p>
    <w:p>
      <w:pPr>
        <w:spacing w:line="240" w:lineRule="auto" w:before="9"/>
        <w:rPr>
          <w:rFonts w:ascii="宋体" w:hAnsi="宋体" w:cs="宋体" w:eastAsia="宋体" w:hint="default"/>
          <w:sz w:val="26"/>
          <w:szCs w:val="26"/>
        </w:rPr>
      </w:pPr>
    </w:p>
    <w:p>
      <w:pPr>
        <w:pStyle w:val="BodyText"/>
        <w:spacing w:line="357" w:lineRule="auto"/>
        <w:ind w:left="554" w:right="0" w:hanging="402"/>
        <w:jc w:val="left"/>
      </w:pPr>
      <w:r>
        <w:rPr>
          <w:w w:val="95"/>
        </w:rPr>
        <w:t>北京中科金财科技股份有限公司全体股东：</w:t>
      </w:r>
      <w:r>
        <w:rPr>
          <w:spacing w:val="89"/>
          <w:w w:val="95"/>
        </w:rPr>
        <w:t> </w:t>
      </w:r>
      <w:r>
        <w:rPr>
          <w:spacing w:val="89"/>
          <w:w w:val="95"/>
        </w:rPr>
      </w:r>
      <w:r>
        <w:rPr/>
        <w:t>一、审计意见</w:t>
      </w:r>
    </w:p>
    <w:p>
      <w:pPr>
        <w:pStyle w:val="BodyText"/>
        <w:spacing w:line="240" w:lineRule="auto" w:before="37"/>
        <w:ind w:right="0"/>
        <w:jc w:val="left"/>
      </w:pPr>
      <w:r>
        <w:rPr/>
        <w:br w:type="column"/>
      </w:r>
      <w:r>
        <w:rPr/>
        <w:t>信会师报字</w:t>
      </w:r>
      <w:r>
        <w:rPr>
          <w:rFonts w:ascii="Times New Roman" w:hAnsi="Times New Roman" w:cs="Times New Roman" w:eastAsia="Times New Roman" w:hint="default"/>
        </w:rPr>
        <w:t>[2020]</w:t>
      </w:r>
      <w:r>
        <w:rPr/>
        <w:t>第</w:t>
      </w:r>
      <w:r>
        <w:rPr>
          <w:rFonts w:ascii="Times New Roman" w:hAnsi="Times New Roman" w:cs="Times New Roman" w:eastAsia="Times New Roman" w:hint="default"/>
        </w:rPr>
        <w:t>ZB10540</w:t>
      </w:r>
      <w:r>
        <w:rPr/>
        <w:t>号</w:t>
      </w:r>
    </w:p>
    <w:p>
      <w:pPr>
        <w:spacing w:after="0" w:line="240" w:lineRule="auto"/>
        <w:jc w:val="left"/>
        <w:sectPr>
          <w:type w:val="continuous"/>
          <w:pgSz w:w="11910" w:h="16840"/>
          <w:pgMar w:top="1060" w:bottom="1160" w:left="980" w:right="0"/>
          <w:cols w:num="2" w:equalWidth="0">
            <w:col w:w="3949" w:space="3003"/>
            <w:col w:w="3978"/>
          </w:cols>
        </w:sectPr>
      </w:pPr>
    </w:p>
    <w:p>
      <w:pPr>
        <w:pStyle w:val="BodyText"/>
        <w:spacing w:line="405" w:lineRule="auto" w:before="108"/>
        <w:ind w:right="1124" w:firstLine="401"/>
        <w:jc w:val="both"/>
      </w:pPr>
      <w:r>
        <w:rPr/>
        <w:t>我们审计了北京中科金财科技股份有限公司（以下简称</w:t>
      </w:r>
      <w:r>
        <w:rPr>
          <w:rFonts w:ascii="Times New Roman" w:hAnsi="Times New Roman" w:cs="Times New Roman" w:eastAsia="Times New Roman" w:hint="default"/>
        </w:rPr>
        <w:t>”</w:t>
      </w:r>
      <w:r>
        <w:rPr/>
        <w:t>中科金财</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w:t>
      </w:r>
      <w:r>
        <w:rPr>
          <w:spacing w:val="2"/>
          <w:w w:val="99"/>
        </w:rPr>
        <w:t> </w:t>
      </w:r>
      <w:r>
        <w:rPr/>
        <w:t>并及母公司资产负债表，</w:t>
      </w:r>
      <w:r>
        <w:rPr>
          <w:rFonts w:ascii="Times New Roman" w:hAnsi="Times New Roman" w:cs="Times New Roman" w:eastAsia="Times New Roman" w:hint="default"/>
        </w:rPr>
        <w:t>2019</w:t>
      </w:r>
      <w:r>
        <w:rPr/>
        <w:t>年度的合并及母公司利润表、合并及母公司现金流量表、合并及母公司所有者权</w:t>
      </w:r>
      <w:r>
        <w:rPr>
          <w:spacing w:val="-76"/>
        </w:rPr>
        <w:t> </w:t>
      </w:r>
      <w:r>
        <w:rPr>
          <w:spacing w:val="-76"/>
        </w:rPr>
      </w:r>
      <w:r>
        <w:rPr/>
        <w:t>益变动表以及相关财务报表附注。</w:t>
      </w:r>
    </w:p>
    <w:p>
      <w:pPr>
        <w:pStyle w:val="BodyText"/>
        <w:spacing w:line="405" w:lineRule="auto" w:before="68"/>
        <w:ind w:right="1133" w:firstLine="401"/>
        <w:jc w:val="both"/>
      </w:pPr>
      <w:r>
        <w:rPr/>
        <w:t>我们认为，后附的财务报表在所有重大方面按照企业会计准则的规定编制，公允反映了中科金财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1"/>
          <w:w w:val="99"/>
        </w:rPr>
        <w:t> </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2019</w:t>
      </w:r>
      <w:r>
        <w:rPr/>
        <w:t>年度的合并及母公司经营成果和现金流量。</w:t>
      </w:r>
    </w:p>
    <w:p>
      <w:pPr>
        <w:pStyle w:val="BodyText"/>
        <w:spacing w:line="429" w:lineRule="auto" w:before="38"/>
        <w:ind w:left="554" w:right="1125"/>
        <w:jc w:val="left"/>
      </w:pPr>
      <w:r>
        <w:rPr/>
        <w:t>二、形成审计意见的基础</w:t>
      </w:r>
      <w:r>
        <w:rPr>
          <w:w w:val="99"/>
        </w:rPr>
        <w:t> </w:t>
      </w:r>
      <w:r>
        <w:rPr>
          <w:spacing w:val="3"/>
        </w:rPr>
        <w:t>我们按照中国注册会计师审计准则的规定执行了审计工作。审计报告的</w:t>
      </w:r>
      <w:r>
        <w:rPr>
          <w:rFonts w:ascii="Times New Roman" w:hAnsi="Times New Roman" w:cs="Times New Roman" w:eastAsia="Times New Roman" w:hint="default"/>
          <w:spacing w:val="3"/>
        </w:rPr>
        <w:t>“</w:t>
      </w:r>
      <w:r>
        <w:rPr>
          <w:spacing w:val="3"/>
        </w:rPr>
        <w:t>注册会计师对财务报表审计的责</w:t>
      </w:r>
    </w:p>
    <w:p>
      <w:pPr>
        <w:pStyle w:val="BodyText"/>
        <w:spacing w:line="417" w:lineRule="auto" w:before="16"/>
        <w:ind w:right="1135"/>
        <w:jc w:val="both"/>
      </w:pPr>
      <w:r>
        <w:rPr>
          <w:spacing w:val="-1"/>
          <w:w w:val="95"/>
        </w:rPr>
        <w:t>任</w:t>
      </w:r>
      <w:r>
        <w:rPr>
          <w:rFonts w:ascii="Times New Roman" w:hAnsi="Times New Roman" w:cs="Times New Roman" w:eastAsia="Times New Roman" w:hint="default"/>
          <w:spacing w:val="-1"/>
          <w:w w:val="95"/>
        </w:rPr>
        <w:t>”</w:t>
      </w:r>
      <w:r>
        <w:rPr>
          <w:spacing w:val="-1"/>
          <w:w w:val="95"/>
        </w:rPr>
        <w:t>部分进一步阐述了我们在这些准则下的责任。按照中国注册会计师职业道德守则，我们独立于中科金财，并</w:t>
      </w:r>
      <w:r>
        <w:rPr>
          <w:w w:val="95"/>
        </w:rPr>
        <w:t> </w:t>
      </w:r>
      <w:r>
        <w:rPr>
          <w:w w:val="95"/>
        </w:rPr>
      </w:r>
      <w:r>
        <w:rPr/>
        <w:t>履行了职业道德方面的其他责任。我们相信，我们获取的审计证据是充分、适当的，为发表审计意见提供了基</w:t>
      </w:r>
      <w:r>
        <w:rPr>
          <w:spacing w:val="-77"/>
        </w:rPr>
        <w:t> </w:t>
      </w:r>
      <w:r>
        <w:rPr>
          <w:spacing w:val="-77"/>
        </w:rPr>
      </w:r>
      <w:r>
        <w:rPr/>
        <w:t>础。</w:t>
      </w:r>
    </w:p>
    <w:p>
      <w:pPr>
        <w:pStyle w:val="BodyText"/>
        <w:spacing w:line="429" w:lineRule="auto" w:before="59"/>
        <w:ind w:left="554" w:right="1133"/>
        <w:jc w:val="left"/>
      </w:pPr>
      <w:r>
        <w:rPr/>
        <w:t>三、关键审计事项</w:t>
      </w:r>
      <w:r>
        <w:rPr>
          <w:w w:val="99"/>
        </w:rPr>
        <w:t> </w:t>
      </w:r>
      <w:r>
        <w:rPr/>
        <w:t>关键审计事项是我们根据职业判断，认为对本期财务报表审计最为重要的事项。这些事项的应对以对财务</w:t>
      </w:r>
    </w:p>
    <w:p>
      <w:pPr>
        <w:pStyle w:val="BodyText"/>
        <w:spacing w:line="429" w:lineRule="auto" w:before="48"/>
        <w:ind w:right="1142"/>
        <w:jc w:val="both"/>
      </w:pPr>
      <w:r>
        <w:rPr/>
        <w:pict>
          <v:shape style="position:absolute;margin-left:63.383999pt;margin-top:45.639702pt;width:468.8pt;height:51.7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77"/>
                    <w:gridCol w:w="4784"/>
                  </w:tblGrid>
                  <w:tr>
                    <w:trPr>
                      <w:trHeight w:val="341" w:hRule="exact"/>
                    </w:trPr>
                    <w:tc>
                      <w:tcPr>
                        <w:tcW w:w="4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b/>
                            <w:bCs/>
                            <w:sz w:val="20"/>
                            <w:szCs w:val="20"/>
                          </w:rPr>
                          <w:t>关键审计事项</w:t>
                        </w:r>
                        <w:r>
                          <w:rPr>
                            <w:rFonts w:ascii="宋体" w:hAnsi="宋体" w:cs="宋体" w:eastAsia="宋体" w:hint="default"/>
                            <w:sz w:val="20"/>
                            <w:szCs w:val="20"/>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82" w:right="0"/>
                          <w:jc w:val="left"/>
                          <w:rPr>
                            <w:rFonts w:ascii="宋体" w:hAnsi="宋体" w:cs="宋体" w:eastAsia="宋体" w:hint="default"/>
                            <w:sz w:val="20"/>
                            <w:szCs w:val="20"/>
                          </w:rPr>
                        </w:pPr>
                        <w:r>
                          <w:rPr>
                            <w:rFonts w:ascii="宋体" w:hAnsi="宋体" w:cs="宋体" w:eastAsia="宋体" w:hint="default"/>
                            <w:b/>
                            <w:bCs/>
                            <w:sz w:val="20"/>
                            <w:szCs w:val="20"/>
                          </w:rPr>
                          <w:t>该事项在审计中是如何应对的</w:t>
                        </w:r>
                        <w:r>
                          <w:rPr>
                            <w:rFonts w:ascii="宋体" w:hAnsi="宋体" w:cs="宋体" w:eastAsia="宋体" w:hint="default"/>
                            <w:sz w:val="20"/>
                            <w:szCs w:val="20"/>
                          </w:rPr>
                        </w:r>
                      </w:p>
                    </w:tc>
                  </w:tr>
                  <w:tr>
                    <w:trPr>
                      <w:trHeight w:val="343" w:hRule="exact"/>
                    </w:trPr>
                    <w:tc>
                      <w:tcPr>
                        <w:tcW w:w="93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b/>
                            <w:bCs/>
                            <w:sz w:val="20"/>
                            <w:szCs w:val="20"/>
                          </w:rPr>
                          <w:t>（一）商誉的减值</w:t>
                        </w:r>
                        <w:r>
                          <w:rPr>
                            <w:rFonts w:ascii="宋体" w:hAnsi="宋体" w:cs="宋体" w:eastAsia="宋体" w:hint="default"/>
                            <w:sz w:val="20"/>
                            <w:szCs w:val="20"/>
                          </w:rPr>
                        </w:r>
                      </w:p>
                    </w:tc>
                  </w:tr>
                  <w:tr>
                    <w:trPr>
                      <w:trHeight w:val="341" w:hRule="exact"/>
                    </w:trPr>
                    <w:tc>
                      <w:tcPr>
                        <w:tcW w:w="4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商誉减值的会计政策详情及分析请参阅合并财务报</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与商誉减值有关的审计程序包括：</w:t>
                        </w:r>
                      </w:p>
                    </w:tc>
                  </w:tr>
                </w:tbl>
                <w:p>
                  <w:pPr/>
                </w:p>
              </w:txbxContent>
            </v:textbox>
            <w10:wrap type="none"/>
          </v:shape>
        </w:pict>
      </w:r>
      <w:r>
        <w:rPr/>
        <w:t>报表整体进行审计并形成审计意见为背景，我们不对这些事项单独发表意见。我们确定下列事项是需要在审计</w:t>
      </w:r>
      <w:r>
        <w:rPr>
          <w:spacing w:val="-77"/>
        </w:rPr>
        <w:t> </w:t>
      </w:r>
      <w:r>
        <w:rPr>
          <w:spacing w:val="-77"/>
        </w:rPr>
      </w:r>
      <w:r>
        <w:rPr/>
        <w:t>报告中沟通的关键审计事项。</w:t>
      </w:r>
    </w:p>
    <w:p>
      <w:pPr>
        <w:spacing w:after="0" w:line="429" w:lineRule="auto"/>
        <w:jc w:val="both"/>
        <w:sectPr>
          <w:type w:val="continuous"/>
          <w:pgSz w:w="11910" w:h="16840"/>
          <w:pgMar w:top="1060" w:bottom="1160" w:left="980" w:right="0"/>
        </w:sectPr>
      </w:pPr>
    </w:p>
    <w:p>
      <w:pPr>
        <w:spacing w:line="240" w:lineRule="auto" w:before="0"/>
        <w:rPr>
          <w:rFonts w:ascii="宋体" w:hAnsi="宋体" w:cs="宋体" w:eastAsia="宋体" w:hint="default"/>
          <w:sz w:val="20"/>
          <w:szCs w:val="20"/>
        </w:rPr>
      </w:pPr>
      <w:r>
        <w:rPr/>
        <w:pict>
          <v:shape style="position:absolute;margin-left:63.383999pt;margin-top:71.999985pt;width:468.8pt;height:694.55pt;mso-position-horizontal-relative:page;mso-position-vertical-relative:page;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77"/>
                    <w:gridCol w:w="4784"/>
                  </w:tblGrid>
                  <w:tr>
                    <w:trPr>
                      <w:trHeight w:val="6582" w:hRule="exact"/>
                    </w:trPr>
                    <w:tc>
                      <w:tcPr>
                        <w:tcW w:w="45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
                          <w:ind w:left="7" w:right="0"/>
                          <w:jc w:val="left"/>
                          <w:rPr>
                            <w:rFonts w:ascii="宋体" w:hAnsi="宋体" w:cs="宋体" w:eastAsia="宋体" w:hint="default"/>
                            <w:sz w:val="20"/>
                            <w:szCs w:val="20"/>
                          </w:rPr>
                        </w:pPr>
                        <w:r>
                          <w:rPr>
                            <w:rFonts w:ascii="宋体" w:hAnsi="宋体" w:cs="宋体" w:eastAsia="宋体" w:hint="default"/>
                            <w:w w:val="95"/>
                            <w:sz w:val="20"/>
                            <w:szCs w:val="20"/>
                          </w:rPr>
                          <w:t>表附注</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三、重要会计政策和会计估计</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注释十九所述</w:t>
                        </w:r>
                        <w:r>
                          <w:rPr>
                            <w:rFonts w:ascii="宋体" w:hAnsi="宋体" w:cs="宋体" w:eastAsia="宋体" w:hint="default"/>
                            <w:spacing w:val="14"/>
                            <w:w w:val="95"/>
                            <w:sz w:val="20"/>
                            <w:szCs w:val="20"/>
                          </w:rPr>
                          <w:t> </w:t>
                        </w:r>
                        <w:r>
                          <w:rPr>
                            <w:rFonts w:ascii="宋体" w:hAnsi="宋体" w:cs="宋体" w:eastAsia="宋体" w:hint="default"/>
                            <w:spacing w:val="14"/>
                            <w:w w:val="95"/>
                            <w:sz w:val="20"/>
                            <w:szCs w:val="20"/>
                          </w:rPr>
                        </w:r>
                        <w:r>
                          <w:rPr>
                            <w:rFonts w:ascii="宋体" w:hAnsi="宋体" w:cs="宋体" w:eastAsia="宋体" w:hint="default"/>
                            <w:sz w:val="20"/>
                            <w:szCs w:val="20"/>
                          </w:rPr>
                          <w:t>的会计政策及</w:t>
                        </w:r>
                        <w:r>
                          <w:rPr>
                            <w:rFonts w:ascii="Times New Roman" w:hAnsi="Times New Roman" w:cs="Times New Roman" w:eastAsia="Times New Roman" w:hint="default"/>
                            <w:sz w:val="20"/>
                            <w:szCs w:val="20"/>
                          </w:rPr>
                          <w:t>“</w:t>
                        </w:r>
                        <w:r>
                          <w:rPr>
                            <w:rFonts w:ascii="宋体" w:hAnsi="宋体" w:cs="宋体" w:eastAsia="宋体" w:hint="default"/>
                            <w:sz w:val="20"/>
                            <w:szCs w:val="20"/>
                          </w:rPr>
                          <w:t>五、合并财务报表项目附注</w:t>
                        </w:r>
                        <w:r>
                          <w:rPr>
                            <w:rFonts w:ascii="Times New Roman" w:hAnsi="Times New Roman" w:cs="Times New Roman" w:eastAsia="Times New Roman" w:hint="default"/>
                            <w:sz w:val="20"/>
                            <w:szCs w:val="20"/>
                          </w:rPr>
                          <w:t>”</w:t>
                        </w:r>
                        <w:r>
                          <w:rPr>
                            <w:rFonts w:ascii="宋体" w:hAnsi="宋体" w:cs="宋体" w:eastAsia="宋体" w:hint="default"/>
                            <w:sz w:val="20"/>
                            <w:szCs w:val="20"/>
                          </w:rPr>
                          <w:t>注释十</w:t>
                        </w:r>
                        <w:r>
                          <w:rPr>
                            <w:rFonts w:ascii="宋体" w:hAnsi="宋体" w:cs="宋体" w:eastAsia="宋体" w:hint="default"/>
                            <w:w w:val="99"/>
                            <w:sz w:val="20"/>
                            <w:szCs w:val="20"/>
                          </w:rPr>
                          <w:t> </w:t>
                        </w:r>
                        <w:r>
                          <w:rPr>
                            <w:rFonts w:ascii="宋体" w:hAnsi="宋体" w:cs="宋体" w:eastAsia="宋体" w:hint="default"/>
                            <w:sz w:val="20"/>
                            <w:szCs w:val="20"/>
                          </w:rPr>
                          <w:t>七。</w:t>
                        </w:r>
                        <w:r>
                          <w:rPr>
                            <w:rFonts w:ascii="宋体" w:hAnsi="宋体" w:cs="宋体" w:eastAsia="宋体" w:hint="default"/>
                            <w:w w:val="99"/>
                            <w:sz w:val="20"/>
                            <w:szCs w:val="20"/>
                          </w:rPr>
                          <w:t> </w:t>
                        </w:r>
                        <w:r>
                          <w:rPr>
                            <w:rFonts w:ascii="宋体" w:hAnsi="宋体" w:cs="宋体" w:eastAsia="宋体" w:hint="default"/>
                            <w:spacing w:val="-2"/>
                            <w:sz w:val="20"/>
                            <w:szCs w:val="20"/>
                          </w:rPr>
                          <w:t>截至</w:t>
                        </w:r>
                        <w:r>
                          <w:rPr>
                            <w:rFonts w:ascii="Times New Roman" w:hAnsi="Times New Roman" w:cs="Times New Roman" w:eastAsia="Times New Roman" w:hint="default"/>
                            <w:spacing w:val="-2"/>
                            <w:sz w:val="20"/>
                            <w:szCs w:val="20"/>
                          </w:rPr>
                          <w:t>2019</w:t>
                        </w:r>
                        <w:r>
                          <w:rPr>
                            <w:rFonts w:ascii="宋体" w:hAnsi="宋体" w:cs="宋体" w:eastAsia="宋体" w:hint="default"/>
                            <w:spacing w:val="-2"/>
                            <w:sz w:val="20"/>
                            <w:szCs w:val="20"/>
                          </w:rPr>
                          <w:t>年</w:t>
                        </w:r>
                        <w:r>
                          <w:rPr>
                            <w:rFonts w:ascii="Times New Roman" w:hAnsi="Times New Roman" w:cs="Times New Roman" w:eastAsia="Times New Roman" w:hint="default"/>
                            <w:spacing w:val="-2"/>
                            <w:sz w:val="20"/>
                            <w:szCs w:val="20"/>
                          </w:rPr>
                          <w:t>12</w:t>
                        </w:r>
                        <w:r>
                          <w:rPr>
                            <w:rFonts w:ascii="宋体" w:hAnsi="宋体" w:cs="宋体" w:eastAsia="宋体" w:hint="default"/>
                            <w:spacing w:val="-2"/>
                            <w:sz w:val="20"/>
                            <w:szCs w:val="20"/>
                          </w:rPr>
                          <w:t>月</w:t>
                        </w:r>
                        <w:r>
                          <w:rPr>
                            <w:rFonts w:ascii="Times New Roman" w:hAnsi="Times New Roman" w:cs="Times New Roman" w:eastAsia="Times New Roman" w:hint="default"/>
                            <w:spacing w:val="-2"/>
                            <w:sz w:val="20"/>
                            <w:szCs w:val="20"/>
                          </w:rPr>
                          <w:t>31</w:t>
                        </w:r>
                        <w:r>
                          <w:rPr>
                            <w:rFonts w:ascii="宋体" w:hAnsi="宋体" w:cs="宋体" w:eastAsia="宋体" w:hint="default"/>
                            <w:spacing w:val="-2"/>
                            <w:sz w:val="20"/>
                            <w:szCs w:val="20"/>
                          </w:rPr>
                          <w:t>日，中科金财商誉的账面价值合计</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2"/>
                            <w:sz w:val="20"/>
                            <w:szCs w:val="20"/>
                          </w:rPr>
                          <w:t>人民币</w:t>
                        </w:r>
                        <w:r>
                          <w:rPr>
                            <w:rFonts w:ascii="Times New Roman" w:hAnsi="Times New Roman" w:cs="Times New Roman" w:eastAsia="Times New Roman" w:hint="default"/>
                            <w:spacing w:val="-2"/>
                            <w:sz w:val="20"/>
                            <w:szCs w:val="20"/>
                          </w:rPr>
                          <w:t>82,200.98</w:t>
                        </w:r>
                        <w:r>
                          <w:rPr>
                            <w:rFonts w:ascii="宋体" w:hAnsi="宋体" w:cs="宋体" w:eastAsia="宋体" w:hint="default"/>
                            <w:spacing w:val="-2"/>
                            <w:sz w:val="20"/>
                            <w:szCs w:val="20"/>
                          </w:rPr>
                          <w:t>万元，相应的减值准备余额为人民币</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Times New Roman" w:hAnsi="Times New Roman" w:cs="Times New Roman" w:eastAsia="Times New Roman" w:hint="default"/>
                            <w:sz w:val="20"/>
                            <w:szCs w:val="20"/>
                          </w:rPr>
                          <w:t>62,843.08</w:t>
                        </w:r>
                        <w:r>
                          <w:rPr>
                            <w:rFonts w:ascii="宋体" w:hAnsi="宋体" w:cs="宋体" w:eastAsia="宋体" w:hint="default"/>
                            <w:sz w:val="20"/>
                            <w:szCs w:val="20"/>
                          </w:rPr>
                          <w:t>万元。</w:t>
                        </w:r>
                      </w:p>
                      <w:p>
                        <w:pPr>
                          <w:pStyle w:val="TableParagraph"/>
                          <w:spacing w:line="285" w:lineRule="auto" w:before="4"/>
                          <w:ind w:left="7" w:right="2"/>
                          <w:jc w:val="left"/>
                          <w:rPr>
                            <w:rFonts w:ascii="宋体" w:hAnsi="宋体" w:cs="宋体" w:eastAsia="宋体" w:hint="default"/>
                            <w:sz w:val="20"/>
                            <w:szCs w:val="20"/>
                          </w:rPr>
                        </w:pPr>
                        <w:r>
                          <w:rPr>
                            <w:rFonts w:ascii="宋体" w:hAnsi="宋体" w:cs="宋体" w:eastAsia="宋体" w:hint="default"/>
                            <w:spacing w:val="-2"/>
                            <w:sz w:val="20"/>
                            <w:szCs w:val="20"/>
                          </w:rPr>
                          <w:t>管理层每年评估商誉可能出现减值的情况，并依据减</w:t>
                        </w:r>
                        <w:r>
                          <w:rPr>
                            <w:rFonts w:ascii="宋体" w:hAnsi="宋体" w:cs="宋体" w:eastAsia="宋体" w:hint="default"/>
                            <w:w w:val="99"/>
                            <w:sz w:val="20"/>
                            <w:szCs w:val="20"/>
                          </w:rPr>
                          <w:t> </w:t>
                        </w:r>
                        <w:r>
                          <w:rPr>
                            <w:rFonts w:ascii="宋体" w:hAnsi="宋体" w:cs="宋体" w:eastAsia="宋体" w:hint="default"/>
                            <w:spacing w:val="-2"/>
                            <w:sz w:val="20"/>
                            <w:szCs w:val="20"/>
                          </w:rPr>
                          <w:t>值测试的结果调整商誉的账面价值，在确定是否应计</w:t>
                        </w:r>
                        <w:r>
                          <w:rPr>
                            <w:rFonts w:ascii="宋体" w:hAnsi="宋体" w:cs="宋体" w:eastAsia="宋体" w:hint="default"/>
                            <w:w w:val="99"/>
                            <w:sz w:val="20"/>
                            <w:szCs w:val="20"/>
                          </w:rPr>
                          <w:t> </w:t>
                        </w:r>
                        <w:r>
                          <w:rPr>
                            <w:rFonts w:ascii="宋体" w:hAnsi="宋体" w:cs="宋体" w:eastAsia="宋体" w:hint="default"/>
                            <w:spacing w:val="-2"/>
                            <w:sz w:val="20"/>
                            <w:szCs w:val="20"/>
                          </w:rPr>
                          <w:t>提减值时涉及管理层重大的判断和估计，特别是确定</w:t>
                        </w:r>
                        <w:r>
                          <w:rPr>
                            <w:rFonts w:ascii="宋体" w:hAnsi="宋体" w:cs="宋体" w:eastAsia="宋体" w:hint="default"/>
                            <w:w w:val="99"/>
                            <w:sz w:val="20"/>
                            <w:szCs w:val="20"/>
                          </w:rPr>
                          <w:t> </w:t>
                        </w:r>
                        <w:r>
                          <w:rPr>
                            <w:rFonts w:ascii="宋体" w:hAnsi="宋体" w:cs="宋体" w:eastAsia="宋体" w:hint="default"/>
                            <w:spacing w:val="-2"/>
                            <w:sz w:val="20"/>
                            <w:szCs w:val="20"/>
                          </w:rPr>
                          <w:t>收入增长率、永续增长率、成本上涨，以及折现率等</w:t>
                        </w:r>
                        <w:r>
                          <w:rPr>
                            <w:rFonts w:ascii="宋体" w:hAnsi="宋体" w:cs="宋体" w:eastAsia="宋体" w:hint="default"/>
                            <w:w w:val="99"/>
                            <w:sz w:val="20"/>
                            <w:szCs w:val="20"/>
                          </w:rPr>
                          <w:t> </w:t>
                        </w:r>
                        <w:r>
                          <w:rPr>
                            <w:rFonts w:ascii="宋体" w:hAnsi="宋体" w:cs="宋体" w:eastAsia="宋体" w:hint="default"/>
                            <w:sz w:val="20"/>
                            <w:szCs w:val="20"/>
                          </w:rPr>
                          <w:t>关键参数。</w:t>
                        </w:r>
                        <w:r>
                          <w:rPr>
                            <w:rFonts w:ascii="宋体" w:hAnsi="宋体" w:cs="宋体" w:eastAsia="宋体" w:hint="default"/>
                            <w:w w:val="99"/>
                            <w:sz w:val="20"/>
                            <w:szCs w:val="20"/>
                          </w:rPr>
                          <w:t> </w:t>
                        </w:r>
                        <w:r>
                          <w:rPr>
                            <w:rFonts w:ascii="宋体" w:hAnsi="宋体" w:cs="宋体" w:eastAsia="宋体" w:hint="default"/>
                            <w:sz w:val="20"/>
                            <w:szCs w:val="20"/>
                          </w:rPr>
                          <w:t>由于商誉的减值预测和折现未来现金流量涉及固有</w:t>
                        </w:r>
                        <w:r>
                          <w:rPr>
                            <w:rFonts w:ascii="宋体" w:hAnsi="宋体" w:cs="宋体" w:eastAsia="宋体" w:hint="default"/>
                            <w:w w:val="99"/>
                            <w:sz w:val="20"/>
                            <w:szCs w:val="20"/>
                          </w:rPr>
                          <w:t> </w:t>
                        </w:r>
                        <w:r>
                          <w:rPr>
                            <w:rFonts w:ascii="宋体" w:hAnsi="宋体" w:cs="宋体" w:eastAsia="宋体" w:hint="default"/>
                            <w:spacing w:val="-2"/>
                            <w:sz w:val="20"/>
                            <w:szCs w:val="20"/>
                          </w:rPr>
                          <w:t>不确定性，以及管理层在选用假设和估计时可能出现</w:t>
                        </w:r>
                        <w:r>
                          <w:rPr>
                            <w:rFonts w:ascii="宋体" w:hAnsi="宋体" w:cs="宋体" w:eastAsia="宋体" w:hint="default"/>
                            <w:w w:val="99"/>
                            <w:sz w:val="20"/>
                            <w:szCs w:val="20"/>
                          </w:rPr>
                          <w:t> </w:t>
                        </w:r>
                        <w:r>
                          <w:rPr>
                            <w:rFonts w:ascii="宋体" w:hAnsi="宋体" w:cs="宋体" w:eastAsia="宋体" w:hint="default"/>
                            <w:spacing w:val="-2"/>
                            <w:sz w:val="20"/>
                            <w:szCs w:val="20"/>
                          </w:rPr>
                          <w:t>偏好的风险，我们将评估商誉的减值视为中科金财的</w:t>
                        </w:r>
                        <w:r>
                          <w:rPr>
                            <w:rFonts w:ascii="宋体" w:hAnsi="宋体" w:cs="宋体" w:eastAsia="宋体" w:hint="default"/>
                            <w:w w:val="99"/>
                            <w:sz w:val="20"/>
                            <w:szCs w:val="20"/>
                          </w:rPr>
                          <w:t> </w:t>
                        </w:r>
                        <w:r>
                          <w:rPr>
                            <w:rFonts w:ascii="宋体" w:hAnsi="宋体" w:cs="宋体" w:eastAsia="宋体" w:hint="default"/>
                            <w:sz w:val="20"/>
                            <w:szCs w:val="20"/>
                          </w:rPr>
                          <w:t>关键审计事项。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
                          <w:ind w:left="7" w:right="-29"/>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、我们评估及测试了与商誉减值测试相关的内部控制</w:t>
                        </w:r>
                        <w:r>
                          <w:rPr>
                            <w:rFonts w:ascii="宋体" w:hAnsi="宋体" w:cs="宋体" w:eastAsia="宋体" w:hint="default"/>
                            <w:w w:val="99"/>
                            <w:sz w:val="20"/>
                            <w:szCs w:val="20"/>
                          </w:rPr>
                          <w:t> </w:t>
                        </w:r>
                        <w:r>
                          <w:rPr>
                            <w:rFonts w:ascii="宋体" w:hAnsi="宋体" w:cs="宋体" w:eastAsia="宋体" w:hint="default"/>
                            <w:w w:val="95"/>
                            <w:sz w:val="20"/>
                            <w:szCs w:val="20"/>
                          </w:rPr>
                          <w:t>的设计及执行有效性，包括关键假设的采用及减值计提</w:t>
                        </w:r>
                        <w:r>
                          <w:rPr>
                            <w:rFonts w:ascii="宋体" w:hAnsi="宋体" w:cs="宋体" w:eastAsia="宋体" w:hint="default"/>
                            <w:spacing w:val="5"/>
                            <w:w w:val="95"/>
                            <w:sz w:val="20"/>
                            <w:szCs w:val="20"/>
                          </w:rPr>
                          <w:t> </w:t>
                        </w:r>
                        <w:r>
                          <w:rPr>
                            <w:rFonts w:ascii="宋体" w:hAnsi="宋体" w:cs="宋体" w:eastAsia="宋体" w:hint="default"/>
                            <w:spacing w:val="5"/>
                            <w:w w:val="95"/>
                            <w:sz w:val="20"/>
                            <w:szCs w:val="20"/>
                          </w:rPr>
                        </w:r>
                        <w:r>
                          <w:rPr>
                            <w:rFonts w:ascii="宋体" w:hAnsi="宋体" w:cs="宋体" w:eastAsia="宋体" w:hint="default"/>
                            <w:sz w:val="20"/>
                            <w:szCs w:val="20"/>
                          </w:rPr>
                          <w:t>金额的复核及审批；</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2</w:t>
                        </w:r>
                        <w:r>
                          <w:rPr>
                            <w:rFonts w:ascii="宋体" w:hAnsi="宋体" w:cs="宋体" w:eastAsia="宋体" w:hint="default"/>
                            <w:sz w:val="20"/>
                            <w:szCs w:val="20"/>
                          </w:rPr>
                          <w:t>、聘请外部专家对与商誉相关的资产组或资产组组合</w:t>
                        </w:r>
                        <w:r>
                          <w:rPr>
                            <w:rFonts w:ascii="宋体" w:hAnsi="宋体" w:cs="宋体" w:eastAsia="宋体" w:hint="default"/>
                            <w:w w:val="99"/>
                            <w:sz w:val="20"/>
                            <w:szCs w:val="20"/>
                          </w:rPr>
                          <w:t> </w:t>
                        </w:r>
                        <w:r>
                          <w:rPr>
                            <w:rFonts w:ascii="宋体" w:hAnsi="宋体" w:cs="宋体" w:eastAsia="宋体" w:hint="default"/>
                            <w:sz w:val="20"/>
                            <w:szCs w:val="20"/>
                          </w:rPr>
                          <w:t>进行评估，并对专家的评估结果进行复核；</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3</w:t>
                        </w:r>
                        <w:r>
                          <w:rPr>
                            <w:rFonts w:ascii="宋体" w:hAnsi="宋体" w:cs="宋体" w:eastAsia="宋体" w:hint="default"/>
                            <w:sz w:val="20"/>
                            <w:szCs w:val="20"/>
                          </w:rPr>
                          <w:t>、通过参考行业惯例，评估了管理层进行现金流量预</w:t>
                        </w:r>
                        <w:r>
                          <w:rPr>
                            <w:rFonts w:ascii="宋体" w:hAnsi="宋体" w:cs="宋体" w:eastAsia="宋体" w:hint="default"/>
                            <w:w w:val="99"/>
                            <w:sz w:val="20"/>
                            <w:szCs w:val="20"/>
                          </w:rPr>
                          <w:t> </w:t>
                        </w:r>
                        <w:r>
                          <w:rPr>
                            <w:rFonts w:ascii="宋体" w:hAnsi="宋体" w:cs="宋体" w:eastAsia="宋体" w:hint="default"/>
                            <w:sz w:val="20"/>
                            <w:szCs w:val="20"/>
                          </w:rPr>
                          <w:t>测时使用的估值方法的适当性；</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4</w:t>
                        </w:r>
                        <w:r>
                          <w:rPr>
                            <w:rFonts w:ascii="宋体" w:hAnsi="宋体" w:cs="宋体" w:eastAsia="宋体" w:hint="default"/>
                            <w:sz w:val="20"/>
                            <w:szCs w:val="20"/>
                          </w:rPr>
                          <w:t>、通过将收入增长率、永续增长率和成本上涨等关键</w:t>
                        </w:r>
                        <w:r>
                          <w:rPr>
                            <w:rFonts w:ascii="宋体" w:hAnsi="宋体" w:cs="宋体" w:eastAsia="宋体" w:hint="default"/>
                            <w:w w:val="99"/>
                            <w:sz w:val="20"/>
                            <w:szCs w:val="20"/>
                          </w:rPr>
                          <w:t> </w:t>
                        </w:r>
                        <w:r>
                          <w:rPr>
                            <w:rFonts w:ascii="宋体" w:hAnsi="宋体" w:cs="宋体" w:eastAsia="宋体" w:hint="default"/>
                            <w:w w:val="95"/>
                            <w:sz w:val="20"/>
                            <w:szCs w:val="20"/>
                          </w:rPr>
                          <w:t>输入值与过往业绩、管理层预算和预测及行业报告进行</w:t>
                        </w:r>
                        <w:r>
                          <w:rPr>
                            <w:rFonts w:ascii="宋体" w:hAnsi="宋体" w:cs="宋体" w:eastAsia="宋体" w:hint="default"/>
                            <w:spacing w:val="6"/>
                            <w:w w:val="95"/>
                            <w:sz w:val="20"/>
                            <w:szCs w:val="20"/>
                          </w:rPr>
                          <w:t> </w:t>
                        </w:r>
                        <w:r>
                          <w:rPr>
                            <w:rFonts w:ascii="宋体" w:hAnsi="宋体" w:cs="宋体" w:eastAsia="宋体" w:hint="default"/>
                            <w:spacing w:val="6"/>
                            <w:w w:val="95"/>
                            <w:sz w:val="20"/>
                            <w:szCs w:val="20"/>
                          </w:rPr>
                        </w:r>
                        <w:r>
                          <w:rPr>
                            <w:rFonts w:ascii="宋体" w:hAnsi="宋体" w:cs="宋体" w:eastAsia="宋体" w:hint="default"/>
                            <w:w w:val="95"/>
                            <w:sz w:val="20"/>
                            <w:szCs w:val="20"/>
                          </w:rPr>
                          <w:t>比较，审慎评价编制折现现金流预测中采用的关键假设</w:t>
                        </w:r>
                        <w:r>
                          <w:rPr>
                            <w:rFonts w:ascii="宋体" w:hAnsi="宋体" w:cs="宋体" w:eastAsia="宋体" w:hint="default"/>
                            <w:spacing w:val="5"/>
                            <w:w w:val="95"/>
                            <w:sz w:val="20"/>
                            <w:szCs w:val="20"/>
                          </w:rPr>
                          <w:t> </w:t>
                        </w:r>
                        <w:r>
                          <w:rPr>
                            <w:rFonts w:ascii="宋体" w:hAnsi="宋体" w:cs="宋体" w:eastAsia="宋体" w:hint="default"/>
                            <w:spacing w:val="5"/>
                            <w:w w:val="95"/>
                            <w:sz w:val="20"/>
                            <w:szCs w:val="20"/>
                          </w:rPr>
                        </w:r>
                        <w:r>
                          <w:rPr>
                            <w:rFonts w:ascii="宋体" w:hAnsi="宋体" w:cs="宋体" w:eastAsia="宋体" w:hint="default"/>
                            <w:sz w:val="20"/>
                            <w:szCs w:val="20"/>
                          </w:rPr>
                          <w:t>及判断；</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5</w:t>
                        </w:r>
                        <w:r>
                          <w:rPr>
                            <w:rFonts w:ascii="宋体" w:hAnsi="宋体" w:cs="宋体" w:eastAsia="宋体" w:hint="default"/>
                            <w:sz w:val="20"/>
                            <w:szCs w:val="20"/>
                          </w:rPr>
                          <w:t>、基于同行业可比公司的市场数据重新计算折现率，</w:t>
                        </w:r>
                        <w:r>
                          <w:rPr>
                            <w:rFonts w:ascii="宋体" w:hAnsi="宋体" w:cs="宋体" w:eastAsia="宋体" w:hint="default"/>
                            <w:w w:val="99"/>
                            <w:sz w:val="20"/>
                            <w:szCs w:val="20"/>
                          </w:rPr>
                          <w:t> </w:t>
                        </w:r>
                        <w:r>
                          <w:rPr>
                            <w:rFonts w:ascii="宋体" w:hAnsi="宋体" w:cs="宋体" w:eastAsia="宋体" w:hint="default"/>
                            <w:sz w:val="20"/>
                            <w:szCs w:val="20"/>
                          </w:rPr>
                          <w:t>并将我们的计算结果与管理层计算预计未来现金流量</w:t>
                        </w:r>
                        <w:r>
                          <w:rPr>
                            <w:rFonts w:ascii="宋体" w:hAnsi="宋体" w:cs="宋体" w:eastAsia="宋体" w:hint="default"/>
                            <w:w w:val="99"/>
                            <w:sz w:val="20"/>
                            <w:szCs w:val="20"/>
                          </w:rPr>
                          <w:t> </w:t>
                        </w:r>
                        <w:r>
                          <w:rPr>
                            <w:rFonts w:ascii="宋体" w:hAnsi="宋体" w:cs="宋体" w:eastAsia="宋体" w:hint="default"/>
                            <w:w w:val="95"/>
                            <w:sz w:val="20"/>
                            <w:szCs w:val="20"/>
                          </w:rPr>
                          <w:t>现值时采用的折现率进行比较，以评价其计算预计未来</w:t>
                        </w:r>
                        <w:r>
                          <w:rPr>
                            <w:rFonts w:ascii="宋体" w:hAnsi="宋体" w:cs="宋体" w:eastAsia="宋体" w:hint="default"/>
                            <w:spacing w:val="5"/>
                            <w:w w:val="95"/>
                            <w:sz w:val="20"/>
                            <w:szCs w:val="20"/>
                          </w:rPr>
                          <w:t> </w:t>
                        </w:r>
                        <w:r>
                          <w:rPr>
                            <w:rFonts w:ascii="宋体" w:hAnsi="宋体" w:cs="宋体" w:eastAsia="宋体" w:hint="default"/>
                            <w:spacing w:val="5"/>
                            <w:w w:val="95"/>
                            <w:sz w:val="20"/>
                            <w:szCs w:val="20"/>
                          </w:rPr>
                        </w:r>
                        <w:r>
                          <w:rPr>
                            <w:rFonts w:ascii="宋体" w:hAnsi="宋体" w:cs="宋体" w:eastAsia="宋体" w:hint="default"/>
                            <w:sz w:val="20"/>
                            <w:szCs w:val="20"/>
                          </w:rPr>
                          <w:t>现金流量现值时采用的折现率；</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6</w:t>
                        </w:r>
                        <w:r>
                          <w:rPr>
                            <w:rFonts w:ascii="宋体" w:hAnsi="宋体" w:cs="宋体" w:eastAsia="宋体" w:hint="default"/>
                            <w:sz w:val="20"/>
                            <w:szCs w:val="20"/>
                          </w:rPr>
                          <w:t>、对预测收入和采用的折现率等关键假设进行敏感性</w:t>
                        </w:r>
                        <w:r>
                          <w:rPr>
                            <w:rFonts w:ascii="宋体" w:hAnsi="宋体" w:cs="宋体" w:eastAsia="宋体" w:hint="default"/>
                            <w:w w:val="99"/>
                            <w:sz w:val="20"/>
                            <w:szCs w:val="20"/>
                          </w:rPr>
                          <w:t> </w:t>
                        </w:r>
                        <w:r>
                          <w:rPr>
                            <w:rFonts w:ascii="宋体" w:hAnsi="宋体" w:cs="宋体" w:eastAsia="宋体" w:hint="default"/>
                            <w:w w:val="95"/>
                            <w:sz w:val="20"/>
                            <w:szCs w:val="20"/>
                          </w:rPr>
                          <w:t>分析，以评价关键假设的变化对减值评估结果的影响以</w:t>
                        </w:r>
                        <w:r>
                          <w:rPr>
                            <w:rFonts w:ascii="宋体" w:hAnsi="宋体" w:cs="宋体" w:eastAsia="宋体" w:hint="default"/>
                            <w:spacing w:val="5"/>
                            <w:w w:val="95"/>
                            <w:sz w:val="20"/>
                            <w:szCs w:val="20"/>
                          </w:rPr>
                          <w:t> </w:t>
                        </w:r>
                        <w:r>
                          <w:rPr>
                            <w:rFonts w:ascii="宋体" w:hAnsi="宋体" w:cs="宋体" w:eastAsia="宋体" w:hint="default"/>
                            <w:spacing w:val="5"/>
                            <w:w w:val="95"/>
                            <w:sz w:val="20"/>
                            <w:szCs w:val="20"/>
                          </w:rPr>
                        </w:r>
                        <w:r>
                          <w:rPr>
                            <w:rFonts w:ascii="宋体" w:hAnsi="宋体" w:cs="宋体" w:eastAsia="宋体" w:hint="default"/>
                            <w:sz w:val="20"/>
                            <w:szCs w:val="20"/>
                          </w:rPr>
                          <w:t>及考虑对关键假设的选择是否存在管理层偏向的迹象；</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7</w:t>
                        </w:r>
                        <w:r>
                          <w:rPr>
                            <w:rFonts w:ascii="宋体" w:hAnsi="宋体" w:cs="宋体" w:eastAsia="宋体" w:hint="default"/>
                            <w:sz w:val="20"/>
                            <w:szCs w:val="20"/>
                          </w:rPr>
                          <w:t>、通过对比上一年度的预测和本年度的业绩进行追溯</w:t>
                        </w:r>
                        <w:r>
                          <w:rPr>
                            <w:rFonts w:ascii="宋体" w:hAnsi="宋体" w:cs="宋体" w:eastAsia="宋体" w:hint="default"/>
                            <w:w w:val="99"/>
                            <w:sz w:val="20"/>
                            <w:szCs w:val="20"/>
                          </w:rPr>
                          <w:t> </w:t>
                        </w:r>
                        <w:r>
                          <w:rPr>
                            <w:rFonts w:ascii="宋体" w:hAnsi="宋体" w:cs="宋体" w:eastAsia="宋体" w:hint="default"/>
                            <w:sz w:val="20"/>
                            <w:szCs w:val="20"/>
                          </w:rPr>
                          <w:t>性审核，以评估管理层预测过程的可靠性和历史准确</w:t>
                        </w:r>
                        <w:r>
                          <w:rPr>
                            <w:rFonts w:ascii="宋体" w:hAnsi="宋体" w:cs="宋体" w:eastAsia="宋体" w:hint="default"/>
                            <w:w w:val="99"/>
                            <w:sz w:val="20"/>
                            <w:szCs w:val="20"/>
                          </w:rPr>
                          <w:t> </w:t>
                        </w:r>
                        <w:r>
                          <w:rPr>
                            <w:rFonts w:ascii="宋体" w:hAnsi="宋体" w:cs="宋体" w:eastAsia="宋体" w:hint="default"/>
                            <w:sz w:val="20"/>
                            <w:szCs w:val="20"/>
                          </w:rPr>
                          <w:t>性。</w:t>
                        </w:r>
                      </w:p>
                    </w:tc>
                  </w:tr>
                  <w:tr>
                    <w:trPr>
                      <w:trHeight w:val="343" w:hRule="exact"/>
                    </w:trPr>
                    <w:tc>
                      <w:tcPr>
                        <w:tcW w:w="93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b/>
                            <w:bCs/>
                            <w:sz w:val="20"/>
                            <w:szCs w:val="20"/>
                          </w:rPr>
                          <w:t>（二）丧失对子公司控制权的会计处理</w:t>
                        </w:r>
                        <w:r>
                          <w:rPr>
                            <w:rFonts w:ascii="宋体" w:hAnsi="宋体" w:cs="宋体" w:eastAsia="宋体" w:hint="default"/>
                            <w:sz w:val="20"/>
                            <w:szCs w:val="20"/>
                          </w:rPr>
                        </w:r>
                      </w:p>
                    </w:tc>
                  </w:tr>
                  <w:tr>
                    <w:trPr>
                      <w:trHeight w:val="4085" w:hRule="exact"/>
                    </w:trPr>
                    <w:tc>
                      <w:tcPr>
                        <w:tcW w:w="4577"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
                          <w:ind w:left="7" w:right="-17"/>
                          <w:jc w:val="left"/>
                          <w:rPr>
                            <w:rFonts w:ascii="宋体" w:hAnsi="宋体" w:cs="宋体" w:eastAsia="宋体" w:hint="default"/>
                            <w:sz w:val="20"/>
                            <w:szCs w:val="20"/>
                          </w:rPr>
                        </w:pPr>
                        <w:r>
                          <w:rPr>
                            <w:rFonts w:ascii="宋体" w:hAnsi="宋体" w:cs="宋体" w:eastAsia="宋体" w:hint="default"/>
                            <w:w w:val="95"/>
                            <w:sz w:val="20"/>
                            <w:szCs w:val="20"/>
                          </w:rPr>
                          <w:t>请参阅财务报表附注</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三、重要会计政策和会计估计</w:t>
                        </w:r>
                        <w:r>
                          <w:rPr>
                            <w:rFonts w:ascii="Times New Roman" w:hAnsi="Times New Roman" w:cs="Times New Roman" w:eastAsia="Times New Roman" w:hint="default"/>
                            <w:w w:val="95"/>
                            <w:sz w:val="20"/>
                            <w:szCs w:val="20"/>
                          </w:rPr>
                          <w:t>”</w:t>
                        </w:r>
                        <w:r>
                          <w:rPr>
                            <w:rFonts w:ascii="Times New Roman" w:hAnsi="Times New Roman" w:cs="Times New Roman" w:eastAsia="Times New Roman" w:hint="default"/>
                            <w:spacing w:val="15"/>
                            <w:w w:val="95"/>
                            <w:sz w:val="20"/>
                            <w:szCs w:val="20"/>
                          </w:rPr>
                          <w:t> </w:t>
                        </w:r>
                        <w:r>
                          <w:rPr>
                            <w:rFonts w:ascii="宋体" w:hAnsi="宋体" w:cs="宋体" w:eastAsia="宋体" w:hint="default"/>
                            <w:sz w:val="20"/>
                            <w:szCs w:val="20"/>
                          </w:rPr>
                          <w:t>注释六、十三所述的会计政策、</w:t>
                        </w:r>
                        <w:r>
                          <w:rPr>
                            <w:rFonts w:ascii="Times New Roman" w:hAnsi="Times New Roman" w:cs="Times New Roman" w:eastAsia="Times New Roman" w:hint="default"/>
                            <w:sz w:val="20"/>
                            <w:szCs w:val="20"/>
                          </w:rPr>
                          <w:t>“</w:t>
                        </w:r>
                        <w:r>
                          <w:rPr>
                            <w:rFonts w:ascii="宋体" w:hAnsi="宋体" w:cs="宋体" w:eastAsia="宋体" w:hint="default"/>
                            <w:sz w:val="20"/>
                            <w:szCs w:val="20"/>
                          </w:rPr>
                          <w:t>五、合并财务报表</w:t>
                        </w:r>
                        <w:r>
                          <w:rPr>
                            <w:rFonts w:ascii="宋体" w:hAnsi="宋体" w:cs="宋体" w:eastAsia="宋体" w:hint="default"/>
                            <w:w w:val="99"/>
                            <w:sz w:val="20"/>
                            <w:szCs w:val="20"/>
                          </w:rPr>
                          <w:t> </w:t>
                        </w:r>
                        <w:r>
                          <w:rPr>
                            <w:rFonts w:ascii="宋体" w:hAnsi="宋体" w:cs="宋体" w:eastAsia="宋体" w:hint="default"/>
                            <w:sz w:val="20"/>
                            <w:szCs w:val="20"/>
                          </w:rPr>
                          <w:t>项目附注</w:t>
                        </w:r>
                        <w:r>
                          <w:rPr>
                            <w:rFonts w:ascii="Times New Roman" w:hAnsi="Times New Roman" w:cs="Times New Roman" w:eastAsia="Times New Roman" w:hint="default"/>
                            <w:sz w:val="20"/>
                            <w:szCs w:val="20"/>
                          </w:rPr>
                          <w:t>”</w:t>
                        </w:r>
                        <w:r>
                          <w:rPr>
                            <w:rFonts w:ascii="宋体" w:hAnsi="宋体" w:cs="宋体" w:eastAsia="宋体" w:hint="default"/>
                            <w:sz w:val="20"/>
                            <w:szCs w:val="20"/>
                          </w:rPr>
                          <w:t>注释十二、四十三。</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2019</w:t>
                        </w:r>
                        <w:r>
                          <w:rPr>
                            <w:rFonts w:ascii="宋体" w:hAnsi="宋体" w:cs="宋体" w:eastAsia="宋体" w:hint="default"/>
                            <w:sz w:val="20"/>
                            <w:szCs w:val="20"/>
                          </w:rPr>
                          <w:t>年雪松控股集团有限公司对中科金财控股子公</w:t>
                        </w:r>
                        <w:r>
                          <w:rPr>
                            <w:rFonts w:ascii="宋体" w:hAnsi="宋体" w:cs="宋体" w:eastAsia="宋体" w:hint="default"/>
                            <w:w w:val="99"/>
                            <w:sz w:val="20"/>
                            <w:szCs w:val="20"/>
                          </w:rPr>
                          <w:t> </w:t>
                        </w:r>
                        <w:r>
                          <w:rPr>
                            <w:rFonts w:ascii="宋体" w:hAnsi="宋体" w:cs="宋体" w:eastAsia="宋体" w:hint="default"/>
                            <w:sz w:val="20"/>
                            <w:szCs w:val="20"/>
                          </w:rPr>
                          <w:t>司大连金融资产交易所有限公司（以下简称</w:t>
                        </w:r>
                        <w:r>
                          <w:rPr>
                            <w:rFonts w:ascii="Times New Roman" w:hAnsi="Times New Roman" w:cs="Times New Roman" w:eastAsia="Times New Roman" w:hint="default"/>
                            <w:sz w:val="20"/>
                            <w:szCs w:val="20"/>
                          </w:rPr>
                          <w:t>“</w:t>
                        </w:r>
                        <w:r>
                          <w:rPr>
                            <w:rFonts w:ascii="宋体" w:hAnsi="宋体" w:cs="宋体" w:eastAsia="宋体" w:hint="default"/>
                            <w:sz w:val="20"/>
                            <w:szCs w:val="20"/>
                          </w:rPr>
                          <w:t>大金</w:t>
                        </w:r>
                        <w:r>
                          <w:rPr>
                            <w:rFonts w:ascii="宋体" w:hAnsi="宋体" w:cs="宋体" w:eastAsia="宋体" w:hint="default"/>
                            <w:w w:val="99"/>
                            <w:sz w:val="20"/>
                            <w:szCs w:val="20"/>
                          </w:rPr>
                          <w:t> </w:t>
                        </w:r>
                        <w:r>
                          <w:rPr>
                            <w:rFonts w:ascii="宋体" w:hAnsi="宋体" w:cs="宋体" w:eastAsia="宋体" w:hint="default"/>
                            <w:spacing w:val="-4"/>
                            <w:w w:val="99"/>
                            <w:sz w:val="20"/>
                            <w:szCs w:val="20"/>
                          </w:rPr>
                          <w:t>所</w:t>
                        </w:r>
                        <w:r>
                          <w:rPr>
                            <w:rFonts w:ascii="Times New Roman" w:hAnsi="Times New Roman" w:cs="Times New Roman" w:eastAsia="Times New Roman" w:hint="default"/>
                            <w:spacing w:val="-4"/>
                            <w:w w:val="99"/>
                            <w:sz w:val="20"/>
                            <w:szCs w:val="20"/>
                          </w:rPr>
                          <w:t>”</w:t>
                        </w:r>
                        <w:r>
                          <w:rPr>
                            <w:rFonts w:ascii="宋体" w:hAnsi="宋体" w:cs="宋体" w:eastAsia="宋体" w:hint="default"/>
                            <w:spacing w:val="-4"/>
                            <w:w w:val="99"/>
                            <w:sz w:val="20"/>
                            <w:szCs w:val="20"/>
                          </w:rPr>
                          <w:t>）增资，导致中科金财持股比例下降丧失控制权，</w:t>
                        </w:r>
                        <w:r>
                          <w:rPr>
                            <w:rFonts w:ascii="宋体" w:hAnsi="宋体" w:cs="宋体" w:eastAsia="宋体" w:hint="default"/>
                            <w:spacing w:val="-78"/>
                            <w:w w:val="99"/>
                            <w:sz w:val="20"/>
                            <w:szCs w:val="20"/>
                          </w:rPr>
                          <w:t> </w:t>
                        </w:r>
                        <w:r>
                          <w:rPr>
                            <w:rFonts w:ascii="宋体" w:hAnsi="宋体" w:cs="宋体" w:eastAsia="宋体" w:hint="default"/>
                            <w:sz w:val="20"/>
                            <w:szCs w:val="20"/>
                          </w:rPr>
                          <w:t>由成本法转为权益法核算，确认投资收益</w:t>
                        </w:r>
                        <w:r>
                          <w:rPr>
                            <w:rFonts w:ascii="Times New Roman" w:hAnsi="Times New Roman" w:cs="Times New Roman" w:eastAsia="Times New Roman" w:hint="default"/>
                            <w:sz w:val="20"/>
                            <w:szCs w:val="20"/>
                          </w:rPr>
                          <w:t>8,155.31</w:t>
                        </w:r>
                        <w:r>
                          <w:rPr>
                            <w:rFonts w:ascii="宋体" w:hAnsi="宋体" w:cs="宋体" w:eastAsia="宋体" w:hint="default"/>
                            <w:sz w:val="20"/>
                            <w:szCs w:val="20"/>
                          </w:rPr>
                          <w:t>万</w:t>
                        </w:r>
                        <w:r>
                          <w:rPr>
                            <w:rFonts w:ascii="宋体" w:hAnsi="宋体" w:cs="宋体" w:eastAsia="宋体" w:hint="default"/>
                            <w:w w:val="99"/>
                            <w:sz w:val="20"/>
                            <w:szCs w:val="20"/>
                          </w:rPr>
                          <w:t> </w:t>
                        </w:r>
                        <w:r>
                          <w:rPr>
                            <w:rFonts w:ascii="宋体" w:hAnsi="宋体" w:cs="宋体" w:eastAsia="宋体" w:hint="default"/>
                            <w:sz w:val="20"/>
                            <w:szCs w:val="20"/>
                          </w:rPr>
                          <w:t>元。</w:t>
                        </w:r>
                        <w:r>
                          <w:rPr>
                            <w:rFonts w:ascii="宋体" w:hAnsi="宋体" w:cs="宋体" w:eastAsia="宋体" w:hint="default"/>
                            <w:w w:val="99"/>
                            <w:sz w:val="20"/>
                            <w:szCs w:val="20"/>
                          </w:rPr>
                          <w:t> </w:t>
                        </w:r>
                        <w:r>
                          <w:rPr>
                            <w:rFonts w:ascii="宋体" w:hAnsi="宋体" w:cs="宋体" w:eastAsia="宋体" w:hint="default"/>
                            <w:spacing w:val="-2"/>
                            <w:sz w:val="20"/>
                            <w:szCs w:val="20"/>
                          </w:rPr>
                          <w:t>由于丧失对子公司控制权的会计处理金额重大，需确</w:t>
                        </w:r>
                        <w:r>
                          <w:rPr>
                            <w:rFonts w:ascii="宋体" w:hAnsi="宋体" w:cs="宋体" w:eastAsia="宋体" w:hint="default"/>
                            <w:w w:val="99"/>
                            <w:sz w:val="20"/>
                            <w:szCs w:val="20"/>
                          </w:rPr>
                          <w:t> </w:t>
                        </w:r>
                        <w:r>
                          <w:rPr>
                            <w:rFonts w:ascii="宋体" w:hAnsi="宋体" w:cs="宋体" w:eastAsia="宋体" w:hint="default"/>
                            <w:spacing w:val="-2"/>
                            <w:sz w:val="20"/>
                            <w:szCs w:val="20"/>
                          </w:rPr>
                          <w:t>定丧失控制权的判断依据、日期以及剩余股权的公允</w:t>
                        </w:r>
                        <w:r>
                          <w:rPr>
                            <w:rFonts w:ascii="宋体" w:hAnsi="宋体" w:cs="宋体" w:eastAsia="宋体" w:hint="default"/>
                            <w:w w:val="99"/>
                            <w:sz w:val="20"/>
                            <w:szCs w:val="20"/>
                          </w:rPr>
                          <w:t> </w:t>
                        </w:r>
                        <w:r>
                          <w:rPr>
                            <w:rFonts w:ascii="宋体" w:hAnsi="宋体" w:cs="宋体" w:eastAsia="宋体" w:hint="default"/>
                            <w:spacing w:val="-2"/>
                            <w:sz w:val="20"/>
                            <w:szCs w:val="20"/>
                          </w:rPr>
                          <w:t>价值等，上述事项均涉及管理层作出评估和判断，因</w:t>
                        </w:r>
                        <w:r>
                          <w:rPr>
                            <w:rFonts w:ascii="宋体" w:hAnsi="宋体" w:cs="宋体" w:eastAsia="宋体" w:hint="default"/>
                            <w:w w:val="99"/>
                            <w:sz w:val="20"/>
                            <w:szCs w:val="20"/>
                          </w:rPr>
                          <w:t> </w:t>
                        </w:r>
                        <w:r>
                          <w:rPr>
                            <w:rFonts w:ascii="宋体" w:hAnsi="宋体" w:cs="宋体" w:eastAsia="宋体" w:hint="default"/>
                            <w:sz w:val="20"/>
                            <w:szCs w:val="20"/>
                          </w:rPr>
                          <w:t>此我们将丧失对子公司控制权的会计处理作为关键</w:t>
                        </w:r>
                        <w:r>
                          <w:rPr>
                            <w:rFonts w:ascii="宋体" w:hAnsi="宋体" w:cs="宋体" w:eastAsia="宋体" w:hint="default"/>
                            <w:w w:val="99"/>
                            <w:sz w:val="20"/>
                            <w:szCs w:val="20"/>
                          </w:rPr>
                          <w:t> </w:t>
                        </w:r>
                        <w:r>
                          <w:rPr>
                            <w:rFonts w:ascii="宋体" w:hAnsi="宋体" w:cs="宋体" w:eastAsia="宋体" w:hint="default"/>
                            <w:sz w:val="20"/>
                            <w:szCs w:val="20"/>
                          </w:rPr>
                          <w:t>审计事项。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
                          <w:ind w:left="7" w:right="69"/>
                          <w:jc w:val="left"/>
                          <w:rPr>
                            <w:rFonts w:ascii="宋体" w:hAnsi="宋体" w:cs="宋体" w:eastAsia="宋体" w:hint="default"/>
                            <w:sz w:val="20"/>
                            <w:szCs w:val="20"/>
                          </w:rPr>
                        </w:pPr>
                        <w:r>
                          <w:rPr>
                            <w:rFonts w:ascii="宋体" w:hAnsi="宋体" w:cs="宋体" w:eastAsia="宋体" w:hint="default"/>
                            <w:sz w:val="20"/>
                            <w:szCs w:val="20"/>
                          </w:rPr>
                          <w:t>应对此关键事项有关的审计程序包括：</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1</w:t>
                        </w:r>
                        <w:r>
                          <w:rPr>
                            <w:rFonts w:ascii="宋体" w:hAnsi="宋体" w:cs="宋体" w:eastAsia="宋体" w:hint="default"/>
                            <w:sz w:val="20"/>
                            <w:szCs w:val="20"/>
                          </w:rPr>
                          <w:t>、取得并复核子公司大金所增资扩股协议和修改后的</w:t>
                        </w:r>
                        <w:r>
                          <w:rPr>
                            <w:rFonts w:ascii="宋体" w:hAnsi="宋体" w:cs="宋体" w:eastAsia="宋体" w:hint="default"/>
                            <w:w w:val="99"/>
                            <w:sz w:val="20"/>
                            <w:szCs w:val="20"/>
                          </w:rPr>
                          <w:t> </w:t>
                        </w:r>
                        <w:r>
                          <w:rPr>
                            <w:rFonts w:ascii="宋体" w:hAnsi="宋体" w:cs="宋体" w:eastAsia="宋体" w:hint="default"/>
                            <w:sz w:val="20"/>
                            <w:szCs w:val="20"/>
                          </w:rPr>
                          <w:t>公司章程等支持性文件；</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2</w:t>
                        </w:r>
                        <w:r>
                          <w:rPr>
                            <w:rFonts w:ascii="宋体" w:hAnsi="宋体" w:cs="宋体" w:eastAsia="宋体" w:hint="default"/>
                            <w:sz w:val="20"/>
                            <w:szCs w:val="20"/>
                          </w:rPr>
                          <w:t>、评估管理层关于丧失控制权的判断以及丧失控制权</w:t>
                        </w:r>
                        <w:r>
                          <w:rPr>
                            <w:rFonts w:ascii="宋体" w:hAnsi="宋体" w:cs="宋体" w:eastAsia="宋体" w:hint="default"/>
                            <w:w w:val="99"/>
                            <w:sz w:val="20"/>
                            <w:szCs w:val="20"/>
                          </w:rPr>
                          <w:t> </w:t>
                        </w:r>
                        <w:r>
                          <w:rPr>
                            <w:rFonts w:ascii="宋体" w:hAnsi="宋体" w:cs="宋体" w:eastAsia="宋体" w:hint="default"/>
                            <w:sz w:val="20"/>
                            <w:szCs w:val="20"/>
                          </w:rPr>
                          <w:t>日的确定，获取大金所增资的银行收款记录等文件；</w:t>
                        </w:r>
                        <w:r>
                          <w:rPr>
                            <w:rFonts w:ascii="宋体" w:hAnsi="宋体" w:cs="宋体" w:eastAsia="宋体" w:hint="default"/>
                            <w:w w:val="99"/>
                            <w:sz w:val="20"/>
                            <w:szCs w:val="20"/>
                          </w:rPr>
                          <w:t> </w:t>
                        </w:r>
                        <w:r>
                          <w:rPr>
                            <w:rFonts w:ascii="Times New Roman" w:hAnsi="Times New Roman" w:cs="Times New Roman" w:eastAsia="Times New Roman" w:hint="default"/>
                            <w:w w:val="95"/>
                            <w:sz w:val="20"/>
                            <w:szCs w:val="20"/>
                          </w:rPr>
                          <w:t>3</w:t>
                        </w:r>
                        <w:r>
                          <w:rPr>
                            <w:rFonts w:ascii="宋体" w:hAnsi="宋体" w:cs="宋体" w:eastAsia="宋体" w:hint="default"/>
                            <w:w w:val="95"/>
                            <w:sz w:val="20"/>
                            <w:szCs w:val="20"/>
                          </w:rPr>
                          <w:t>、与管理层讨论丧失控制权日时公允价值的确定过程</w:t>
                        </w:r>
                        <w:r>
                          <w:rPr>
                            <w:rFonts w:ascii="宋体" w:hAnsi="宋体" w:cs="宋体" w:eastAsia="宋体" w:hint="default"/>
                            <w:spacing w:val="2"/>
                            <w:w w:val="95"/>
                            <w:sz w:val="20"/>
                            <w:szCs w:val="20"/>
                          </w:rPr>
                          <w:t> </w:t>
                        </w:r>
                        <w:r>
                          <w:rPr>
                            <w:rFonts w:ascii="宋体" w:hAnsi="宋体" w:cs="宋体" w:eastAsia="宋体" w:hint="default"/>
                            <w:spacing w:val="2"/>
                            <w:w w:val="95"/>
                            <w:sz w:val="20"/>
                            <w:szCs w:val="20"/>
                          </w:rPr>
                        </w:r>
                        <w:r>
                          <w:rPr>
                            <w:rFonts w:ascii="宋体" w:hAnsi="宋体" w:cs="宋体" w:eastAsia="宋体" w:hint="default"/>
                            <w:sz w:val="20"/>
                            <w:szCs w:val="20"/>
                          </w:rPr>
                          <w:t>对丧失控制权时剩余股权按照公允价值重新计量产生</w:t>
                        </w:r>
                        <w:r>
                          <w:rPr>
                            <w:rFonts w:ascii="宋体" w:hAnsi="宋体" w:cs="宋体" w:eastAsia="宋体" w:hint="default"/>
                            <w:w w:val="99"/>
                            <w:sz w:val="20"/>
                            <w:szCs w:val="20"/>
                          </w:rPr>
                          <w:t> </w:t>
                        </w:r>
                        <w:r>
                          <w:rPr>
                            <w:rFonts w:ascii="宋体" w:hAnsi="宋体" w:cs="宋体" w:eastAsia="宋体" w:hint="default"/>
                            <w:sz w:val="20"/>
                            <w:szCs w:val="20"/>
                          </w:rPr>
                          <w:t>的投资收益以及长期股权投资的重新计量金额进行复</w:t>
                        </w:r>
                        <w:r>
                          <w:rPr>
                            <w:rFonts w:ascii="宋体" w:hAnsi="宋体" w:cs="宋体" w:eastAsia="宋体" w:hint="default"/>
                            <w:w w:val="99"/>
                            <w:sz w:val="20"/>
                            <w:szCs w:val="20"/>
                          </w:rPr>
                          <w:t> </w:t>
                        </w:r>
                        <w:r>
                          <w:rPr>
                            <w:rFonts w:ascii="宋体" w:hAnsi="宋体" w:cs="宋体" w:eastAsia="宋体" w:hint="default"/>
                            <w:sz w:val="20"/>
                            <w:szCs w:val="20"/>
                          </w:rPr>
                          <w:t>核；</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4</w:t>
                        </w:r>
                        <w:r>
                          <w:rPr>
                            <w:rFonts w:ascii="宋体" w:hAnsi="宋体" w:cs="宋体" w:eastAsia="宋体" w:hint="default"/>
                            <w:sz w:val="20"/>
                            <w:szCs w:val="20"/>
                          </w:rPr>
                          <w:t>、与管理层进行沟通与讨论，评估中科金财丧失大金</w:t>
                        </w:r>
                        <w:r>
                          <w:rPr>
                            <w:rFonts w:ascii="宋体" w:hAnsi="宋体" w:cs="宋体" w:eastAsia="宋体" w:hint="default"/>
                            <w:w w:val="99"/>
                            <w:sz w:val="20"/>
                            <w:szCs w:val="20"/>
                          </w:rPr>
                          <w:t> </w:t>
                        </w:r>
                        <w:r>
                          <w:rPr>
                            <w:rFonts w:ascii="宋体" w:hAnsi="宋体" w:cs="宋体" w:eastAsia="宋体" w:hint="default"/>
                            <w:sz w:val="20"/>
                            <w:szCs w:val="20"/>
                          </w:rPr>
                          <w:t>所控制权后对其重大决策及经营相关活动的实际影响</w:t>
                        </w:r>
                        <w:r>
                          <w:rPr>
                            <w:rFonts w:ascii="宋体" w:hAnsi="宋体" w:cs="宋体" w:eastAsia="宋体" w:hint="default"/>
                            <w:w w:val="99"/>
                            <w:sz w:val="20"/>
                            <w:szCs w:val="20"/>
                          </w:rPr>
                          <w:t> </w:t>
                        </w:r>
                        <w:r>
                          <w:rPr>
                            <w:rFonts w:ascii="宋体" w:hAnsi="宋体" w:cs="宋体" w:eastAsia="宋体" w:hint="default"/>
                            <w:sz w:val="20"/>
                            <w:szCs w:val="20"/>
                          </w:rPr>
                          <w:t>情况。</w:t>
                        </w:r>
                      </w:p>
                    </w:tc>
                  </w:tr>
                  <w:tr>
                    <w:trPr>
                      <w:trHeight w:val="344" w:hRule="exact"/>
                    </w:trPr>
                    <w:tc>
                      <w:tcPr>
                        <w:tcW w:w="93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b/>
                            <w:bCs/>
                            <w:sz w:val="20"/>
                            <w:szCs w:val="20"/>
                          </w:rPr>
                          <w:t>（三）信托计划的列报及减值</w:t>
                        </w:r>
                        <w:r>
                          <w:rPr>
                            <w:rFonts w:ascii="宋体" w:hAnsi="宋体" w:cs="宋体" w:eastAsia="宋体" w:hint="default"/>
                            <w:sz w:val="20"/>
                            <w:szCs w:val="20"/>
                          </w:rPr>
                        </w:r>
                      </w:p>
                    </w:tc>
                  </w:tr>
                  <w:tr>
                    <w:trPr>
                      <w:trHeight w:val="2527" w:hRule="exact"/>
                    </w:trPr>
                    <w:tc>
                      <w:tcPr>
                        <w:tcW w:w="457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1"/>
                          <w:ind w:left="7" w:right="0"/>
                          <w:jc w:val="left"/>
                          <w:rPr>
                            <w:rFonts w:ascii="宋体" w:hAnsi="宋体" w:cs="宋体" w:eastAsia="宋体" w:hint="default"/>
                            <w:sz w:val="20"/>
                            <w:szCs w:val="20"/>
                          </w:rPr>
                        </w:pPr>
                        <w:r>
                          <w:rPr>
                            <w:rFonts w:ascii="宋体" w:hAnsi="宋体" w:cs="宋体" w:eastAsia="宋体" w:hint="default"/>
                            <w:w w:val="95"/>
                            <w:sz w:val="20"/>
                            <w:szCs w:val="20"/>
                          </w:rPr>
                          <w:t>请参阅财务报表附注</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三、重要会计政策和会计估计</w:t>
                        </w:r>
                        <w:r>
                          <w:rPr>
                            <w:rFonts w:ascii="Times New Roman" w:hAnsi="Times New Roman" w:cs="Times New Roman" w:eastAsia="Times New Roman" w:hint="default"/>
                            <w:w w:val="95"/>
                            <w:sz w:val="20"/>
                            <w:szCs w:val="20"/>
                          </w:rPr>
                          <w:t>”</w:t>
                        </w:r>
                        <w:r>
                          <w:rPr>
                            <w:rFonts w:ascii="Times New Roman" w:hAnsi="Times New Roman" w:cs="Times New Roman" w:eastAsia="Times New Roman" w:hint="default"/>
                            <w:spacing w:val="15"/>
                            <w:w w:val="95"/>
                            <w:sz w:val="20"/>
                            <w:szCs w:val="20"/>
                          </w:rPr>
                          <w:t> </w:t>
                        </w:r>
                        <w:r>
                          <w:rPr>
                            <w:rFonts w:ascii="宋体" w:hAnsi="宋体" w:cs="宋体" w:eastAsia="宋体" w:hint="default"/>
                            <w:sz w:val="20"/>
                            <w:szCs w:val="20"/>
                          </w:rPr>
                          <w:t>注释十所述的会计政策、</w:t>
                        </w:r>
                        <w:r>
                          <w:rPr>
                            <w:rFonts w:ascii="Times New Roman" w:hAnsi="Times New Roman" w:cs="Times New Roman" w:eastAsia="Times New Roman" w:hint="default"/>
                            <w:sz w:val="20"/>
                            <w:szCs w:val="20"/>
                          </w:rPr>
                          <w:t>“</w:t>
                        </w:r>
                        <w:r>
                          <w:rPr>
                            <w:rFonts w:ascii="宋体" w:hAnsi="宋体" w:cs="宋体" w:eastAsia="宋体" w:hint="default"/>
                            <w:sz w:val="20"/>
                            <w:szCs w:val="20"/>
                          </w:rPr>
                          <w:t>五、合并财务报表项目附</w:t>
                        </w:r>
                        <w:r>
                          <w:rPr>
                            <w:rFonts w:ascii="宋体" w:hAnsi="宋体" w:cs="宋体" w:eastAsia="宋体" w:hint="default"/>
                            <w:w w:val="99"/>
                            <w:sz w:val="20"/>
                            <w:szCs w:val="20"/>
                          </w:rPr>
                          <w:t> </w:t>
                        </w:r>
                        <w:r>
                          <w:rPr>
                            <w:rFonts w:ascii="宋体" w:hAnsi="宋体" w:cs="宋体" w:eastAsia="宋体" w:hint="default"/>
                            <w:w w:val="95"/>
                            <w:sz w:val="20"/>
                            <w:szCs w:val="20"/>
                          </w:rPr>
                          <w:t>注</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注释八、九、十及四十五、</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七、在其他主体中的</w:t>
                        </w:r>
                        <w:r>
                          <w:rPr>
                            <w:rFonts w:ascii="宋体" w:hAnsi="宋体" w:cs="宋体" w:eastAsia="宋体" w:hint="default"/>
                            <w:spacing w:val="14"/>
                            <w:w w:val="95"/>
                            <w:sz w:val="20"/>
                            <w:szCs w:val="20"/>
                          </w:rPr>
                          <w:t> </w:t>
                        </w:r>
                        <w:r>
                          <w:rPr>
                            <w:rFonts w:ascii="宋体" w:hAnsi="宋体" w:cs="宋体" w:eastAsia="宋体" w:hint="default"/>
                            <w:spacing w:val="14"/>
                            <w:w w:val="95"/>
                            <w:sz w:val="20"/>
                            <w:szCs w:val="20"/>
                          </w:rPr>
                        </w:r>
                        <w:r>
                          <w:rPr>
                            <w:rFonts w:ascii="宋体" w:hAnsi="宋体" w:cs="宋体" w:eastAsia="宋体" w:hint="default"/>
                            <w:sz w:val="20"/>
                            <w:szCs w:val="20"/>
                          </w:rPr>
                          <w:t>权益</w:t>
                        </w:r>
                        <w:r>
                          <w:rPr>
                            <w:rFonts w:ascii="Times New Roman" w:hAnsi="Times New Roman" w:cs="Times New Roman" w:eastAsia="Times New Roman" w:hint="default"/>
                            <w:sz w:val="20"/>
                            <w:szCs w:val="20"/>
                          </w:rPr>
                          <w:t>”</w:t>
                        </w:r>
                        <w:r>
                          <w:rPr>
                            <w:rFonts w:ascii="宋体" w:hAnsi="宋体" w:cs="宋体" w:eastAsia="宋体" w:hint="default"/>
                            <w:sz w:val="20"/>
                            <w:szCs w:val="20"/>
                          </w:rPr>
                          <w:t>注释一、</w:t>
                        </w:r>
                        <w:r>
                          <w:rPr>
                            <w:rFonts w:ascii="Times New Roman" w:hAnsi="Times New Roman" w:cs="Times New Roman" w:eastAsia="Times New Roman" w:hint="default"/>
                            <w:sz w:val="20"/>
                            <w:szCs w:val="20"/>
                          </w:rPr>
                          <w:t>2</w:t>
                        </w:r>
                        <w:r>
                          <w:rPr>
                            <w:rFonts w:ascii="宋体" w:hAnsi="宋体" w:cs="宋体" w:eastAsia="宋体" w:hint="default"/>
                            <w:sz w:val="20"/>
                            <w:szCs w:val="20"/>
                          </w:rPr>
                          <w:t>。</w:t>
                        </w:r>
                      </w:p>
                      <w:p>
                        <w:pPr>
                          <w:pStyle w:val="TableParagraph"/>
                          <w:spacing w:line="276" w:lineRule="auto" w:before="6"/>
                          <w:ind w:left="7" w:right="1"/>
                          <w:jc w:val="both"/>
                          <w:rPr>
                            <w:rFonts w:ascii="宋体" w:hAnsi="宋体" w:cs="宋体" w:eastAsia="宋体" w:hint="default"/>
                            <w:sz w:val="20"/>
                            <w:szCs w:val="20"/>
                          </w:rPr>
                        </w:pPr>
                        <w:r>
                          <w:rPr>
                            <w:rFonts w:ascii="宋体" w:hAnsi="宋体" w:cs="宋体" w:eastAsia="宋体" w:hint="default"/>
                            <w:sz w:val="20"/>
                            <w:szCs w:val="20"/>
                          </w:rPr>
                          <w:t>截至 </w:t>
                        </w:r>
                        <w:r>
                          <w:rPr>
                            <w:rFonts w:ascii="Times New Roman" w:hAnsi="Times New Roman" w:cs="Times New Roman" w:eastAsia="Times New Roman" w:hint="default"/>
                            <w:sz w:val="20"/>
                            <w:szCs w:val="20"/>
                          </w:rPr>
                          <w:t>2019</w:t>
                        </w:r>
                        <w:r>
                          <w:rPr>
                            <w:rFonts w:ascii="宋体" w:hAnsi="宋体" w:cs="宋体" w:eastAsia="宋体" w:hint="default"/>
                            <w:sz w:val="20"/>
                            <w:szCs w:val="20"/>
                          </w:rPr>
                          <w:t>年 </w:t>
                        </w:r>
                        <w:r>
                          <w:rPr>
                            <w:rFonts w:ascii="Times New Roman" w:hAnsi="Times New Roman" w:cs="Times New Roman" w:eastAsia="Times New Roman" w:hint="default"/>
                            <w:sz w:val="20"/>
                            <w:szCs w:val="20"/>
                          </w:rPr>
                          <w:t>12 </w:t>
                        </w:r>
                        <w:r>
                          <w:rPr>
                            <w:rFonts w:ascii="宋体" w:hAnsi="宋体" w:cs="宋体" w:eastAsia="宋体" w:hint="default"/>
                            <w:sz w:val="20"/>
                            <w:szCs w:val="20"/>
                          </w:rPr>
                          <w:t>月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10"/>
                            <w:sz w:val="20"/>
                            <w:szCs w:val="20"/>
                          </w:rPr>
                          <w:t> </w:t>
                        </w:r>
                        <w:r>
                          <w:rPr>
                            <w:rFonts w:ascii="宋体" w:hAnsi="宋体" w:cs="宋体" w:eastAsia="宋体" w:hint="default"/>
                            <w:spacing w:val="-3"/>
                            <w:sz w:val="20"/>
                            <w:szCs w:val="20"/>
                          </w:rPr>
                          <w:t>日，中科金财及其子公司自西</w:t>
                        </w:r>
                        <w:r>
                          <w:rPr>
                            <w:rFonts w:ascii="宋体" w:hAnsi="宋体" w:cs="宋体" w:eastAsia="宋体" w:hint="default"/>
                            <w:w w:val="99"/>
                            <w:sz w:val="20"/>
                            <w:szCs w:val="20"/>
                          </w:rPr>
                          <w:t> </w:t>
                        </w:r>
                        <w:r>
                          <w:rPr>
                            <w:rFonts w:ascii="宋体" w:hAnsi="宋体" w:cs="宋体" w:eastAsia="宋体" w:hint="default"/>
                            <w:spacing w:val="-2"/>
                            <w:sz w:val="20"/>
                            <w:szCs w:val="20"/>
                          </w:rPr>
                          <w:t>藏信托有限公司、华鑫国际信托有限公司认购单一信</w:t>
                        </w:r>
                        <w:r>
                          <w:rPr>
                            <w:rFonts w:ascii="宋体" w:hAnsi="宋体" w:cs="宋体" w:eastAsia="宋体" w:hint="default"/>
                            <w:w w:val="99"/>
                            <w:sz w:val="20"/>
                            <w:szCs w:val="20"/>
                          </w:rPr>
                          <w:t> </w:t>
                        </w:r>
                        <w:r>
                          <w:rPr>
                            <w:rFonts w:ascii="宋体" w:hAnsi="宋体" w:cs="宋体" w:eastAsia="宋体" w:hint="default"/>
                            <w:w w:val="95"/>
                            <w:sz w:val="20"/>
                            <w:szCs w:val="20"/>
                          </w:rPr>
                          <w:t>托、劣后级信托计划（以下简称</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信托计划</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），期末</w:t>
                        </w:r>
                        <w:r>
                          <w:rPr>
                            <w:rFonts w:ascii="宋体" w:hAnsi="宋体" w:cs="宋体" w:eastAsia="宋体" w:hint="default"/>
                            <w:spacing w:val="12"/>
                            <w:w w:val="95"/>
                            <w:sz w:val="20"/>
                            <w:szCs w:val="20"/>
                          </w:rPr>
                          <w:t> </w:t>
                        </w:r>
                        <w:r>
                          <w:rPr>
                            <w:rFonts w:ascii="宋体" w:hAnsi="宋体" w:cs="宋体" w:eastAsia="宋体" w:hint="default"/>
                            <w:spacing w:val="12"/>
                            <w:w w:val="95"/>
                            <w:sz w:val="20"/>
                            <w:szCs w:val="20"/>
                          </w:rPr>
                        </w:r>
                        <w:r>
                          <w:rPr>
                            <w:rFonts w:ascii="宋体" w:hAnsi="宋体" w:cs="宋体" w:eastAsia="宋体" w:hint="default"/>
                            <w:spacing w:val="-1"/>
                            <w:w w:val="95"/>
                            <w:sz w:val="20"/>
                            <w:szCs w:val="20"/>
                          </w:rPr>
                          <w:t>累计认购金额</w:t>
                        </w:r>
                        <w:r>
                          <w:rPr>
                            <w:rFonts w:ascii="Times New Roman" w:hAnsi="Times New Roman" w:cs="Times New Roman" w:eastAsia="Times New Roman" w:hint="default"/>
                            <w:spacing w:val="-1"/>
                            <w:w w:val="95"/>
                            <w:sz w:val="20"/>
                            <w:szCs w:val="20"/>
                          </w:rPr>
                          <w:t>67,021.64</w:t>
                        </w:r>
                        <w:r>
                          <w:rPr>
                            <w:rFonts w:ascii="宋体" w:hAnsi="宋体" w:cs="宋体" w:eastAsia="宋体" w:hint="default"/>
                            <w:spacing w:val="-1"/>
                            <w:w w:val="95"/>
                            <w:sz w:val="20"/>
                            <w:szCs w:val="20"/>
                          </w:rPr>
                          <w:t>万元，</w:t>
                        </w:r>
                        <w:r>
                          <w:rPr>
                            <w:rFonts w:ascii="Times New Roman" w:hAnsi="Times New Roman" w:cs="Times New Roman" w:eastAsia="Times New Roman" w:hint="default"/>
                            <w:spacing w:val="-1"/>
                            <w:w w:val="95"/>
                            <w:sz w:val="20"/>
                            <w:szCs w:val="20"/>
                          </w:rPr>
                          <w:t>2019</w:t>
                        </w:r>
                        <w:r>
                          <w:rPr>
                            <w:rFonts w:ascii="宋体" w:hAnsi="宋体" w:cs="宋体" w:eastAsia="宋体" w:hint="default"/>
                            <w:spacing w:val="-1"/>
                            <w:w w:val="95"/>
                            <w:sz w:val="20"/>
                            <w:szCs w:val="20"/>
                          </w:rPr>
                          <w:t>年度计提预期信用</w:t>
                        </w:r>
                        <w:r>
                          <w:rPr>
                            <w:rFonts w:ascii="宋体" w:hAnsi="宋体" w:cs="宋体" w:eastAsia="宋体" w:hint="default"/>
                            <w:spacing w:val="-1"/>
                            <w:sz w:val="20"/>
                            <w:szCs w:val="20"/>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应对此关键事项有关的审计程序包括：</w:t>
                        </w:r>
                      </w:p>
                      <w:p>
                        <w:pPr>
                          <w:pStyle w:val="TableParagraph"/>
                          <w:spacing w:line="280" w:lineRule="auto" w:before="50"/>
                          <w:ind w:left="7" w:right="7"/>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）我们对此投资业务的关键内控设计和执行情况进</w:t>
                        </w:r>
                        <w:r>
                          <w:rPr>
                            <w:rFonts w:ascii="宋体" w:hAnsi="宋体" w:cs="宋体" w:eastAsia="宋体" w:hint="default"/>
                            <w:w w:val="99"/>
                            <w:sz w:val="20"/>
                            <w:szCs w:val="20"/>
                          </w:rPr>
                          <w:t> </w:t>
                        </w:r>
                        <w:r>
                          <w:rPr>
                            <w:rFonts w:ascii="宋体" w:hAnsi="宋体" w:cs="宋体" w:eastAsia="宋体" w:hint="default"/>
                            <w:spacing w:val="-2"/>
                            <w:sz w:val="20"/>
                            <w:szCs w:val="20"/>
                          </w:rPr>
                          <w:t>行了解和测试，评价投资业务的内部控制是否有效；对</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减值计算相关内部控制设计和运行的有效性进行了评</w:t>
                        </w:r>
                        <w:r>
                          <w:rPr>
                            <w:rFonts w:ascii="宋体" w:hAnsi="宋体" w:cs="宋体" w:eastAsia="宋体" w:hint="default"/>
                            <w:w w:val="99"/>
                            <w:sz w:val="20"/>
                            <w:szCs w:val="20"/>
                          </w:rPr>
                          <w:t> </w:t>
                        </w:r>
                        <w:r>
                          <w:rPr>
                            <w:rFonts w:ascii="宋体" w:hAnsi="宋体" w:cs="宋体" w:eastAsia="宋体" w:hint="default"/>
                            <w:sz w:val="20"/>
                            <w:szCs w:val="20"/>
                          </w:rPr>
                          <w:t>估和测试；</w:t>
                        </w:r>
                      </w:p>
                      <w:p>
                        <w:pPr>
                          <w:pStyle w:val="TableParagraph"/>
                          <w:spacing w:line="278" w:lineRule="auto" w:before="16"/>
                          <w:ind w:left="7" w:right="7"/>
                          <w:jc w:val="both"/>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）获取并查阅资金计划合同、信托计划说明书，了</w:t>
                        </w:r>
                        <w:r>
                          <w:rPr>
                            <w:rFonts w:ascii="宋体" w:hAnsi="宋体" w:cs="宋体" w:eastAsia="宋体" w:hint="default"/>
                            <w:w w:val="99"/>
                            <w:sz w:val="20"/>
                            <w:szCs w:val="20"/>
                          </w:rPr>
                          <w:t> </w:t>
                        </w:r>
                        <w:r>
                          <w:rPr>
                            <w:rFonts w:ascii="宋体" w:hAnsi="宋体" w:cs="宋体" w:eastAsia="宋体" w:hint="default"/>
                            <w:spacing w:val="-2"/>
                            <w:sz w:val="20"/>
                            <w:szCs w:val="20"/>
                          </w:rPr>
                          <w:t>解信托计划中对信托财产的管理、运用和处分的决策机</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制及相应流程，分析信托计划的委托人和受托人的权</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before="37"/>
        <w:ind w:left="0" w:right="1181"/>
        <w:jc w:val="right"/>
      </w:pPr>
      <w:r>
        <w:rPr>
          <w:w w:val="99"/>
        </w:rPr>
        <w:t>，</w:t>
      </w:r>
      <w:r>
        <w:rPr/>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287" w:type="dxa"/>
        <w:tblLayout w:type="fixed"/>
        <w:tblCellMar>
          <w:top w:w="0" w:type="dxa"/>
          <w:left w:w="0" w:type="dxa"/>
          <w:bottom w:w="0" w:type="dxa"/>
          <w:right w:w="0" w:type="dxa"/>
        </w:tblCellMar>
        <w:tblLook w:val="01E0"/>
      </w:tblPr>
      <w:tblGrid>
        <w:gridCol w:w="4577"/>
        <w:gridCol w:w="4784"/>
      </w:tblGrid>
      <w:tr>
        <w:trPr>
          <w:trHeight w:val="2840" w:hRule="exact"/>
        </w:trPr>
        <w:tc>
          <w:tcPr>
            <w:tcW w:w="4577"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1"/>
              <w:ind w:left="7" w:right="2"/>
              <w:jc w:val="left"/>
              <w:rPr>
                <w:rFonts w:ascii="宋体" w:hAnsi="宋体" w:cs="宋体" w:eastAsia="宋体" w:hint="default"/>
                <w:sz w:val="20"/>
                <w:szCs w:val="20"/>
              </w:rPr>
            </w:pPr>
            <w:r>
              <w:rPr>
                <w:rFonts w:ascii="宋体" w:hAnsi="宋体" w:cs="宋体" w:eastAsia="宋体" w:hint="default"/>
                <w:sz w:val="20"/>
                <w:szCs w:val="20"/>
              </w:rPr>
              <w:t>减值损失</w:t>
            </w:r>
            <w:r>
              <w:rPr>
                <w:rFonts w:ascii="Times New Roman" w:hAnsi="Times New Roman" w:cs="Times New Roman" w:eastAsia="Times New Roman" w:hint="default"/>
                <w:sz w:val="20"/>
                <w:szCs w:val="20"/>
              </w:rPr>
              <w:t>3,650.96</w:t>
            </w:r>
            <w:r>
              <w:rPr>
                <w:rFonts w:ascii="宋体" w:hAnsi="宋体" w:cs="宋体" w:eastAsia="宋体" w:hint="default"/>
                <w:sz w:val="20"/>
                <w:szCs w:val="20"/>
              </w:rPr>
              <w:t>万元。</w:t>
            </w:r>
            <w:r>
              <w:rPr>
                <w:rFonts w:ascii="宋体" w:hAnsi="宋体" w:cs="宋体" w:eastAsia="宋体" w:hint="default"/>
                <w:w w:val="99"/>
                <w:sz w:val="20"/>
                <w:szCs w:val="20"/>
              </w:rPr>
              <w:t> </w:t>
            </w:r>
            <w:r>
              <w:rPr>
                <w:rFonts w:ascii="宋体" w:hAnsi="宋体" w:cs="宋体" w:eastAsia="宋体" w:hint="default"/>
                <w:spacing w:val="-2"/>
                <w:sz w:val="20"/>
                <w:szCs w:val="20"/>
              </w:rPr>
              <w:t>该信托计划金额重大，信托计划作为金融资产如何在</w:t>
            </w:r>
            <w:r>
              <w:rPr>
                <w:rFonts w:ascii="宋体" w:hAnsi="宋体" w:cs="宋体" w:eastAsia="宋体" w:hint="default"/>
                <w:w w:val="99"/>
                <w:sz w:val="20"/>
                <w:szCs w:val="20"/>
              </w:rPr>
              <w:t> </w:t>
            </w:r>
            <w:r>
              <w:rPr>
                <w:rFonts w:ascii="宋体" w:hAnsi="宋体" w:cs="宋体" w:eastAsia="宋体" w:hint="default"/>
                <w:sz w:val="20"/>
                <w:szCs w:val="20"/>
              </w:rPr>
              <w:t>财务报表进行合理列报以及根据信托计划底层资产</w:t>
            </w:r>
            <w:r>
              <w:rPr>
                <w:rFonts w:ascii="宋体" w:hAnsi="宋体" w:cs="宋体" w:eastAsia="宋体" w:hint="default"/>
                <w:w w:val="99"/>
                <w:sz w:val="20"/>
                <w:szCs w:val="20"/>
              </w:rPr>
              <w:t> </w:t>
            </w:r>
            <w:r>
              <w:rPr>
                <w:rFonts w:ascii="宋体" w:hAnsi="宋体" w:cs="宋体" w:eastAsia="宋体" w:hint="default"/>
                <w:sz w:val="20"/>
                <w:szCs w:val="20"/>
              </w:rPr>
              <w:t>的信用情况确定信托计划减值时管理层作出评估和</w:t>
            </w:r>
            <w:r>
              <w:rPr>
                <w:rFonts w:ascii="宋体" w:hAnsi="宋体" w:cs="宋体" w:eastAsia="宋体" w:hint="default"/>
                <w:w w:val="99"/>
                <w:sz w:val="20"/>
                <w:szCs w:val="20"/>
              </w:rPr>
              <w:t> </w:t>
            </w:r>
            <w:r>
              <w:rPr>
                <w:rFonts w:ascii="宋体" w:hAnsi="宋体" w:cs="宋体" w:eastAsia="宋体" w:hint="default"/>
                <w:spacing w:val="-2"/>
                <w:sz w:val="20"/>
                <w:szCs w:val="20"/>
              </w:rPr>
              <w:t>判断，因此我们将信托计划的列报及减值事项作为关</w:t>
            </w:r>
            <w:r>
              <w:rPr>
                <w:rFonts w:ascii="宋体" w:hAnsi="宋体" w:cs="宋体" w:eastAsia="宋体" w:hint="default"/>
                <w:w w:val="99"/>
                <w:sz w:val="20"/>
                <w:szCs w:val="20"/>
              </w:rPr>
              <w:t> </w:t>
            </w:r>
            <w:r>
              <w:rPr>
                <w:rFonts w:ascii="宋体" w:hAnsi="宋体" w:cs="宋体" w:eastAsia="宋体" w:hint="default"/>
                <w:sz w:val="20"/>
                <w:szCs w:val="20"/>
              </w:rPr>
              <w:t>键审计事项进行关注。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7" w:right="4"/>
              <w:jc w:val="both"/>
              <w:rPr>
                <w:rFonts w:ascii="宋体" w:hAnsi="宋体" w:cs="宋体" w:eastAsia="宋体" w:hint="default"/>
                <w:sz w:val="20"/>
                <w:szCs w:val="20"/>
              </w:rPr>
            </w:pPr>
            <w:r>
              <w:rPr>
                <w:rFonts w:ascii="宋体" w:hAnsi="宋体" w:cs="宋体" w:eastAsia="宋体" w:hint="default"/>
                <w:spacing w:val="-1"/>
                <w:w w:val="95"/>
                <w:sz w:val="20"/>
                <w:szCs w:val="20"/>
              </w:rPr>
              <w:t>利，评估公司对该项信托计划的权利、可变回报、以及</w:t>
            </w:r>
            <w:r>
              <w:rPr>
                <w:rFonts w:ascii="宋体" w:hAnsi="宋体" w:cs="宋体" w:eastAsia="宋体" w:hint="default"/>
                <w:spacing w:val="32"/>
                <w:w w:val="95"/>
                <w:sz w:val="20"/>
                <w:szCs w:val="20"/>
              </w:rPr>
              <w:t> </w:t>
            </w:r>
            <w:r>
              <w:rPr>
                <w:rFonts w:ascii="宋体" w:hAnsi="宋体" w:cs="宋体" w:eastAsia="宋体" w:hint="default"/>
                <w:spacing w:val="32"/>
                <w:w w:val="95"/>
                <w:sz w:val="20"/>
                <w:szCs w:val="20"/>
              </w:rPr>
            </w:r>
            <w:r>
              <w:rPr>
                <w:rFonts w:ascii="宋体" w:hAnsi="宋体" w:cs="宋体" w:eastAsia="宋体" w:hint="default"/>
                <w:spacing w:val="-1"/>
                <w:w w:val="95"/>
                <w:sz w:val="20"/>
                <w:szCs w:val="20"/>
              </w:rPr>
              <w:t>运用权力影响可变回报的能力，判断公司对该项信托计</w:t>
            </w:r>
            <w:r>
              <w:rPr>
                <w:rFonts w:ascii="宋体" w:hAnsi="宋体" w:cs="宋体" w:eastAsia="宋体" w:hint="default"/>
                <w:spacing w:val="31"/>
                <w:w w:val="95"/>
                <w:sz w:val="20"/>
                <w:szCs w:val="20"/>
              </w:rPr>
              <w:t> </w:t>
            </w:r>
            <w:r>
              <w:rPr>
                <w:rFonts w:ascii="宋体" w:hAnsi="宋体" w:cs="宋体" w:eastAsia="宋体" w:hint="default"/>
                <w:spacing w:val="31"/>
                <w:w w:val="95"/>
                <w:sz w:val="20"/>
                <w:szCs w:val="20"/>
              </w:rPr>
            </w:r>
            <w:r>
              <w:rPr>
                <w:rFonts w:ascii="宋体" w:hAnsi="宋体" w:cs="宋体" w:eastAsia="宋体" w:hint="default"/>
                <w:sz w:val="20"/>
                <w:szCs w:val="20"/>
              </w:rPr>
              <w:t>划是否构成控制；</w:t>
            </w:r>
          </w:p>
          <w:p>
            <w:pPr>
              <w:pStyle w:val="TableParagraph"/>
              <w:spacing w:line="278" w:lineRule="auto" w:before="12"/>
              <w:ind w:left="7" w:right="69"/>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3</w:t>
            </w:r>
            <w:r>
              <w:rPr>
                <w:rFonts w:ascii="宋体" w:hAnsi="宋体" w:cs="宋体" w:eastAsia="宋体" w:hint="default"/>
                <w:sz w:val="20"/>
                <w:szCs w:val="20"/>
              </w:rPr>
              <w:t>）分析信托计划合同的相关约定，并结合管理层认</w:t>
            </w:r>
            <w:r>
              <w:rPr>
                <w:rFonts w:ascii="宋体" w:hAnsi="宋体" w:cs="宋体" w:eastAsia="宋体" w:hint="default"/>
                <w:w w:val="99"/>
                <w:sz w:val="20"/>
                <w:szCs w:val="20"/>
              </w:rPr>
              <w:t> </w:t>
            </w:r>
            <w:r>
              <w:rPr>
                <w:rFonts w:ascii="宋体" w:hAnsi="宋体" w:cs="宋体" w:eastAsia="宋体" w:hint="default"/>
                <w:sz w:val="20"/>
                <w:szCs w:val="20"/>
              </w:rPr>
              <w:t>购信托计划的目的和动因，判断对该项金融资产的分</w:t>
            </w:r>
            <w:r>
              <w:rPr>
                <w:rFonts w:ascii="宋体" w:hAnsi="宋体" w:cs="宋体" w:eastAsia="宋体" w:hint="default"/>
                <w:w w:val="99"/>
                <w:sz w:val="20"/>
                <w:szCs w:val="20"/>
              </w:rPr>
              <w:t> </w:t>
            </w:r>
            <w:r>
              <w:rPr>
                <w:rFonts w:ascii="宋体" w:hAnsi="宋体" w:cs="宋体" w:eastAsia="宋体" w:hint="default"/>
                <w:sz w:val="20"/>
                <w:szCs w:val="20"/>
              </w:rPr>
              <w:t>类、计量和列报是否正确；</w:t>
            </w:r>
          </w:p>
          <w:p>
            <w:pPr>
              <w:pStyle w:val="TableParagraph"/>
              <w:spacing w:line="278" w:lineRule="auto" w:before="18"/>
              <w:ind w:left="7" w:right="7"/>
              <w:jc w:val="both"/>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4</w:t>
            </w:r>
            <w:r>
              <w:rPr>
                <w:rFonts w:ascii="宋体" w:hAnsi="宋体" w:cs="宋体" w:eastAsia="宋体" w:hint="default"/>
                <w:sz w:val="20"/>
                <w:szCs w:val="20"/>
              </w:rPr>
              <w:t>）结合底层资产的情况复核管理层作出的评估结果</w:t>
            </w:r>
            <w:r>
              <w:rPr>
                <w:rFonts w:ascii="宋体" w:hAnsi="宋体" w:cs="宋体" w:eastAsia="宋体" w:hint="default"/>
                <w:w w:val="99"/>
                <w:sz w:val="20"/>
                <w:szCs w:val="20"/>
              </w:rPr>
              <w:t> </w:t>
            </w:r>
            <w:r>
              <w:rPr>
                <w:rFonts w:ascii="宋体" w:hAnsi="宋体" w:cs="宋体" w:eastAsia="宋体" w:hint="default"/>
                <w:spacing w:val="-2"/>
                <w:sz w:val="20"/>
                <w:szCs w:val="20"/>
              </w:rPr>
              <w:t>是否合理。对本期计提的减值，复核管理层的计算过程</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及结果。</w:t>
            </w:r>
          </w:p>
        </w:tc>
      </w:tr>
    </w:tbl>
    <w:p>
      <w:pPr>
        <w:pStyle w:val="BodyText"/>
        <w:spacing w:line="429" w:lineRule="auto" w:before="71"/>
        <w:ind w:left="554" w:right="1133"/>
        <w:jc w:val="left"/>
      </w:pPr>
      <w:r>
        <w:rPr/>
        <w:t>四、其他信息</w:t>
      </w:r>
      <w:r>
        <w:rPr>
          <w:w w:val="99"/>
        </w:rPr>
        <w:t> </w:t>
      </w:r>
      <w:r>
        <w:rPr/>
        <w:t>中科金财管理层（以下简称管理层）对其他信息负责。其他信息包括中科金财</w:t>
      </w:r>
      <w:r>
        <w:rPr>
          <w:rFonts w:ascii="Times New Roman" w:hAnsi="Times New Roman" w:cs="Times New Roman" w:eastAsia="Times New Roman" w:hint="default"/>
        </w:rPr>
        <w:t>2019</w:t>
      </w:r>
      <w:r>
        <w:rPr/>
        <w:t>年年度报告中涵盖的信</w:t>
      </w:r>
    </w:p>
    <w:p>
      <w:pPr>
        <w:pStyle w:val="BodyText"/>
        <w:spacing w:line="429" w:lineRule="auto" w:before="16"/>
        <w:ind w:left="554" w:right="1133" w:hanging="402"/>
        <w:jc w:val="left"/>
      </w:pPr>
      <w:r>
        <w:rPr/>
        <w:t>息，但不包括财务报表和我们的审计报告。</w:t>
      </w:r>
      <w:r>
        <w:rPr>
          <w:w w:val="99"/>
        </w:rPr>
        <w:t> </w:t>
      </w:r>
      <w:r>
        <w:rPr/>
        <w:t>我们对财务报表发表的审计意见不涵盖其他信息，我们也不对其他信息发表任何形式的鉴证结论。</w:t>
      </w:r>
      <w:r>
        <w:rPr>
          <w:w w:val="99"/>
        </w:rPr>
        <w:t> </w:t>
      </w:r>
      <w:r>
        <w:rPr/>
        <w:t>结合我们对财务报表的审计，我们的责任是阅读其他信息，在此过程中，考虑其他信息是否与财务报表或</w:t>
      </w:r>
    </w:p>
    <w:p>
      <w:pPr>
        <w:pStyle w:val="BodyText"/>
        <w:spacing w:line="429" w:lineRule="auto" w:before="48"/>
        <w:ind w:left="554" w:right="1133" w:hanging="402"/>
        <w:jc w:val="left"/>
      </w:pPr>
      <w:r>
        <w:rPr/>
        <w:t>我们在审计过程中了解到的情况存在重大不一致或者似乎存在重大错报。</w:t>
      </w:r>
      <w:r>
        <w:rPr>
          <w:w w:val="99"/>
        </w:rPr>
        <w:t> </w:t>
      </w:r>
      <w:r>
        <w:rPr/>
        <w:t>基于我们已执行的工作，如果我们确定其他信息存在重大错报，我们应当报告该事实。在这方面，我们无</w:t>
      </w:r>
    </w:p>
    <w:p>
      <w:pPr>
        <w:pStyle w:val="BodyText"/>
        <w:spacing w:line="429" w:lineRule="auto" w:before="48"/>
        <w:ind w:left="554" w:right="6952" w:hanging="402"/>
        <w:jc w:val="left"/>
      </w:pPr>
      <w:r>
        <w:rPr/>
        <w:t>任何事项需要报告。</w:t>
      </w:r>
      <w:r>
        <w:rPr>
          <w:w w:val="99"/>
        </w:rPr>
        <w:t> </w:t>
      </w:r>
      <w:r>
        <w:rPr/>
        <w:t>五、管理层和治理层对财务报表的责任</w:t>
      </w:r>
    </w:p>
    <w:p>
      <w:pPr>
        <w:pStyle w:val="BodyText"/>
        <w:spacing w:line="429" w:lineRule="auto" w:before="48"/>
        <w:ind w:right="1141" w:firstLine="401"/>
        <w:jc w:val="both"/>
      </w:pPr>
      <w:r>
        <w:rPr/>
        <w:t>管理层负责按照企业会计准则的规定编制财务报表，使其实现公允反映，并设计、执行和维护必要的内部</w:t>
      </w:r>
      <w:r>
        <w:rPr>
          <w:w w:val="99"/>
        </w:rPr>
        <w:t> </w:t>
      </w:r>
      <w:r>
        <w:rPr/>
        <w:t>控制，以使财务报表不存在由于舞弊或错误导致的重大错报。</w:t>
      </w:r>
    </w:p>
    <w:p>
      <w:pPr>
        <w:pStyle w:val="BodyText"/>
        <w:spacing w:line="429" w:lineRule="auto" w:before="48"/>
        <w:ind w:right="1134" w:firstLine="401"/>
        <w:jc w:val="both"/>
      </w:pPr>
      <w:r>
        <w:rPr/>
        <w:t>在编制财务报表时，管理层负责评估中科金财的持续经营能力，披露与持续经营相关的事项（如适用），</w:t>
      </w:r>
      <w:r>
        <w:rPr>
          <w:w w:val="99"/>
        </w:rPr>
        <w:t> </w:t>
      </w:r>
      <w:r>
        <w:rPr/>
        <w:t>并运用持续经营假设，除非计划进行清算、终止运营或别无其他现实的选择。</w:t>
      </w:r>
    </w:p>
    <w:p>
      <w:pPr>
        <w:pStyle w:val="BodyText"/>
        <w:spacing w:line="429" w:lineRule="auto" w:before="48"/>
        <w:ind w:left="554" w:right="5999"/>
        <w:jc w:val="left"/>
      </w:pPr>
      <w:r>
        <w:rPr>
          <w:w w:val="95"/>
        </w:rPr>
        <w:t>治理层负责监督中科金财的财务报告过程。</w:t>
      </w:r>
      <w:r>
        <w:rPr>
          <w:spacing w:val="89"/>
          <w:w w:val="95"/>
        </w:rPr>
        <w:t> </w:t>
      </w:r>
      <w:r>
        <w:rPr>
          <w:spacing w:val="89"/>
          <w:w w:val="95"/>
        </w:rPr>
      </w:r>
      <w:r>
        <w:rPr/>
        <w:t>六、注册会计师对财务报表审计的责任</w:t>
      </w:r>
    </w:p>
    <w:p>
      <w:pPr>
        <w:pStyle w:val="BodyText"/>
        <w:spacing w:line="429" w:lineRule="auto" w:before="48"/>
        <w:ind w:right="1141" w:firstLine="401"/>
        <w:jc w:val="both"/>
      </w:pPr>
      <w:r>
        <w:rPr/>
        <w:t>我们的目标是对财务报表整体是否不存在由于舞弊或错误导致的重大错报获取合理保证，并出具包含审计</w:t>
      </w:r>
      <w:r>
        <w:rPr>
          <w:w w:val="99"/>
        </w:rPr>
        <w:t> </w:t>
      </w:r>
      <w:r>
        <w:rPr/>
        <w:t>意见的审计报告。合理保证是高水平的保证，但并不能保证按照审计准则执行的审计在某一重大错报存在时总</w:t>
      </w:r>
      <w:r>
        <w:rPr>
          <w:spacing w:val="-77"/>
        </w:rPr>
        <w:t> </w:t>
      </w:r>
      <w:r>
        <w:rPr>
          <w:spacing w:val="-77"/>
        </w:rPr>
      </w:r>
      <w:r>
        <w:rPr/>
        <w:t>能发现。错报可能由于舞弊或错误导致，如果合理预期错报单独或汇总起来可能影响财务报表使用者依据财务</w:t>
      </w:r>
      <w:r>
        <w:rPr>
          <w:spacing w:val="-77"/>
        </w:rPr>
        <w:t> </w:t>
      </w:r>
      <w:r>
        <w:rPr>
          <w:spacing w:val="-77"/>
        </w:rPr>
      </w:r>
      <w:r>
        <w:rPr/>
        <w:t>报表作出的经济决策，则通常认为错报是重大的。</w:t>
      </w:r>
    </w:p>
    <w:p>
      <w:pPr>
        <w:pStyle w:val="BodyText"/>
        <w:spacing w:line="240" w:lineRule="auto" w:before="48"/>
        <w:ind w:left="554" w:right="1129"/>
        <w:jc w:val="left"/>
      </w:pPr>
      <w:r>
        <w:rPr/>
        <w:t>在按照审计准则执行审计工作的过程中，我们运用职业判断，并保持职业怀疑。同时，我们也执行以下工</w:t>
      </w:r>
    </w:p>
    <w:p>
      <w:pPr>
        <w:spacing w:line="240" w:lineRule="auto" w:before="10"/>
        <w:rPr>
          <w:rFonts w:ascii="宋体" w:hAnsi="宋体" w:cs="宋体" w:eastAsia="宋体" w:hint="default"/>
          <w:sz w:val="15"/>
          <w:szCs w:val="15"/>
        </w:rPr>
      </w:pPr>
    </w:p>
    <w:p>
      <w:pPr>
        <w:pStyle w:val="BodyText"/>
        <w:spacing w:line="240" w:lineRule="auto"/>
        <w:ind w:right="1133"/>
        <w:jc w:val="left"/>
      </w:pPr>
      <w:r>
        <w:rPr/>
        <w:t>作：</w:t>
      </w:r>
    </w:p>
    <w:p>
      <w:pPr>
        <w:spacing w:line="240" w:lineRule="auto" w:before="10"/>
        <w:rPr>
          <w:rFonts w:ascii="宋体" w:hAnsi="宋体" w:cs="宋体" w:eastAsia="宋体" w:hint="default"/>
          <w:sz w:val="15"/>
          <w:szCs w:val="15"/>
        </w:rPr>
      </w:pPr>
    </w:p>
    <w:p>
      <w:pPr>
        <w:pStyle w:val="BodyText"/>
        <w:spacing w:line="405" w:lineRule="auto"/>
        <w:ind w:right="1139" w:firstLine="401"/>
        <w:jc w:val="both"/>
      </w:pPr>
      <w:r>
        <w:rPr>
          <w:spacing w:val="-1"/>
          <w:w w:val="95"/>
        </w:rPr>
        <w:t>（</w:t>
      </w:r>
      <w:r>
        <w:rPr>
          <w:rFonts w:ascii="Times New Roman" w:hAnsi="Times New Roman" w:cs="Times New Roman" w:eastAsia="Times New Roman" w:hint="default"/>
          <w:spacing w:val="-1"/>
          <w:w w:val="95"/>
        </w:rPr>
        <w:t>1</w:t>
      </w:r>
      <w:r>
        <w:rPr>
          <w:spacing w:val="-1"/>
          <w:w w:val="95"/>
        </w:rPr>
        <w:t>）识别和评估由于舞弊或错误导致的财务报表重大错报风险，设计和实施审计程序以应对这些风险，并</w:t>
      </w:r>
      <w:r>
        <w:rPr>
          <w:spacing w:val="-57"/>
          <w:w w:val="95"/>
        </w:rPr>
        <w:t> </w:t>
      </w:r>
      <w:r>
        <w:rPr>
          <w:spacing w:val="-57"/>
          <w:w w:val="95"/>
        </w:rPr>
      </w:r>
      <w:r>
        <w:rPr/>
        <w:t>获取充分、适当的审计证据，作为发表审计意见的基础。由于舞弊可能涉及串通、伪造、故意遗漏、虚假陈述</w:t>
      </w:r>
    </w:p>
    <w:p>
      <w:pPr>
        <w:spacing w:after="0" w:line="405"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29" w:lineRule="auto"/>
        <w:ind w:right="1133"/>
        <w:jc w:val="left"/>
      </w:pPr>
      <w:r>
        <w:rPr/>
        <w:t>或凌驾于内部控制之上，未能发现由于舞弊导致的重大错报的风险高于未能发现由于错误导致的重大错报的风</w:t>
      </w:r>
      <w:r>
        <w:rPr>
          <w:spacing w:val="-77"/>
        </w:rPr>
        <w:t> </w:t>
      </w:r>
      <w:r>
        <w:rPr>
          <w:spacing w:val="-77"/>
        </w:rPr>
      </w:r>
      <w:r>
        <w:rPr/>
        <w:t>险。</w:t>
      </w:r>
    </w:p>
    <w:p>
      <w:pPr>
        <w:pStyle w:val="BodyText"/>
        <w:spacing w:line="240" w:lineRule="auto" w:before="48"/>
        <w:ind w:left="554" w:right="1133"/>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spacing w:line="240" w:lineRule="auto" w:before="8"/>
        <w:rPr>
          <w:rFonts w:ascii="宋体" w:hAnsi="宋体" w:cs="宋体" w:eastAsia="宋体" w:hint="default"/>
          <w:sz w:val="14"/>
          <w:szCs w:val="14"/>
        </w:rPr>
      </w:pPr>
    </w:p>
    <w:p>
      <w:pPr>
        <w:pStyle w:val="BodyText"/>
        <w:spacing w:line="240" w:lineRule="auto"/>
        <w:ind w:left="554" w:right="1133"/>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spacing w:line="240" w:lineRule="auto" w:before="8"/>
        <w:rPr>
          <w:rFonts w:ascii="宋体" w:hAnsi="宋体" w:cs="宋体" w:eastAsia="宋体" w:hint="default"/>
          <w:sz w:val="14"/>
          <w:szCs w:val="14"/>
        </w:rPr>
      </w:pPr>
    </w:p>
    <w:p>
      <w:pPr>
        <w:pStyle w:val="BodyText"/>
        <w:spacing w:line="422" w:lineRule="auto"/>
        <w:ind w:right="1135" w:firstLine="401"/>
        <w:jc w:val="both"/>
      </w:pPr>
      <w:r>
        <w:rPr>
          <w:spacing w:val="-1"/>
          <w:w w:val="95"/>
        </w:rPr>
        <w:t>（</w:t>
      </w:r>
      <w:r>
        <w:rPr>
          <w:rFonts w:ascii="Times New Roman" w:hAnsi="Times New Roman" w:cs="Times New Roman" w:eastAsia="Times New Roman" w:hint="default"/>
          <w:spacing w:val="-1"/>
          <w:w w:val="95"/>
        </w:rPr>
        <w:t>4</w:t>
      </w:r>
      <w:r>
        <w:rPr>
          <w:spacing w:val="-1"/>
          <w:w w:val="95"/>
        </w:rPr>
        <w:t>）对管理层使用持续经营假设的恰当性得出结论。同时，根据获取的审计证据，就可能导致对中科金财</w:t>
      </w:r>
      <w:r>
        <w:rPr>
          <w:spacing w:val="-54"/>
          <w:w w:val="95"/>
        </w:rPr>
        <w:t> </w:t>
      </w:r>
      <w:r>
        <w:rPr>
          <w:spacing w:val="-54"/>
          <w:w w:val="95"/>
        </w:rPr>
      </w:r>
      <w:r>
        <w:rPr/>
        <w:t>持续经营能力产生重大疑虑的事项或情况是否存在重大不确定性得出结论。如果我们得出结论认为存在重大不</w:t>
      </w:r>
      <w:r>
        <w:rPr>
          <w:spacing w:val="-77"/>
        </w:rPr>
        <w:t> </w:t>
      </w:r>
      <w:r>
        <w:rPr>
          <w:spacing w:val="-77"/>
        </w:rPr>
      </w:r>
      <w:r>
        <w:rPr/>
        <w:t>确定性，审计准则要求我们在审计报告中提请报表使用者注意财务报表中的相关披露；如果披露不充分，我们</w:t>
      </w:r>
      <w:r>
        <w:rPr>
          <w:spacing w:val="-77"/>
        </w:rPr>
        <w:t> </w:t>
      </w:r>
      <w:r>
        <w:rPr>
          <w:spacing w:val="-77"/>
        </w:rPr>
      </w:r>
      <w:r>
        <w:rPr/>
        <w:t>应当发表非无保留意见。我们的结论基于截至审计报告日可获得的信息。然而，未来的事项或情况可能导致中</w:t>
      </w:r>
      <w:r>
        <w:rPr>
          <w:spacing w:val="-77"/>
        </w:rPr>
        <w:t> </w:t>
      </w:r>
      <w:r>
        <w:rPr>
          <w:spacing w:val="-77"/>
        </w:rPr>
      </w:r>
      <w:r>
        <w:rPr/>
        <w:t>科金财不能持续经营。</w:t>
      </w:r>
    </w:p>
    <w:p>
      <w:pPr>
        <w:pStyle w:val="BodyText"/>
        <w:spacing w:line="240" w:lineRule="auto" w:before="54"/>
        <w:ind w:left="554" w:right="0"/>
        <w:jc w:val="left"/>
      </w:pPr>
      <w:r>
        <w:rPr>
          <w:spacing w:val="-3"/>
        </w:rPr>
        <w:t>（</w:t>
      </w:r>
      <w:r>
        <w:rPr>
          <w:rFonts w:ascii="Times New Roman" w:hAnsi="Times New Roman" w:cs="Times New Roman" w:eastAsia="Times New Roman" w:hint="default"/>
          <w:spacing w:val="-3"/>
        </w:rPr>
        <w:t>5</w:t>
      </w:r>
      <w:r>
        <w:rPr>
          <w:spacing w:val="-3"/>
        </w:rPr>
        <w:t>）评价财务报表的总体列报（包括披露）、结构和内容，并评价财务报表是否公允反映相关交易和事项。</w:t>
      </w:r>
    </w:p>
    <w:p>
      <w:pPr>
        <w:spacing w:line="240" w:lineRule="auto" w:before="8"/>
        <w:rPr>
          <w:rFonts w:ascii="宋体" w:hAnsi="宋体" w:cs="宋体" w:eastAsia="宋体" w:hint="default"/>
          <w:sz w:val="14"/>
          <w:szCs w:val="14"/>
        </w:rPr>
      </w:pPr>
    </w:p>
    <w:p>
      <w:pPr>
        <w:pStyle w:val="BodyText"/>
        <w:spacing w:line="405" w:lineRule="auto"/>
        <w:ind w:right="1075" w:firstLine="401"/>
        <w:jc w:val="both"/>
      </w:pPr>
      <w:r>
        <w:rPr>
          <w:w w:val="95"/>
        </w:rPr>
        <w:t>（</w:t>
      </w:r>
      <w:r>
        <w:rPr>
          <w:rFonts w:ascii="Times New Roman" w:hAnsi="Times New Roman" w:cs="Times New Roman" w:eastAsia="Times New Roman" w:hint="default"/>
          <w:w w:val="95"/>
        </w:rPr>
        <w:t>6</w:t>
      </w:r>
      <w:r>
        <w:rPr>
          <w:w w:val="95"/>
        </w:rPr>
        <w:t>）就中科金财中实体或业务活动的财务信息获取充分、适当的审计证据，以对财务报表发表审计意见。</w:t>
      </w:r>
      <w:r>
        <w:rPr>
          <w:spacing w:val="-40"/>
          <w:w w:val="95"/>
        </w:rPr>
        <w:t> </w:t>
      </w:r>
      <w:r>
        <w:rPr>
          <w:spacing w:val="-40"/>
          <w:w w:val="95"/>
        </w:rPr>
      </w:r>
      <w:r>
        <w:rPr/>
        <w:t>我们负责指导、监督和执行集团审计，并对审计意见承担全部责任。</w:t>
      </w:r>
    </w:p>
    <w:p>
      <w:pPr>
        <w:pStyle w:val="BodyText"/>
        <w:spacing w:line="429" w:lineRule="auto" w:before="68"/>
        <w:ind w:right="1141" w:firstLine="401"/>
        <w:jc w:val="both"/>
      </w:pPr>
      <w:r>
        <w:rPr/>
        <w:t>我们与治理层就计划的审计范围、时间安排和重大审计发现等事项进行沟通，包括沟通我们在审计中识别</w:t>
      </w:r>
      <w:r>
        <w:rPr>
          <w:w w:val="99"/>
        </w:rPr>
        <w:t> </w:t>
      </w:r>
      <w:r>
        <w:rPr/>
        <w:t>出的值得关注的内部控制缺陷。</w:t>
      </w:r>
    </w:p>
    <w:p>
      <w:pPr>
        <w:pStyle w:val="BodyText"/>
        <w:spacing w:line="429" w:lineRule="auto" w:before="48"/>
        <w:ind w:right="1141" w:firstLine="401"/>
        <w:jc w:val="both"/>
      </w:pPr>
      <w:r>
        <w:rPr/>
        <w:t>我们还就已遵守与独立性相关的职业道德要求向治理层提供声明，并与治理层沟通可能被合理认为影响我</w:t>
      </w:r>
      <w:r>
        <w:rPr>
          <w:w w:val="99"/>
        </w:rPr>
        <w:t> </w:t>
      </w:r>
      <w:r>
        <w:rPr/>
        <w:t>们独立性的所有关系和其他事项，以及相关的防范措施（如适用）。</w:t>
      </w:r>
    </w:p>
    <w:p>
      <w:pPr>
        <w:pStyle w:val="BodyText"/>
        <w:spacing w:line="429" w:lineRule="auto" w:before="48"/>
        <w:ind w:right="1136" w:firstLine="401"/>
        <w:jc w:val="both"/>
      </w:pPr>
      <w:r>
        <w:rPr/>
        <w:t>从与治理层沟通过的事项中，我们确定哪些事项对本期财务报表审计最为重要，因而构成关键审计事项。</w:t>
      </w:r>
      <w:r>
        <w:rPr>
          <w:w w:val="99"/>
        </w:rPr>
        <w:t> </w:t>
      </w:r>
      <w:r>
        <w:rPr/>
        <w:t>我们在审计报告中描述这些事项，除非法律法规禁止公开披露这些事项，或在极少数情形下，如果合理预期在</w:t>
      </w:r>
      <w:r>
        <w:rPr>
          <w:spacing w:val="-77"/>
        </w:rPr>
        <w:t> </w:t>
      </w:r>
      <w:r>
        <w:rPr>
          <w:spacing w:val="-77"/>
        </w:rPr>
      </w:r>
      <w:r>
        <w:rPr/>
        <w:t>审计报告中沟通某事项造成的负面后果超过在公众利益方面产生的益处，我们确定不应在审计报告中沟通该事</w:t>
      </w:r>
      <w:r>
        <w:rPr>
          <w:spacing w:val="-77"/>
        </w:rPr>
        <w:t> </w:t>
      </w:r>
      <w:r>
        <w:rPr>
          <w:spacing w:val="-77"/>
        </w:rPr>
      </w:r>
      <w:r>
        <w:rPr/>
        <w:t>项。</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5818" w:val="left" w:leader="none"/>
        </w:tabs>
        <w:spacing w:line="240" w:lineRule="auto"/>
        <w:ind w:left="1953" w:right="1133"/>
        <w:jc w:val="left"/>
      </w:pPr>
      <w:r>
        <w:rPr>
          <w:w w:val="95"/>
        </w:rPr>
        <w:t>立信会计师事务所</w:t>
        <w:tab/>
      </w:r>
      <w:r>
        <w:rPr/>
        <w:t>中国注册会计师：张金华</w:t>
      </w:r>
    </w:p>
    <w:p>
      <w:pPr>
        <w:pStyle w:val="BodyText"/>
        <w:tabs>
          <w:tab w:pos="6221" w:val="left" w:leader="none"/>
        </w:tabs>
        <w:spacing w:line="240" w:lineRule="auto" w:before="50"/>
        <w:ind w:left="1953" w:right="1133"/>
        <w:jc w:val="left"/>
      </w:pPr>
      <w:r>
        <w:rPr>
          <w:w w:val="95"/>
        </w:rPr>
        <w:t>（特殊普通合伙）</w:t>
        <w:tab/>
      </w:r>
      <w:r>
        <w:rPr/>
        <w:t>（项目合伙人）</w:t>
      </w:r>
    </w:p>
    <w:p>
      <w:pPr>
        <w:spacing w:line="240" w:lineRule="auto" w:before="10"/>
        <w:rPr>
          <w:rFonts w:ascii="宋体" w:hAnsi="宋体" w:cs="宋体" w:eastAsia="宋体" w:hint="default"/>
          <w:sz w:val="27"/>
          <w:szCs w:val="27"/>
        </w:rPr>
      </w:pPr>
    </w:p>
    <w:p>
      <w:pPr>
        <w:pStyle w:val="BodyText"/>
        <w:spacing w:line="240" w:lineRule="auto"/>
        <w:ind w:left="5861" w:right="1133"/>
        <w:jc w:val="left"/>
      </w:pPr>
      <w:r>
        <w:rPr/>
        <w:t>中国注册会计师：郭晓清</w:t>
      </w:r>
    </w:p>
    <w:p>
      <w:pPr>
        <w:pStyle w:val="BodyText"/>
        <w:tabs>
          <w:tab w:pos="4203" w:val="left" w:leader="none"/>
        </w:tabs>
        <w:spacing w:line="240" w:lineRule="auto" w:before="50"/>
        <w:ind w:left="0" w:right="712"/>
        <w:jc w:val="center"/>
      </w:pPr>
      <w:r>
        <w:rPr>
          <w:w w:val="95"/>
        </w:rPr>
        <w:t>中国</w:t>
      </w:r>
      <w:r>
        <w:rPr>
          <w:rFonts w:ascii="Times New Roman" w:hAnsi="Times New Roman" w:cs="Times New Roman" w:eastAsia="Times New Roman" w:hint="default"/>
          <w:w w:val="95"/>
        </w:rPr>
        <w:t>•</w:t>
      </w:r>
      <w:r>
        <w:rPr>
          <w:w w:val="95"/>
        </w:rPr>
        <w:t>上海</w:t>
        <w:tab/>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w:t>
      </w:r>
    </w:p>
    <w:p>
      <w:pPr>
        <w:spacing w:line="240" w:lineRule="auto" w:before="4"/>
        <w:rPr>
          <w:rFonts w:ascii="宋体" w:hAnsi="宋体" w:cs="宋体" w:eastAsia="宋体" w:hint="default"/>
          <w:sz w:val="23"/>
          <w:szCs w:val="23"/>
        </w:rPr>
      </w:pPr>
    </w:p>
    <w:p>
      <w:pPr>
        <w:pStyle w:val="Heading2"/>
        <w:spacing w:line="240" w:lineRule="auto"/>
        <w:ind w:right="1133"/>
        <w:jc w:val="left"/>
        <w:rPr>
          <w:b w:val="0"/>
          <w:bCs w:val="0"/>
        </w:rPr>
      </w:pPr>
      <w:bookmarkStart w:name="二、财务报表" w:id="157"/>
      <w:bookmarkEnd w:id="157"/>
      <w:r>
        <w:rPr>
          <w:b w:val="0"/>
          <w:bCs w:val="0"/>
        </w:rPr>
      </w:r>
      <w:r>
        <w:rPr/>
        <w:t>二、财务报表</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t>财务附注中报表的单位为：元</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1、合并资产负债表" w:id="158"/>
      <w:bookmarkEnd w:id="158"/>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37"/>
        <w:ind w:right="0"/>
        <w:jc w:val="left"/>
      </w:pPr>
      <w:r>
        <w:rPr>
          <w:w w:val="95"/>
        </w:rPr>
        <w:t>编制单位：北京中科金财科技股份有限公司</w:t>
      </w:r>
      <w:r>
        <w:rPr/>
      </w:r>
    </w:p>
    <w:p>
      <w:pPr>
        <w:spacing w:line="240" w:lineRule="auto" w:before="9"/>
        <w:rPr>
          <w:rFonts w:ascii="宋体" w:hAnsi="宋体" w:cs="宋体" w:eastAsia="宋体" w:hint="default"/>
          <w:sz w:val="29"/>
          <w:szCs w:val="29"/>
        </w:rPr>
      </w:pPr>
      <w:r>
        <w:rPr/>
        <w:br w:type="column"/>
      </w:r>
      <w:r>
        <w:rPr>
          <w:rFonts w:ascii="宋体"/>
          <w:sz w:val="29"/>
        </w:rPr>
      </w:r>
    </w:p>
    <w:p>
      <w:pPr>
        <w:pStyle w:val="BodyText"/>
        <w:spacing w:line="240" w:lineRule="auto"/>
        <w:ind w:right="-14"/>
        <w:jc w:val="left"/>
      </w:pPr>
      <w:r>
        <w:rPr>
          <w:rFonts w:ascii="Times New Roman" w:hAnsi="Times New Roman" w:cs="Times New Roman" w:eastAsia="Times New Roman" w:hint="default"/>
        </w:rPr>
        <w:t>2019 </w:t>
      </w:r>
      <w:r>
        <w:rPr/>
        <w:t>年</w:t>
      </w:r>
      <w:r>
        <w:rPr>
          <w:spacing w:val="-53"/>
        </w:rPr>
        <w:t> </w:t>
      </w:r>
      <w:r>
        <w:rPr>
          <w:rFonts w:ascii="Times New Roman" w:hAnsi="Times New Roman" w:cs="Times New Roman" w:eastAsia="Times New Roman" w:hint="default"/>
        </w:rPr>
        <w:t>12 </w:t>
      </w:r>
      <w:r>
        <w:rPr/>
        <w:t>月</w:t>
      </w:r>
      <w:r>
        <w:rPr>
          <w:spacing w:val="-51"/>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949" w:space="46"/>
            <w:col w:w="1805" w:space="3121"/>
            <w:col w:w="2009"/>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625,177,481.72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389,651,012.22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464,245,168.51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14,786,262.48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28,821,652.00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118,861,176.34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108,821,967.43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11,153,866.83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19,999,663.24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45,245,672.88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94,884,447.92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492,933,565.14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490,477,654.58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44,046,368.14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1,285,451,694.38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2,212,449,562.04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2,418,108,091.77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197,980,200.00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18,248,400.00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373,325,638.78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316,368,248.35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15,810,830.00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21,481,744.79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19,093,358.06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92,541,089.09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44,061,762.58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68,098,288.60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193,578,999.56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285,022,670.05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76,281.13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658,393.79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26,703,325.81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17,340,247.26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16,421,638.18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622,523,250.11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937,919,747.34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1,391,414,618.80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3,150,369,309.38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3,809,522,710.57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126,157,746.00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317,875,718.84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426,324.80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358,495,549.74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313,996,638.90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319,061,022.84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403,068,221.56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17,259,985.72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17,805,379.13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3,467,290.32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24,464,522.57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22,783,207.29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83,721,184.10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54,485,675.11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54,070,484.20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901,710,477.02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1,215,428,474.10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51,410,035.67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1,745,711.37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1,656,106.29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1,656,106.29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53,155,747.04</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903,366,583.31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1,268,584,221.14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337,576,686.00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337,576,686.00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1,772,795,539.99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1,773,201,926.11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268,295.70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2,451.07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69,662,109.41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68,729,799.54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65,826,227.25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346,231,552.50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2,246,128,858.35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2,525,742,415.22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873,867.72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15,196,074.21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2,247,002,726.07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2,540,938,489.43</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3,150,369,309.38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3,809,522,710.57</w:t>
            </w:r>
          </w:p>
        </w:tc>
      </w:tr>
    </w:tbl>
    <w:p>
      <w:pPr>
        <w:spacing w:line="240" w:lineRule="auto" w:before="1"/>
        <w:rPr>
          <w:rFonts w:ascii="Times New Roman" w:hAnsi="Times New Roman" w:cs="Times New Roman" w:eastAsia="Times New Roman" w:hint="default"/>
          <w:sz w:val="22"/>
          <w:szCs w:val="22"/>
        </w:rPr>
      </w:pPr>
    </w:p>
    <w:p>
      <w:pPr>
        <w:pStyle w:val="BodyText"/>
        <w:tabs>
          <w:tab w:pos="3655" w:val="left" w:leader="none"/>
          <w:tab w:pos="7454" w:val="left" w:leader="none"/>
        </w:tabs>
        <w:spacing w:line="240" w:lineRule="auto" w:before="37"/>
        <w:ind w:right="1133"/>
        <w:jc w:val="left"/>
      </w:pPr>
      <w:r>
        <w:rPr>
          <w:w w:val="95"/>
        </w:rPr>
        <w:t>法定代表人：朱烨东</w:t>
        <w:tab/>
        <w:t>主管会计工作负责人：洪珊</w:t>
        <w:tab/>
      </w:r>
      <w:r>
        <w:rPr/>
        <w:t>会计机构负责人：滕立宁</w:t>
      </w:r>
    </w:p>
    <w:p>
      <w:pPr>
        <w:spacing w:line="240" w:lineRule="auto" w:before="6"/>
        <w:rPr>
          <w:rFonts w:ascii="宋体" w:hAnsi="宋体" w:cs="宋体" w:eastAsia="宋体" w:hint="default"/>
          <w:sz w:val="26"/>
          <w:szCs w:val="26"/>
        </w:rPr>
      </w:pPr>
    </w:p>
    <w:p>
      <w:pPr>
        <w:pStyle w:val="Heading3"/>
        <w:spacing w:line="240" w:lineRule="auto"/>
        <w:ind w:right="1133"/>
        <w:jc w:val="left"/>
        <w:rPr>
          <w:b w:val="0"/>
          <w:bCs w:val="0"/>
        </w:rPr>
      </w:pPr>
      <w:bookmarkStart w:name="2、母公司资产负债表" w:id="159"/>
      <w:bookmarkEnd w:id="159"/>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535,356,427.77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215,626,374.05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351,671,087.68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7,735,715.55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28,821,652.00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114,332,858.03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98,039,076.04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9,070,881.37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18,259,881.70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76,731,654.76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235,424,934.28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465,096,482.12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482,631,518.48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2,050,591.41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792,797,308.43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1,562,045,698.69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1,871,600,744.98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2,119,579,761.42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1,900,431,159.63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17,189,427.62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7,071,621.43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75,062,729.29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34,200,500.27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67,203,242.86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76,281.13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221,908.61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21,354,533.24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12,765,834.26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16,421,638.18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22,523,250.11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2,249,684,370.88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2,049,217,517.17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3,811,730,069.57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3,920,818,262.15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126,057,746.00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317,075,718.84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426,324.80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345,402,676.23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310,572,247.91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296,226,974.26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394,863,562.87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14,759,241.18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14,668,556.67</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360,685.10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17,598,936.01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230,425,821.09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22,120,106.01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54,485,675.11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54,070,484.20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1,067,718,818.97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1,131,395,937.31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51,410,035.67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1,745,711.37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250,663.15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250,663.15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53,155,747.04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1,067,969,482.12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1,184,551,684.35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337,576,686.00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337,576,686.00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1,775,334,793.52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1,775,741,179.64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265,180.54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69,662,109.41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68,729,799.54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560,921,817.98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554,218,912.62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2,743,760,587.45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2,736,266,577.80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740.915955pt;width:158.9pt;height:20.65pt;mso-position-horizontal-relative:page;mso-position-vertical-relative:page;z-index:-1105240" coordorigin="4220,14818" coordsize="3178,413">
            <v:group style="position:absolute;left:4231;top:14829;width:2;height:392" coordorigin="4231,14829" coordsize="2,392">
              <v:shape style="position:absolute;left:4231;top:14829;width:2;height:392" coordorigin="4231,14829" coordsize="0,392" path="m4231,14829l4231,15220e" filled="false" stroked="true" strokeweight="1.08pt" strokecolor="#ffffff">
                <v:path arrowok="t"/>
              </v:shape>
            </v:group>
            <v:group style="position:absolute;left:4242;top:14829;width:3157;height:392" coordorigin="4242,14829" coordsize="3157,392">
              <v:shape style="position:absolute;left:4242;top:14829;width:3157;height:392" coordorigin="4242,14829" coordsize="3157,392" path="m4242,15220l7398,15220,7398,14829,4242,14829,4242,15220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6" w:right="0"/>
              <w:jc w:val="left"/>
              <w:rPr>
                <w:rFonts w:ascii="Times New Roman" w:hAnsi="Times New Roman" w:cs="Times New Roman" w:eastAsia="Times New Roman" w:hint="default"/>
                <w:sz w:val="18"/>
                <w:szCs w:val="18"/>
              </w:rPr>
            </w:pPr>
            <w:r>
              <w:rPr>
                <w:rFonts w:ascii="Times New Roman"/>
                <w:sz w:val="18"/>
              </w:rPr>
              <w:t>3,811,730,069.57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9" w:right="0"/>
              <w:jc w:val="left"/>
              <w:rPr>
                <w:rFonts w:ascii="Times New Roman" w:hAnsi="Times New Roman" w:cs="Times New Roman" w:eastAsia="Times New Roman" w:hint="default"/>
                <w:sz w:val="18"/>
                <w:szCs w:val="18"/>
              </w:rPr>
            </w:pPr>
            <w:r>
              <w:rPr>
                <w:rFonts w:ascii="Times New Roman"/>
                <w:sz w:val="18"/>
              </w:rPr>
              <w:t>3,920,818,262.15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3、合并利润表" w:id="160"/>
      <w:bookmarkEnd w:id="160"/>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1,672,394,416.43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1,485,625,293.81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1,672,394,416.43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1,485,625,293.81</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1,751,702,095.37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1,528,268,385.99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1,435,370,592.86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1,193,705,000.59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1,882,733.46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5,898,552.83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56,825,467.63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58,133,543.71</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109,557,010.83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107,574,984.61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127,739,420.71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137,805,965.53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20,326,869.88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25,150,338.72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19,280,618.82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25,393,816.52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2,521,262.22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3,738,250.61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7,674,283.45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9,667,554.29</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165,940,500.19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109,670,963.17</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6,771,276.45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11,618,562.08</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3"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310.789978pt;width:158.9pt;height:20.65pt;mso-position-horizontal-relative:page;mso-position-vertical-relative:page;z-index:-1105216" coordorigin="4220,6216" coordsize="3178,413">
            <v:group style="position:absolute;left:4231;top:6227;width:2;height:392" coordorigin="4231,6227" coordsize="2,392">
              <v:shape style="position:absolute;left:4231;top:6227;width:2;height:392" coordorigin="4231,6227" coordsize="0,392" path="m4231,6227l4231,6618e" filled="false" stroked="true" strokeweight="1.08pt" strokecolor="#ffffff">
                <v:path arrowok="t"/>
              </v:shape>
            </v:group>
            <v:group style="position:absolute;left:4242;top:6227;width:3157;height:392" coordorigin="4242,6227" coordsize="3157,392">
              <v:shape style="position:absolute;left:4242;top:6227;width:3157;height:392" coordorigin="4242,6227" coordsize="3157,392" path="m4242,6618l7398,6618,7398,6227,4242,6227,4242,661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1041"/>
        <w:gridCol w:w="2181"/>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净敞口套期收益（损失以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-2,572,094.86</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87" w:right="0"/>
              <w:jc w:val="left"/>
              <w:rPr>
                <w:rFonts w:ascii="Times New Roman" w:hAnsi="Times New Roman" w:cs="Times New Roman" w:eastAsia="Times New Roman" w:hint="default"/>
                <w:sz w:val="18"/>
                <w:szCs w:val="18"/>
              </w:rPr>
            </w:pPr>
            <w:r>
              <w:rPr>
                <w:rFonts w:ascii="Times New Roman"/>
                <w:sz w:val="18"/>
              </w:rPr>
              <w:t>-45,098,994.17</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995" w:right="0"/>
              <w:jc w:val="left"/>
              <w:rPr>
                <w:rFonts w:ascii="Times New Roman" w:hAnsi="Times New Roman" w:cs="Times New Roman" w:eastAsia="Times New Roman" w:hint="default"/>
                <w:sz w:val="18"/>
                <w:szCs w:val="18"/>
              </w:rPr>
            </w:pPr>
            <w:r>
              <w:rPr>
                <w:rFonts w:ascii="Times New Roman"/>
                <w:sz w:val="18"/>
              </w:rPr>
              <w:t>-334,490,312.86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-78,514,253.49</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-377,633.40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-1,071,335.81</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95" w:right="0"/>
              <w:jc w:val="left"/>
              <w:rPr>
                <w:rFonts w:ascii="Times New Roman" w:hAnsi="Times New Roman" w:cs="Times New Roman" w:eastAsia="Times New Roman" w:hint="default"/>
                <w:sz w:val="18"/>
                <w:szCs w:val="18"/>
              </w:rPr>
            </w:pPr>
            <w:r>
              <w:rPr>
                <w:rFonts w:ascii="Times New Roman"/>
                <w:sz w:val="18"/>
              </w:rPr>
              <w:t>-288,231,930.59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-2,890,164.02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161,070.55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3,668,758.95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3,117,154.68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10,725,936.93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41"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66" w:right="0"/>
              <w:jc w:val="left"/>
              <w:rPr>
                <w:rFonts w:ascii="Times New Roman" w:hAnsi="Times New Roman" w:cs="Times New Roman" w:eastAsia="Times New Roman" w:hint="default"/>
                <w:sz w:val="18"/>
                <w:szCs w:val="18"/>
              </w:rPr>
            </w:pPr>
            <w:r>
              <w:rPr>
                <w:rFonts w:ascii="Times New Roman"/>
                <w:sz w:val="18"/>
              </w:rPr>
              <w:t>-291,188,014.72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-9,947,342.00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-8,165,602.28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3,002,723.59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5" w:right="0"/>
              <w:jc w:val="left"/>
              <w:rPr>
                <w:rFonts w:ascii="Times New Roman" w:hAnsi="Times New Roman" w:cs="Times New Roman" w:eastAsia="Times New Roman" w:hint="default"/>
                <w:sz w:val="18"/>
                <w:szCs w:val="18"/>
              </w:rPr>
            </w:pPr>
            <w:r>
              <w:rPr>
                <w:rFonts w:ascii="Times New Roman"/>
                <w:sz w:val="18"/>
              </w:rPr>
              <w:t>-283,022,412.44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-12,950,065.59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95" w:right="0"/>
              <w:jc w:val="left"/>
              <w:rPr>
                <w:rFonts w:ascii="Times New Roman" w:hAnsi="Times New Roman" w:cs="Times New Roman" w:eastAsia="Times New Roman" w:hint="default"/>
                <w:sz w:val="18"/>
                <w:szCs w:val="18"/>
              </w:rPr>
            </w:pPr>
            <w:r>
              <w:rPr>
                <w:rFonts w:ascii="Times New Roman"/>
                <w:sz w:val="18"/>
              </w:rPr>
              <w:t>-282,912,468.10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-12,950,065.59</w:t>
            </w: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-109,944.34</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95" w:right="0"/>
              <w:jc w:val="left"/>
              <w:rPr>
                <w:rFonts w:ascii="Times New Roman" w:hAnsi="Times New Roman" w:cs="Times New Roman" w:eastAsia="Times New Roman" w:hint="default"/>
                <w:sz w:val="18"/>
                <w:szCs w:val="18"/>
              </w:rPr>
            </w:pPr>
            <w:r>
              <w:rPr>
                <w:rFonts w:ascii="Times New Roman"/>
                <w:sz w:val="18"/>
              </w:rPr>
              <w:t>-281,841,963.94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8,209,514.73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-1,180,448.50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-21,159,580.32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265,844.63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1,329.12</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265,844.63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1,329.12</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265,844.63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1,329.12</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265,180.54</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664.09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1,329.12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-282,756,567.81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-12,948,736.47</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-281,576,119.31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8,210,843.85</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-1,180,448.50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-21,159,580.32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0.02</w:t>
            </w:r>
          </w:p>
        </w:tc>
      </w:tr>
    </w:tbl>
    <w:p>
      <w:pPr>
        <w:pStyle w:val="BodyText"/>
        <w:spacing w:line="240" w:lineRule="auto" w:before="33"/>
        <w:ind w:right="982"/>
        <w:jc w:val="left"/>
      </w:pPr>
      <w:r>
        <w:rPr>
          <w:w w:val="95"/>
        </w:rPr>
        <w:t>本期发生同一控制下企业合并的，被合并方在合并前实现的净利润为：</w:t>
      </w:r>
      <w:r>
        <w:rPr>
          <w:rFonts w:ascii="Times New Roman" w:hAnsi="Times New Roman" w:cs="Times New Roman" w:eastAsia="Times New Roman" w:hint="default"/>
          <w:w w:val="95"/>
        </w:rPr>
        <w:t>0.00        </w:t>
      </w:r>
      <w:r>
        <w:rPr>
          <w:rFonts w:ascii="Times New Roman" w:hAnsi="Times New Roman" w:cs="Times New Roman" w:eastAsia="Times New Roman" w:hint="default"/>
          <w:spacing w:val="41"/>
          <w:w w:val="95"/>
        </w:rPr>
        <w:t> </w:t>
      </w:r>
      <w:r>
        <w:rPr>
          <w:w w:val="95"/>
        </w:rPr>
        <w:t>元，上期被合并方实现的净利润为：</w:t>
      </w:r>
      <w:r>
        <w:rPr/>
      </w:r>
    </w:p>
    <w:p>
      <w:pPr>
        <w:pStyle w:val="BodyText"/>
        <w:spacing w:line="240" w:lineRule="auto" w:before="35"/>
        <w:ind w:right="1133"/>
        <w:jc w:val="left"/>
      </w:pP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6"/>
        <w:rPr>
          <w:rFonts w:ascii="宋体" w:hAnsi="宋体" w:cs="宋体" w:eastAsia="宋体" w:hint="default"/>
          <w:sz w:val="25"/>
          <w:szCs w:val="25"/>
        </w:rPr>
      </w:pPr>
    </w:p>
    <w:p>
      <w:pPr>
        <w:pStyle w:val="BodyText"/>
        <w:tabs>
          <w:tab w:pos="3633" w:val="left" w:leader="none"/>
          <w:tab w:pos="7613" w:val="left" w:leader="none"/>
        </w:tabs>
        <w:spacing w:line="240" w:lineRule="auto"/>
        <w:ind w:right="982"/>
        <w:jc w:val="left"/>
      </w:pPr>
      <w:r>
        <w:rPr>
          <w:spacing w:val="-2"/>
          <w:w w:val="95"/>
        </w:rPr>
        <w:t>法定代表人：朱烨东</w:t>
        <w:tab/>
        <w:t>主管会计工作负责人：洪珊</w:t>
        <w:tab/>
      </w:r>
      <w:r>
        <w:rPr>
          <w:spacing w:val="-2"/>
        </w:rPr>
        <w:t>会计机构负责人：滕立宁</w:t>
      </w:r>
    </w:p>
    <w:p>
      <w:pPr>
        <w:spacing w:line="240" w:lineRule="auto" w:before="6"/>
        <w:rPr>
          <w:rFonts w:ascii="宋体" w:hAnsi="宋体" w:cs="宋体" w:eastAsia="宋体" w:hint="default"/>
          <w:sz w:val="26"/>
          <w:szCs w:val="26"/>
        </w:rPr>
      </w:pPr>
    </w:p>
    <w:p>
      <w:pPr>
        <w:pStyle w:val="Heading3"/>
        <w:spacing w:line="240" w:lineRule="auto"/>
        <w:ind w:right="1133"/>
        <w:jc w:val="left"/>
        <w:rPr>
          <w:b w:val="0"/>
          <w:bCs w:val="0"/>
        </w:rPr>
      </w:pPr>
      <w:bookmarkStart w:name="4、母公司利润表" w:id="161"/>
      <w:bookmarkEnd w:id="161"/>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1,629,674,433.42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1,412,395,603.53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1,414,761,030.75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1,179,988,419.82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1,569,722.73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4,846,347.24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45,563,973.28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39,489,841.74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90,182,396.33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62,495,551.22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104,999,953.21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95,440,322.76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18,472,757.00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11,278,261.67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17,924,067.34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23,409,638.81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2,969,993.46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15,566,792.65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7,386,726.60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8,616,599.95</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107,262,221.92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39,994,025.46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6,691,700.09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11,423,958.13</w:t>
            </w:r>
          </w:p>
        </w:tc>
      </w:tr>
      <w:tr>
        <w:trPr>
          <w:trHeight w:val="102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-1,326,289.04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-5,235,968.47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-48,199,777.30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-5,173,305.07</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-243,107.86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-1,073,623.57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13,768,405.97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61,220,555.85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161,070.55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3,595,692.82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10,447,144.53</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10,929,476.52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54,369,104.14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-8,740,876.86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-490,910.62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19,670,353.38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54,860,014.76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19,670,353.38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54,860,014.76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265,180.54</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265,180.54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265,180.54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19,935,533.92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54,860,014.76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0.16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5、合并现金流量表" w:id="162"/>
      <w:bookmarkEnd w:id="162"/>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291"/>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1,754,601,657.08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1,747,073,418.87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167,189.75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2,959,500.56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212,441,619.17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260,128,607.41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1,967,210,466.00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2,010,161,526.84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1,598,385,957.42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1,386,611,067.21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176,834,707.10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159,864,395.48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21,343,736.86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54,466,081.56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307,208,627.48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437,471,591.29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2,103,773,028.86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2,038,413,135.54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-136,562,562.86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-28,251,608.70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6,482,548,082.99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5,852,864,653.69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94,826,131.65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110,100,839.52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641,394.14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288,529.06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6,578,015,608.78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5,963,254,022.27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9,656,793.64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32,344,175.39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5,669,972,411.00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5,453,369,138.08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226,630,742.90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5,205,269.58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5,911,465,217.12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5,485,713,313.47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666,550,391.66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477,540,708.80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177,157,746.00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385,266,649.23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234,596.45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4,770,189.90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177,392,342.45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390,036,839.13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422,150,984.60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999,675,994.86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20,022,367.95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57,664,522.55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pacing w:val="-1"/>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2,477.11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11,810.73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442,175,829.66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1,057,352,328.14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-264,783,487.21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-667,315,489.01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1,304.70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1,183.88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265,205,646.29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-218,025,205.03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328,634,428.60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546,659,633.63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593,840,074.89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328,634,428.60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6、母公司现金流量表" w:id="163"/>
      <w:bookmarkEnd w:id="163"/>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1,708,972,797.35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1,648,993,970.55</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324,321.29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1,931,828.29</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437,366,730.84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274,639,421.19</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2,146,663,849.48</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1,925,565,220.03</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1,569,461,258.98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1,373,608,956.83</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152,938,405.42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108,454,874.34</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12,780,965.52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43,096,875.35</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310,036,250.56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330,817,895.85</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2,045,216,880.48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1,855,978,602.37</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101,446,969.00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69,586,617.66</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5,975,286,504.43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5,039,465,689.63</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95,293,675.05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46,709,621.98</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620,765.00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1,337,679.06</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6,071,200,944.48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5,087,512,990.67</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5,923,118.52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25,660,754.11</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5,585,500,000.00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4,995,928,581.95</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5,591,423,118.52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5,021,589,336.06</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479,777,825.96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65,923,654.61</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177,057,746.00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381,220,214.23</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234,596.45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4,770,189.90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177,292,342.45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385,990,404.13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421,350,984.60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606,779,559.86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19,998,196.45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39,577,265.87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1,321.57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11,810.73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441,350,502.62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646,368,636.46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-264,058,160.17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-260,378,232.33</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317,166,634.79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-124,867,960.06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188,359,989.62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313,227,949.68</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505,526,624.41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188,359,989.62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7、合并所有者权益变动表" w:id="164"/>
      <w:bookmarkEnd w:id="164"/>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37"/>
        <w:ind w:right="0"/>
        <w:jc w:val="left"/>
      </w:pPr>
      <w:r>
        <w:rPr>
          <w:w w:val="95"/>
        </w:rPr>
        <w:t>本期金额</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50" w:space="7970"/>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41"/>
        <w:gridCol w:w="494"/>
        <w:gridCol w:w="466"/>
        <w:gridCol w:w="466"/>
        <w:gridCol w:w="468"/>
        <w:gridCol w:w="583"/>
        <w:gridCol w:w="586"/>
        <w:gridCol w:w="583"/>
        <w:gridCol w:w="584"/>
        <w:gridCol w:w="583"/>
        <w:gridCol w:w="583"/>
        <w:gridCol w:w="586"/>
        <w:gridCol w:w="584"/>
        <w:gridCol w:w="583"/>
        <w:gridCol w:w="586"/>
        <w:gridCol w:w="578"/>
      </w:tblGrid>
      <w:tr>
        <w:trPr>
          <w:trHeight w:val="401" w:hRule="exact"/>
        </w:trPr>
        <w:tc>
          <w:tcPr>
            <w:tcW w:w="1241" w:type="dxa"/>
            <w:vMerge w:val="restart"/>
            <w:tcBorders>
              <w:top w:val="single" w:sz="4" w:space="0" w:color="000000"/>
              <w:left w:val="single" w:sz="4" w:space="0" w:color="000000"/>
              <w:right w:val="single" w:sz="4" w:space="0" w:color="000000"/>
            </w:tcBorders>
            <w:shd w:val="clear" w:color="auto" w:fill="D2D2D2"/>
          </w:tcPr>
          <w:p>
            <w:pPr/>
          </w:p>
        </w:tc>
        <w:tc>
          <w:tcPr>
            <w:tcW w:w="831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96"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151" w:hRule="exact"/>
        </w:trPr>
        <w:tc>
          <w:tcPr>
            <w:tcW w:w="1241" w:type="dxa"/>
            <w:vMerge/>
            <w:tcBorders>
              <w:left w:val="single" w:sz="4" w:space="0" w:color="000000"/>
              <w:bottom w:val="nil" w:sz="6" w:space="0" w:color="auto"/>
              <w:right w:val="single" w:sz="4" w:space="0" w:color="000000"/>
            </w:tcBorders>
            <w:shd w:val="clear" w:color="auto" w:fill="D2D2D2"/>
          </w:tcPr>
          <w:p>
            <w:pPr/>
          </w:p>
        </w:tc>
        <w:tc>
          <w:tcPr>
            <w:tcW w:w="7149" w:type="dxa"/>
            <w:gridSpan w:val="13"/>
            <w:vMerge/>
            <w:tcBorders>
              <w:left w:val="single" w:sz="4" w:space="0" w:color="000000"/>
              <w:bottom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0"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tcBorders>
              <w:left w:val="single" w:sz="4" w:space="0" w:color="000000"/>
              <w:right w:val="single" w:sz="4" w:space="0" w:color="000000"/>
            </w:tcBorders>
            <w:shd w:val="clear" w:color="auto" w:fill="D2D2D2"/>
          </w:tcPr>
          <w:p>
            <w:pPr/>
          </w:p>
        </w:tc>
      </w:tr>
      <w:tr>
        <w:trPr>
          <w:trHeight w:val="204" w:hRule="exact"/>
        </w:trPr>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94" w:type="dxa"/>
            <w:vMerge w:val="restart"/>
            <w:tcBorders>
              <w:top w:val="single" w:sz="4" w:space="0" w:color="000000"/>
              <w:left w:val="single" w:sz="4" w:space="0" w:color="000000"/>
              <w:right w:val="single" w:sz="4" w:space="0" w:color="000000"/>
            </w:tcBorders>
            <w:shd w:val="clear" w:color="auto" w:fill="D2D2D2"/>
          </w:tcPr>
          <w:p>
            <w:pPr/>
          </w:p>
        </w:tc>
        <w:tc>
          <w:tcPr>
            <w:tcW w:w="14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2"/>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2"/>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2"/>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000000"/>
              <w:left w:val="single" w:sz="4" w:space="0" w:color="000000"/>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65" w:hRule="exact"/>
        </w:trPr>
        <w:tc>
          <w:tcPr>
            <w:tcW w:w="1241" w:type="dxa"/>
            <w:vMerge/>
            <w:tcBorders>
              <w:left w:val="single" w:sz="4" w:space="0" w:color="000000"/>
              <w:bottom w:val="nil" w:sz="6" w:space="0" w:color="auto"/>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1400" w:type="dxa"/>
            <w:gridSpan w:val="3"/>
            <w:vMerge/>
            <w:tcBorders>
              <w:left w:val="single" w:sz="4" w:space="0" w:color="000000"/>
              <w:bottom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3" w:hRule="exact"/>
        </w:trPr>
        <w:tc>
          <w:tcPr>
            <w:tcW w:w="1241" w:type="dxa"/>
            <w:vMerge w:val="restart"/>
            <w:tcBorders>
              <w:top w:val="nil" w:sz="6" w:space="0" w:color="auto"/>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0"/>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0"/>
              <w:ind w:left="139" w:right="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2"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34" w:hRule="exact"/>
        </w:trPr>
        <w:tc>
          <w:tcPr>
            <w:tcW w:w="1241" w:type="dxa"/>
            <w:vMerge/>
            <w:tcBorders>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22"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78" w:type="dxa"/>
            <w:vMerge/>
            <w:tcBorders>
              <w:left w:val="single" w:sz="4" w:space="0" w:color="000000"/>
              <w:bottom w:val="nil" w:sz="6" w:space="0" w:color="auto"/>
              <w:right w:val="single" w:sz="4" w:space="0" w:color="000000"/>
            </w:tcBorders>
            <w:shd w:val="clear" w:color="auto" w:fill="D2D2D2"/>
          </w:tcPr>
          <w:p>
            <w:pPr/>
          </w:p>
        </w:tc>
      </w:tr>
      <w:tr>
        <w:trPr>
          <w:trHeight w:val="96" w:hRule="exact"/>
        </w:trPr>
        <w:tc>
          <w:tcPr>
            <w:tcW w:w="1241"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8"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337,5</w:t>
            </w:r>
          </w:p>
          <w:p>
            <w:pPr>
              <w:pStyle w:val="TableParagraph"/>
              <w:spacing w:line="240" w:lineRule="auto" w:before="102"/>
              <w:ind w:left="49" w:right="0"/>
              <w:jc w:val="left"/>
              <w:rPr>
                <w:rFonts w:ascii="Times New Roman" w:hAnsi="Times New Roman" w:cs="Times New Roman" w:eastAsia="Times New Roman" w:hint="default"/>
                <w:sz w:val="18"/>
                <w:szCs w:val="18"/>
              </w:rPr>
            </w:pPr>
            <w:r>
              <w:rPr>
                <w:rFonts w:ascii="Times New Roman"/>
                <w:sz w:val="18"/>
              </w:rPr>
              <w:t>76,68</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6.00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1,773,</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201,92</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6.11</w:t>
            </w: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2,451.</w:t>
            </w:r>
          </w:p>
          <w:p>
            <w:pPr>
              <w:pStyle w:val="TableParagraph"/>
              <w:spacing w:line="240" w:lineRule="auto" w:before="102"/>
              <w:ind w:left="372" w:right="0"/>
              <w:jc w:val="left"/>
              <w:rPr>
                <w:rFonts w:ascii="Times New Roman" w:hAnsi="Times New Roman" w:cs="Times New Roman" w:eastAsia="Times New Roman" w:hint="default"/>
                <w:sz w:val="18"/>
                <w:szCs w:val="18"/>
              </w:rPr>
            </w:pPr>
            <w:r>
              <w:rPr>
                <w:rFonts w:ascii="Times New Roman"/>
                <w:sz w:val="18"/>
              </w:rPr>
              <w:t>07</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68,729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,799.5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83" w:type="dxa"/>
            <w:vMerge w:val="restart"/>
            <w:tcBorders>
              <w:top w:val="single" w:sz="22" w:space="0" w:color="D2D2D2"/>
              <w:left w:val="single" w:sz="4" w:space="0" w:color="000000"/>
              <w:right w:val="single" w:sz="4" w:space="0" w:color="000000"/>
            </w:tcBorders>
          </w:tcPr>
          <w:p>
            <w:pPr/>
          </w:p>
        </w:tc>
        <w:tc>
          <w:tcPr>
            <w:tcW w:w="586" w:type="dxa"/>
            <w:vMerge w:val="restart"/>
            <w:tcBorders>
              <w:top w:val="single" w:sz="22" w:space="0" w:color="D2D2D2"/>
              <w:left w:val="single" w:sz="4" w:space="0" w:color="000000"/>
              <w:right w:val="single" w:sz="4" w:space="0" w:color="000000"/>
            </w:tcBorders>
          </w:tcPr>
          <w:p>
            <w:pPr>
              <w:pStyle w:val="TableParagraph"/>
              <w:spacing w:line="240" w:lineRule="auto" w:before="68"/>
              <w:ind w:left="60" w:right="0"/>
              <w:jc w:val="left"/>
              <w:rPr>
                <w:rFonts w:ascii="Times New Roman" w:hAnsi="Times New Roman" w:cs="Times New Roman" w:eastAsia="Times New Roman" w:hint="default"/>
                <w:sz w:val="18"/>
                <w:szCs w:val="18"/>
              </w:rPr>
            </w:pPr>
            <w:r>
              <w:rPr>
                <w:rFonts w:ascii="Times New Roman"/>
                <w:sz w:val="18"/>
              </w:rPr>
              <w:t>346,23</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1,552.</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50</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2,525,</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742,41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5.22</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15,196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,074.2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78" w:type="dxa"/>
            <w:vMerge w:val="restart"/>
            <w:tcBorders>
              <w:top w:val="single" w:sz="40" w:space="0" w:color="D2D2D2"/>
              <w:left w:val="single" w:sz="4" w:space="0" w:color="000000"/>
              <w:right w:val="single" w:sz="4" w:space="0" w:color="000000"/>
            </w:tcBorders>
          </w:tcPr>
          <w:p>
            <w:pPr>
              <w:pStyle w:val="TableParagraph"/>
              <w:spacing w:line="240" w:lineRule="auto" w:before="45"/>
              <w:ind w:left="75" w:right="0"/>
              <w:jc w:val="center"/>
              <w:rPr>
                <w:rFonts w:ascii="Times New Roman" w:hAnsi="Times New Roman" w:cs="Times New Roman" w:eastAsia="Times New Roman" w:hint="default"/>
                <w:sz w:val="18"/>
                <w:szCs w:val="18"/>
              </w:rPr>
            </w:pPr>
            <w:r>
              <w:rPr>
                <w:rFonts w:ascii="Times New Roman"/>
                <w:sz w:val="18"/>
              </w:rPr>
              <w:t>2,540,</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938,48</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9.43</w:t>
            </w:r>
          </w:p>
        </w:tc>
      </w:tr>
      <w:tr>
        <w:trPr>
          <w:trHeight w:val="703"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254,77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7.02</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3,802,</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054.97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4,056,</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831.99</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4,056,</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831.99</w:t>
            </w:r>
          </w:p>
        </w:tc>
      </w:tr>
      <w:tr>
        <w:trPr>
          <w:trHeight w:val="71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37"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-1,289,</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502.49</w:t>
            </w: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1,289,</w:t>
            </w:r>
          </w:p>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502.49</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r>
      <w:tr>
        <w:trPr>
          <w:trHeight w:val="391"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161"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337,5</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76,68</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6.00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1,773,</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201,92</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6.11</w:t>
            </w: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2,451.</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07</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67,695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351,32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3,109.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96</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2,529,</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799,24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7.21</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15,196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2,544,</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995,32</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1.42</w:t>
            </w:r>
          </w:p>
        </w:tc>
      </w:tr>
      <w:tr>
        <w:trPr>
          <w:trHeight w:val="703"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12" w:right="20"/>
              <w:jc w:val="left"/>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-406,3</w:t>
            </w:r>
          </w:p>
          <w:p>
            <w:pPr>
              <w:pStyle w:val="TableParagraph"/>
              <w:spacing w:line="240" w:lineRule="auto" w:before="102"/>
              <w:ind w:left="146" w:right="0"/>
              <w:jc w:val="left"/>
              <w:rPr>
                <w:rFonts w:ascii="Times New Roman" w:hAnsi="Times New Roman" w:cs="Times New Roman" w:eastAsia="Times New Roman" w:hint="default"/>
                <w:sz w:val="18"/>
                <w:szCs w:val="18"/>
              </w:rPr>
            </w:pPr>
            <w:r>
              <w:rPr>
                <w:rFonts w:ascii="Times New Roman"/>
                <w:sz w:val="18"/>
              </w:rPr>
              <w:t>86.12</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 w:right="0"/>
              <w:jc w:val="center"/>
              <w:rPr>
                <w:rFonts w:ascii="Times New Roman" w:hAnsi="Times New Roman" w:cs="Times New Roman" w:eastAsia="Times New Roman" w:hint="default"/>
                <w:sz w:val="18"/>
                <w:szCs w:val="18"/>
              </w:rPr>
            </w:pPr>
            <w:r>
              <w:rPr>
                <w:rFonts w:ascii="Times New Roman"/>
                <w:sz w:val="18"/>
              </w:rPr>
              <w:t>265,84</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4.63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1,967,</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035.34</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8" w:right="0"/>
              <w:jc w:val="left"/>
              <w:rPr>
                <w:rFonts w:ascii="Times New Roman" w:hAnsi="Times New Roman" w:cs="Times New Roman" w:eastAsia="Times New Roman" w:hint="default"/>
                <w:sz w:val="18"/>
                <w:szCs w:val="18"/>
              </w:rPr>
            </w:pPr>
            <w:r>
              <w:rPr>
                <w:rFonts w:ascii="Times New Roman"/>
                <w:sz w:val="18"/>
              </w:rPr>
              <w:t>-285,4</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96,882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6" w:right="0"/>
              <w:jc w:val="left"/>
              <w:rPr>
                <w:rFonts w:ascii="Times New Roman" w:hAnsi="Times New Roman" w:cs="Times New Roman" w:eastAsia="Times New Roman" w:hint="default"/>
                <w:sz w:val="18"/>
                <w:szCs w:val="18"/>
              </w:rPr>
            </w:pPr>
            <w:r>
              <w:rPr>
                <w:rFonts w:ascii="Times New Roman"/>
                <w:sz w:val="18"/>
              </w:rPr>
              <w:t>-283,6</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70,388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8" w:right="0"/>
              <w:jc w:val="left"/>
              <w:rPr>
                <w:rFonts w:ascii="Times New Roman" w:hAnsi="Times New Roman" w:cs="Times New Roman" w:eastAsia="Times New Roman" w:hint="default"/>
                <w:sz w:val="18"/>
                <w:szCs w:val="18"/>
              </w:rPr>
            </w:pPr>
            <w:r>
              <w:rPr>
                <w:rFonts w:ascii="Times New Roman"/>
                <w:sz w:val="18"/>
              </w:rPr>
              <w:t>-14,32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2,206.</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1" w:right="0"/>
              <w:jc w:val="left"/>
              <w:rPr>
                <w:rFonts w:ascii="Times New Roman" w:hAnsi="Times New Roman" w:cs="Times New Roman" w:eastAsia="Times New Roman" w:hint="default"/>
                <w:sz w:val="18"/>
                <w:szCs w:val="18"/>
              </w:rPr>
            </w:pPr>
            <w:r>
              <w:rPr>
                <w:rFonts w:ascii="Times New Roman"/>
                <w:sz w:val="18"/>
              </w:rPr>
              <w:t>-297,9</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92,595</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36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28" w:right="0"/>
              <w:jc w:val="left"/>
              <w:rPr>
                <w:rFonts w:ascii="Times New Roman" w:hAnsi="Times New Roman" w:cs="Times New Roman" w:eastAsia="Times New Roman" w:hint="default"/>
                <w:sz w:val="18"/>
                <w:szCs w:val="18"/>
              </w:rPr>
            </w:pPr>
            <w:r>
              <w:rPr>
                <w:rFonts w:ascii="Times New Roman"/>
                <w:sz w:val="18"/>
              </w:rPr>
              <w:t>.71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26" w:right="0"/>
              <w:jc w:val="left"/>
              <w:rPr>
                <w:rFonts w:ascii="Times New Roman" w:hAnsi="Times New Roman" w:cs="Times New Roman" w:eastAsia="Times New Roman" w:hint="default"/>
                <w:sz w:val="18"/>
                <w:szCs w:val="18"/>
              </w:rPr>
            </w:pPr>
            <w:r>
              <w:rPr>
                <w:rFonts w:ascii="Times New Roman"/>
                <w:sz w:val="18"/>
              </w:rPr>
              <w:t>.86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74" w:right="0"/>
              <w:jc w:val="left"/>
              <w:rPr>
                <w:rFonts w:ascii="Times New Roman" w:hAnsi="Times New Roman" w:cs="Times New Roman" w:eastAsia="Times New Roman" w:hint="default"/>
                <w:sz w:val="18"/>
                <w:szCs w:val="18"/>
              </w:rPr>
            </w:pPr>
            <w:r>
              <w:rPr>
                <w:rFonts w:ascii="Times New Roman"/>
                <w:sz w:val="18"/>
              </w:rPr>
              <w:t>49</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Times New Roman"/>
                <w:sz w:val="18"/>
              </w:rPr>
              <w:t>.35</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265,84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4.63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-281,8</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41,963</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.94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-281,5</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76,119</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.31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-1,180,</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448.50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-282,7</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56,567</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.81</w:t>
            </w: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1,967,</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035.34</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-3,654,</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918.77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-1,687,</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883.43</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-1,687,</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883.43</w:t>
            </w: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1,967,</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035.34</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-1,967,</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035.34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0"/>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-1,687,</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883.43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-1,687,</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883.43</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-1,687,</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883.43</w:t>
            </w: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36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-406,3</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86.12</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-406,3</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86.12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-13,14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1,757.</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99</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-13,54</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8,144.</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337,5</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76,68</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6.00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1,772,</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795,53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9.99</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268,29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5.70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69,662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65,826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,227.2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2,246,</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128,85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8.35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873,86</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7.72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2,247,</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002,72</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6.07</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33"/>
        <w:ind w:right="0"/>
        <w:jc w:val="left"/>
      </w:pPr>
      <w:r>
        <w:rPr>
          <w:w w:val="95"/>
        </w:rPr>
        <w:t>上期金额</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50" w:space="7970"/>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00"/>
        <w:gridCol w:w="490"/>
        <w:gridCol w:w="449"/>
        <w:gridCol w:w="449"/>
        <w:gridCol w:w="493"/>
        <w:gridCol w:w="576"/>
        <w:gridCol w:w="576"/>
        <w:gridCol w:w="578"/>
        <w:gridCol w:w="576"/>
        <w:gridCol w:w="576"/>
        <w:gridCol w:w="578"/>
        <w:gridCol w:w="588"/>
        <w:gridCol w:w="567"/>
        <w:gridCol w:w="569"/>
        <w:gridCol w:w="641"/>
        <w:gridCol w:w="653"/>
      </w:tblGrid>
      <w:tr>
        <w:trPr>
          <w:trHeight w:val="402"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835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251" w:hRule="exact"/>
        </w:trPr>
        <w:tc>
          <w:tcPr>
            <w:tcW w:w="1200" w:type="dxa"/>
            <w:vMerge/>
            <w:tcBorders>
              <w:left w:val="single" w:sz="4" w:space="0" w:color="000000"/>
              <w:right w:val="single" w:sz="4" w:space="0" w:color="000000"/>
            </w:tcBorders>
            <w:shd w:val="clear" w:color="auto" w:fill="D2D2D2"/>
          </w:tcPr>
          <w:p>
            <w:pPr/>
          </w:p>
        </w:tc>
        <w:tc>
          <w:tcPr>
            <w:tcW w:w="7065"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7065" w:type="dxa"/>
            <w:gridSpan w:val="13"/>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490" w:type="dxa"/>
            <w:vMerge w:val="restart"/>
            <w:tcBorders>
              <w:top w:val="single" w:sz="4" w:space="0" w:color="000000"/>
              <w:left w:val="single" w:sz="4" w:space="0" w:color="000000"/>
              <w:right w:val="single" w:sz="4" w:space="0" w:color="000000"/>
            </w:tcBorders>
            <w:shd w:val="clear" w:color="auto" w:fill="D2D2D2"/>
          </w:tcPr>
          <w:p>
            <w:pPr/>
          </w:p>
        </w:tc>
        <w:tc>
          <w:tcPr>
            <w:tcW w:w="139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7" w:type="dxa"/>
            <w:vMerge w:val="restart"/>
            <w:tcBorders>
              <w:top w:val="single" w:sz="4" w:space="0" w:color="000000"/>
              <w:left w:val="single" w:sz="4" w:space="0" w:color="000000"/>
              <w:right w:val="single" w:sz="4" w:space="0" w:color="000000"/>
            </w:tcBorders>
            <w:shd w:val="clear" w:color="auto" w:fill="D2D2D2"/>
          </w:tcPr>
          <w:p>
            <w:pPr/>
          </w:p>
        </w:tc>
        <w:tc>
          <w:tcPr>
            <w:tcW w:w="569" w:type="dxa"/>
            <w:vMerge w:val="restart"/>
            <w:tcBorders>
              <w:top w:val="single" w:sz="4" w:space="0" w:color="000000"/>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tcBorders>
              <w:left w:val="single" w:sz="4" w:space="0" w:color="000000"/>
              <w:right w:val="single" w:sz="4" w:space="0" w:color="000000"/>
            </w:tcBorders>
            <w:shd w:val="clear" w:color="auto" w:fill="D2D2D2"/>
          </w:tcPr>
          <w:p>
            <w:pPr/>
          </w:p>
        </w:tc>
      </w:tr>
      <w:tr>
        <w:trPr>
          <w:trHeight w:val="165"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1390" w:type="dxa"/>
            <w:gridSpan w:val="3"/>
            <w:vMerge/>
            <w:tcBorders>
              <w:left w:val="single" w:sz="4" w:space="0" w:color="000000"/>
              <w:bottom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tcBorders>
              <w:left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3"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29" w:right="3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0" w:hRule="exact"/>
        </w:trPr>
        <w:tc>
          <w:tcPr>
            <w:tcW w:w="1200" w:type="dxa"/>
            <w:vMerge/>
            <w:tcBorders>
              <w:left w:val="single" w:sz="4" w:space="0" w:color="000000"/>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33" w:hRule="exact"/>
        </w:trPr>
        <w:tc>
          <w:tcPr>
            <w:tcW w:w="1200" w:type="dxa"/>
            <w:vMerge/>
            <w:tcBorders>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r>
      <w:tr>
        <w:trPr>
          <w:trHeight w:val="218"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00"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9" w:space="0" w:color="D2D2D2"/>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337,5</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76,68</w:t>
            </w:r>
          </w:p>
          <w:p>
            <w:pPr>
              <w:pStyle w:val="TableParagraph"/>
              <w:spacing w:line="240" w:lineRule="auto" w:before="105"/>
              <w:ind w:left="138" w:right="0"/>
              <w:jc w:val="left"/>
              <w:rPr>
                <w:rFonts w:ascii="Times New Roman" w:hAnsi="Times New Roman" w:cs="Times New Roman" w:eastAsia="Times New Roman" w:hint="default"/>
                <w:sz w:val="18"/>
                <w:szCs w:val="18"/>
              </w:rPr>
            </w:pPr>
            <w:r>
              <w:rPr>
                <w:rFonts w:ascii="Times New Roman"/>
                <w:sz w:val="18"/>
              </w:rPr>
              <w:t>6.00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1,773,</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201,92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6.11</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18" w:space="0" w:color="D2D2D2"/>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1,121.</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95</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63,243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78" w:type="dxa"/>
            <w:vMerge w:val="restart"/>
            <w:tcBorders>
              <w:top w:val="single" w:sz="18" w:space="0" w:color="D2D2D2"/>
              <w:left w:val="single" w:sz="4" w:space="0" w:color="000000"/>
              <w:right w:val="single" w:sz="4" w:space="0" w:color="000000"/>
            </w:tcBorders>
          </w:tcPr>
          <w:p>
            <w:pPr/>
          </w:p>
        </w:tc>
        <w:tc>
          <w:tcPr>
            <w:tcW w:w="588" w:type="dxa"/>
            <w:vMerge w:val="restart"/>
            <w:tcBorders>
              <w:top w:val="single" w:sz="18" w:space="0" w:color="D2D2D2"/>
              <w:left w:val="single" w:sz="4" w:space="0" w:color="000000"/>
              <w:right w:val="single" w:sz="4" w:space="0" w:color="000000"/>
            </w:tcBorders>
          </w:tcPr>
          <w:p>
            <w:pPr>
              <w:pStyle w:val="TableParagraph"/>
              <w:spacing w:line="240" w:lineRule="auto" w:before="73"/>
              <w:ind w:left="62" w:right="0"/>
              <w:jc w:val="left"/>
              <w:rPr>
                <w:rFonts w:ascii="Times New Roman" w:hAnsi="Times New Roman" w:cs="Times New Roman" w:eastAsia="Times New Roman" w:hint="default"/>
                <w:sz w:val="18"/>
                <w:szCs w:val="18"/>
              </w:rPr>
            </w:pPr>
            <w:r>
              <w:rPr>
                <w:rFonts w:ascii="Times New Roman"/>
                <w:sz w:val="18"/>
              </w:rPr>
              <w:t>343,50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8,039.</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25</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2,517,</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531,57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1.37</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36,355,</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654.53</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2,553,8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87,225.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90</w:t>
            </w:r>
          </w:p>
        </w:tc>
      </w:tr>
      <w:tr>
        <w:trPr>
          <w:trHeight w:val="704"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9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6"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6"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00"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9" w:space="0" w:color="D2D2D2"/>
              <w:right w:val="single" w:sz="4" w:space="0" w:color="000000"/>
            </w:tcBorders>
          </w:tcPr>
          <w:p>
            <w:pPr>
              <w:pStyle w:val="TableParagraph"/>
              <w:spacing w:line="240" w:lineRule="auto" w:before="93"/>
              <w:ind w:left="46" w:right="0"/>
              <w:jc w:val="left"/>
              <w:rPr>
                <w:rFonts w:ascii="Times New Roman" w:hAnsi="Times New Roman" w:cs="Times New Roman" w:eastAsia="Times New Roman" w:hint="default"/>
                <w:sz w:val="18"/>
                <w:szCs w:val="18"/>
              </w:rPr>
            </w:pPr>
            <w:r>
              <w:rPr>
                <w:rFonts w:ascii="Times New Roman"/>
                <w:sz w:val="18"/>
              </w:rPr>
              <w:t>337,5</w:t>
            </w:r>
          </w:p>
          <w:p>
            <w:pPr>
              <w:pStyle w:val="TableParagraph"/>
              <w:spacing w:line="240" w:lineRule="auto" w:before="103"/>
              <w:ind w:left="46" w:right="0"/>
              <w:jc w:val="left"/>
              <w:rPr>
                <w:rFonts w:ascii="Times New Roman" w:hAnsi="Times New Roman" w:cs="Times New Roman" w:eastAsia="Times New Roman" w:hint="default"/>
                <w:sz w:val="18"/>
                <w:szCs w:val="18"/>
              </w:rPr>
            </w:pPr>
            <w:r>
              <w:rPr>
                <w:rFonts w:ascii="Times New Roman"/>
                <w:sz w:val="18"/>
              </w:rPr>
              <w:t>76,68</w:t>
            </w:r>
          </w:p>
          <w:p>
            <w:pPr>
              <w:pStyle w:val="TableParagraph"/>
              <w:spacing w:line="240" w:lineRule="auto" w:before="105"/>
              <w:ind w:left="138" w:right="0"/>
              <w:jc w:val="left"/>
              <w:rPr>
                <w:rFonts w:ascii="Times New Roman" w:hAnsi="Times New Roman" w:cs="Times New Roman" w:eastAsia="Times New Roman" w:hint="default"/>
                <w:sz w:val="18"/>
                <w:szCs w:val="18"/>
              </w:rPr>
            </w:pPr>
            <w:r>
              <w:rPr>
                <w:rFonts w:ascii="Times New Roman"/>
                <w:sz w:val="18"/>
              </w:rPr>
              <w:t>6.00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3"/>
              <w:ind w:left="73" w:right="0"/>
              <w:jc w:val="center"/>
              <w:rPr>
                <w:rFonts w:ascii="Times New Roman" w:hAnsi="Times New Roman" w:cs="Times New Roman" w:eastAsia="Times New Roman" w:hint="default"/>
                <w:sz w:val="18"/>
                <w:szCs w:val="18"/>
              </w:rPr>
            </w:pPr>
            <w:r>
              <w:rPr>
                <w:rFonts w:ascii="Times New Roman"/>
                <w:sz w:val="18"/>
              </w:rPr>
              <w:t>1,773,</w:t>
            </w:r>
          </w:p>
          <w:p>
            <w:pPr>
              <w:pStyle w:val="TableParagraph"/>
              <w:spacing w:line="240" w:lineRule="auto" w:before="103"/>
              <w:ind w:left="29" w:right="0"/>
              <w:jc w:val="center"/>
              <w:rPr>
                <w:rFonts w:ascii="Times New Roman" w:hAnsi="Times New Roman" w:cs="Times New Roman" w:eastAsia="Times New Roman" w:hint="default"/>
                <w:sz w:val="18"/>
                <w:szCs w:val="18"/>
              </w:rPr>
            </w:pPr>
            <w:r>
              <w:rPr>
                <w:rFonts w:ascii="Times New Roman"/>
                <w:sz w:val="18"/>
              </w:rPr>
              <w:t>201,92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6.11</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1,121.</w:t>
            </w:r>
          </w:p>
          <w:p>
            <w:pPr>
              <w:pStyle w:val="TableParagraph"/>
              <w:spacing w:line="240" w:lineRule="auto" w:before="103"/>
              <w:ind w:left="364" w:right="0"/>
              <w:jc w:val="left"/>
              <w:rPr>
                <w:rFonts w:ascii="Times New Roman" w:hAnsi="Times New Roman" w:cs="Times New Roman" w:eastAsia="Times New Roman" w:hint="default"/>
                <w:sz w:val="18"/>
                <w:szCs w:val="18"/>
              </w:rPr>
            </w:pPr>
            <w:r>
              <w:rPr>
                <w:rFonts w:ascii="Times New Roman"/>
                <w:sz w:val="18"/>
              </w:rPr>
              <w:t>95</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63,243</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,798.0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343,50</w:t>
            </w:r>
          </w:p>
          <w:p>
            <w:pPr>
              <w:pStyle w:val="TableParagraph"/>
              <w:spacing w:line="240" w:lineRule="auto" w:before="103"/>
              <w:ind w:left="105" w:right="0"/>
              <w:jc w:val="left"/>
              <w:rPr>
                <w:rFonts w:ascii="Times New Roman" w:hAnsi="Times New Roman" w:cs="Times New Roman" w:eastAsia="Times New Roman" w:hint="default"/>
                <w:sz w:val="18"/>
                <w:szCs w:val="18"/>
              </w:rPr>
            </w:pPr>
            <w:r>
              <w:rPr>
                <w:rFonts w:ascii="Times New Roman"/>
                <w:sz w:val="18"/>
              </w:rPr>
              <w:t>8,039.</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25</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3"/>
              <w:ind w:left="61" w:right="0"/>
              <w:jc w:val="center"/>
              <w:rPr>
                <w:rFonts w:ascii="Times New Roman" w:hAnsi="Times New Roman" w:cs="Times New Roman" w:eastAsia="Times New Roman" w:hint="default"/>
                <w:sz w:val="18"/>
                <w:szCs w:val="18"/>
              </w:rPr>
            </w:pPr>
            <w:r>
              <w:rPr>
                <w:rFonts w:ascii="Times New Roman"/>
                <w:sz w:val="18"/>
              </w:rPr>
              <w:t>2,517,</w:t>
            </w:r>
          </w:p>
          <w:p>
            <w:pPr>
              <w:pStyle w:val="TableParagraph"/>
              <w:spacing w:line="240" w:lineRule="auto" w:before="103"/>
              <w:ind w:left="17" w:right="0"/>
              <w:jc w:val="center"/>
              <w:rPr>
                <w:rFonts w:ascii="Times New Roman" w:hAnsi="Times New Roman" w:cs="Times New Roman" w:eastAsia="Times New Roman" w:hint="default"/>
                <w:sz w:val="18"/>
                <w:szCs w:val="18"/>
              </w:rPr>
            </w:pPr>
            <w:r>
              <w:rPr>
                <w:rFonts w:ascii="Times New Roman"/>
                <w:sz w:val="18"/>
              </w:rPr>
              <w:t>531,57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1.37</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36,355,</w:t>
            </w:r>
          </w:p>
          <w:p>
            <w:pPr>
              <w:pStyle w:val="TableParagraph"/>
              <w:spacing w:line="240" w:lineRule="auto" w:before="103"/>
              <w:ind w:left="117" w:right="0"/>
              <w:jc w:val="left"/>
              <w:rPr>
                <w:rFonts w:ascii="Times New Roman" w:hAnsi="Times New Roman" w:cs="Times New Roman" w:eastAsia="Times New Roman" w:hint="default"/>
                <w:sz w:val="18"/>
                <w:szCs w:val="18"/>
              </w:rPr>
            </w:pPr>
            <w:r>
              <w:rPr>
                <w:rFonts w:ascii="Times New Roman"/>
                <w:sz w:val="18"/>
              </w:rPr>
              <w:t>654.53</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2,553,8</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87,225.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90</w:t>
            </w:r>
          </w:p>
        </w:tc>
      </w:tr>
      <w:tr>
        <w:trPr>
          <w:trHeight w:val="704"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1337"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1,329.</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12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5,486,</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001.48</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2,723,</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513.25</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8,210,</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843.85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-21,159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,580.32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-12,948</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,736.47</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1,329.</w:t>
            </w:r>
          </w:p>
          <w:p>
            <w:pPr>
              <w:pStyle w:val="TableParagraph"/>
              <w:spacing w:line="240" w:lineRule="auto" w:before="102"/>
              <w:ind w:left="364" w:right="0"/>
              <w:jc w:val="left"/>
              <w:rPr>
                <w:rFonts w:ascii="Times New Roman" w:hAnsi="Times New Roman" w:cs="Times New Roman" w:eastAsia="Times New Roman" w:hint="default"/>
                <w:sz w:val="18"/>
                <w:szCs w:val="18"/>
              </w:rPr>
            </w:pPr>
            <w:r>
              <w:rPr>
                <w:rFonts w:ascii="Times New Roman"/>
                <w:sz w:val="18"/>
              </w:rPr>
              <w:t>12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8,209,</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514.73</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 w:right="0"/>
              <w:jc w:val="left"/>
              <w:rPr>
                <w:rFonts w:ascii="Times New Roman" w:hAnsi="Times New Roman" w:cs="Times New Roman" w:eastAsia="Times New Roman" w:hint="default"/>
                <w:sz w:val="18"/>
                <w:szCs w:val="18"/>
              </w:rPr>
            </w:pPr>
            <w:r>
              <w:rPr>
                <w:rFonts w:ascii="Times New Roman"/>
                <w:sz w:val="18"/>
              </w:rPr>
              <w:t>8,210,</w:t>
            </w:r>
          </w:p>
          <w:p>
            <w:pPr>
              <w:pStyle w:val="TableParagraph"/>
              <w:spacing w:line="240" w:lineRule="auto" w:before="102"/>
              <w:ind w:left="40" w:right="0"/>
              <w:jc w:val="left"/>
              <w:rPr>
                <w:rFonts w:ascii="Times New Roman" w:hAnsi="Times New Roman" w:cs="Times New Roman" w:eastAsia="Times New Roman" w:hint="default"/>
                <w:sz w:val="18"/>
                <w:szCs w:val="18"/>
              </w:rPr>
            </w:pPr>
            <w:r>
              <w:rPr>
                <w:rFonts w:ascii="Times New Roman"/>
                <w:sz w:val="18"/>
              </w:rPr>
              <w:t>843.85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-21,159</w:t>
            </w:r>
          </w:p>
          <w:p>
            <w:pPr>
              <w:pStyle w:val="TableParagraph"/>
              <w:spacing w:line="240" w:lineRule="auto" w:before="102"/>
              <w:ind w:left="72" w:right="0"/>
              <w:jc w:val="left"/>
              <w:rPr>
                <w:rFonts w:ascii="Times New Roman" w:hAnsi="Times New Roman" w:cs="Times New Roman" w:eastAsia="Times New Roman" w:hint="default"/>
                <w:sz w:val="18"/>
                <w:szCs w:val="18"/>
              </w:rPr>
            </w:pPr>
            <w:r>
              <w:rPr>
                <w:rFonts w:ascii="Times New Roman"/>
                <w:sz w:val="18"/>
              </w:rPr>
              <w:t>,580.32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-12,948</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,736.47</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5,486,</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001.48</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-5,486,</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001.48</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5,486,</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001.48</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-5,486,</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001.48</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3"/>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337,5</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76,68</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6.00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1,773,</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201,92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6.11</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2,451.</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07</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68,729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346,23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1,552.</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50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2,525,</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742,41</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5.22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15,196,</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074.21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2,540,9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38,489.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8、母公司所有者权益变动表" w:id="165"/>
      <w:bookmarkEnd w:id="165"/>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footerReference w:type="default" r:id="rId15"/>
          <w:pgSz w:w="11910" w:h="16840"/>
          <w:pgMar w:footer="980" w:header="745" w:top="1060" w:bottom="1160" w:left="980" w:right="0"/>
        </w:sectPr>
      </w:pPr>
    </w:p>
    <w:p>
      <w:pPr>
        <w:pStyle w:val="BodyText"/>
        <w:spacing w:line="240" w:lineRule="auto" w:before="37"/>
        <w:ind w:right="0"/>
        <w:jc w:val="left"/>
      </w:pPr>
      <w:r>
        <w:rPr>
          <w:w w:val="95"/>
        </w:rPr>
        <w:t>本期金额</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50" w:space="7970"/>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83"/>
        <w:gridCol w:w="640"/>
        <w:gridCol w:w="605"/>
        <w:gridCol w:w="603"/>
        <w:gridCol w:w="605"/>
        <w:gridCol w:w="727"/>
        <w:gridCol w:w="728"/>
        <w:gridCol w:w="725"/>
        <w:gridCol w:w="727"/>
        <w:gridCol w:w="727"/>
        <w:gridCol w:w="615"/>
        <w:gridCol w:w="710"/>
        <w:gridCol w:w="862"/>
      </w:tblGrid>
      <w:tr>
        <w:trPr>
          <w:trHeight w:val="401" w:hRule="exact"/>
        </w:trPr>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06" w:hRule="exact"/>
        </w:trPr>
        <w:tc>
          <w:tcPr>
            <w:tcW w:w="12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20"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55"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283" w:type="dxa"/>
            <w:vMerge/>
            <w:tcBorders>
              <w:left w:val="single" w:sz="4" w:space="0" w:color="000000"/>
              <w:bottom w:val="nil" w:sz="6" w:space="0" w:color="auto"/>
              <w:right w:val="single" w:sz="4" w:space="0" w:color="000000"/>
            </w:tcBorders>
            <w:shd w:val="clear" w:color="auto" w:fill="D2D2D2"/>
          </w:tcPr>
          <w:p>
            <w:pPr/>
          </w:p>
        </w:tc>
        <w:tc>
          <w:tcPr>
            <w:tcW w:w="6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tcBorders>
              <w:left w:val="single" w:sz="4" w:space="0" w:color="000000"/>
              <w:right w:val="single" w:sz="4" w:space="0" w:color="000000"/>
            </w:tcBorders>
            <w:shd w:val="clear" w:color="auto" w:fill="D2D2D2"/>
          </w:tcPr>
          <w:p>
            <w:pPr/>
          </w:p>
        </w:tc>
      </w:tr>
      <w:tr>
        <w:trPr>
          <w:trHeight w:val="199" w:hRule="exact"/>
        </w:trPr>
        <w:tc>
          <w:tcPr>
            <w:tcW w:w="1283" w:type="dxa"/>
            <w:vMerge w:val="restart"/>
            <w:tcBorders>
              <w:top w:val="nil" w:sz="6" w:space="0" w:color="auto"/>
              <w:left w:val="single" w:sz="4" w:space="0" w:color="000000"/>
              <w:right w:val="single" w:sz="4" w:space="0" w:color="000000"/>
            </w:tcBorders>
            <w:shd w:val="clear" w:color="auto" w:fill="D2D2D2"/>
          </w:tcPr>
          <w:p>
            <w:pPr/>
          </w:p>
        </w:tc>
        <w:tc>
          <w:tcPr>
            <w:tcW w:w="640"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r>
      <w:tr>
        <w:trPr>
          <w:trHeight w:val="184" w:hRule="exact"/>
        </w:trPr>
        <w:tc>
          <w:tcPr>
            <w:tcW w:w="1283" w:type="dxa"/>
            <w:vMerge/>
            <w:tcBorders>
              <w:left w:val="single" w:sz="4" w:space="0" w:color="000000"/>
              <w:bottom w:val="single" w:sz="4" w:space="0" w:color="000000"/>
              <w:right w:val="single" w:sz="4" w:space="0" w:color="000000"/>
            </w:tcBorders>
            <w:shd w:val="clear" w:color="auto" w:fill="D2D2D2"/>
          </w:tcPr>
          <w:p>
            <w:pPr/>
          </w:p>
        </w:tc>
        <w:tc>
          <w:tcPr>
            <w:tcW w:w="640"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3"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84" w:hRule="exact"/>
        </w:trPr>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vMerge w:val="restart"/>
            <w:tcBorders>
              <w:top w:val="single" w:sz="4" w:space="0" w:color="000000"/>
              <w:left w:val="single" w:sz="10" w:space="0" w:color="D2D2D2"/>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337,57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6,686.0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18" w:space="0" w:color="D2D2D2"/>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1,775,74</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1,179.64</w:t>
            </w:r>
          </w:p>
        </w:tc>
        <w:tc>
          <w:tcPr>
            <w:tcW w:w="728" w:type="dxa"/>
            <w:vMerge w:val="restart"/>
            <w:tcBorders>
              <w:top w:val="single" w:sz="18" w:space="0" w:color="D2D2D2"/>
              <w:left w:val="single" w:sz="4" w:space="0" w:color="000000"/>
              <w:right w:val="single" w:sz="4" w:space="0" w:color="000000"/>
            </w:tcBorders>
          </w:tcPr>
          <w:p>
            <w:pPr/>
          </w:p>
        </w:tc>
        <w:tc>
          <w:tcPr>
            <w:tcW w:w="725" w:type="dxa"/>
            <w:vMerge w:val="restart"/>
            <w:tcBorders>
              <w:top w:val="single" w:sz="18" w:space="0" w:color="D2D2D2"/>
              <w:left w:val="single" w:sz="4" w:space="0" w:color="000000"/>
              <w:right w:val="single" w:sz="4" w:space="0" w:color="000000"/>
            </w:tcBorders>
          </w:tcPr>
          <w:p>
            <w:pPr/>
          </w:p>
        </w:tc>
        <w:tc>
          <w:tcPr>
            <w:tcW w:w="727" w:type="dxa"/>
            <w:vMerge w:val="restart"/>
            <w:tcBorders>
              <w:top w:val="single" w:sz="18" w:space="0" w:color="D2D2D2"/>
              <w:left w:val="single" w:sz="4" w:space="0" w:color="000000"/>
              <w:right w:val="single" w:sz="4" w:space="0" w:color="000000"/>
            </w:tcBorders>
          </w:tcPr>
          <w:p>
            <w:pPr/>
          </w:p>
        </w:tc>
        <w:tc>
          <w:tcPr>
            <w:tcW w:w="727" w:type="dxa"/>
            <w:vMerge w:val="restart"/>
            <w:tcBorders>
              <w:top w:val="single" w:sz="18" w:space="0" w:color="D2D2D2"/>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68,729,7</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99.54</w:t>
            </w:r>
          </w:p>
        </w:tc>
        <w:tc>
          <w:tcPr>
            <w:tcW w:w="615" w:type="dxa"/>
            <w:vMerge w:val="restart"/>
            <w:tcBorders>
              <w:top w:val="single" w:sz="18" w:space="0" w:color="D2D2D2"/>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554,21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8,912.6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18" w:space="0" w:color="D2D2D2"/>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2,736,266,</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577.80</w:t>
            </w:r>
          </w:p>
        </w:tc>
      </w:tr>
      <w:tr>
        <w:trPr>
          <w:trHeight w:val="706" w:hRule="exact"/>
        </w:trPr>
        <w:tc>
          <w:tcPr>
            <w:tcW w:w="12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40"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83"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713"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254,777.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02</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2,292,9</w:t>
            </w:r>
          </w:p>
          <w:p>
            <w:pPr>
              <w:pStyle w:val="TableParagraph"/>
              <w:spacing w:line="240" w:lineRule="auto" w:before="102"/>
              <w:ind w:left="156" w:right="0"/>
              <w:jc w:val="center"/>
              <w:rPr>
                <w:rFonts w:ascii="Times New Roman" w:hAnsi="Times New Roman" w:cs="Times New Roman" w:eastAsia="Times New Roman" w:hint="default"/>
                <w:sz w:val="18"/>
                <w:szCs w:val="18"/>
              </w:rPr>
            </w:pPr>
            <w:r>
              <w:rPr>
                <w:rFonts w:ascii="Times New Roman"/>
                <w:sz w:val="18"/>
              </w:rPr>
              <w:t>93.19</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2,547,770.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21</w:t>
            </w:r>
          </w:p>
        </w:tc>
      </w:tr>
      <w:tr>
        <w:trPr>
          <w:trHeight w:val="715"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vMerge w:val="restart"/>
            <w:tcBorders>
              <w:top w:val="single" w:sz="4" w:space="0" w:color="000000"/>
              <w:left w:val="single" w:sz="10" w:space="0" w:color="D2D2D2"/>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8"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-1,289,5</w:t>
            </w:r>
          </w:p>
          <w:p>
            <w:pPr>
              <w:pStyle w:val="TableParagraph"/>
              <w:spacing w:line="240" w:lineRule="auto" w:before="102"/>
              <w:ind w:left="264" w:right="0"/>
              <w:jc w:val="center"/>
              <w:rPr>
                <w:rFonts w:ascii="Times New Roman" w:hAnsi="Times New Roman" w:cs="Times New Roman" w:eastAsia="Times New Roman" w:hint="default"/>
                <w:sz w:val="18"/>
                <w:szCs w:val="18"/>
              </w:rPr>
            </w:pPr>
            <w:r>
              <w:rPr>
                <w:rFonts w:ascii="Times New Roman"/>
                <w:sz w:val="18"/>
              </w:rPr>
              <w:t>02.49</w:t>
            </w:r>
          </w:p>
        </w:tc>
        <w:tc>
          <w:tcPr>
            <w:tcW w:w="615"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-11,605</w:t>
            </w:r>
          </w:p>
          <w:p>
            <w:pPr>
              <w:pStyle w:val="TableParagraph"/>
              <w:spacing w:line="240" w:lineRule="auto" w:before="102"/>
              <w:ind w:left="43" w:right="0"/>
              <w:jc w:val="left"/>
              <w:rPr>
                <w:rFonts w:ascii="Times New Roman" w:hAnsi="Times New Roman" w:cs="Times New Roman" w:eastAsia="Times New Roman" w:hint="default"/>
                <w:sz w:val="18"/>
                <w:szCs w:val="18"/>
              </w:rPr>
            </w:pPr>
            <w:r>
              <w:rPr>
                <w:rFonts w:ascii="Times New Roman"/>
                <w:sz w:val="18"/>
              </w:rPr>
              <w:t>,522.44</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-12,895,02</w:t>
            </w:r>
          </w:p>
          <w:p>
            <w:pPr>
              <w:pStyle w:val="TableParagraph"/>
              <w:spacing w:line="240" w:lineRule="auto" w:before="102"/>
              <w:ind w:left="515" w:right="0"/>
              <w:jc w:val="left"/>
              <w:rPr>
                <w:rFonts w:ascii="Times New Roman" w:hAnsi="Times New Roman" w:cs="Times New Roman" w:eastAsia="Times New Roman" w:hint="default"/>
                <w:sz w:val="18"/>
                <w:szCs w:val="18"/>
              </w:rPr>
            </w:pPr>
            <w:r>
              <w:rPr>
                <w:rFonts w:ascii="Times New Roman"/>
                <w:sz w:val="18"/>
              </w:rPr>
              <w:t>4.93</w:t>
            </w:r>
          </w:p>
        </w:tc>
      </w:tr>
      <w:tr>
        <w:trPr>
          <w:trHeight w:val="391" w:hRule="exact"/>
        </w:trPr>
        <w:tc>
          <w:tcPr>
            <w:tcW w:w="12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40"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83"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161" w:hRule="exact"/>
        </w:trPr>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337,57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6,686.0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1,775,74</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1,179.64</w:t>
            </w:r>
          </w:p>
        </w:tc>
        <w:tc>
          <w:tcPr>
            <w:tcW w:w="728"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67,695,0</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74.07</w:t>
            </w:r>
          </w:p>
        </w:tc>
        <w:tc>
          <w:tcPr>
            <w:tcW w:w="6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6,383.3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2,725,919,</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323.08</w:t>
            </w:r>
          </w:p>
        </w:tc>
      </w:tr>
      <w:tr>
        <w:trPr>
          <w:trHeight w:val="706" w:hRule="exact"/>
        </w:trPr>
        <w:tc>
          <w:tcPr>
            <w:tcW w:w="12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40"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83"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1025"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-406,386</w:t>
            </w:r>
          </w:p>
          <w:p>
            <w:pPr>
              <w:pStyle w:val="TableParagraph"/>
              <w:spacing w:line="240" w:lineRule="auto" w:before="102"/>
              <w:ind w:left="467" w:right="0"/>
              <w:jc w:val="left"/>
              <w:rPr>
                <w:rFonts w:ascii="Times New Roman" w:hAnsi="Times New Roman" w:cs="Times New Roman" w:eastAsia="Times New Roman" w:hint="default"/>
                <w:sz w:val="18"/>
                <w:szCs w:val="18"/>
              </w:rPr>
            </w:pPr>
            <w:r>
              <w:rPr>
                <w:rFonts w:ascii="Times New Roman"/>
                <w:sz w:val="18"/>
              </w:rPr>
              <w:t>.12</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265,180.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54</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1,967,03</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5.34</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16,015,</w:t>
            </w:r>
          </w:p>
          <w:p>
            <w:pPr>
              <w:pStyle w:val="TableParagraph"/>
              <w:spacing w:line="240" w:lineRule="auto" w:before="102"/>
              <w:ind w:left="88" w:right="0"/>
              <w:jc w:val="left"/>
              <w:rPr>
                <w:rFonts w:ascii="Times New Roman" w:hAnsi="Times New Roman" w:cs="Times New Roman" w:eastAsia="Times New Roman" w:hint="default"/>
                <w:sz w:val="18"/>
                <w:szCs w:val="18"/>
              </w:rPr>
            </w:pPr>
            <w:r>
              <w:rPr>
                <w:rFonts w:ascii="Times New Roman"/>
                <w:sz w:val="18"/>
              </w:rPr>
              <w:t>434.61</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17,841,26</w:t>
            </w:r>
          </w:p>
          <w:p>
            <w:pPr>
              <w:pStyle w:val="TableParagraph"/>
              <w:spacing w:line="240" w:lineRule="auto" w:before="102"/>
              <w:ind w:left="515" w:right="0"/>
              <w:jc w:val="left"/>
              <w:rPr>
                <w:rFonts w:ascii="Times New Roman" w:hAnsi="Times New Roman" w:cs="Times New Roman" w:eastAsia="Times New Roman" w:hint="default"/>
                <w:sz w:val="18"/>
                <w:szCs w:val="18"/>
              </w:rPr>
            </w:pPr>
            <w:r>
              <w:rPr>
                <w:rFonts w:ascii="Times New Roman"/>
                <w:sz w:val="18"/>
              </w:rPr>
              <w:t>4.37</w:t>
            </w:r>
          </w:p>
        </w:tc>
      </w:tr>
      <w:tr>
        <w:trPr>
          <w:trHeight w:val="716"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265,180.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54</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19,670,</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353.38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19,935,53</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3.92</w:t>
            </w:r>
          </w:p>
        </w:tc>
      </w:tr>
      <w:tr>
        <w:trPr>
          <w:trHeight w:val="713"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36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1,967,03</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5.34</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-3,654,</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918.77</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-1,687,883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.43</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1,967,03</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5.34</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-1,967,</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035.34</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-1,687,</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883.43</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-1,687,883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.43</w:t>
            </w: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-406,386</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.12</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-406,386.1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337,57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6,686.0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1,775,33</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4,793.52</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265,180.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54</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69,662,1</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09.41</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1,817.9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2,743,760,</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587.45</w:t>
            </w:r>
          </w:p>
        </w:tc>
      </w:tr>
    </w:tbl>
    <w:p>
      <w:pPr>
        <w:spacing w:after="0" w:line="240" w:lineRule="auto"/>
        <w:jc w:val="left"/>
        <w:rPr>
          <w:rFonts w:ascii="Times New Roman" w:hAnsi="Times New Roman" w:cs="Times New Roman" w:eastAsia="Times New Roman" w:hint="default"/>
          <w:sz w:val="18"/>
          <w:szCs w:val="18"/>
        </w:rPr>
        <w:sectPr>
          <w:footerReference w:type="default" r:id="rId16"/>
          <w:pgSz w:w="11910" w:h="16840"/>
          <w:pgMar w:footer="980" w:header="745" w:top="1060" w:bottom="1160" w:left="980" w:right="0"/>
          <w:pgNumType w:start="101"/>
        </w:sectPr>
      </w:pPr>
    </w:p>
    <w:p>
      <w:pPr>
        <w:pStyle w:val="BodyText"/>
        <w:spacing w:line="240" w:lineRule="auto" w:before="32"/>
        <w:ind w:right="0"/>
        <w:jc w:val="left"/>
      </w:pPr>
      <w:r>
        <w:rPr>
          <w:w w:val="95"/>
        </w:rPr>
        <w:t>上期金额</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50" w:space="7970"/>
            <w:col w:w="2010"/>
          </w:cols>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220"/>
        <w:gridCol w:w="593"/>
        <w:gridCol w:w="574"/>
        <w:gridCol w:w="572"/>
        <w:gridCol w:w="571"/>
        <w:gridCol w:w="686"/>
        <w:gridCol w:w="686"/>
        <w:gridCol w:w="684"/>
        <w:gridCol w:w="782"/>
        <w:gridCol w:w="665"/>
        <w:gridCol w:w="797"/>
        <w:gridCol w:w="797"/>
        <w:gridCol w:w="931"/>
      </w:tblGrid>
      <w:tr>
        <w:trPr>
          <w:trHeight w:val="402" w:hRule="exact"/>
        </w:trPr>
        <w:tc>
          <w:tcPr>
            <w:tcW w:w="1220" w:type="dxa"/>
            <w:vMerge w:val="restart"/>
            <w:tcBorders>
              <w:top w:val="single" w:sz="4" w:space="0" w:color="000000"/>
              <w:left w:val="single" w:sz="4" w:space="0" w:color="000000"/>
              <w:right w:val="single" w:sz="4" w:space="0" w:color="000000"/>
            </w:tcBorders>
            <w:shd w:val="clear" w:color="auto" w:fill="D2D2D2"/>
          </w:tcPr>
          <w:p>
            <w:pPr/>
          </w:p>
        </w:tc>
        <w:tc>
          <w:tcPr>
            <w:tcW w:w="833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184" w:hRule="exact"/>
        </w:trPr>
        <w:tc>
          <w:tcPr>
            <w:tcW w:w="1220" w:type="dxa"/>
            <w:vMerge/>
            <w:tcBorders>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4" w:space="0" w:color="000000"/>
              <w:right w:val="single" w:sz="4" w:space="0" w:color="000000"/>
            </w:tcBorders>
            <w:shd w:val="clear" w:color="auto" w:fill="D2D2D2"/>
          </w:tcPr>
          <w:p>
            <w:pPr/>
          </w:p>
        </w:tc>
        <w:tc>
          <w:tcPr>
            <w:tcW w:w="17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vMerge w:val="restart"/>
            <w:tcBorders>
              <w:top w:val="single" w:sz="4" w:space="0" w:color="000000"/>
              <w:left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2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93" w:type="dxa"/>
            <w:vMerge/>
            <w:tcBorders>
              <w:left w:val="single" w:sz="4" w:space="0" w:color="000000"/>
              <w:bottom w:val="nil" w:sz="6" w:space="0" w:color="auto"/>
              <w:right w:val="single" w:sz="4" w:space="0" w:color="000000"/>
            </w:tcBorders>
            <w:shd w:val="clear" w:color="auto" w:fill="D2D2D2"/>
          </w:tcPr>
          <w:p>
            <w:pPr/>
          </w:p>
        </w:tc>
        <w:tc>
          <w:tcPr>
            <w:tcW w:w="1717" w:type="dxa"/>
            <w:gridSpan w:val="3"/>
            <w:vMerge/>
            <w:tcBorders>
              <w:left w:val="single" w:sz="4" w:space="0" w:color="000000"/>
              <w:bottom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9"/>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304" w:right="32"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8" w:hRule="exact"/>
        </w:trPr>
        <w:tc>
          <w:tcPr>
            <w:tcW w:w="1220" w:type="dxa"/>
            <w:vMerge/>
            <w:tcBorders>
              <w:left w:val="single" w:sz="4" w:space="0" w:color="000000"/>
              <w:bottom w:val="nil" w:sz="6" w:space="0" w:color="auto"/>
              <w:right w:val="single" w:sz="4" w:space="0" w:color="000000"/>
            </w:tcBorders>
            <w:shd w:val="clear" w:color="auto" w:fill="D2D2D2"/>
          </w:tcPr>
          <w:p>
            <w:pPr/>
          </w:p>
        </w:tc>
        <w:tc>
          <w:tcPr>
            <w:tcW w:w="5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9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91" w:right="9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tcBorders>
              <w:left w:val="single" w:sz="4" w:space="0" w:color="000000"/>
              <w:right w:val="single" w:sz="4" w:space="0" w:color="000000"/>
            </w:tcBorders>
            <w:shd w:val="clear" w:color="auto" w:fill="D2D2D2"/>
          </w:tcPr>
          <w:p>
            <w:pPr/>
          </w:p>
        </w:tc>
      </w:tr>
      <w:tr>
        <w:trPr>
          <w:trHeight w:val="197" w:hRule="exact"/>
        </w:trPr>
        <w:tc>
          <w:tcPr>
            <w:tcW w:w="1220" w:type="dxa"/>
            <w:vMerge w:val="restart"/>
            <w:tcBorders>
              <w:top w:val="nil" w:sz="6" w:space="0" w:color="auto"/>
              <w:left w:val="single" w:sz="4" w:space="0" w:color="000000"/>
              <w:right w:val="single" w:sz="4" w:space="0" w:color="000000"/>
            </w:tcBorders>
            <w:shd w:val="clear" w:color="auto" w:fill="D2D2D2"/>
          </w:tcPr>
          <w:p>
            <w:pPr/>
          </w:p>
        </w:tc>
        <w:tc>
          <w:tcPr>
            <w:tcW w:w="593"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r>
      <w:tr>
        <w:trPr>
          <w:trHeight w:val="156" w:hRule="exact"/>
        </w:trPr>
        <w:tc>
          <w:tcPr>
            <w:tcW w:w="1220" w:type="dxa"/>
            <w:vMerge/>
            <w:tcBorders>
              <w:left w:val="single" w:sz="4" w:space="0" w:color="000000"/>
              <w:right w:val="single" w:sz="4" w:space="0" w:color="000000"/>
            </w:tcBorders>
            <w:shd w:val="clear" w:color="auto" w:fill="D2D2D2"/>
          </w:tcPr>
          <w:p>
            <w:pPr/>
          </w:p>
        </w:tc>
        <w:tc>
          <w:tcPr>
            <w:tcW w:w="593" w:type="dxa"/>
            <w:vMerge w:val="restart"/>
            <w:tcBorders>
              <w:top w:val="nil" w:sz="6" w:space="0" w:color="auto"/>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220" w:type="dxa"/>
            <w:vMerge/>
            <w:tcBorders>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122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9" w:space="0" w:color="D2D2D2"/>
              <w:right w:val="single" w:sz="4" w:space="0" w:color="000000"/>
            </w:tcBorders>
          </w:tcPr>
          <w:p>
            <w:pPr>
              <w:pStyle w:val="TableParagraph"/>
              <w:spacing w:line="240" w:lineRule="auto" w:before="93"/>
              <w:ind w:left="61" w:right="0"/>
              <w:jc w:val="left"/>
              <w:rPr>
                <w:rFonts w:ascii="Times New Roman" w:hAnsi="Times New Roman" w:cs="Times New Roman" w:eastAsia="Times New Roman" w:hint="default"/>
                <w:sz w:val="18"/>
                <w:szCs w:val="18"/>
              </w:rPr>
            </w:pPr>
            <w:r>
              <w:rPr>
                <w:rFonts w:ascii="Times New Roman"/>
                <w:sz w:val="18"/>
              </w:rPr>
              <w:t>337,57</w:t>
            </w:r>
          </w:p>
          <w:p>
            <w:pPr>
              <w:pStyle w:val="TableParagraph"/>
              <w:spacing w:line="240" w:lineRule="auto" w:before="102"/>
              <w:ind w:left="104" w:right="0"/>
              <w:jc w:val="left"/>
              <w:rPr>
                <w:rFonts w:ascii="Times New Roman" w:hAnsi="Times New Roman" w:cs="Times New Roman" w:eastAsia="Times New Roman" w:hint="default"/>
                <w:sz w:val="18"/>
                <w:szCs w:val="18"/>
              </w:rPr>
            </w:pPr>
            <w:r>
              <w:rPr>
                <w:rFonts w:ascii="Times New Roman"/>
                <w:sz w:val="18"/>
              </w:rPr>
              <w:t>6,686.</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1,775,7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41,179.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64</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63,243,</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798.06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504,844,8</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99.34</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2,681,406,5</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63.04</w:t>
            </w:r>
          </w:p>
        </w:tc>
      </w:tr>
      <w:tr>
        <w:trPr>
          <w:trHeight w:val="703" w:hRule="exact"/>
        </w:trPr>
        <w:tc>
          <w:tcPr>
            <w:tcW w:w="12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20" w:type="dxa"/>
            <w:tcBorders>
              <w:top w:val="nil" w:sz="6" w:space="0" w:color="auto"/>
              <w:left w:val="single" w:sz="4" w:space="0" w:color="000000"/>
              <w:bottom w:val="single" w:sz="4" w:space="0" w:color="000000"/>
              <w:right w:val="single" w:sz="4" w:space="0" w:color="000000"/>
            </w:tcBorders>
            <w:shd w:val="clear" w:color="auto" w:fill="D2D2D2"/>
          </w:tcPr>
          <w:p>
            <w:pPr/>
          </w:p>
        </w:tc>
        <w:tc>
          <w:tcPr>
            <w:tcW w:w="593"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71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2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9" w:space="0" w:color="D2D2D2"/>
              <w:right w:val="single" w:sz="4" w:space="0" w:color="000000"/>
            </w:tcBorders>
          </w:tcPr>
          <w:p>
            <w:pPr>
              <w:pStyle w:val="TableParagraph"/>
              <w:spacing w:line="240" w:lineRule="auto" w:before="93"/>
              <w:ind w:left="61" w:right="0"/>
              <w:jc w:val="left"/>
              <w:rPr>
                <w:rFonts w:ascii="Times New Roman" w:hAnsi="Times New Roman" w:cs="Times New Roman" w:eastAsia="Times New Roman" w:hint="default"/>
                <w:sz w:val="18"/>
                <w:szCs w:val="18"/>
              </w:rPr>
            </w:pPr>
            <w:r>
              <w:rPr>
                <w:rFonts w:ascii="Times New Roman"/>
                <w:sz w:val="18"/>
              </w:rPr>
              <w:t>337,57</w:t>
            </w:r>
          </w:p>
          <w:p>
            <w:pPr>
              <w:pStyle w:val="TableParagraph"/>
              <w:spacing w:line="240" w:lineRule="auto" w:before="102"/>
              <w:ind w:left="104" w:right="0"/>
              <w:jc w:val="left"/>
              <w:rPr>
                <w:rFonts w:ascii="Times New Roman" w:hAnsi="Times New Roman" w:cs="Times New Roman" w:eastAsia="Times New Roman" w:hint="default"/>
                <w:sz w:val="18"/>
                <w:szCs w:val="18"/>
              </w:rPr>
            </w:pPr>
            <w:r>
              <w:rPr>
                <w:rFonts w:ascii="Times New Roman"/>
                <w:sz w:val="18"/>
              </w:rPr>
              <w:t>6,686.</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1,775,7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41,179.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64</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63,243,</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798.06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504,844,8</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99.34</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2,681,406,5</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63.04</w:t>
            </w:r>
          </w:p>
        </w:tc>
      </w:tr>
      <w:tr>
        <w:trPr>
          <w:trHeight w:val="703" w:hRule="exact"/>
        </w:trPr>
        <w:tc>
          <w:tcPr>
            <w:tcW w:w="12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20" w:type="dxa"/>
            <w:tcBorders>
              <w:top w:val="nil" w:sz="6" w:space="0" w:color="auto"/>
              <w:left w:val="single" w:sz="4" w:space="0" w:color="000000"/>
              <w:bottom w:val="single" w:sz="4" w:space="0" w:color="000000"/>
              <w:right w:val="single" w:sz="4" w:space="0" w:color="000000"/>
            </w:tcBorders>
            <w:shd w:val="clear" w:color="auto" w:fill="D2D2D2"/>
          </w:tcPr>
          <w:p>
            <w:pPr/>
          </w:p>
        </w:tc>
        <w:tc>
          <w:tcPr>
            <w:tcW w:w="593"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102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5,486,0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01.48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49,374,01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3.28</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54,860,014.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20"/>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54,860,01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4.76</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54,860,014.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76</w:t>
            </w:r>
          </w:p>
        </w:tc>
      </w:tr>
      <w:tr>
        <w:trPr>
          <w:trHeight w:val="71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4" w:hRule="exact"/>
        </w:trPr>
        <w:tc>
          <w:tcPr>
            <w:tcW w:w="122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9" w:space="0" w:color="D2D2D2"/>
              <w:right w:val="single" w:sz="4" w:space="0" w:color="000000"/>
            </w:tcBorders>
          </w:tcPr>
          <w:p>
            <w:pP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4"/>
              <w:ind w:left="72" w:right="0"/>
              <w:jc w:val="center"/>
              <w:rPr>
                <w:rFonts w:ascii="Times New Roman" w:hAnsi="Times New Roman" w:cs="Times New Roman" w:eastAsia="Times New Roman" w:hint="default"/>
                <w:sz w:val="18"/>
                <w:szCs w:val="18"/>
              </w:rPr>
            </w:pPr>
            <w:r>
              <w:rPr>
                <w:rFonts w:ascii="Times New Roman"/>
                <w:sz w:val="18"/>
              </w:rPr>
              <w:t>5,486,0</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01.48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4"/>
              <w:ind w:left="76" w:right="0"/>
              <w:jc w:val="left"/>
              <w:rPr>
                <w:rFonts w:ascii="Times New Roman" w:hAnsi="Times New Roman" w:cs="Times New Roman" w:eastAsia="Times New Roman" w:hint="default"/>
                <w:sz w:val="18"/>
                <w:szCs w:val="18"/>
              </w:rPr>
            </w:pPr>
            <w:r>
              <w:rPr>
                <w:rFonts w:ascii="Times New Roman"/>
                <w:sz w:val="18"/>
              </w:rPr>
              <w:t>-5,486,00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1.48</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
        </w:tc>
      </w:tr>
      <w:tr>
        <w:trPr>
          <w:trHeight w:val="391" w:hRule="exact"/>
        </w:trPr>
        <w:tc>
          <w:tcPr>
            <w:tcW w:w="12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20" w:type="dxa"/>
            <w:tcBorders>
              <w:top w:val="nil" w:sz="6" w:space="0" w:color="auto"/>
              <w:left w:val="single" w:sz="4" w:space="0" w:color="000000"/>
              <w:bottom w:val="single" w:sz="4" w:space="0" w:color="000000"/>
              <w:right w:val="single" w:sz="4" w:space="0" w:color="000000"/>
            </w:tcBorders>
            <w:shd w:val="clear" w:color="auto" w:fill="D2D2D2"/>
          </w:tcPr>
          <w:p>
            <w:pPr/>
          </w:p>
        </w:tc>
        <w:tc>
          <w:tcPr>
            <w:tcW w:w="593"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71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5,486,0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01.48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-5,486,00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1.48</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337,57</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6,686.</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1,775,7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41,179.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68,729,</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799.54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554,218,9</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12.62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2,736,266,5</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77.80</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1133"/>
        <w:jc w:val="left"/>
        <w:rPr>
          <w:b w:val="0"/>
          <w:bCs w:val="0"/>
        </w:rPr>
      </w:pPr>
      <w:bookmarkStart w:name="三、公司基本情况" w:id="166"/>
      <w:bookmarkEnd w:id="166"/>
      <w:r>
        <w:rPr>
          <w:b w:val="0"/>
          <w:bCs w:val="0"/>
        </w:rPr>
      </w:r>
      <w:r>
        <w:rPr/>
        <w:t>三、公司基本情况</w:t>
      </w:r>
      <w:r>
        <w:rPr>
          <w:b w:val="0"/>
          <w:bCs w:val="0"/>
        </w:rPr>
      </w:r>
    </w:p>
    <w:p>
      <w:pPr>
        <w:spacing w:line="240" w:lineRule="auto" w:before="4"/>
        <w:rPr>
          <w:rFonts w:ascii="宋体" w:hAnsi="宋体" w:cs="宋体" w:eastAsia="宋体" w:hint="default"/>
          <w:b/>
          <w:bCs/>
          <w:sz w:val="31"/>
          <w:szCs w:val="31"/>
        </w:rPr>
      </w:pPr>
    </w:p>
    <w:p>
      <w:pPr>
        <w:pStyle w:val="BodyText"/>
        <w:spacing w:line="417" w:lineRule="auto"/>
        <w:ind w:right="1132" w:firstLine="401"/>
        <w:jc w:val="both"/>
      </w:pPr>
      <w:r>
        <w:rPr>
          <w:w w:val="95"/>
        </w:rPr>
        <w:t>北京中科金财科技股份有限公司（以下简称</w:t>
      </w:r>
      <w:r>
        <w:rPr>
          <w:rFonts w:ascii="Times New Roman" w:hAnsi="Times New Roman" w:cs="Times New Roman" w:eastAsia="Times New Roman" w:hint="default"/>
          <w:w w:val="95"/>
        </w:rPr>
        <w:t>“</w:t>
      </w:r>
      <w:r>
        <w:rPr>
          <w:w w:val="95"/>
        </w:rPr>
        <w:t>公司</w:t>
      </w:r>
      <w:r>
        <w:rPr>
          <w:rFonts w:ascii="Times New Roman" w:hAnsi="Times New Roman" w:cs="Times New Roman" w:eastAsia="Times New Roman" w:hint="default"/>
          <w:w w:val="95"/>
        </w:rPr>
        <w:t>”</w:t>
      </w:r>
      <w:r>
        <w:rPr>
          <w:w w:val="95"/>
        </w:rPr>
        <w:t>或</w:t>
      </w:r>
      <w:r>
        <w:rPr>
          <w:rFonts w:ascii="Times New Roman" w:hAnsi="Times New Roman" w:cs="Times New Roman" w:eastAsia="Times New Roman" w:hint="default"/>
          <w:w w:val="95"/>
        </w:rPr>
        <w:t>“</w:t>
      </w:r>
      <w:r>
        <w:rPr>
          <w:w w:val="95"/>
        </w:rPr>
        <w:t>本公司</w:t>
      </w:r>
      <w:r>
        <w:rPr>
          <w:rFonts w:ascii="Times New Roman" w:hAnsi="Times New Roman" w:cs="Times New Roman" w:eastAsia="Times New Roman" w:hint="default"/>
          <w:w w:val="95"/>
        </w:rPr>
        <w:t>”</w:t>
      </w:r>
      <w:r>
        <w:rPr>
          <w:w w:val="95"/>
        </w:rPr>
        <w:t>）系于</w:t>
      </w:r>
      <w:r>
        <w:rPr>
          <w:rFonts w:ascii="Times New Roman" w:hAnsi="Times New Roman" w:cs="Times New Roman" w:eastAsia="Times New Roman" w:hint="default"/>
          <w:w w:val="95"/>
        </w:rPr>
        <w:t>2007</w:t>
      </w:r>
      <w:r>
        <w:rPr>
          <w:w w:val="95"/>
        </w:rPr>
        <w:t>年</w:t>
      </w:r>
      <w:r>
        <w:rPr>
          <w:rFonts w:ascii="Times New Roman" w:hAnsi="Times New Roman" w:cs="Times New Roman" w:eastAsia="Times New Roman" w:hint="default"/>
          <w:w w:val="95"/>
        </w:rPr>
        <w:t>7</w:t>
      </w:r>
      <w:r>
        <w:rPr>
          <w:w w:val="95"/>
        </w:rPr>
        <w:t>月</w:t>
      </w:r>
      <w:r>
        <w:rPr>
          <w:rFonts w:ascii="Times New Roman" w:hAnsi="Times New Roman" w:cs="Times New Roman" w:eastAsia="Times New Roman" w:hint="default"/>
          <w:w w:val="95"/>
        </w:rPr>
        <w:t>26</w:t>
      </w:r>
      <w:r>
        <w:rPr>
          <w:w w:val="95"/>
        </w:rPr>
        <w:t>日经北京市工商行政管理</w:t>
      </w:r>
      <w:r>
        <w:rPr>
          <w:spacing w:val="-60"/>
          <w:w w:val="95"/>
        </w:rPr>
        <w:t> </w:t>
      </w:r>
      <w:r>
        <w:rPr>
          <w:spacing w:val="-60"/>
          <w:w w:val="95"/>
        </w:rPr>
      </w:r>
      <w:r>
        <w:rPr/>
        <w:t>局</w:t>
      </w:r>
      <w:r>
        <w:rPr>
          <w:spacing w:val="-66"/>
        </w:rPr>
        <w:t> </w:t>
      </w:r>
      <w:r>
        <w:rPr/>
        <w:t>批</w:t>
      </w:r>
      <w:r>
        <w:rPr>
          <w:spacing w:val="-66"/>
        </w:rPr>
        <w:t> </w:t>
      </w:r>
      <w:r>
        <w:rPr/>
        <w:t>准</w:t>
      </w:r>
      <w:r>
        <w:rPr>
          <w:spacing w:val="-66"/>
        </w:rPr>
        <w:t> </w:t>
      </w:r>
      <w:r>
        <w:rPr/>
        <w:t>，</w:t>
      </w:r>
      <w:r>
        <w:rPr>
          <w:spacing w:val="-63"/>
        </w:rPr>
        <w:t> </w:t>
      </w:r>
      <w:r>
        <w:rPr/>
        <w:t>由</w:t>
      </w:r>
      <w:r>
        <w:rPr>
          <w:spacing w:val="-66"/>
        </w:rPr>
        <w:t> </w:t>
      </w:r>
      <w:r>
        <w:rPr/>
        <w:t>北</w:t>
      </w:r>
      <w:r>
        <w:rPr>
          <w:spacing w:val="-66"/>
        </w:rPr>
        <w:t> </w:t>
      </w:r>
      <w:r>
        <w:rPr/>
        <w:t>京</w:t>
      </w:r>
      <w:r>
        <w:rPr>
          <w:spacing w:val="-63"/>
        </w:rPr>
        <w:t> </w:t>
      </w:r>
      <w:r>
        <w:rPr/>
        <w:t>中</w:t>
      </w:r>
      <w:r>
        <w:rPr>
          <w:spacing w:val="-66"/>
        </w:rPr>
        <w:t> </w:t>
      </w:r>
      <w:r>
        <w:rPr/>
        <w:t>科</w:t>
      </w:r>
      <w:r>
        <w:rPr>
          <w:spacing w:val="-66"/>
        </w:rPr>
        <w:t> </w:t>
      </w:r>
      <w:r>
        <w:rPr/>
        <w:t>金</w:t>
      </w:r>
      <w:r>
        <w:rPr>
          <w:spacing w:val="-63"/>
        </w:rPr>
        <w:t> </w:t>
      </w:r>
      <w:r>
        <w:rPr/>
        <w:t>财</w:t>
      </w:r>
      <w:r>
        <w:rPr>
          <w:spacing w:val="-66"/>
        </w:rPr>
        <w:t> </w:t>
      </w:r>
      <w:r>
        <w:rPr/>
        <w:t>科</w:t>
      </w:r>
      <w:r>
        <w:rPr>
          <w:spacing w:val="-66"/>
        </w:rPr>
        <w:t> </w:t>
      </w:r>
      <w:r>
        <w:rPr/>
        <w:t>技</w:t>
      </w:r>
      <w:r>
        <w:rPr>
          <w:spacing w:val="-66"/>
        </w:rPr>
        <w:t> </w:t>
      </w:r>
      <w:r>
        <w:rPr/>
        <w:t>有</w:t>
      </w:r>
      <w:r>
        <w:rPr>
          <w:spacing w:val="-63"/>
        </w:rPr>
        <w:t> </w:t>
      </w:r>
      <w:r>
        <w:rPr/>
        <w:t>限</w:t>
      </w:r>
      <w:r>
        <w:rPr>
          <w:spacing w:val="-66"/>
        </w:rPr>
        <w:t> </w:t>
      </w:r>
      <w:r>
        <w:rPr/>
        <w:t>公</w:t>
      </w:r>
      <w:r>
        <w:rPr>
          <w:spacing w:val="-66"/>
        </w:rPr>
        <w:t> </w:t>
      </w:r>
      <w:r>
        <w:rPr/>
        <w:t>司</w:t>
      </w:r>
      <w:r>
        <w:rPr>
          <w:spacing w:val="-63"/>
        </w:rPr>
        <w:t> </w:t>
      </w:r>
      <w:r>
        <w:rPr/>
        <w:t>整</w:t>
      </w:r>
      <w:r>
        <w:rPr>
          <w:spacing w:val="-66"/>
        </w:rPr>
        <w:t> </w:t>
      </w:r>
      <w:r>
        <w:rPr/>
        <w:t>体</w:t>
      </w:r>
      <w:r>
        <w:rPr>
          <w:spacing w:val="-66"/>
        </w:rPr>
        <w:t> </w:t>
      </w:r>
      <w:r>
        <w:rPr/>
        <w:t>改</w:t>
      </w:r>
      <w:r>
        <w:rPr>
          <w:spacing w:val="-63"/>
        </w:rPr>
        <w:t> </w:t>
      </w:r>
      <w:r>
        <w:rPr/>
        <w:t>制</w:t>
      </w:r>
      <w:r>
        <w:rPr>
          <w:spacing w:val="-66"/>
        </w:rPr>
        <w:t> </w:t>
      </w:r>
      <w:r>
        <w:rPr/>
        <w:t>的</w:t>
      </w:r>
      <w:r>
        <w:rPr>
          <w:spacing w:val="-66"/>
        </w:rPr>
        <w:t> </w:t>
      </w:r>
      <w:r>
        <w:rPr/>
        <w:t>股</w:t>
      </w:r>
      <w:r>
        <w:rPr>
          <w:spacing w:val="-66"/>
        </w:rPr>
        <w:t> </w:t>
      </w:r>
      <w:r>
        <w:rPr/>
        <w:t>份</w:t>
      </w:r>
      <w:r>
        <w:rPr>
          <w:spacing w:val="-63"/>
        </w:rPr>
        <w:t> </w:t>
      </w:r>
      <w:r>
        <w:rPr/>
        <w:t>有</w:t>
      </w:r>
      <w:r>
        <w:rPr>
          <w:spacing w:val="-66"/>
        </w:rPr>
        <w:t> </w:t>
      </w:r>
      <w:r>
        <w:rPr/>
        <w:t>限</w:t>
      </w:r>
      <w:r>
        <w:rPr>
          <w:spacing w:val="-66"/>
        </w:rPr>
        <w:t> </w:t>
      </w:r>
      <w:r>
        <w:rPr/>
        <w:t>公</w:t>
      </w:r>
      <w:r>
        <w:rPr>
          <w:spacing w:val="-63"/>
        </w:rPr>
        <w:t> </w:t>
      </w:r>
      <w:r>
        <w:rPr/>
        <w:t>司</w:t>
      </w:r>
      <w:r>
        <w:rPr>
          <w:spacing w:val="-66"/>
        </w:rPr>
        <w:t> </w:t>
      </w:r>
      <w:r>
        <w:rPr/>
        <w:t>。</w:t>
      </w:r>
      <w:r>
        <w:rPr>
          <w:spacing w:val="-66"/>
        </w:rPr>
        <w:t> </w:t>
      </w:r>
      <w:r>
        <w:rPr/>
        <w:t>公</w:t>
      </w:r>
      <w:r>
        <w:rPr>
          <w:spacing w:val="-63"/>
        </w:rPr>
        <w:t> </w:t>
      </w:r>
      <w:r>
        <w:rPr/>
        <w:t>司</w:t>
      </w:r>
      <w:r>
        <w:rPr>
          <w:spacing w:val="-66"/>
        </w:rPr>
        <w:t> </w:t>
      </w:r>
      <w:r>
        <w:rPr/>
        <w:t>的</w:t>
      </w:r>
      <w:r>
        <w:rPr>
          <w:spacing w:val="-66"/>
        </w:rPr>
        <w:t> </w:t>
      </w:r>
      <w:r>
        <w:rPr/>
        <w:t>统</w:t>
      </w:r>
      <w:r>
        <w:rPr>
          <w:spacing w:val="-66"/>
        </w:rPr>
        <w:t> </w:t>
      </w:r>
      <w:r>
        <w:rPr/>
        <w:t>一</w:t>
      </w:r>
      <w:r>
        <w:rPr>
          <w:spacing w:val="-63"/>
        </w:rPr>
        <w:t> </w:t>
      </w:r>
      <w:r>
        <w:rPr/>
        <w:t>社</w:t>
      </w:r>
      <w:r>
        <w:rPr>
          <w:spacing w:val="-66"/>
        </w:rPr>
        <w:t> </w:t>
      </w:r>
      <w:r>
        <w:rPr/>
        <w:t>会</w:t>
      </w:r>
      <w:r>
        <w:rPr>
          <w:spacing w:val="-66"/>
        </w:rPr>
        <w:t> </w:t>
      </w:r>
      <w:r>
        <w:rPr/>
        <w:t>信</w:t>
      </w:r>
      <w:r>
        <w:rPr>
          <w:spacing w:val="-63"/>
        </w:rPr>
        <w:t> </w:t>
      </w:r>
      <w:r>
        <w:rPr/>
        <w:t>用</w:t>
      </w:r>
      <w:r>
        <w:rPr>
          <w:spacing w:val="-66"/>
        </w:rPr>
        <w:t> </w:t>
      </w:r>
      <w:r>
        <w:rPr/>
        <w:t>代</w:t>
      </w:r>
      <w:r>
        <w:rPr>
          <w:spacing w:val="-66"/>
        </w:rPr>
        <w:t> </w:t>
      </w:r>
      <w:r>
        <w:rPr/>
        <w:t>码</w:t>
      </w:r>
      <w:r>
        <w:rPr>
          <w:spacing w:val="-63"/>
        </w:rPr>
        <w:t> </w:t>
      </w:r>
      <w:r>
        <w:rPr/>
        <w:t>：</w:t>
      </w:r>
      <w:r>
        <w:rPr>
          <w:w w:val="99"/>
        </w:rPr>
        <w:t> </w:t>
      </w:r>
      <w:r>
        <w:rPr>
          <w:rFonts w:ascii="Times New Roman" w:hAnsi="Times New Roman" w:cs="Times New Roman" w:eastAsia="Times New Roman" w:hint="default"/>
        </w:rPr>
        <w:t>91110000757740123M</w:t>
      </w:r>
      <w:r>
        <w:rPr/>
        <w:t>。</w:t>
      </w:r>
      <w:r>
        <w:rPr>
          <w:spacing w:val="-33"/>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月在深圳证券交易所上市，所属行业为电子类软件和信息技术服务业。</w:t>
      </w:r>
    </w:p>
    <w:p>
      <w:pPr>
        <w:pStyle w:val="BodyText"/>
        <w:spacing w:line="412" w:lineRule="auto" w:before="28"/>
        <w:ind w:right="1131" w:firstLine="401"/>
        <w:jc w:val="both"/>
      </w:pPr>
      <w:r>
        <w:rPr>
          <w:spacing w:val="-1"/>
          <w:w w:val="95"/>
        </w:rPr>
        <w:t>截至</w:t>
      </w:r>
      <w:r>
        <w:rPr>
          <w:rFonts w:ascii="Times New Roman" w:hAnsi="Times New Roman" w:cs="Times New Roman" w:eastAsia="Times New Roman" w:hint="default"/>
          <w:spacing w:val="-1"/>
          <w:w w:val="95"/>
        </w:rPr>
        <w:t>2019</w:t>
      </w:r>
      <w:r>
        <w:rPr>
          <w:spacing w:val="-1"/>
          <w:w w:val="95"/>
        </w:rPr>
        <w:t>年</w:t>
      </w:r>
      <w:r>
        <w:rPr>
          <w:rFonts w:ascii="Times New Roman" w:hAnsi="Times New Roman" w:cs="Times New Roman" w:eastAsia="Times New Roman" w:hint="default"/>
          <w:spacing w:val="-1"/>
          <w:w w:val="95"/>
        </w:rPr>
        <w:t>12</w:t>
      </w:r>
      <w:r>
        <w:rPr>
          <w:spacing w:val="-1"/>
          <w:w w:val="95"/>
        </w:rPr>
        <w:t>月</w:t>
      </w:r>
      <w:r>
        <w:rPr>
          <w:rFonts w:ascii="Times New Roman" w:hAnsi="Times New Roman" w:cs="Times New Roman" w:eastAsia="Times New Roman" w:hint="default"/>
          <w:spacing w:val="-1"/>
          <w:w w:val="95"/>
        </w:rPr>
        <w:t>31</w:t>
      </w:r>
      <w:r>
        <w:rPr>
          <w:spacing w:val="-1"/>
          <w:w w:val="95"/>
        </w:rPr>
        <w:t>日，本公司累计发行股本总数</w:t>
      </w:r>
      <w:r>
        <w:rPr>
          <w:rFonts w:ascii="Times New Roman" w:hAnsi="Times New Roman" w:cs="Times New Roman" w:eastAsia="Times New Roman" w:hint="default"/>
          <w:spacing w:val="-1"/>
          <w:w w:val="95"/>
        </w:rPr>
        <w:t>337,576,686</w:t>
      </w:r>
      <w:r>
        <w:rPr>
          <w:spacing w:val="-1"/>
          <w:w w:val="95"/>
        </w:rPr>
        <w:t>股，注册资本为</w:t>
      </w:r>
      <w:r>
        <w:rPr>
          <w:rFonts w:ascii="Times New Roman" w:hAnsi="Times New Roman" w:cs="Times New Roman" w:eastAsia="Times New Roman" w:hint="default"/>
          <w:spacing w:val="-1"/>
          <w:w w:val="95"/>
        </w:rPr>
        <w:t>337,576,686.00</w:t>
      </w:r>
      <w:r>
        <w:rPr>
          <w:spacing w:val="-1"/>
          <w:w w:val="95"/>
        </w:rPr>
        <w:t>元。注册地</w:t>
      </w:r>
      <w:r>
        <w:rPr>
          <w:rFonts w:ascii="Times New Roman" w:hAnsi="Times New Roman" w:cs="Times New Roman" w:eastAsia="Times New Roman" w:hint="default"/>
          <w:spacing w:val="-1"/>
          <w:w w:val="95"/>
        </w:rPr>
        <w:t>:</w:t>
      </w:r>
      <w:r>
        <w:rPr>
          <w:spacing w:val="-1"/>
          <w:w w:val="95"/>
        </w:rPr>
        <w:t>北京</w:t>
      </w:r>
      <w:r>
        <w:rPr>
          <w:spacing w:val="-44"/>
          <w:w w:val="95"/>
        </w:rPr>
        <w:t> </w:t>
      </w:r>
      <w:r>
        <w:rPr/>
        <w:t>市海淀区学院路</w:t>
      </w:r>
      <w:r>
        <w:rPr>
          <w:rFonts w:ascii="Times New Roman" w:hAnsi="Times New Roman" w:cs="Times New Roman" w:eastAsia="Times New Roman" w:hint="default"/>
        </w:rPr>
        <w:t>39</w:t>
      </w:r>
      <w:r>
        <w:rPr/>
        <w:t>号唯实大厦</w:t>
      </w:r>
      <w:r>
        <w:rPr>
          <w:rFonts w:ascii="Times New Roman" w:hAnsi="Times New Roman" w:cs="Times New Roman" w:eastAsia="Times New Roman" w:hint="default"/>
        </w:rPr>
        <w:t>1006</w:t>
      </w:r>
      <w:r>
        <w:rPr/>
        <w:t>室，总部地址：北京市海淀区学院路</w:t>
      </w:r>
      <w:r>
        <w:rPr>
          <w:rFonts w:ascii="Times New Roman" w:hAnsi="Times New Roman" w:cs="Times New Roman" w:eastAsia="Times New Roman" w:hint="default"/>
        </w:rPr>
        <w:t>39</w:t>
      </w:r>
      <w:r>
        <w:rPr/>
        <w:t>号唯实大厦</w:t>
      </w:r>
      <w:r>
        <w:rPr>
          <w:rFonts w:ascii="Times New Roman" w:hAnsi="Times New Roman" w:cs="Times New Roman" w:eastAsia="Times New Roman" w:hint="default"/>
        </w:rPr>
        <w:t>10</w:t>
      </w:r>
      <w:r>
        <w:rPr/>
        <w:t>层。本公司主要经营活</w:t>
      </w:r>
      <w:r>
        <w:rPr>
          <w:spacing w:val="-74"/>
        </w:rPr>
        <w:t> </w:t>
      </w:r>
      <w:r>
        <w:rPr>
          <w:spacing w:val="-74"/>
        </w:rPr>
      </w:r>
      <w:r>
        <w:rPr/>
        <w:t>动为：计算机软件技术开发；计算机系统集成及服务；与计算机技术相关的产品销售及其他衍生业务。本公司</w:t>
      </w:r>
      <w:r>
        <w:rPr>
          <w:spacing w:val="-75"/>
        </w:rPr>
        <w:t> </w:t>
      </w:r>
      <w:r>
        <w:rPr>
          <w:spacing w:val="-75"/>
        </w:rPr>
      </w:r>
      <w:r>
        <w:rPr/>
        <w:t>的实际控制人为沈飒、朱烨东夫妇。</w:t>
      </w:r>
    </w:p>
    <w:p>
      <w:pPr>
        <w:pStyle w:val="BodyText"/>
        <w:spacing w:line="405" w:lineRule="auto" w:before="62"/>
        <w:ind w:left="554" w:right="4552"/>
        <w:jc w:val="left"/>
      </w:pPr>
      <w:r>
        <w:rPr/>
        <w:t>本财务报表业经公司全体董事于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日批准报出。</w:t>
      </w:r>
      <w:r>
        <w:rPr>
          <w:w w:val="99"/>
        </w:rPr>
        <w:t> </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p>
      <w:pPr>
        <w:spacing w:after="0" w:line="405"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29" w:lineRule="auto"/>
        <w:ind w:right="1131" w:firstLine="401"/>
        <w:jc w:val="both"/>
      </w:pPr>
      <w:r>
        <w:rPr/>
        <w:t>子公司名称：天津中科金财科技有限公司、北京中科金财信息科技有限公司、北京中科金财软件技术有限</w:t>
      </w:r>
      <w:r>
        <w:rPr>
          <w:w w:val="99"/>
        </w:rPr>
        <w:t> </w:t>
      </w:r>
      <w:r>
        <w:rPr/>
        <w:t>公司、北京中科金财投资管理有限公司、中科金财（上海）互联网金融信息服务有限公司、北京国信金泽投资</w:t>
      </w:r>
      <w:r>
        <w:rPr>
          <w:spacing w:val="-77"/>
        </w:rPr>
        <w:t> </w:t>
      </w:r>
      <w:r>
        <w:rPr>
          <w:spacing w:val="-77"/>
        </w:rPr>
      </w:r>
      <w:r>
        <w:rPr/>
        <w:t>中心（有限合伙）、天津壬辰软件开发有限公司、大连鼎运企业管理有限公司、深圳前海中科金财金控投资有</w:t>
      </w:r>
      <w:r>
        <w:rPr>
          <w:spacing w:val="-67"/>
        </w:rPr>
        <w:t> </w:t>
      </w:r>
      <w:r>
        <w:rPr>
          <w:spacing w:val="-67"/>
        </w:rPr>
      </w:r>
      <w:r>
        <w:rPr/>
        <w:t>限公司、深圳中金财富科技有限公司、华缔资产管理（北京）有限公司、中科金财保险经纪有限公司、香港中</w:t>
      </w:r>
      <w:r>
        <w:rPr>
          <w:spacing w:val="-77"/>
        </w:rPr>
        <w:t> </w:t>
      </w:r>
      <w:r>
        <w:rPr>
          <w:spacing w:val="-77"/>
        </w:rPr>
      </w:r>
      <w:r>
        <w:rPr/>
        <w:t>科金财科技有限公司、北京志东方科技有限责任公司、北京中科金财智能技术有限公司。</w:t>
      </w:r>
    </w:p>
    <w:p>
      <w:pPr>
        <w:pStyle w:val="BodyText"/>
        <w:spacing w:line="240" w:lineRule="auto" w:before="48"/>
        <w:ind w:left="554" w:right="1133"/>
        <w:jc w:val="left"/>
      </w:pPr>
      <w:r>
        <w:rPr/>
        <w:t>本期合并财务报表范围及其变化情况详见本附注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  </w:t>
      </w:r>
      <w:r>
        <w:rPr/>
        <w:t>和</w:t>
      </w:r>
      <w:r>
        <w:rPr>
          <w:spacing w:val="-47"/>
        </w:rPr>
        <w:t> </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9"/>
          <w:szCs w:val="29"/>
        </w:rPr>
      </w:pPr>
    </w:p>
    <w:p>
      <w:pPr>
        <w:pStyle w:val="Heading2"/>
        <w:spacing w:line="240" w:lineRule="auto"/>
        <w:ind w:right="1133"/>
        <w:jc w:val="left"/>
        <w:rPr>
          <w:b w:val="0"/>
          <w:bCs w:val="0"/>
        </w:rPr>
      </w:pPr>
      <w:bookmarkStart w:name="四、财务报表的编制基础" w:id="167"/>
      <w:bookmarkEnd w:id="167"/>
      <w:r>
        <w:rPr>
          <w:b w:val="0"/>
          <w:bCs w:val="0"/>
        </w:rPr>
      </w: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编制基础" w:id="168"/>
      <w:bookmarkEnd w:id="168"/>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12"/>
        <w:rPr>
          <w:rFonts w:ascii="宋体" w:hAnsi="宋体" w:cs="宋体" w:eastAsia="宋体" w:hint="default"/>
          <w:b/>
          <w:bCs/>
          <w:sz w:val="30"/>
          <w:szCs w:val="30"/>
        </w:rPr>
      </w:pPr>
    </w:p>
    <w:p>
      <w:pPr>
        <w:pStyle w:val="BodyText"/>
        <w:spacing w:line="405" w:lineRule="auto"/>
        <w:ind w:right="1092" w:firstLine="401"/>
        <w:jc w:val="both"/>
      </w:pPr>
      <w:r>
        <w:rPr/>
        <w:t>公司以持续经营为基础，根据实际发生的交易和事项，按照财政部颁布的《企业会计准则</w:t>
      </w:r>
      <w:r>
        <w:rPr>
          <w:rFonts w:ascii="Times New Roman" w:hAnsi="Times New Roman" w:cs="Times New Roman" w:eastAsia="Times New Roman" w:hint="default"/>
        </w:rPr>
        <w:t>——</w:t>
      </w:r>
      <w:r>
        <w:rPr/>
        <w:t>基本准则》</w:t>
      </w:r>
      <w:r>
        <w:rPr>
          <w:w w:val="99"/>
        </w:rPr>
        <w:t> </w:t>
      </w:r>
      <w:r>
        <w:rPr>
          <w:spacing w:val="-6"/>
        </w:rPr>
        <w:t>和各项具体会计准则、企业会计准则应用指南、企业会计准则解释及其他相关规定（以下合称</w:t>
      </w:r>
      <w:r>
        <w:rPr>
          <w:rFonts w:ascii="Times New Roman" w:hAnsi="Times New Roman" w:cs="Times New Roman" w:eastAsia="Times New Roman" w:hint="default"/>
          <w:spacing w:val="-6"/>
        </w:rPr>
        <w:t>“</w:t>
      </w:r>
      <w:r>
        <w:rPr>
          <w:spacing w:val="-6"/>
        </w:rPr>
        <w:t>企业会计准则</w:t>
      </w:r>
      <w:r>
        <w:rPr>
          <w:rFonts w:ascii="Times New Roman" w:hAnsi="Times New Roman" w:cs="Times New Roman" w:eastAsia="Times New Roman" w:hint="default"/>
          <w:spacing w:val="-6"/>
        </w:rPr>
        <w:t>”</w:t>
      </w:r>
      <w:r>
        <w:rPr>
          <w:spacing w:val="-6"/>
        </w:rPr>
        <w:t>），</w:t>
      </w:r>
      <w:r>
        <w:rPr>
          <w:spacing w:val="-60"/>
          <w:w w:val="99"/>
        </w:rPr>
        <w:t> </w:t>
      </w:r>
      <w:r>
        <w:rPr/>
        <w:t>以及中国证券监督管理委员会《公开发行证券的公司信息披露编报规则第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财务报告的一般规定》的披</w:t>
      </w:r>
      <w:r>
        <w:rPr>
          <w:spacing w:val="-72"/>
        </w:rPr>
        <w:t> </w:t>
      </w:r>
      <w:r>
        <w:rPr>
          <w:spacing w:val="-72"/>
        </w:rPr>
      </w:r>
      <w:r>
        <w:rPr/>
        <w:t>露规定编制财务报表。</w:t>
      </w:r>
    </w:p>
    <w:p>
      <w:pPr>
        <w:spacing w:line="240" w:lineRule="auto" w:before="10"/>
        <w:rPr>
          <w:rFonts w:ascii="宋体" w:hAnsi="宋体" w:cs="宋体" w:eastAsia="宋体" w:hint="default"/>
          <w:sz w:val="21"/>
          <w:szCs w:val="21"/>
        </w:rPr>
      </w:pPr>
    </w:p>
    <w:p>
      <w:pPr>
        <w:pStyle w:val="Heading3"/>
        <w:spacing w:line="240" w:lineRule="auto"/>
        <w:ind w:right="1133"/>
        <w:jc w:val="left"/>
        <w:rPr>
          <w:b w:val="0"/>
          <w:bCs w:val="0"/>
        </w:rPr>
      </w:pPr>
      <w:bookmarkStart w:name="2、持续经营" w:id="169"/>
      <w:bookmarkEnd w:id="169"/>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2"/>
        <w:rPr>
          <w:rFonts w:ascii="宋体" w:hAnsi="宋体" w:cs="宋体" w:eastAsia="宋体" w:hint="default"/>
          <w:b/>
          <w:bCs/>
          <w:sz w:val="31"/>
          <w:szCs w:val="31"/>
        </w:rPr>
      </w:pPr>
    </w:p>
    <w:p>
      <w:pPr>
        <w:pStyle w:val="BodyText"/>
        <w:spacing w:line="240" w:lineRule="auto"/>
        <w:ind w:left="554" w:right="1133"/>
        <w:jc w:val="left"/>
      </w:pPr>
      <w:r>
        <w:rPr/>
        <w:t>公司自报告期末起</w:t>
      </w:r>
      <w:r>
        <w:rPr>
          <w:rFonts w:ascii="宋体" w:hAnsi="宋体" w:cs="宋体" w:eastAsia="宋体" w:hint="default"/>
        </w:rPr>
        <w:t>12</w:t>
      </w:r>
      <w:r>
        <w:rPr/>
        <w:t>个月的持续经营能力，不存在导致对持续经营能力产生重大怀疑的因素。</w:t>
      </w:r>
    </w:p>
    <w:p>
      <w:pPr>
        <w:spacing w:line="240" w:lineRule="auto" w:before="0"/>
        <w:rPr>
          <w:rFonts w:ascii="宋体" w:hAnsi="宋体" w:cs="宋体" w:eastAsia="宋体" w:hint="default"/>
          <w:sz w:val="20"/>
          <w:szCs w:val="20"/>
        </w:rPr>
      </w:pPr>
    </w:p>
    <w:p>
      <w:pPr>
        <w:pStyle w:val="Heading2"/>
        <w:spacing w:line="240" w:lineRule="auto" w:before="136"/>
        <w:ind w:right="1133"/>
        <w:jc w:val="left"/>
        <w:rPr>
          <w:b w:val="0"/>
          <w:bCs w:val="0"/>
        </w:rPr>
      </w:pPr>
      <w:bookmarkStart w:name="五、重要会计政策及会计估计" w:id="170"/>
      <w:bookmarkEnd w:id="170"/>
      <w:r>
        <w:rPr>
          <w:b w:val="0"/>
          <w:bCs w:val="0"/>
        </w:rPr>
      </w:r>
      <w:r>
        <w:rPr/>
        <w:t>五、重要会计政策及会计估计</w:t>
      </w:r>
      <w:r>
        <w:rPr>
          <w:b w:val="0"/>
          <w:bCs w:val="0"/>
        </w:rPr>
      </w:r>
    </w:p>
    <w:p>
      <w:pPr>
        <w:spacing w:line="240" w:lineRule="auto" w:before="1"/>
        <w:rPr>
          <w:rFonts w:ascii="宋体" w:hAnsi="宋体" w:cs="宋体" w:eastAsia="宋体" w:hint="default"/>
          <w:b/>
          <w:bCs/>
          <w:sz w:val="25"/>
          <w:szCs w:val="25"/>
        </w:rPr>
      </w:pPr>
    </w:p>
    <w:p>
      <w:pPr>
        <w:pStyle w:val="BodyText"/>
        <w:spacing w:line="396" w:lineRule="auto"/>
        <w:ind w:left="554" w:right="1133" w:hanging="402"/>
        <w:jc w:val="left"/>
      </w:pPr>
      <w:r>
        <w:rPr/>
        <w:t>具体会计政策和会计估计提示：</w:t>
      </w:r>
      <w:r>
        <w:rPr>
          <w:w w:val="99"/>
        </w:rPr>
        <w:t> </w:t>
      </w:r>
      <w:r>
        <w:rPr/>
        <w:t>根据生产经营特点，依据企业会计准则的相关规定，本公司及子公司制定了收入确认等具体会计政策和会</w:t>
      </w:r>
    </w:p>
    <w:p>
      <w:pPr>
        <w:pStyle w:val="BodyText"/>
        <w:spacing w:line="240" w:lineRule="auto" w:before="76"/>
        <w:ind w:right="1133"/>
        <w:jc w:val="left"/>
      </w:pPr>
      <w:r>
        <w:rPr/>
        <w:t>计估计，以下披露内容已涵盖了本公司根据实际生产经营特点制定的具体会计政策和会计估计。</w:t>
      </w:r>
    </w:p>
    <w:p>
      <w:pPr>
        <w:spacing w:line="240" w:lineRule="auto" w:before="0"/>
        <w:rPr>
          <w:rFonts w:ascii="宋体" w:hAnsi="宋体" w:cs="宋体" w:eastAsia="宋体" w:hint="default"/>
          <w:sz w:val="20"/>
          <w:szCs w:val="20"/>
        </w:rPr>
      </w:pPr>
    </w:p>
    <w:p>
      <w:pPr>
        <w:pStyle w:val="Heading3"/>
        <w:spacing w:line="240" w:lineRule="auto" w:before="161"/>
        <w:ind w:right="1133"/>
        <w:jc w:val="left"/>
        <w:rPr>
          <w:b w:val="0"/>
          <w:bCs w:val="0"/>
        </w:rPr>
      </w:pPr>
      <w:bookmarkStart w:name="1、遵循企业会计准则的声明" w:id="171"/>
      <w:bookmarkEnd w:id="171"/>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12"/>
        <w:rPr>
          <w:rFonts w:ascii="宋体" w:hAnsi="宋体" w:cs="宋体" w:eastAsia="宋体" w:hint="default"/>
          <w:b/>
          <w:bCs/>
          <w:sz w:val="30"/>
          <w:szCs w:val="30"/>
        </w:rPr>
      </w:pPr>
    </w:p>
    <w:p>
      <w:pPr>
        <w:pStyle w:val="BodyText"/>
        <w:spacing w:line="429" w:lineRule="auto"/>
        <w:ind w:right="1134" w:firstLine="401"/>
        <w:jc w:val="both"/>
      </w:pPr>
      <w:r>
        <w:rPr/>
        <w:t>本财务报表符合财政部颁布的企业会计准则的要求，真实、完整地反映了本公司</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日的合并及</w:t>
      </w:r>
      <w:r>
        <w:rPr>
          <w:w w:val="99"/>
        </w:rPr>
        <w:t> </w:t>
      </w:r>
      <w:r>
        <w:rPr/>
        <w:t>母公司财务状况以及</w:t>
      </w:r>
      <w:r>
        <w:rPr>
          <w:rFonts w:ascii="宋体" w:hAnsi="宋体" w:cs="宋体" w:eastAsia="宋体" w:hint="default"/>
        </w:rPr>
        <w:t>2019</w:t>
      </w:r>
      <w:r>
        <w:rPr/>
        <w:t>年度的合并及母公司经营成果和现金流量。</w:t>
      </w:r>
    </w:p>
    <w:p>
      <w:pPr>
        <w:spacing w:line="240" w:lineRule="auto" w:before="3"/>
        <w:rPr>
          <w:rFonts w:ascii="宋体" w:hAnsi="宋体" w:cs="宋体" w:eastAsia="宋体" w:hint="default"/>
          <w:sz w:val="20"/>
          <w:szCs w:val="20"/>
        </w:rPr>
      </w:pPr>
    </w:p>
    <w:p>
      <w:pPr>
        <w:pStyle w:val="Heading3"/>
        <w:spacing w:line="240" w:lineRule="auto"/>
        <w:ind w:right="1133"/>
        <w:jc w:val="left"/>
        <w:rPr>
          <w:b w:val="0"/>
          <w:bCs w:val="0"/>
        </w:rPr>
      </w:pPr>
      <w:bookmarkStart w:name="2、会计期间" w:id="172"/>
      <w:bookmarkEnd w:id="172"/>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2"/>
        <w:rPr>
          <w:rFonts w:ascii="宋体" w:hAnsi="宋体" w:cs="宋体" w:eastAsia="宋体" w:hint="default"/>
          <w:b/>
          <w:bCs/>
          <w:sz w:val="31"/>
          <w:szCs w:val="31"/>
        </w:rPr>
      </w:pPr>
    </w:p>
    <w:p>
      <w:pPr>
        <w:pStyle w:val="BodyText"/>
        <w:spacing w:line="240" w:lineRule="auto"/>
        <w:ind w:left="554" w:right="1133"/>
        <w:jc w:val="left"/>
      </w:pPr>
      <w:r>
        <w:rPr/>
        <w:t>自公历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日止为一个会计年度。</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3、营业周期" w:id="173"/>
      <w:bookmarkEnd w:id="173"/>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2"/>
        <w:rPr>
          <w:rFonts w:ascii="宋体" w:hAnsi="宋体" w:cs="宋体" w:eastAsia="宋体" w:hint="default"/>
          <w:b/>
          <w:bCs/>
          <w:sz w:val="31"/>
          <w:szCs w:val="31"/>
        </w:rPr>
      </w:pPr>
    </w:p>
    <w:p>
      <w:pPr>
        <w:pStyle w:val="BodyText"/>
        <w:spacing w:line="240" w:lineRule="auto"/>
        <w:ind w:left="554" w:right="1133"/>
        <w:jc w:val="left"/>
      </w:pPr>
      <w:r>
        <w:rPr/>
        <w:t>本公司营业周期为</w:t>
      </w:r>
      <w:r>
        <w:rPr>
          <w:rFonts w:ascii="宋体" w:hAnsi="宋体" w:cs="宋体" w:eastAsia="宋体" w:hint="default"/>
        </w:rPr>
        <w:t>12</w:t>
      </w:r>
      <w:r>
        <w:rPr/>
        <w:t>个月。</w:t>
      </w:r>
    </w:p>
    <w:p>
      <w:pPr>
        <w:spacing w:line="240" w:lineRule="auto" w:before="0"/>
        <w:rPr>
          <w:rFonts w:ascii="宋体" w:hAnsi="宋体" w:cs="宋体" w:eastAsia="宋体" w:hint="default"/>
          <w:sz w:val="20"/>
          <w:szCs w:val="20"/>
        </w:rPr>
      </w:pPr>
    </w:p>
    <w:p>
      <w:pPr>
        <w:pStyle w:val="Heading3"/>
        <w:spacing w:line="240" w:lineRule="auto" w:before="161"/>
        <w:ind w:right="1133"/>
        <w:jc w:val="left"/>
        <w:rPr>
          <w:b w:val="0"/>
          <w:bCs w:val="0"/>
        </w:rPr>
      </w:pPr>
      <w:bookmarkStart w:name="4、记账本位币" w:id="174"/>
      <w:bookmarkEnd w:id="174"/>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12"/>
        <w:rPr>
          <w:rFonts w:ascii="宋体" w:hAnsi="宋体" w:cs="宋体" w:eastAsia="宋体" w:hint="default"/>
          <w:b/>
          <w:bCs/>
          <w:sz w:val="30"/>
          <w:szCs w:val="30"/>
        </w:rPr>
      </w:pPr>
    </w:p>
    <w:p>
      <w:pPr>
        <w:pStyle w:val="BodyText"/>
        <w:spacing w:line="240" w:lineRule="auto"/>
        <w:ind w:left="554" w:right="1133"/>
        <w:jc w:val="left"/>
      </w:pPr>
      <w:r>
        <w:rPr/>
        <w:t>本公司采用人民币为记账本位币。</w:t>
      </w:r>
    </w:p>
    <w:p>
      <w:pPr>
        <w:spacing w:line="240" w:lineRule="auto" w:before="0"/>
        <w:rPr>
          <w:rFonts w:ascii="宋体" w:hAnsi="宋体" w:cs="宋体" w:eastAsia="宋体" w:hint="default"/>
          <w:sz w:val="20"/>
          <w:szCs w:val="20"/>
        </w:rPr>
      </w:pPr>
    </w:p>
    <w:p>
      <w:pPr>
        <w:pStyle w:val="Heading3"/>
        <w:spacing w:line="240" w:lineRule="auto" w:before="161"/>
        <w:ind w:right="1133"/>
        <w:jc w:val="left"/>
        <w:rPr>
          <w:b w:val="0"/>
          <w:bCs w:val="0"/>
        </w:rPr>
      </w:pPr>
      <w:bookmarkStart w:name="5、同一控制下和非同一控制下企业合并的会计处理方法" w:id="175"/>
      <w:bookmarkEnd w:id="175"/>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2"/>
        <w:rPr>
          <w:rFonts w:ascii="宋体" w:hAnsi="宋体" w:cs="宋体" w:eastAsia="宋体" w:hint="default"/>
          <w:b/>
          <w:bCs/>
          <w:sz w:val="31"/>
          <w:szCs w:val="31"/>
        </w:rPr>
      </w:pPr>
    </w:p>
    <w:p>
      <w:pPr>
        <w:pStyle w:val="BodyText"/>
        <w:spacing w:line="429" w:lineRule="auto"/>
        <w:ind w:right="1134" w:firstLine="401"/>
        <w:jc w:val="both"/>
      </w:pPr>
      <w:r>
        <w:rPr/>
        <w:t>同一控制下企业合并：合并方在企业合并中取得的资产和负债，按照合并日被合并方资产、负债（包括最</w:t>
      </w:r>
      <w:r>
        <w:rPr>
          <w:w w:val="99"/>
        </w:rPr>
        <w:t> </w:t>
      </w:r>
      <w:r>
        <w:rPr/>
        <w:t>终控制方收购被合并方而形成的商誉）在最终控制方合并财务报表中的账面价值计量。在合并中取得的净资产</w:t>
      </w:r>
      <w:r>
        <w:rPr>
          <w:spacing w:val="-70"/>
        </w:rPr>
        <w:t> </w:t>
      </w:r>
      <w:r>
        <w:rPr>
          <w:spacing w:val="-70"/>
        </w:rPr>
      </w:r>
      <w:r>
        <w:rPr/>
        <w:t>账面价值与支付的合并对价账面价值（或发行股份面值总额）的差额，调整资本公积中的股本溢价，资本公积</w:t>
      </w:r>
      <w:r>
        <w:rPr>
          <w:spacing w:val="-77"/>
        </w:rPr>
        <w:t> </w:t>
      </w:r>
      <w:r>
        <w:rPr>
          <w:spacing w:val="-77"/>
        </w:rPr>
      </w:r>
      <w:r>
        <w:rPr/>
        <w:t>中的股本溢价不足冲减的，调整留存收益。</w:t>
      </w:r>
    </w:p>
    <w:p>
      <w:pPr>
        <w:pStyle w:val="BodyText"/>
        <w:spacing w:line="429" w:lineRule="auto" w:before="48"/>
        <w:ind w:right="1141" w:firstLine="401"/>
        <w:jc w:val="both"/>
      </w:pPr>
      <w:r>
        <w:rPr/>
        <w:t>非同一控制下企业合并：购买方在购买日对作为企业合并对价付出的资产、发生或承担的负债按照公允价</w:t>
      </w:r>
      <w:r>
        <w:rPr>
          <w:w w:val="99"/>
        </w:rPr>
        <w:t> </w:t>
      </w:r>
      <w:r>
        <w:rPr/>
        <w:t>值计量，公允价值与其账面价值的差额，计入当期损益。合并成本大于合并中取得的被购买方可辨认净资产公</w:t>
      </w:r>
      <w:r>
        <w:rPr>
          <w:spacing w:val="-77"/>
        </w:rPr>
        <w:t> </w:t>
      </w:r>
      <w:r>
        <w:rPr>
          <w:spacing w:val="-77"/>
        </w:rPr>
      </w:r>
      <w:r>
        <w:rPr/>
        <w:t>允价值份额的差额，确认为商誉；合并成本小于合并中取得的被购买方可辨认净资产公允价值份额的差额，计</w:t>
      </w:r>
      <w:r>
        <w:rPr>
          <w:spacing w:val="-77"/>
        </w:rPr>
        <w:t> </w:t>
      </w:r>
      <w:r>
        <w:rPr>
          <w:spacing w:val="-77"/>
        </w:rPr>
      </w:r>
      <w:r>
        <w:rPr/>
        <w:t>入当期损益。</w:t>
      </w:r>
    </w:p>
    <w:p>
      <w:pPr>
        <w:pStyle w:val="BodyText"/>
        <w:spacing w:line="429" w:lineRule="auto" w:before="48"/>
        <w:ind w:right="1136" w:firstLine="401"/>
        <w:jc w:val="both"/>
      </w:pPr>
      <w:r>
        <w:rPr/>
        <w:t>为企业合并发生的直接相关费用于发生时计入当期损益；为企业合并而发行权益性证券或债务性证券的交</w:t>
      </w:r>
      <w:r>
        <w:rPr>
          <w:w w:val="99"/>
        </w:rPr>
        <w:t> </w:t>
      </w:r>
      <w:r>
        <w:rPr/>
        <w:t>易费用，计入权益性证券或债务性证券的初始确认金额。</w:t>
      </w:r>
    </w:p>
    <w:p>
      <w:pPr>
        <w:spacing w:line="240" w:lineRule="auto" w:before="3"/>
        <w:rPr>
          <w:rFonts w:ascii="宋体" w:hAnsi="宋体" w:cs="宋体" w:eastAsia="宋体" w:hint="default"/>
          <w:sz w:val="20"/>
          <w:szCs w:val="20"/>
        </w:rPr>
      </w:pPr>
    </w:p>
    <w:p>
      <w:pPr>
        <w:pStyle w:val="Heading3"/>
        <w:spacing w:line="240" w:lineRule="auto"/>
        <w:ind w:right="1133"/>
        <w:jc w:val="left"/>
        <w:rPr>
          <w:b w:val="0"/>
          <w:bCs w:val="0"/>
        </w:rPr>
      </w:pPr>
      <w:bookmarkStart w:name="6、合并财务报表的编制方法" w:id="176"/>
      <w:bookmarkEnd w:id="176"/>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12"/>
        <w:rPr>
          <w:rFonts w:ascii="宋体" w:hAnsi="宋体" w:cs="宋体" w:eastAsia="宋体" w:hint="default"/>
          <w:b/>
          <w:bCs/>
          <w:sz w:val="30"/>
          <w:szCs w:val="30"/>
        </w:rPr>
      </w:pPr>
    </w:p>
    <w:p>
      <w:pPr>
        <w:pStyle w:val="BodyText"/>
        <w:spacing w:line="429" w:lineRule="auto"/>
        <w:ind w:left="554" w:right="1133"/>
        <w:jc w:val="left"/>
      </w:pPr>
      <w:r>
        <w:rPr>
          <w:rFonts w:ascii="宋体" w:hAnsi="宋体" w:cs="宋体" w:eastAsia="宋体" w:hint="default"/>
        </w:rPr>
        <w:t>(1)</w:t>
      </w:r>
      <w:r>
        <w:rPr/>
        <w:t>合并范围</w:t>
      </w:r>
      <w:r>
        <w:rPr>
          <w:w w:val="99"/>
        </w:rPr>
        <w:t> </w:t>
      </w:r>
      <w:r>
        <w:rPr/>
        <w:t>本公司合并财务报表的合并范围以控制为基础确定，所有子公司（包括本公司所控制的被投资方可分割的</w:t>
      </w:r>
    </w:p>
    <w:p>
      <w:pPr>
        <w:pStyle w:val="BodyText"/>
        <w:spacing w:line="429" w:lineRule="auto" w:before="48"/>
        <w:ind w:left="554" w:right="8154" w:hanging="402"/>
        <w:jc w:val="left"/>
      </w:pPr>
      <w:r>
        <w:rPr/>
        <w:t>部分）均纳入合并财务报表。</w:t>
      </w:r>
      <w:r>
        <w:rPr>
          <w:w w:val="99"/>
        </w:rPr>
        <w:t> </w:t>
      </w:r>
      <w:r>
        <w:rPr>
          <w:rFonts w:ascii="宋体" w:hAnsi="宋体" w:cs="宋体" w:eastAsia="宋体" w:hint="default"/>
        </w:rPr>
        <w:t>(2)</w:t>
      </w:r>
      <w:r>
        <w:rPr/>
        <w:t>合并程序</w:t>
      </w:r>
    </w:p>
    <w:p>
      <w:pPr>
        <w:pStyle w:val="BodyText"/>
        <w:spacing w:line="429" w:lineRule="auto" w:before="49"/>
        <w:ind w:right="1141" w:firstLine="401"/>
        <w:jc w:val="both"/>
      </w:pPr>
      <w:r>
        <w:rPr/>
        <w:t>本公司以自身和各子公司的财务报表为基础，根据其他有关资料，编制合并财务报表。本公司编制合并财</w:t>
      </w:r>
      <w:r>
        <w:rPr>
          <w:w w:val="99"/>
        </w:rPr>
        <w:t> </w:t>
      </w:r>
      <w:r>
        <w:rPr/>
        <w:t>务报表，将整个企业集团视为一个会计主体，依据相关企业会计准则的确认、计量和列报要求，按照统一的会</w:t>
      </w:r>
      <w:r>
        <w:rPr>
          <w:spacing w:val="-77"/>
        </w:rPr>
        <w:t> </w:t>
      </w:r>
      <w:r>
        <w:rPr>
          <w:spacing w:val="-77"/>
        </w:rPr>
      </w:r>
      <w:r>
        <w:rPr/>
        <w:t>计政策，反映本企业集团整体财务状况、经营成果和现金流量。</w:t>
      </w:r>
    </w:p>
    <w:p>
      <w:pPr>
        <w:pStyle w:val="BodyText"/>
        <w:spacing w:line="429" w:lineRule="auto" w:before="48"/>
        <w:ind w:right="1038" w:firstLine="401"/>
        <w:jc w:val="both"/>
      </w:pPr>
      <w:r>
        <w:rPr/>
        <w:t>所有纳入合并财务报表合并范围的子公司所采用的会计政策、会计期间与本公司一致，如子公司采用的会</w:t>
      </w:r>
      <w:r>
        <w:rPr>
          <w:w w:val="99"/>
        </w:rPr>
        <w:t> </w:t>
      </w:r>
      <w:r>
        <w:rPr/>
        <w:t>计政策、会计期间与本公司不一致的，在编制合并财务报表时，按本公司的会计政策、会计期间进行必要的调</w:t>
      </w:r>
      <w:r>
        <w:rPr>
          <w:spacing w:val="-77"/>
        </w:rPr>
        <w:t> </w:t>
      </w:r>
      <w:r>
        <w:rPr>
          <w:spacing w:val="-77"/>
        </w:rPr>
      </w:r>
      <w:r>
        <w:rPr>
          <w:spacing w:val="-1"/>
          <w:w w:val="95"/>
        </w:rPr>
        <w:t>整。对于非同一控制下企业合并取得的子公司，以购买日可辨认净资产公允价值为基础对其财务报表进行调整。</w:t>
      </w:r>
      <w:r>
        <w:rPr>
          <w:spacing w:val="-1"/>
        </w:rPr>
      </w:r>
    </w:p>
    <w:p>
      <w:pPr>
        <w:spacing w:after="0" w:line="429"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29" w:lineRule="auto"/>
        <w:ind w:right="1142"/>
        <w:jc w:val="both"/>
      </w:pPr>
      <w:r>
        <w:rPr/>
        <w:t>对于同一控制下企业合并取得的子公司，以其资产、负债（包括最终控制方收购该子公司而形成的商誉）在最</w:t>
      </w:r>
      <w:r>
        <w:rPr>
          <w:spacing w:val="-77"/>
        </w:rPr>
        <w:t> </w:t>
      </w:r>
      <w:r>
        <w:rPr>
          <w:spacing w:val="-77"/>
        </w:rPr>
      </w:r>
      <w:r>
        <w:rPr/>
        <w:t>终控制方财务报表中的账面价值为基础对其财务报表进行调整。</w:t>
      </w:r>
    </w:p>
    <w:p>
      <w:pPr>
        <w:pStyle w:val="BodyText"/>
        <w:spacing w:line="429" w:lineRule="auto" w:before="48"/>
        <w:ind w:right="1134" w:firstLine="401"/>
        <w:jc w:val="both"/>
      </w:pPr>
      <w:r>
        <w:rPr/>
        <w:t>子公司所有者权益、当期净损益和当期综合收益中属于少数股东的份额分别在合并资产负债表中所有者权</w:t>
      </w:r>
      <w:r>
        <w:rPr>
          <w:w w:val="99"/>
        </w:rPr>
        <w:t> </w:t>
      </w:r>
      <w:r>
        <w:rPr/>
        <w:t>益项目下、合并利润表中净利润项目下和综合收益总额项目下单独列示。子公司少数股东分担的当期亏损超过</w:t>
      </w:r>
      <w:r>
        <w:rPr>
          <w:spacing w:val="-77"/>
        </w:rPr>
        <w:t> </w:t>
      </w:r>
      <w:r>
        <w:rPr>
          <w:spacing w:val="-77"/>
        </w:rPr>
      </w:r>
      <w:r>
        <w:rPr/>
        <w:t>了少数股东在该子公司期初所有者权益中所享有份额而形成的余额，冲减少数股东权益。</w:t>
      </w:r>
    </w:p>
    <w:p>
      <w:pPr>
        <w:pStyle w:val="BodyText"/>
        <w:spacing w:line="429" w:lineRule="auto" w:before="48"/>
        <w:ind w:left="554" w:right="1133"/>
        <w:jc w:val="left"/>
      </w:pPr>
      <w:r>
        <w:rPr/>
        <w:t>①增加子公司或业务</w:t>
      </w:r>
      <w:r>
        <w:rPr>
          <w:w w:val="99"/>
        </w:rPr>
        <w:t> </w:t>
      </w:r>
      <w:r>
        <w:rPr/>
        <w:t>在报告期内，若因同一控制下企业合并增加子公司或业务的，则调整合并资产负债表的期初数；将子公司</w:t>
      </w:r>
    </w:p>
    <w:p>
      <w:pPr>
        <w:pStyle w:val="BodyText"/>
        <w:spacing w:line="429" w:lineRule="auto" w:before="48"/>
        <w:ind w:right="1142"/>
        <w:jc w:val="both"/>
      </w:pPr>
      <w:r>
        <w:rPr/>
        <w:t>或业务合并当期期初至报告期末的收入、费用、利润纳入合并利润表；将子公司或业务合并当期期初至报告期</w:t>
      </w:r>
      <w:r>
        <w:rPr>
          <w:spacing w:val="-77"/>
        </w:rPr>
        <w:t> </w:t>
      </w:r>
      <w:r>
        <w:rPr>
          <w:spacing w:val="-77"/>
        </w:rPr>
      </w:r>
      <w:r>
        <w:rPr/>
        <w:t>末的现金流量纳入合并现金流量表，同时对比较报表的相关项目进行调整，视同合并后的报告主体自最终控制</w:t>
      </w:r>
      <w:r>
        <w:rPr>
          <w:spacing w:val="-77"/>
        </w:rPr>
        <w:t> </w:t>
      </w:r>
      <w:r>
        <w:rPr>
          <w:spacing w:val="-77"/>
        </w:rPr>
      </w:r>
      <w:r>
        <w:rPr/>
        <w:t>方开始控制时点起一直存在。</w:t>
      </w:r>
    </w:p>
    <w:p>
      <w:pPr>
        <w:pStyle w:val="BodyText"/>
        <w:spacing w:line="429" w:lineRule="auto" w:before="48"/>
        <w:ind w:right="1141" w:firstLine="401"/>
        <w:jc w:val="both"/>
      </w:pPr>
      <w:r>
        <w:rPr/>
        <w:t>因追加投资等原因能够对同一控制下的被投资方实施控制的，视同参与合并的各方在最终控制方开始控制</w:t>
      </w:r>
      <w:r>
        <w:rPr>
          <w:w w:val="99"/>
        </w:rPr>
        <w:t> </w:t>
      </w:r>
      <w:r>
        <w:rPr/>
        <w:t>时即以目前的状态存在进行调整。在取得被合并方控制权之前持有的股权投资，在取得原股权之日与合并方和</w:t>
      </w:r>
      <w:r>
        <w:rPr>
          <w:spacing w:val="-77"/>
        </w:rPr>
        <w:t> </w:t>
      </w:r>
      <w:r>
        <w:rPr>
          <w:spacing w:val="-77"/>
        </w:rPr>
      </w:r>
      <w:r>
        <w:rPr/>
        <w:t>被合并方同处于同一控制之日孰晚日起至合并日之间已确认有关损益、其他综合收益以及其他净资产变动，分</w:t>
      </w:r>
      <w:r>
        <w:rPr>
          <w:spacing w:val="-77"/>
        </w:rPr>
        <w:t> </w:t>
      </w:r>
      <w:r>
        <w:rPr>
          <w:spacing w:val="-77"/>
        </w:rPr>
      </w:r>
      <w:r>
        <w:rPr/>
        <w:t>别冲减比较报表期间的期初留存收益或当期损益。</w:t>
      </w:r>
    </w:p>
    <w:p>
      <w:pPr>
        <w:pStyle w:val="BodyText"/>
        <w:spacing w:line="429" w:lineRule="auto" w:before="48"/>
        <w:ind w:right="1135" w:firstLine="401"/>
        <w:jc w:val="both"/>
      </w:pPr>
      <w:r>
        <w:rPr/>
        <w:t>在报告期内，若因非同一控制下企业合并增加子公司或业务的，则不调整合并资产负债表期初数；将该子</w:t>
      </w:r>
      <w:r>
        <w:rPr>
          <w:w w:val="99"/>
        </w:rPr>
        <w:t> </w:t>
      </w:r>
      <w:r>
        <w:rPr/>
        <w:t>公司或业务自购买日至报告期末的收入、费用、利润纳入合并利润表；该子公司或业务自购买日至报告期末的</w:t>
      </w:r>
      <w:r>
        <w:rPr>
          <w:spacing w:val="-71"/>
        </w:rPr>
        <w:t> </w:t>
      </w:r>
      <w:r>
        <w:rPr>
          <w:spacing w:val="-71"/>
        </w:rPr>
      </w:r>
      <w:r>
        <w:rPr/>
        <w:t>现金流量纳入合并现金流量表。</w:t>
      </w:r>
    </w:p>
    <w:p>
      <w:pPr>
        <w:pStyle w:val="BodyText"/>
        <w:spacing w:line="429" w:lineRule="auto" w:before="48"/>
        <w:ind w:right="1141" w:firstLine="401"/>
        <w:jc w:val="both"/>
      </w:pPr>
      <w:r>
        <w:rPr/>
        <w:t>因追加投资等原因能够对非同一控制下的被投资方实施控制的，对于购买日之前持有的被购买方的股权，</w:t>
      </w:r>
      <w:r>
        <w:rPr>
          <w:w w:val="99"/>
        </w:rPr>
        <w:t> </w:t>
      </w:r>
      <w:r>
        <w:rPr/>
        <w:t>本公司按照该股权在购买日的公允价值进行重新计量，公允价值与其账面价值的差额计入当期投资收益。购买</w:t>
      </w:r>
      <w:r>
        <w:rPr>
          <w:spacing w:val="-77"/>
        </w:rPr>
        <w:t> </w:t>
      </w:r>
      <w:r>
        <w:rPr>
          <w:spacing w:val="-77"/>
        </w:rPr>
      </w:r>
      <w:r>
        <w:rPr/>
        <w:t>日之前持有的被购买方的股权涉及权益法核算下的其他综合收益以及除净损益、其他综合收益和利润分配之外</w:t>
      </w:r>
      <w:r>
        <w:rPr>
          <w:spacing w:val="-77"/>
        </w:rPr>
        <w:t> </w:t>
      </w:r>
      <w:r>
        <w:rPr>
          <w:spacing w:val="-77"/>
        </w:rPr>
      </w:r>
      <w:r>
        <w:rPr/>
        <w:t>的其他所有者权益变动的，与其相关的其他综合收益、其他所有者权益变动转为购买日所属当期投资收益，由</w:t>
      </w:r>
      <w:r>
        <w:rPr>
          <w:spacing w:val="-77"/>
        </w:rPr>
        <w:t> </w:t>
      </w:r>
      <w:r>
        <w:rPr>
          <w:spacing w:val="-77"/>
        </w:rPr>
      </w:r>
      <w:r>
        <w:rPr/>
        <w:t>于被投资方重新计量设定受益计划净负债或净资产变动而产生的其他综合收益除外。</w:t>
      </w:r>
    </w:p>
    <w:p>
      <w:pPr>
        <w:pStyle w:val="BodyText"/>
        <w:spacing w:line="429" w:lineRule="auto" w:before="48"/>
        <w:ind w:left="554" w:right="8552"/>
        <w:jc w:val="left"/>
      </w:pPr>
      <w:r>
        <w:rPr/>
        <w:t>②处置子公司或业务</w:t>
      </w:r>
      <w:r>
        <w:rPr>
          <w:w w:val="99"/>
        </w:rPr>
        <w:t> </w:t>
      </w:r>
      <w:r>
        <w:rPr>
          <w:rFonts w:ascii="宋体" w:hAnsi="宋体" w:cs="宋体" w:eastAsia="宋体" w:hint="default"/>
        </w:rPr>
        <w:t>a.</w:t>
      </w:r>
      <w:r>
        <w:rPr/>
        <w:t>一般处理方法</w:t>
      </w:r>
    </w:p>
    <w:p>
      <w:pPr>
        <w:pStyle w:val="BodyText"/>
        <w:spacing w:line="429" w:lineRule="auto" w:before="48"/>
        <w:ind w:right="1141" w:firstLine="401"/>
        <w:jc w:val="both"/>
      </w:pPr>
      <w:r>
        <w:rPr/>
        <w:t>在报告期内，本公司处置子公司或业务，则该子公司或业务期初至处置日的收入、费用、利润纳入合并利</w:t>
      </w:r>
      <w:r>
        <w:rPr>
          <w:w w:val="99"/>
        </w:rPr>
        <w:t> </w:t>
      </w:r>
      <w:r>
        <w:rPr/>
        <w:t>润表；该子公司或业务期初至处置日的现金流量纳入合并现金流量表。</w:t>
      </w:r>
    </w:p>
    <w:p>
      <w:pPr>
        <w:pStyle w:val="BodyText"/>
        <w:spacing w:line="429" w:lineRule="auto" w:before="48"/>
        <w:ind w:right="1138" w:firstLine="401"/>
        <w:jc w:val="both"/>
      </w:pPr>
      <w:r>
        <w:rPr/>
        <w:t>因处置部分股权投资或其他原因丧失了对被投资方控制权时，对于处置后的剩余股权投资，本公司按照其</w:t>
      </w:r>
      <w:r>
        <w:rPr>
          <w:w w:val="99"/>
        </w:rPr>
        <w:t> </w:t>
      </w:r>
      <w:r>
        <w:rPr/>
        <w:t>在丧失控制权日的公允价值进行重新计量。处置股权取得的对价与剩余股权公允价值之和，减去按原持股比例</w:t>
      </w:r>
      <w:r>
        <w:rPr>
          <w:spacing w:val="-77"/>
        </w:rPr>
        <w:t> </w:t>
      </w:r>
      <w:r>
        <w:rPr>
          <w:spacing w:val="-77"/>
        </w:rPr>
      </w:r>
      <w:r>
        <w:rPr/>
        <w:t>计算应享有原有子公司自购买日或合并日开始持续计算的净资产的份额与商誉之和的差额，计入丧失控制权当</w:t>
      </w:r>
      <w:r>
        <w:rPr>
          <w:spacing w:val="-77"/>
        </w:rPr>
        <w:t> </w:t>
      </w:r>
      <w:r>
        <w:rPr>
          <w:spacing w:val="-77"/>
        </w:rPr>
      </w:r>
      <w:r>
        <w:rPr/>
        <w:t>期的投资收益。与原有子公司股权投资相关的其他综合收益或除净损益、其他综合收益及利润分配之外的其他</w:t>
      </w:r>
    </w:p>
    <w:p>
      <w:pPr>
        <w:spacing w:after="0" w:line="429"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29" w:lineRule="auto"/>
        <w:ind w:right="1133"/>
        <w:jc w:val="left"/>
      </w:pPr>
      <w:r>
        <w:rPr/>
        <w:t>所有者权益变动，在丧失控制权时转为当期投资收益，由于被投资方重新计量设定受益计划净负债或净资产变</w:t>
      </w:r>
      <w:r>
        <w:rPr>
          <w:spacing w:val="-77"/>
        </w:rPr>
        <w:t> </w:t>
      </w:r>
      <w:r>
        <w:rPr>
          <w:spacing w:val="-77"/>
        </w:rPr>
      </w:r>
      <w:r>
        <w:rPr/>
        <w:t>动而产生的其他综合收益除外。</w:t>
      </w:r>
    </w:p>
    <w:p>
      <w:pPr>
        <w:pStyle w:val="BodyText"/>
        <w:spacing w:line="429" w:lineRule="auto" w:before="48"/>
        <w:ind w:left="554" w:right="1133"/>
        <w:jc w:val="left"/>
      </w:pPr>
      <w:r>
        <w:rPr/>
        <w:t>因其他投资方对子公司增资而导致本公司持股比例下降从而丧失控制权的，按照上述原则进行会计处理。</w:t>
      </w:r>
      <w:r>
        <w:rPr>
          <w:w w:val="99"/>
        </w:rPr>
        <w:t> </w:t>
      </w:r>
      <w:r>
        <w:rPr>
          <w:rFonts w:ascii="宋体" w:hAnsi="宋体" w:cs="宋体" w:eastAsia="宋体" w:hint="default"/>
        </w:rPr>
        <w:t>b.</w:t>
      </w:r>
      <w:r>
        <w:rPr/>
        <w:t>分步处置子公司</w:t>
      </w:r>
      <w:r>
        <w:rPr>
          <w:w w:val="99"/>
        </w:rPr>
        <w:t> </w:t>
      </w:r>
      <w:r>
        <w:rPr/>
        <w:t>通过多次交易分步处置对子公司股权投资直至丧失控制权的，处置对子公司股权投资的各项交易的条款、</w:t>
      </w:r>
    </w:p>
    <w:p>
      <w:pPr>
        <w:pStyle w:val="BodyText"/>
        <w:spacing w:line="429" w:lineRule="auto" w:before="48"/>
        <w:ind w:left="554" w:right="1454" w:hanging="402"/>
        <w:jc w:val="left"/>
      </w:pPr>
      <w:r>
        <w:rPr>
          <w:w w:val="95"/>
        </w:rPr>
        <w:t>条件以及经济影响符合以下一种或多种情况，通常表明应将多次交易事项作为一揽子交易进行会计处理：</w:t>
      </w:r>
      <w:r>
        <w:rPr>
          <w:spacing w:val="71"/>
          <w:w w:val="95"/>
        </w:rPr>
        <w:t> </w:t>
      </w:r>
      <w:r>
        <w:rPr>
          <w:spacing w:val="71"/>
          <w:w w:val="95"/>
        </w:rPr>
      </w:r>
      <w:r>
        <w:rPr/>
        <w:t>ⅰ．这些交易是同时或者在考虑了彼此影响的情况下订立的；</w:t>
      </w:r>
      <w:r>
        <w:rPr>
          <w:w w:val="99"/>
        </w:rPr>
        <w:t> </w:t>
      </w:r>
      <w:r>
        <w:rPr/>
        <w:t>ⅱ．这些交易整体才能达成一项完整的商业结果；</w:t>
      </w:r>
      <w:r>
        <w:rPr>
          <w:w w:val="99"/>
        </w:rPr>
        <w:t> </w:t>
      </w:r>
      <w:r>
        <w:rPr/>
        <w:t>ⅲ．一项交易的发生取决于其他至少一项交易的发生；</w:t>
      </w:r>
      <w:r>
        <w:rPr>
          <w:w w:val="99"/>
        </w:rPr>
        <w:t> </w:t>
      </w:r>
      <w:r>
        <w:rPr/>
        <w:t>ⅳ．一项交易单独看是不经济的，但是和其他交易一并考虑时是经济的。</w:t>
      </w:r>
    </w:p>
    <w:p>
      <w:pPr>
        <w:pStyle w:val="BodyText"/>
        <w:spacing w:line="429" w:lineRule="auto" w:before="48"/>
        <w:ind w:right="1141" w:firstLine="401"/>
        <w:jc w:val="both"/>
      </w:pPr>
      <w:r>
        <w:rPr/>
        <w:t>处置对子公司股权投资直至丧失控制权的各项交易属于一揽子交易的，本公司将各项交易作为一项处置子</w:t>
      </w:r>
      <w:r>
        <w:rPr>
          <w:w w:val="99"/>
        </w:rPr>
        <w:t> </w:t>
      </w:r>
      <w:r>
        <w:rPr/>
        <w:t>公司并丧失控制权的交易进行会计处理；但是，在丧失控制权之前每一次处置价款与处置投资对应的享有该子</w:t>
      </w:r>
      <w:r>
        <w:rPr>
          <w:spacing w:val="-77"/>
        </w:rPr>
        <w:t> </w:t>
      </w:r>
      <w:r>
        <w:rPr>
          <w:spacing w:val="-77"/>
        </w:rPr>
      </w:r>
      <w:r>
        <w:rPr/>
        <w:t>公司净资产份额的差额，在合并财务报表中确认为其他综合收益，在丧失控制权时一并转入丧失控制权当期的</w:t>
      </w:r>
      <w:r>
        <w:rPr>
          <w:spacing w:val="-77"/>
        </w:rPr>
        <w:t> </w:t>
      </w:r>
      <w:r>
        <w:rPr>
          <w:spacing w:val="-77"/>
        </w:rPr>
      </w:r>
      <w:r>
        <w:rPr/>
        <w:t>损益。</w:t>
      </w:r>
    </w:p>
    <w:p>
      <w:pPr>
        <w:pStyle w:val="BodyText"/>
        <w:spacing w:line="429" w:lineRule="auto" w:before="48"/>
        <w:ind w:right="1138" w:firstLine="401"/>
        <w:jc w:val="both"/>
      </w:pPr>
      <w:r>
        <w:rPr/>
        <w:t>处置对子公司股权投资直至丧失控制权的各项交易不属于一揽子交易的，在丧失控制权之前，按不丧失控</w:t>
      </w:r>
      <w:r>
        <w:rPr>
          <w:w w:val="99"/>
        </w:rPr>
        <w:t> </w:t>
      </w:r>
      <w:r>
        <w:rPr/>
        <w:t>制权的情况下部分处置对子公司的股权投资的相关政策进行会计处理；在丧失控制权时，按处置子公司一般处</w:t>
      </w:r>
      <w:r>
        <w:rPr>
          <w:spacing w:val="-77"/>
        </w:rPr>
        <w:t> </w:t>
      </w:r>
      <w:r>
        <w:rPr>
          <w:spacing w:val="-77"/>
        </w:rPr>
      </w:r>
      <w:r>
        <w:rPr/>
        <w:t>理方法进行会计处理。</w:t>
      </w:r>
    </w:p>
    <w:p>
      <w:pPr>
        <w:pStyle w:val="BodyText"/>
        <w:spacing w:line="429" w:lineRule="auto" w:before="48"/>
        <w:ind w:left="554" w:right="1133"/>
        <w:jc w:val="left"/>
      </w:pPr>
      <w:r>
        <w:rPr/>
        <w:t>③购买子公司少数股权</w:t>
      </w:r>
      <w:r>
        <w:rPr>
          <w:w w:val="99"/>
        </w:rPr>
        <w:t> </w:t>
      </w:r>
      <w:r>
        <w:rPr>
          <w:spacing w:val="-1"/>
          <w:w w:val="95"/>
        </w:rPr>
        <w:t>本公司因购买少数股权新取得的长期股权投资与按照新增持股比例计算应享有子公司自购买日（或合并日）</w:t>
      </w:r>
      <w:r>
        <w:rPr>
          <w:spacing w:val="-1"/>
        </w:rPr>
      </w:r>
    </w:p>
    <w:p>
      <w:pPr>
        <w:pStyle w:val="BodyText"/>
        <w:spacing w:line="429" w:lineRule="auto" w:before="48"/>
        <w:ind w:right="1133"/>
        <w:jc w:val="left"/>
      </w:pPr>
      <w:r>
        <w:rPr/>
        <w:t>开始持续计算的净资产份额之间的差额，调整合并资产负债表中的资本公积中的股本溢价，资本公积中的股本</w:t>
      </w:r>
      <w:r>
        <w:rPr>
          <w:spacing w:val="-77"/>
        </w:rPr>
        <w:t> </w:t>
      </w:r>
      <w:r>
        <w:rPr>
          <w:spacing w:val="-77"/>
        </w:rPr>
      </w:r>
      <w:r>
        <w:rPr/>
        <w:t>溢价不足冲减的，调整留存收益。</w:t>
      </w:r>
    </w:p>
    <w:p>
      <w:pPr>
        <w:pStyle w:val="BodyText"/>
        <w:spacing w:line="429" w:lineRule="auto" w:before="48"/>
        <w:ind w:left="554" w:right="1133"/>
        <w:jc w:val="left"/>
      </w:pPr>
      <w:r>
        <w:rPr/>
        <w:t>④不丧失控制权的情况下部分处置对子公司的股权投资</w:t>
      </w:r>
      <w:r>
        <w:rPr>
          <w:w w:val="99"/>
        </w:rPr>
        <w:t> </w:t>
      </w:r>
      <w:r>
        <w:rPr/>
        <w:t>在不丧失控制权的情况下因部分处置对子公司的长期股权投资而取得的处置价款与处置长期股权投资相对</w:t>
      </w:r>
    </w:p>
    <w:p>
      <w:pPr>
        <w:pStyle w:val="BodyText"/>
        <w:spacing w:line="429" w:lineRule="auto" w:before="49"/>
        <w:ind w:right="1133"/>
        <w:jc w:val="left"/>
      </w:pPr>
      <w:r>
        <w:rPr/>
        <w:t>应享有子公司自购买日或合并日开始持续计算的净资产份额之间的差额，调整合并资产负债表中的资本公积中</w:t>
      </w:r>
      <w:r>
        <w:rPr>
          <w:spacing w:val="-77"/>
        </w:rPr>
        <w:t> </w:t>
      </w:r>
      <w:r>
        <w:rPr>
          <w:spacing w:val="-77"/>
        </w:rPr>
      </w:r>
      <w:r>
        <w:rPr/>
        <w:t>的股本溢价，资本公积中的股本溢价不足冲减的，调整留存收益。</w:t>
      </w:r>
    </w:p>
    <w:p>
      <w:pPr>
        <w:spacing w:line="240" w:lineRule="auto" w:before="3"/>
        <w:rPr>
          <w:rFonts w:ascii="宋体" w:hAnsi="宋体" w:cs="宋体" w:eastAsia="宋体" w:hint="default"/>
          <w:sz w:val="20"/>
          <w:szCs w:val="20"/>
        </w:rPr>
      </w:pPr>
    </w:p>
    <w:p>
      <w:pPr>
        <w:pStyle w:val="Heading3"/>
        <w:spacing w:line="240" w:lineRule="auto"/>
        <w:ind w:left="554" w:right="1133" w:hanging="402"/>
        <w:jc w:val="left"/>
        <w:rPr>
          <w:b w:val="0"/>
          <w:bCs w:val="0"/>
        </w:rPr>
      </w:pPr>
      <w:bookmarkStart w:name="7、合营安排分类及共同经营会计处理方法" w:id="177"/>
      <w:bookmarkEnd w:id="177"/>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12"/>
        <w:rPr>
          <w:rFonts w:ascii="宋体" w:hAnsi="宋体" w:cs="宋体" w:eastAsia="宋体" w:hint="default"/>
          <w:b/>
          <w:bCs/>
          <w:sz w:val="30"/>
          <w:szCs w:val="30"/>
        </w:rPr>
      </w:pPr>
    </w:p>
    <w:p>
      <w:pPr>
        <w:pStyle w:val="BodyText"/>
        <w:spacing w:line="429" w:lineRule="auto"/>
        <w:ind w:left="554" w:right="1133"/>
        <w:jc w:val="left"/>
      </w:pPr>
      <w:r>
        <w:rPr/>
        <w:t>合营安排分为共同经营和合营企业。</w:t>
      </w:r>
      <w:r>
        <w:rPr>
          <w:w w:val="99"/>
        </w:rPr>
        <w:t> </w:t>
      </w:r>
      <w:r>
        <w:rPr/>
        <w:t>当本公司是合营安排的合营方，享有该安排相关资产且承担该安排相关负债时，为共同经营。</w:t>
      </w:r>
      <w:r>
        <w:rPr>
          <w:w w:val="99"/>
        </w:rPr>
        <w:t> </w:t>
      </w:r>
      <w:r>
        <w:rPr>
          <w:w w:val="95"/>
        </w:rPr>
        <w:t>本公司确认与共同经营中利益份额相关的下列项目，并按照相关企业会计准则的规定进行会计处理：</w:t>
      </w:r>
      <w:r>
        <w:rPr/>
      </w:r>
    </w:p>
    <w:p>
      <w:pPr>
        <w:spacing w:after="0" w:line="429"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554" w:right="1133"/>
        <w:jc w:val="left"/>
      </w:pPr>
      <w:r>
        <w:rPr/>
        <w:t>（</w:t>
      </w:r>
      <w:r>
        <w:rPr>
          <w:rFonts w:ascii="宋体" w:hAnsi="宋体" w:cs="宋体" w:eastAsia="宋体" w:hint="default"/>
        </w:rPr>
        <w:t>1</w:t>
      </w:r>
      <w:r>
        <w:rPr/>
        <w:t>）确认本公司单独所持有的资产，以及按本公司份额确认共同持有的资产；</w:t>
      </w:r>
    </w:p>
    <w:p>
      <w:pPr>
        <w:spacing w:line="240" w:lineRule="auto" w:before="10"/>
        <w:rPr>
          <w:rFonts w:ascii="宋体" w:hAnsi="宋体" w:cs="宋体" w:eastAsia="宋体" w:hint="default"/>
          <w:sz w:val="15"/>
          <w:szCs w:val="15"/>
        </w:rPr>
      </w:pPr>
    </w:p>
    <w:p>
      <w:pPr>
        <w:pStyle w:val="BodyText"/>
        <w:spacing w:line="240" w:lineRule="auto"/>
        <w:ind w:left="554" w:right="1133"/>
        <w:jc w:val="left"/>
      </w:pPr>
      <w:r>
        <w:rPr/>
        <w:t>（</w:t>
      </w:r>
      <w:r>
        <w:rPr>
          <w:rFonts w:ascii="宋体" w:hAnsi="宋体" w:cs="宋体" w:eastAsia="宋体" w:hint="default"/>
        </w:rPr>
        <w:t>2</w:t>
      </w:r>
      <w:r>
        <w:rPr/>
        <w:t>）确认本公司单独所承担的负债，以及按本公司份额确认共同承担的负债；</w:t>
      </w:r>
    </w:p>
    <w:p>
      <w:pPr>
        <w:spacing w:line="240" w:lineRule="auto" w:before="10"/>
        <w:rPr>
          <w:rFonts w:ascii="宋体" w:hAnsi="宋体" w:cs="宋体" w:eastAsia="宋体" w:hint="default"/>
          <w:sz w:val="15"/>
          <w:szCs w:val="15"/>
        </w:rPr>
      </w:pPr>
    </w:p>
    <w:p>
      <w:pPr>
        <w:pStyle w:val="BodyText"/>
        <w:spacing w:line="240" w:lineRule="auto"/>
        <w:ind w:left="554" w:right="1133"/>
        <w:jc w:val="left"/>
      </w:pPr>
      <w:r>
        <w:rPr/>
        <w:t>（</w:t>
      </w:r>
      <w:r>
        <w:rPr>
          <w:rFonts w:ascii="宋体" w:hAnsi="宋体" w:cs="宋体" w:eastAsia="宋体" w:hint="default"/>
        </w:rPr>
        <w:t>3</w:t>
      </w:r>
      <w:r>
        <w:rPr/>
        <w:t>）确认出售本公司享有的共同经营产出份额所产生的收入；</w:t>
      </w:r>
    </w:p>
    <w:p>
      <w:pPr>
        <w:spacing w:line="240" w:lineRule="auto" w:before="10"/>
        <w:rPr>
          <w:rFonts w:ascii="宋体" w:hAnsi="宋体" w:cs="宋体" w:eastAsia="宋体" w:hint="default"/>
          <w:sz w:val="15"/>
          <w:szCs w:val="15"/>
        </w:rPr>
      </w:pPr>
    </w:p>
    <w:p>
      <w:pPr>
        <w:pStyle w:val="BodyText"/>
        <w:spacing w:line="240" w:lineRule="auto"/>
        <w:ind w:left="554" w:right="1133"/>
        <w:jc w:val="left"/>
      </w:pPr>
      <w:r>
        <w:rPr/>
        <w:t>（</w:t>
      </w:r>
      <w:r>
        <w:rPr>
          <w:rFonts w:ascii="宋体" w:hAnsi="宋体" w:cs="宋体" w:eastAsia="宋体" w:hint="default"/>
        </w:rPr>
        <w:t>4</w:t>
      </w:r>
      <w:r>
        <w:rPr/>
        <w:t>）按本公司份额确认共同经营因出售产出所产生的收入；</w:t>
      </w:r>
    </w:p>
    <w:p>
      <w:pPr>
        <w:spacing w:line="240" w:lineRule="auto" w:before="10"/>
        <w:rPr>
          <w:rFonts w:ascii="宋体" w:hAnsi="宋体" w:cs="宋体" w:eastAsia="宋体" w:hint="default"/>
          <w:sz w:val="15"/>
          <w:szCs w:val="15"/>
        </w:rPr>
      </w:pPr>
    </w:p>
    <w:p>
      <w:pPr>
        <w:pStyle w:val="BodyText"/>
        <w:spacing w:line="429" w:lineRule="auto"/>
        <w:ind w:left="554" w:right="1133"/>
        <w:jc w:val="left"/>
      </w:pPr>
      <w:r>
        <w:rPr>
          <w:w w:val="95"/>
        </w:rPr>
        <w:t>（</w:t>
      </w:r>
      <w:r>
        <w:rPr>
          <w:rFonts w:ascii="宋体" w:hAnsi="宋体" w:cs="宋体" w:eastAsia="宋体" w:hint="default"/>
          <w:w w:val="95"/>
        </w:rPr>
        <w:t>5</w:t>
      </w:r>
      <w:r>
        <w:rPr>
          <w:w w:val="95"/>
        </w:rPr>
        <w:t>）确认单独所发生的费用，以及按本公司份额确认共同经营发生的费用。</w:t>
      </w:r>
      <w:r>
        <w:rPr>
          <w:spacing w:val="42"/>
          <w:w w:val="95"/>
        </w:rPr>
        <w:t> </w:t>
      </w:r>
      <w:r>
        <w:rPr>
          <w:spacing w:val="42"/>
          <w:w w:val="95"/>
        </w:rPr>
      </w:r>
      <w:r>
        <w:rPr/>
        <w:t>本公司对合营企业投资的会计政策见本附注“五、</w:t>
      </w:r>
      <w:r>
        <w:rPr>
          <w:rFonts w:ascii="宋体" w:hAnsi="宋体" w:cs="宋体" w:eastAsia="宋体" w:hint="default"/>
        </w:rPr>
        <w:t>16</w:t>
      </w:r>
      <w:r>
        <w:rPr/>
        <w:t>、长期股权投资”。</w:t>
      </w:r>
    </w:p>
    <w:p>
      <w:pPr>
        <w:spacing w:line="240" w:lineRule="auto" w:before="3"/>
        <w:rPr>
          <w:rFonts w:ascii="宋体" w:hAnsi="宋体" w:cs="宋体" w:eastAsia="宋体" w:hint="default"/>
          <w:sz w:val="20"/>
          <w:szCs w:val="20"/>
        </w:rPr>
      </w:pPr>
    </w:p>
    <w:p>
      <w:pPr>
        <w:pStyle w:val="Heading3"/>
        <w:spacing w:line="240" w:lineRule="auto"/>
        <w:ind w:right="1133"/>
        <w:jc w:val="left"/>
        <w:rPr>
          <w:b w:val="0"/>
          <w:bCs w:val="0"/>
        </w:rPr>
      </w:pPr>
      <w:bookmarkStart w:name="8、现金及现金等价物的确定标准" w:id="178"/>
      <w:bookmarkEnd w:id="178"/>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2"/>
        <w:rPr>
          <w:rFonts w:ascii="宋体" w:hAnsi="宋体" w:cs="宋体" w:eastAsia="宋体" w:hint="default"/>
          <w:b/>
          <w:bCs/>
          <w:sz w:val="31"/>
          <w:szCs w:val="31"/>
        </w:rPr>
      </w:pPr>
    </w:p>
    <w:p>
      <w:pPr>
        <w:pStyle w:val="BodyText"/>
        <w:spacing w:line="429" w:lineRule="auto"/>
        <w:ind w:right="1136" w:firstLine="401"/>
        <w:jc w:val="both"/>
      </w:pPr>
      <w:r>
        <w:rPr>
          <w:spacing w:val="-3"/>
          <w:w w:val="95"/>
        </w:rPr>
        <w:t>在编制现金流量表时，将本公司库存现金以及可以随时用于支付的存款确认为现金。将同时具备期限短（从</w:t>
      </w:r>
      <w:r>
        <w:rPr>
          <w:spacing w:val="-57"/>
          <w:w w:val="95"/>
        </w:rPr>
        <w:t> </w:t>
      </w:r>
      <w:r>
        <w:rPr>
          <w:spacing w:val="-57"/>
          <w:w w:val="95"/>
        </w:rPr>
      </w:r>
      <w:r>
        <w:rPr/>
        <w:t>购买日起三个月内到期）、流动性强、易于转换为已知现金、价值变动风险很小四个条件的投资，确定为现金</w:t>
      </w:r>
      <w:r>
        <w:rPr>
          <w:spacing w:val="-73"/>
        </w:rPr>
        <w:t> </w:t>
      </w:r>
      <w:r>
        <w:rPr>
          <w:spacing w:val="-73"/>
        </w:rPr>
      </w:r>
      <w:r>
        <w:rPr/>
        <w:t>等价物。</w:t>
      </w:r>
    </w:p>
    <w:p>
      <w:pPr>
        <w:spacing w:line="240" w:lineRule="auto" w:before="3"/>
        <w:rPr>
          <w:rFonts w:ascii="宋体" w:hAnsi="宋体" w:cs="宋体" w:eastAsia="宋体" w:hint="default"/>
          <w:sz w:val="20"/>
          <w:szCs w:val="20"/>
        </w:rPr>
      </w:pPr>
    </w:p>
    <w:p>
      <w:pPr>
        <w:pStyle w:val="Heading3"/>
        <w:spacing w:line="240" w:lineRule="auto"/>
        <w:ind w:right="1133"/>
        <w:jc w:val="left"/>
        <w:rPr>
          <w:b w:val="0"/>
          <w:bCs w:val="0"/>
        </w:rPr>
      </w:pPr>
      <w:bookmarkStart w:name="9、外币业务和外币报表折算" w:id="179"/>
      <w:bookmarkEnd w:id="179"/>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12"/>
        <w:rPr>
          <w:rFonts w:ascii="宋体" w:hAnsi="宋体" w:cs="宋体" w:eastAsia="宋体" w:hint="default"/>
          <w:b/>
          <w:bCs/>
          <w:sz w:val="30"/>
          <w:szCs w:val="30"/>
        </w:rPr>
      </w:pPr>
    </w:p>
    <w:p>
      <w:pPr>
        <w:pStyle w:val="BodyText"/>
        <w:spacing w:line="429" w:lineRule="auto"/>
        <w:ind w:left="554" w:right="2954"/>
        <w:jc w:val="left"/>
      </w:pPr>
      <w:r>
        <w:rPr/>
        <w:t>（</w:t>
      </w:r>
      <w:r>
        <w:rPr>
          <w:rFonts w:ascii="宋体" w:hAnsi="宋体" w:cs="宋体" w:eastAsia="宋体" w:hint="default"/>
        </w:rPr>
        <w:t>1</w:t>
      </w:r>
      <w:r>
        <w:rPr/>
        <w:t>）外币业务</w:t>
      </w:r>
      <w:r>
        <w:rPr>
          <w:w w:val="99"/>
        </w:rPr>
        <w:t> </w:t>
      </w:r>
      <w:r>
        <w:rPr>
          <w:w w:val="95"/>
        </w:rPr>
        <w:t>外币业务采用交易发生日的即期汇率作为折算汇率将外币金额折合成人民币记账。</w:t>
      </w:r>
      <w:r>
        <w:rPr/>
      </w:r>
    </w:p>
    <w:p>
      <w:pPr>
        <w:pStyle w:val="BodyText"/>
        <w:spacing w:line="429" w:lineRule="auto" w:before="48"/>
        <w:ind w:right="1133" w:firstLine="401"/>
        <w:jc w:val="left"/>
      </w:pPr>
      <w:r>
        <w:rPr/>
        <w:t>资产负债表日外币货币性项目余额按资产负债表日即期汇率折算，由此产生的汇兑差额，除属于与购建符</w:t>
      </w:r>
      <w:r>
        <w:rPr>
          <w:w w:val="99"/>
        </w:rPr>
        <w:t> </w:t>
      </w:r>
      <w:r>
        <w:rPr>
          <w:spacing w:val="-1"/>
          <w:w w:val="95"/>
        </w:rPr>
        <w:t>合资本化条件的资产相关的外币专门借款产生的汇兑差额按照借款费用资本化的原则处理外，均计入当期损益。</w:t>
      </w:r>
      <w:r>
        <w:rPr>
          <w:spacing w:val="-1"/>
        </w:rPr>
      </w:r>
    </w:p>
    <w:p>
      <w:pPr>
        <w:pStyle w:val="BodyText"/>
        <w:spacing w:line="429" w:lineRule="auto" w:before="48"/>
        <w:ind w:left="554" w:right="1129"/>
        <w:jc w:val="left"/>
      </w:pPr>
      <w:r>
        <w:rPr/>
        <w:t>（</w:t>
      </w:r>
      <w:r>
        <w:rPr>
          <w:rFonts w:ascii="宋体" w:hAnsi="宋体" w:cs="宋体" w:eastAsia="宋体" w:hint="default"/>
        </w:rPr>
        <w:t>2</w:t>
      </w:r>
      <w:r>
        <w:rPr/>
        <w:t>）外币财务报表的折算</w:t>
      </w:r>
      <w:r>
        <w:rPr>
          <w:w w:val="99"/>
        </w:rPr>
        <w:t> </w:t>
      </w:r>
      <w:r>
        <w:rPr/>
        <w:t>资产负债表中的资产和负债项目，采用资产负债表日的即期汇率折算；所有者权益项目除“未分配利润”</w:t>
      </w:r>
    </w:p>
    <w:p>
      <w:pPr>
        <w:pStyle w:val="BodyText"/>
        <w:spacing w:line="429" w:lineRule="auto" w:before="48"/>
        <w:ind w:left="554" w:right="1129" w:hanging="402"/>
        <w:jc w:val="left"/>
      </w:pPr>
      <w:r>
        <w:rPr>
          <w:spacing w:val="-1"/>
          <w:w w:val="95"/>
        </w:rPr>
        <w:t>项目外，其他项目采用发生时的即期汇率折算。利润表中的收入和费用项目，采用交易发生日的即期汇率折算。</w:t>
      </w:r>
      <w:r>
        <w:rPr>
          <w:spacing w:val="86"/>
          <w:w w:val="95"/>
        </w:rPr>
        <w:t> </w:t>
      </w:r>
      <w:r>
        <w:rPr>
          <w:spacing w:val="86"/>
          <w:w w:val="95"/>
        </w:rPr>
      </w:r>
      <w:r>
        <w:rPr/>
        <w:t>处置境外经营时，将与该境外经营相关的外币财务报表折算差额，自所有者权益项目转入处置当期损益。</w:t>
      </w:r>
    </w:p>
    <w:p>
      <w:pPr>
        <w:spacing w:line="240" w:lineRule="auto" w:before="3"/>
        <w:rPr>
          <w:rFonts w:ascii="宋体" w:hAnsi="宋体" w:cs="宋体" w:eastAsia="宋体" w:hint="default"/>
          <w:sz w:val="20"/>
          <w:szCs w:val="20"/>
        </w:rPr>
      </w:pPr>
    </w:p>
    <w:p>
      <w:pPr>
        <w:pStyle w:val="Heading3"/>
        <w:spacing w:line="240" w:lineRule="auto"/>
        <w:ind w:right="1133"/>
        <w:jc w:val="left"/>
        <w:rPr>
          <w:b w:val="0"/>
          <w:bCs w:val="0"/>
        </w:rPr>
      </w:pPr>
      <w:bookmarkStart w:name="10、金融工具" w:id="180"/>
      <w:bookmarkEnd w:id="180"/>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2"/>
        <w:rPr>
          <w:rFonts w:ascii="宋体" w:hAnsi="宋体" w:cs="宋体" w:eastAsia="宋体" w:hint="default"/>
          <w:b/>
          <w:bCs/>
          <w:sz w:val="31"/>
          <w:szCs w:val="31"/>
        </w:rPr>
      </w:pPr>
    </w:p>
    <w:p>
      <w:pPr>
        <w:pStyle w:val="BodyText"/>
        <w:spacing w:line="240" w:lineRule="auto"/>
        <w:ind w:left="554" w:right="1133"/>
        <w:jc w:val="left"/>
      </w:pPr>
      <w:r>
        <w:rPr/>
        <w:t>金融工具包括金融资产、金融负债和权益工具。</w:t>
      </w:r>
    </w:p>
    <w:p>
      <w:pPr>
        <w:spacing w:line="240" w:lineRule="auto" w:before="11"/>
        <w:rPr>
          <w:rFonts w:ascii="宋体" w:hAnsi="宋体" w:cs="宋体" w:eastAsia="宋体" w:hint="default"/>
          <w:sz w:val="15"/>
          <w:szCs w:val="15"/>
        </w:rPr>
      </w:pPr>
    </w:p>
    <w:p>
      <w:pPr>
        <w:pStyle w:val="BodyText"/>
        <w:spacing w:line="429" w:lineRule="auto"/>
        <w:ind w:left="554" w:right="7352"/>
        <w:jc w:val="left"/>
      </w:pPr>
      <w:r>
        <w:rPr/>
        <w:t>（</w:t>
      </w:r>
      <w:r>
        <w:rPr>
          <w:rFonts w:ascii="宋体" w:hAnsi="宋体" w:cs="宋体" w:eastAsia="宋体" w:hint="default"/>
        </w:rPr>
        <w:t>1</w:t>
      </w:r>
      <w:r>
        <w:rPr/>
        <w:t>）金融工具的分类</w:t>
      </w:r>
      <w:r>
        <w:rPr>
          <w:w w:val="99"/>
        </w:rPr>
        <w:t> </w:t>
      </w:r>
      <w:r>
        <w:rPr/>
        <w:t>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日起适用的会计政策</w:t>
      </w:r>
    </w:p>
    <w:p>
      <w:pPr>
        <w:pStyle w:val="BodyText"/>
        <w:spacing w:line="429" w:lineRule="auto" w:before="48"/>
        <w:ind w:right="1141" w:firstLine="401"/>
        <w:jc w:val="both"/>
      </w:pPr>
      <w:r>
        <w:rPr/>
        <w:t>根据本公司管理金融资产的业务模式和金融资产的合同现金流量特征，金融资产于初始确认时分类为：以</w:t>
      </w:r>
      <w:r>
        <w:rPr>
          <w:w w:val="99"/>
        </w:rPr>
        <w:t> </w:t>
      </w:r>
      <w:r>
        <w:rPr/>
        <w:t>摊余成本计量的金融资产、以公允价值计量且其变动计入其他综合收益的金融资产（债务工具）和以公允价值</w:t>
      </w:r>
      <w:r>
        <w:rPr>
          <w:spacing w:val="-77"/>
        </w:rPr>
        <w:t> </w:t>
      </w:r>
      <w:r>
        <w:rPr>
          <w:spacing w:val="-77"/>
        </w:rPr>
      </w:r>
      <w:r>
        <w:rPr/>
        <w:t>计量且其变动计入当期损益的金融资产。</w:t>
      </w:r>
    </w:p>
    <w:p>
      <w:pPr>
        <w:pStyle w:val="BodyText"/>
        <w:spacing w:line="240" w:lineRule="auto" w:before="48"/>
        <w:ind w:left="554" w:right="1129"/>
        <w:jc w:val="left"/>
      </w:pPr>
      <w:r>
        <w:rPr/>
        <w:t>业务模式是以收取合同现金流量为目标且合同现金流量仅为对本金和以未偿付本金金额为基础的利息的支</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29" w:lineRule="auto"/>
        <w:ind w:right="1142"/>
        <w:jc w:val="both"/>
      </w:pPr>
      <w:r>
        <w:rPr/>
        <w:t>付的，分类为以摊余成本计量的金融资产；业务模式既以收取合同现金流量又以出售该金融资产为目标且合同</w:t>
      </w:r>
      <w:r>
        <w:rPr>
          <w:spacing w:val="-77"/>
        </w:rPr>
        <w:t> </w:t>
      </w:r>
      <w:r>
        <w:rPr>
          <w:spacing w:val="-77"/>
        </w:rPr>
      </w:r>
      <w:r>
        <w:rPr/>
        <w:t>现金流量仅为对本金和以未偿付本金金额为基础的利息的支付的，分类为以公允价值计量且其变动计入其他综</w:t>
      </w:r>
      <w:r>
        <w:rPr>
          <w:spacing w:val="-77"/>
        </w:rPr>
        <w:t> </w:t>
      </w:r>
      <w:r>
        <w:rPr>
          <w:spacing w:val="-77"/>
        </w:rPr>
      </w:r>
      <w:r>
        <w:rPr/>
        <w:t>合收益的金融资产（债务工具）；除此之外的其他金融资产，分类为以公允价值计量且其变动计入当期损益的</w:t>
      </w:r>
      <w:r>
        <w:rPr>
          <w:spacing w:val="-77"/>
        </w:rPr>
        <w:t> </w:t>
      </w:r>
      <w:r>
        <w:rPr>
          <w:spacing w:val="-77"/>
        </w:rPr>
      </w:r>
      <w:r>
        <w:rPr/>
        <w:t>金融资产。</w:t>
      </w:r>
    </w:p>
    <w:p>
      <w:pPr>
        <w:pStyle w:val="BodyText"/>
        <w:spacing w:line="429" w:lineRule="auto" w:before="48"/>
        <w:ind w:right="1140" w:firstLine="401"/>
        <w:jc w:val="both"/>
      </w:pPr>
      <w:r>
        <w:rPr/>
        <w:t>对于非交易性权益工具投资，本公司在初始确认时确定是否将其指定为以公允价值计量且其变动计入其他</w:t>
      </w:r>
      <w:r>
        <w:rPr>
          <w:w w:val="99"/>
        </w:rPr>
        <w:t> </w:t>
      </w:r>
      <w:r>
        <w:rPr/>
        <w:t>综合收益的金融资产（权益工具）。在初始确认时，为了能够消除或显著减少会计错配，可以将金融资产指定</w:t>
      </w:r>
      <w:r>
        <w:rPr>
          <w:spacing w:val="-76"/>
        </w:rPr>
        <w:t> </w:t>
      </w:r>
      <w:r>
        <w:rPr>
          <w:spacing w:val="-76"/>
        </w:rPr>
      </w:r>
      <w:r>
        <w:rPr/>
        <w:t>为以公允价值计量且其变动计入当期损益的金融资产。</w:t>
      </w:r>
    </w:p>
    <w:p>
      <w:pPr>
        <w:pStyle w:val="BodyText"/>
        <w:spacing w:line="429" w:lineRule="auto" w:before="48"/>
        <w:ind w:right="1141" w:firstLine="401"/>
        <w:jc w:val="both"/>
      </w:pPr>
      <w:r>
        <w:rPr/>
        <w:t>金融负债于初始确认时分类为：以公允价值计量且其变动计入当期损益的金融负债和以摊余成本计量的金</w:t>
      </w:r>
      <w:r>
        <w:rPr>
          <w:w w:val="99"/>
        </w:rPr>
        <w:t> </w:t>
      </w:r>
      <w:r>
        <w:rPr/>
        <w:t>融负债。</w:t>
      </w:r>
    </w:p>
    <w:p>
      <w:pPr>
        <w:pStyle w:val="BodyText"/>
        <w:spacing w:line="429" w:lineRule="auto" w:before="48"/>
        <w:ind w:left="554" w:right="1133"/>
        <w:jc w:val="left"/>
      </w:pPr>
      <w:r>
        <w:rPr>
          <w:w w:val="95"/>
        </w:rPr>
        <w:t>符合以下条件之一的金融负债可在初始计量时指定为以公允价值计量且其变动计入当期损益的金融负债：</w:t>
      </w:r>
      <w:r>
        <w:rPr>
          <w:spacing w:val="71"/>
          <w:w w:val="95"/>
        </w:rPr>
        <w:t> </w:t>
      </w:r>
      <w:r>
        <w:rPr>
          <w:spacing w:val="71"/>
          <w:w w:val="95"/>
        </w:rPr>
      </w:r>
      <w:r>
        <w:rPr>
          <w:rFonts w:ascii="宋体" w:hAnsi="宋体" w:cs="宋体" w:eastAsia="宋体" w:hint="default"/>
        </w:rPr>
        <w:t>1</w:t>
      </w:r>
      <w:r>
        <w:rPr/>
        <w:t>）该项指定能够消除或显著减少会计错配。</w:t>
      </w:r>
    </w:p>
    <w:p>
      <w:pPr>
        <w:pStyle w:val="BodyText"/>
        <w:spacing w:line="429" w:lineRule="auto" w:before="48"/>
        <w:ind w:right="1138" w:firstLine="401"/>
        <w:jc w:val="both"/>
      </w:pPr>
      <w:r>
        <w:rPr>
          <w:rFonts w:ascii="宋体" w:hAnsi="宋体" w:cs="宋体" w:eastAsia="宋体" w:hint="default"/>
          <w:spacing w:val="-1"/>
          <w:w w:val="95"/>
        </w:rPr>
        <w:t>2</w:t>
      </w:r>
      <w:r>
        <w:rPr>
          <w:spacing w:val="-1"/>
          <w:w w:val="95"/>
        </w:rPr>
        <w:t>）根据正式书面文件载明的企业风险管理或投资策略，以公允价值为基础对金融负债组合或金融资产和金</w:t>
      </w:r>
      <w:r>
        <w:rPr>
          <w:spacing w:val="-57"/>
          <w:w w:val="95"/>
        </w:rPr>
        <w:t> </w:t>
      </w:r>
      <w:r>
        <w:rPr>
          <w:spacing w:val="-57"/>
          <w:w w:val="95"/>
        </w:rPr>
      </w:r>
      <w:r>
        <w:rPr/>
        <w:t>融负债组合进行管理和业绩评价，并在企业内部以此为基础向关键管理人员报告。</w:t>
      </w:r>
    </w:p>
    <w:p>
      <w:pPr>
        <w:pStyle w:val="BodyText"/>
        <w:spacing w:line="429" w:lineRule="auto" w:before="48"/>
        <w:ind w:left="554" w:right="1133"/>
        <w:jc w:val="left"/>
      </w:pPr>
      <w:r>
        <w:rPr>
          <w:rFonts w:ascii="宋体" w:hAnsi="宋体" w:cs="宋体" w:eastAsia="宋体" w:hint="default"/>
        </w:rPr>
        <w:t>3</w:t>
      </w:r>
      <w:r>
        <w:rPr/>
        <w:t>）该金融负债包含需单独分拆的嵌入衍生工具。</w:t>
      </w:r>
      <w:r>
        <w:rPr>
          <w:w w:val="99"/>
        </w:rPr>
        <w:t> </w:t>
      </w:r>
      <w:r>
        <w:rPr/>
        <w:t>按照上述条件，本公司指定的这类金融负债主要包括：（具体描述指定的情况）</w:t>
      </w:r>
      <w:r>
        <w:rPr>
          <w:w w:val="99"/>
        </w:rPr>
        <w:t> </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日前适用的会计政策</w:t>
      </w:r>
      <w:r>
        <w:rPr>
          <w:w w:val="99"/>
        </w:rPr>
        <w:t> </w:t>
      </w:r>
      <w:r>
        <w:rPr>
          <w:spacing w:val="-1"/>
          <w:w w:val="95"/>
        </w:rPr>
        <w:t>金融资产和金融负债于初始确认时分类为：以公允价值计量且其变动计入当期损益的金融资产或金融负债，</w:t>
      </w:r>
      <w:r>
        <w:rPr>
          <w:spacing w:val="-1"/>
        </w:rPr>
      </w:r>
    </w:p>
    <w:p>
      <w:pPr>
        <w:pStyle w:val="BodyText"/>
        <w:spacing w:line="429" w:lineRule="auto" w:before="48"/>
        <w:ind w:right="1142"/>
        <w:jc w:val="both"/>
      </w:pPr>
      <w:r>
        <w:rPr/>
        <w:t>包括交易性金融资产或金融负债和直接指定为以公允价值计量且其变动计入当期损益的金融资产或金融负债；</w:t>
      </w:r>
      <w:r>
        <w:rPr>
          <w:spacing w:val="-77"/>
        </w:rPr>
        <w:t> </w:t>
      </w:r>
      <w:r>
        <w:rPr>
          <w:spacing w:val="-77"/>
        </w:rPr>
      </w:r>
      <w:r>
        <w:rPr/>
        <w:t>持有至到期投资；应收款项；可供出售金融资产；其他金融负债等。</w:t>
      </w:r>
    </w:p>
    <w:p>
      <w:pPr>
        <w:pStyle w:val="BodyText"/>
        <w:spacing w:line="429" w:lineRule="auto" w:before="48"/>
        <w:ind w:left="554" w:right="7052"/>
        <w:jc w:val="left"/>
      </w:pPr>
      <w:r>
        <w:rPr/>
        <w:t>（</w:t>
      </w:r>
      <w:r>
        <w:rPr>
          <w:rFonts w:ascii="宋体" w:hAnsi="宋体" w:cs="宋体" w:eastAsia="宋体" w:hint="default"/>
        </w:rPr>
        <w:t>2</w:t>
      </w:r>
      <w:r>
        <w:rPr/>
        <w:t>）金融工具的确认依据和计量方法</w:t>
      </w:r>
      <w:r>
        <w:rPr>
          <w:w w:val="99"/>
        </w:rPr>
        <w:t> </w:t>
      </w:r>
      <w:r>
        <w:rPr/>
        <w:t>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日起适用的会计政策</w:t>
      </w:r>
      <w:r>
        <w:rPr>
          <w:w w:val="99"/>
        </w:rPr>
        <w:t> </w:t>
      </w:r>
      <w:r>
        <w:rPr>
          <w:rFonts w:ascii="宋体" w:hAnsi="宋体" w:cs="宋体" w:eastAsia="宋体" w:hint="default"/>
        </w:rPr>
        <w:t>1</w:t>
      </w:r>
      <w:r>
        <w:rPr/>
        <w:t>）以摊余成本计量的金融资产</w:t>
      </w:r>
    </w:p>
    <w:p>
      <w:pPr>
        <w:pStyle w:val="BodyText"/>
        <w:spacing w:line="429" w:lineRule="auto" w:before="48"/>
        <w:ind w:right="1141" w:firstLine="401"/>
        <w:jc w:val="both"/>
      </w:pPr>
      <w:r>
        <w:rPr/>
        <w:t>以摊余成本计量的金融资产包括应收票据、应收账款、其他应收款、长期应收款、债权投资等，按公允价</w:t>
      </w:r>
      <w:r>
        <w:rPr>
          <w:w w:val="99"/>
        </w:rPr>
        <w:t> </w:t>
      </w:r>
      <w:r>
        <w:rPr/>
        <w:t>值进行初始计量，相关交易费用计入初始确认金额；不包含重大融资成分的应收账款以及本公司决定不考虑不</w:t>
      </w:r>
      <w:r>
        <w:rPr>
          <w:spacing w:val="-77"/>
        </w:rPr>
        <w:t> </w:t>
      </w:r>
      <w:r>
        <w:rPr>
          <w:spacing w:val="-77"/>
        </w:rPr>
      </w:r>
      <w:r>
        <w:rPr/>
        <w:t>超过一年的融资成分的应收账款，以合同交易价格进行初始计量。</w:t>
      </w:r>
    </w:p>
    <w:p>
      <w:pPr>
        <w:pStyle w:val="BodyText"/>
        <w:spacing w:line="429" w:lineRule="auto" w:before="48"/>
        <w:ind w:left="554" w:right="1133"/>
        <w:jc w:val="left"/>
      </w:pPr>
      <w:r>
        <w:rPr/>
        <w:t>持有期间采用实际利率法计算的利息计入当期损益。</w:t>
      </w:r>
      <w:r>
        <w:rPr>
          <w:w w:val="99"/>
        </w:rPr>
        <w:t> </w:t>
      </w:r>
      <w:r>
        <w:rPr/>
        <w:t>收回或处置时，将取得的价款与该金融资产账面价值之间的差额计入当期损益。</w:t>
      </w:r>
      <w:r>
        <w:rPr>
          <w:w w:val="99"/>
        </w:rPr>
        <w:t> </w:t>
      </w:r>
      <w:r>
        <w:rPr>
          <w:rFonts w:ascii="宋体" w:hAnsi="宋体" w:cs="宋体" w:eastAsia="宋体" w:hint="default"/>
        </w:rPr>
        <w:t>2</w:t>
      </w:r>
      <w:r>
        <w:rPr/>
        <w:t>）以公允价值计量且其变动计入其他综合收益的金融资产（债务工具）</w:t>
      </w:r>
      <w:r>
        <w:rPr>
          <w:w w:val="99"/>
        </w:rPr>
        <w:t> </w:t>
      </w:r>
      <w:r>
        <w:rPr>
          <w:spacing w:val="-1"/>
          <w:w w:val="95"/>
        </w:rPr>
        <w:t>以公允价值计量且其变动计入其他综合收益的金融资产（债务工具）包括应收款项融资、其他债权投资等，</w:t>
      </w:r>
      <w:r>
        <w:rPr>
          <w:spacing w:val="-1"/>
        </w:rPr>
      </w:r>
    </w:p>
    <w:p>
      <w:pPr>
        <w:pStyle w:val="BodyText"/>
        <w:spacing w:line="240" w:lineRule="auto" w:before="48"/>
        <w:ind w:right="0"/>
        <w:jc w:val="both"/>
      </w:pPr>
      <w:r>
        <w:rPr/>
        <w:t>按公允价值进行初始计量，相关交易费用计入初始确认金额。该金融资产按公允价值进行后续计量，公允价值</w:t>
      </w:r>
    </w:p>
    <w:p>
      <w:pPr>
        <w:spacing w:after="0" w:line="240"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29" w:lineRule="auto"/>
        <w:ind w:left="554" w:right="1133" w:hanging="402"/>
        <w:jc w:val="left"/>
      </w:pPr>
      <w:r>
        <w:rPr/>
        <w:t>变动除采用实际利率法计算的利息、减值损失或利得和汇兑损益之外，均计入其他综合收益。</w:t>
      </w:r>
      <w:r>
        <w:rPr>
          <w:w w:val="99"/>
        </w:rPr>
        <w:t> </w:t>
      </w:r>
      <w:r>
        <w:rPr/>
        <w:t>终止确认时，之前计入其他综合收益的累计利得或损失从其他综合收益中转出，计入当期损益。</w:t>
      </w:r>
      <w:r>
        <w:rPr>
          <w:w w:val="99"/>
        </w:rPr>
        <w:t> </w:t>
      </w:r>
      <w:r>
        <w:rPr>
          <w:rFonts w:ascii="宋体" w:hAnsi="宋体" w:cs="宋体" w:eastAsia="宋体" w:hint="default"/>
        </w:rPr>
        <w:t>3</w:t>
      </w:r>
      <w:r>
        <w:rPr/>
        <w:t>）以公允价值计量且其变动计入其他综合收益的金融资产（权益工具）</w:t>
      </w:r>
      <w:r>
        <w:rPr>
          <w:w w:val="99"/>
        </w:rPr>
        <w:t> </w:t>
      </w:r>
      <w:r>
        <w:rPr/>
        <w:t>以公允价值计量且其变动计入其他综合收益的金融资产（权益工具）包括其他权益工具投资等，按公允价</w:t>
      </w:r>
    </w:p>
    <w:p>
      <w:pPr>
        <w:pStyle w:val="BodyText"/>
        <w:spacing w:line="429" w:lineRule="auto" w:before="48"/>
        <w:ind w:right="1133"/>
        <w:jc w:val="left"/>
      </w:pPr>
      <w:r>
        <w:rPr/>
        <w:t>值进行初始计量，相关交易费用计入初始确认金额。该金融资产按公允价值进行后续计量，公允价值变动计入</w:t>
      </w:r>
      <w:r>
        <w:rPr>
          <w:spacing w:val="-74"/>
        </w:rPr>
        <w:t> </w:t>
      </w:r>
      <w:r>
        <w:rPr>
          <w:spacing w:val="-74"/>
        </w:rPr>
      </w:r>
      <w:r>
        <w:rPr/>
        <w:t>其他综合收益。取得的股利计入当期损益。</w:t>
      </w:r>
    </w:p>
    <w:p>
      <w:pPr>
        <w:pStyle w:val="BodyText"/>
        <w:spacing w:line="429" w:lineRule="auto" w:before="48"/>
        <w:ind w:left="554" w:right="1133"/>
        <w:jc w:val="left"/>
      </w:pPr>
      <w:r>
        <w:rPr/>
        <w:t>终止确认时，之前计入其他综合收益的累计利得或损失从其他综合收益中转出，计入留存收益。</w:t>
      </w:r>
      <w:r>
        <w:rPr>
          <w:w w:val="99"/>
        </w:rPr>
        <w:t> </w:t>
      </w:r>
      <w:r>
        <w:rPr>
          <w:rFonts w:ascii="宋体" w:hAnsi="宋体" w:cs="宋体" w:eastAsia="宋体" w:hint="default"/>
        </w:rPr>
        <w:t>4</w:t>
      </w:r>
      <w:r>
        <w:rPr/>
        <w:t>）以公允价值计量且其变动计入当期损益的金融资产</w:t>
      </w:r>
      <w:r>
        <w:rPr>
          <w:w w:val="99"/>
        </w:rPr>
        <w:t> </w:t>
      </w:r>
      <w:r>
        <w:rPr/>
        <w:t>以公允价值计量且其变动计入当期损益的金融资产包括交易性金融资产、衍生金融资产、其他非流动金融</w:t>
      </w:r>
    </w:p>
    <w:p>
      <w:pPr>
        <w:pStyle w:val="BodyText"/>
        <w:spacing w:line="429" w:lineRule="auto" w:before="48"/>
        <w:ind w:right="1133"/>
        <w:jc w:val="left"/>
      </w:pPr>
      <w:r>
        <w:rPr/>
        <w:t>资产等，按公允价值进行初始计量，相关交易费用计入当期损益。该金融资产按公允价值进行后续计量，公允</w:t>
      </w:r>
      <w:r>
        <w:rPr>
          <w:spacing w:val="-77"/>
        </w:rPr>
        <w:t> </w:t>
      </w:r>
      <w:r>
        <w:rPr>
          <w:spacing w:val="-77"/>
        </w:rPr>
      </w:r>
      <w:r>
        <w:rPr/>
        <w:t>价值变动计入当期损益。</w:t>
      </w:r>
    </w:p>
    <w:p>
      <w:pPr>
        <w:pStyle w:val="BodyText"/>
        <w:spacing w:line="429" w:lineRule="auto" w:before="48"/>
        <w:ind w:left="554" w:right="1133"/>
        <w:jc w:val="left"/>
      </w:pPr>
      <w:r>
        <w:rPr>
          <w:rFonts w:ascii="宋体" w:hAnsi="宋体" w:cs="宋体" w:eastAsia="宋体" w:hint="default"/>
        </w:rPr>
        <w:t>5</w:t>
      </w:r>
      <w:r>
        <w:rPr/>
        <w:t>）以公允价值计量且其变动计入当期损益的金融负债</w:t>
      </w:r>
      <w:r>
        <w:rPr>
          <w:w w:val="99"/>
        </w:rPr>
        <w:t> </w:t>
      </w:r>
      <w:r>
        <w:rPr/>
        <w:t>以公允价值计量且其变动计入当期损益的金融负债包括交易性金融负债、衍生金融负债等，按公允价值进</w:t>
      </w:r>
    </w:p>
    <w:p>
      <w:pPr>
        <w:pStyle w:val="BodyText"/>
        <w:spacing w:line="429" w:lineRule="auto" w:before="48"/>
        <w:ind w:left="554" w:right="1133" w:hanging="402"/>
        <w:jc w:val="left"/>
      </w:pPr>
      <w:r>
        <w:rPr>
          <w:spacing w:val="-1"/>
          <w:w w:val="95"/>
        </w:rPr>
        <w:t>行初始计量，相关交易费用计入当期损益。该金融负债按公允价值进行后续计量，公允价值变动计入当期损益。</w:t>
      </w:r>
      <w:r>
        <w:rPr>
          <w:spacing w:val="87"/>
          <w:w w:val="95"/>
        </w:rPr>
        <w:t> </w:t>
      </w:r>
      <w:r>
        <w:rPr>
          <w:spacing w:val="87"/>
          <w:w w:val="95"/>
        </w:rPr>
      </w:r>
      <w:r>
        <w:rPr/>
        <w:t>终止确认时，其账面价值与支付的对价之间的差额计入当期损益。</w:t>
      </w:r>
    </w:p>
    <w:p>
      <w:pPr>
        <w:pStyle w:val="BodyText"/>
        <w:spacing w:line="429" w:lineRule="auto" w:before="48"/>
        <w:ind w:left="554" w:right="1133"/>
        <w:jc w:val="left"/>
      </w:pPr>
      <w:r>
        <w:rPr>
          <w:rFonts w:ascii="宋体" w:hAnsi="宋体" w:cs="宋体" w:eastAsia="宋体" w:hint="default"/>
        </w:rPr>
        <w:t>6</w:t>
      </w:r>
      <w:r>
        <w:rPr/>
        <w:t>）以摊余成本计量的金融负债</w:t>
      </w:r>
      <w:r>
        <w:rPr>
          <w:w w:val="99"/>
        </w:rPr>
        <w:t> </w:t>
      </w:r>
      <w:r>
        <w:rPr/>
        <w:t>以摊余成本计量的金融负债包括短期借款、应付票据、应付账款、其他应付款、长期借款、应付债券、长</w:t>
      </w:r>
    </w:p>
    <w:p>
      <w:pPr>
        <w:pStyle w:val="BodyText"/>
        <w:spacing w:line="429" w:lineRule="auto" w:before="48"/>
        <w:ind w:left="554" w:right="1133" w:hanging="402"/>
        <w:jc w:val="left"/>
      </w:pPr>
      <w:r>
        <w:rPr/>
        <w:t>期应付款，按公允价值进行初始计量，相关交易费用计入初始确认金额。</w:t>
      </w:r>
      <w:r>
        <w:rPr>
          <w:w w:val="99"/>
        </w:rPr>
        <w:t> </w:t>
      </w:r>
      <w:r>
        <w:rPr/>
        <w:t>持有期间采用实际利率法计算的利息计入当期损益。</w:t>
      </w:r>
      <w:r>
        <w:rPr>
          <w:w w:val="99"/>
        </w:rPr>
        <w:t> </w:t>
      </w:r>
      <w:r>
        <w:rPr>
          <w:w w:val="95"/>
        </w:rPr>
        <w:t>终止确认时，将支付的对价与该金融负债账面价值之间的差额计入当期损益。</w:t>
      </w:r>
      <w:r>
        <w:rPr>
          <w:w w:val="99"/>
        </w:rPr>
        <w:t> </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日前适用的会计政策</w:t>
      </w:r>
    </w:p>
    <w:p>
      <w:pPr>
        <w:pStyle w:val="BodyText"/>
        <w:spacing w:line="429" w:lineRule="auto" w:before="48"/>
        <w:ind w:left="554" w:right="1133"/>
        <w:jc w:val="left"/>
      </w:pPr>
      <w:r>
        <w:rPr>
          <w:rFonts w:ascii="宋体" w:hAnsi="宋体" w:cs="宋体" w:eastAsia="宋体" w:hint="default"/>
        </w:rPr>
        <w:t>1</w:t>
      </w:r>
      <w:r>
        <w:rPr/>
        <w:t>）以公允价值计量且其变动计入当期损益的金融资产（金融负债）</w:t>
      </w:r>
      <w:r>
        <w:rPr>
          <w:w w:val="99"/>
        </w:rPr>
        <w:t> </w:t>
      </w:r>
      <w:r>
        <w:rPr/>
        <w:t>取得时以公允价值（扣除已宣告但尚未发放的现金股利或已到付息期但尚未领取的债券利息）作为初始确</w:t>
      </w:r>
    </w:p>
    <w:p>
      <w:pPr>
        <w:pStyle w:val="BodyText"/>
        <w:spacing w:line="429" w:lineRule="auto" w:before="49"/>
        <w:ind w:left="554" w:right="1133" w:hanging="402"/>
        <w:jc w:val="left"/>
      </w:pPr>
      <w:r>
        <w:rPr/>
        <w:t>认金额，相关的交易费用计入当期损益。</w:t>
      </w:r>
      <w:r>
        <w:rPr>
          <w:w w:val="99"/>
        </w:rPr>
        <w:t> </w:t>
      </w:r>
      <w:r>
        <w:rPr/>
        <w:t>持有期间将取得的利息或现金股利确认为投资收益，期末将公允价值变动计入当期损益。</w:t>
      </w:r>
      <w:r>
        <w:rPr>
          <w:w w:val="99"/>
        </w:rPr>
        <w:t> </w:t>
      </w:r>
      <w:r>
        <w:rPr/>
        <w:t>处置时，其公允价值与初始入账金额之间的差额确认为投资收益，同时调整公允价值变动损益。</w:t>
      </w:r>
      <w:r>
        <w:rPr>
          <w:w w:val="99"/>
        </w:rPr>
        <w:t> </w:t>
      </w:r>
      <w:r>
        <w:rPr>
          <w:rFonts w:ascii="宋体" w:hAnsi="宋体" w:cs="宋体" w:eastAsia="宋体" w:hint="default"/>
        </w:rPr>
        <w:t>2</w:t>
      </w:r>
      <w:r>
        <w:rPr/>
        <w:t>）持有至到期投资</w:t>
      </w:r>
      <w:r>
        <w:rPr>
          <w:w w:val="99"/>
        </w:rPr>
        <w:t> </w:t>
      </w:r>
      <w:r>
        <w:rPr/>
        <w:t>取得时按公允价值（扣除已到付息期但尚未领取的债券利息）和相关交易费用之和作为初始确认金额。</w:t>
      </w:r>
      <w:r>
        <w:rPr>
          <w:w w:val="99"/>
        </w:rPr>
        <w:t> </w:t>
      </w:r>
      <w:r>
        <w:rPr/>
        <w:t>持有期间按照摊余成本和实际利率计算确认利息收入，计入投资收益。实际利率在取得时确定，在该预期</w:t>
      </w:r>
    </w:p>
    <w:p>
      <w:pPr>
        <w:pStyle w:val="BodyText"/>
        <w:spacing w:line="240" w:lineRule="auto" w:before="48"/>
        <w:ind w:right="1133"/>
        <w:jc w:val="left"/>
      </w:pPr>
      <w:r>
        <w:rPr/>
        <w:t>存续期间或适用的更短期间内保持不变。</w:t>
      </w:r>
    </w:p>
    <w:p>
      <w:pPr>
        <w:spacing w:after="0" w:line="240" w:lineRule="auto"/>
        <w:jc w:val="left"/>
        <w:sectPr>
          <w:footerReference w:type="default" r:id="rId17"/>
          <w:pgSz w:w="11910" w:h="16840"/>
          <w:pgMar w:footer="980" w:header="745" w:top="1060" w:bottom="1160" w:left="980" w:right="0"/>
          <w:pgNumType w:start="11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29" w:lineRule="auto"/>
        <w:ind w:left="554" w:right="3752"/>
        <w:jc w:val="left"/>
      </w:pPr>
      <w:r>
        <w:rPr>
          <w:w w:val="95"/>
        </w:rPr>
        <w:t>处置时，将所取得价款与该投资账面价值之间的差额计入投资收益。</w:t>
      </w:r>
      <w:r>
        <w:rPr>
          <w:spacing w:val="8"/>
          <w:w w:val="95"/>
        </w:rPr>
        <w:t> </w:t>
      </w:r>
      <w:r>
        <w:rPr>
          <w:spacing w:val="8"/>
          <w:w w:val="95"/>
        </w:rPr>
      </w:r>
      <w:r>
        <w:rPr>
          <w:rFonts w:ascii="宋体" w:hAnsi="宋体" w:cs="宋体" w:eastAsia="宋体" w:hint="default"/>
        </w:rPr>
        <w:t>3</w:t>
      </w:r>
      <w:r>
        <w:rPr/>
        <w:t>）应收款项</w:t>
      </w:r>
    </w:p>
    <w:p>
      <w:pPr>
        <w:pStyle w:val="BodyText"/>
        <w:spacing w:line="429" w:lineRule="auto" w:before="48"/>
        <w:ind w:right="1141" w:firstLine="401"/>
        <w:jc w:val="both"/>
      </w:pPr>
      <w:r>
        <w:rPr/>
        <w:t>公司对外销售商品或提供劳务形成的应收债权，以及公司持有的其他企业的不包括在活跃市场上有报价的</w:t>
      </w:r>
      <w:r>
        <w:rPr>
          <w:w w:val="99"/>
        </w:rPr>
        <w:t> </w:t>
      </w:r>
      <w:r>
        <w:rPr/>
        <w:t>债务工具的债权，包括应收账款、其他应收款等，以向购货方应收的合同或协议价款作为初始确认金额；具有</w:t>
      </w:r>
      <w:r>
        <w:rPr>
          <w:spacing w:val="-77"/>
        </w:rPr>
        <w:t> </w:t>
      </w:r>
      <w:r>
        <w:rPr>
          <w:spacing w:val="-77"/>
        </w:rPr>
      </w:r>
      <w:r>
        <w:rPr/>
        <w:t>融资性质的，按其现值进行初始确认。</w:t>
      </w:r>
    </w:p>
    <w:p>
      <w:pPr>
        <w:pStyle w:val="BodyText"/>
        <w:spacing w:line="429" w:lineRule="auto" w:before="48"/>
        <w:ind w:left="554" w:right="2954"/>
        <w:jc w:val="left"/>
      </w:pPr>
      <w:r>
        <w:rPr>
          <w:w w:val="95"/>
        </w:rPr>
        <w:t>收回或处置时，将取得的价款与该应收款项账面价值之间的差额计入当期损益。</w:t>
      </w:r>
      <w:r>
        <w:rPr>
          <w:spacing w:val="58"/>
          <w:w w:val="95"/>
        </w:rPr>
        <w:t> </w:t>
      </w:r>
      <w:r>
        <w:rPr>
          <w:spacing w:val="58"/>
          <w:w w:val="95"/>
        </w:rPr>
      </w:r>
      <w:r>
        <w:rPr>
          <w:rFonts w:ascii="宋体" w:hAnsi="宋体" w:cs="宋体" w:eastAsia="宋体" w:hint="default"/>
        </w:rPr>
        <w:t>4</w:t>
      </w:r>
      <w:r>
        <w:rPr/>
        <w:t>）可供出售金融资产</w:t>
      </w:r>
    </w:p>
    <w:p>
      <w:pPr>
        <w:pStyle w:val="BodyText"/>
        <w:spacing w:line="429" w:lineRule="auto" w:before="48"/>
        <w:ind w:right="1141" w:firstLine="401"/>
        <w:jc w:val="both"/>
      </w:pPr>
      <w:r>
        <w:rPr/>
        <w:t>取得时按公允价值（扣除已宣告但尚未发放的现金股利或已到付息期但尚未领取的债券利息）和相关交易</w:t>
      </w:r>
      <w:r>
        <w:rPr>
          <w:w w:val="99"/>
        </w:rPr>
        <w:t> </w:t>
      </w:r>
      <w:r>
        <w:rPr/>
        <w:t>费用之和作为初始确认金额。</w:t>
      </w:r>
    </w:p>
    <w:p>
      <w:pPr>
        <w:pStyle w:val="BodyText"/>
        <w:spacing w:line="429" w:lineRule="auto" w:before="48"/>
        <w:ind w:right="1141" w:firstLine="401"/>
        <w:jc w:val="both"/>
      </w:pPr>
      <w:r>
        <w:rPr/>
        <w:t>持有期间将取得的利息或现金股利确认为投资收益。期末以公允价值计量且将公允价值变动计入其他综合</w:t>
      </w:r>
      <w:r>
        <w:rPr>
          <w:w w:val="99"/>
        </w:rPr>
        <w:t> </w:t>
      </w:r>
      <w:r>
        <w:rPr/>
        <w:t>收益。但是，在活跃市场中没有报价且其公允价值不能可靠计量的权益工具投资，以及与该权益工具挂钩并须</w:t>
      </w:r>
      <w:r>
        <w:rPr>
          <w:spacing w:val="-77"/>
        </w:rPr>
        <w:t> </w:t>
      </w:r>
      <w:r>
        <w:rPr>
          <w:spacing w:val="-77"/>
        </w:rPr>
      </w:r>
      <w:r>
        <w:rPr/>
        <w:t>通过交付该权益工具结算的衍生金融资产，按照成本计量。</w:t>
      </w:r>
    </w:p>
    <w:p>
      <w:pPr>
        <w:pStyle w:val="BodyText"/>
        <w:spacing w:line="429" w:lineRule="auto" w:before="48"/>
        <w:ind w:right="1136" w:firstLine="401"/>
        <w:jc w:val="both"/>
      </w:pPr>
      <w:r>
        <w:rPr/>
        <w:t>处置时，将取得的价款与该金融资产账面价值之间的差额，计入投资损益；同时，将原直接计入其他综合</w:t>
      </w:r>
      <w:r>
        <w:rPr>
          <w:w w:val="99"/>
        </w:rPr>
        <w:t> </w:t>
      </w:r>
      <w:r>
        <w:rPr/>
        <w:t>收益的公允价值变动累计额对应处置部分的金额转出，计入当期损益。</w:t>
      </w:r>
    </w:p>
    <w:p>
      <w:pPr>
        <w:pStyle w:val="BodyText"/>
        <w:spacing w:line="429" w:lineRule="auto" w:before="48"/>
        <w:ind w:left="554" w:right="2952"/>
        <w:jc w:val="left"/>
      </w:pPr>
      <w:r>
        <w:rPr>
          <w:rFonts w:ascii="宋体" w:hAnsi="宋体" w:cs="宋体" w:eastAsia="宋体" w:hint="default"/>
        </w:rPr>
        <w:t>5</w:t>
      </w:r>
      <w:r>
        <w:rPr/>
        <w:t>）其他金融负债</w:t>
      </w:r>
      <w:r>
        <w:rPr>
          <w:w w:val="99"/>
        </w:rPr>
        <w:t> </w:t>
      </w:r>
      <w:r>
        <w:rPr/>
        <w:t>按其公允价值和相关交易费用之和作为初始确认金额。采用摊余成本进行后续计量。</w:t>
      </w:r>
    </w:p>
    <w:p>
      <w:pPr>
        <w:pStyle w:val="BodyText"/>
        <w:spacing w:line="429" w:lineRule="auto" w:before="48"/>
        <w:ind w:left="554" w:right="1133"/>
        <w:jc w:val="left"/>
      </w:pPr>
      <w:r>
        <w:rPr/>
        <w:t>（</w:t>
      </w:r>
      <w:r>
        <w:rPr>
          <w:rFonts w:ascii="宋体" w:hAnsi="宋体" w:cs="宋体" w:eastAsia="宋体" w:hint="default"/>
        </w:rPr>
        <w:t>3</w:t>
      </w:r>
      <w:r>
        <w:rPr/>
        <w:t>）金融资产转移的确认依据和计量方法</w:t>
      </w:r>
      <w:r>
        <w:rPr>
          <w:w w:val="99"/>
        </w:rPr>
        <w:t> </w:t>
      </w:r>
      <w:r>
        <w:rPr/>
        <w:t>公司发生金融资产转移时，如已将金融资产所有权上几乎所有的风险和报酬转移给转入方，则终止确认该</w:t>
      </w:r>
    </w:p>
    <w:p>
      <w:pPr>
        <w:pStyle w:val="BodyText"/>
        <w:spacing w:line="429" w:lineRule="auto" w:before="48"/>
        <w:ind w:left="554" w:right="1133" w:hanging="402"/>
        <w:jc w:val="left"/>
      </w:pPr>
      <w:r>
        <w:rPr/>
        <w:t>金融资产；如保留了金融资产所有权上几乎所有的风险和报酬的，则不终止确认该金融资产。</w:t>
      </w:r>
      <w:r>
        <w:rPr>
          <w:w w:val="99"/>
        </w:rPr>
        <w:t> </w:t>
      </w:r>
      <w:r>
        <w:rPr/>
        <w:t>在判断金融资产转移是否满足上述金融资产终止确认条件时，采用实质重于形式的原则。</w:t>
      </w:r>
      <w:r>
        <w:rPr>
          <w:w w:val="99"/>
        </w:rPr>
        <w:t> </w:t>
      </w:r>
      <w:r>
        <w:rPr/>
        <w:t>公司将金融资产转移区分为金融资产整体转移和部分转移。金融资产整体转移满足终止确认条件的，将下</w:t>
      </w:r>
    </w:p>
    <w:p>
      <w:pPr>
        <w:pStyle w:val="BodyText"/>
        <w:spacing w:line="429" w:lineRule="auto" w:before="48"/>
        <w:ind w:left="554" w:right="5999" w:hanging="402"/>
        <w:jc w:val="left"/>
      </w:pPr>
      <w:r>
        <w:rPr/>
        <w:t>列两项金额的差额计入当期损益：</w:t>
      </w:r>
      <w:r>
        <w:rPr>
          <w:w w:val="99"/>
        </w:rPr>
        <w:t> </w:t>
      </w:r>
      <w:r>
        <w:rPr>
          <w:rFonts w:ascii="宋体" w:hAnsi="宋体" w:cs="宋体" w:eastAsia="宋体" w:hint="default"/>
          <w:w w:val="95"/>
        </w:rPr>
        <w:t>1</w:t>
      </w:r>
      <w:r>
        <w:rPr>
          <w:w w:val="95"/>
        </w:rPr>
        <w:t>）所转移金融资产的账面价值；</w:t>
      </w:r>
      <w:r>
        <w:rPr/>
      </w:r>
    </w:p>
    <w:p>
      <w:pPr>
        <w:pStyle w:val="BodyText"/>
        <w:spacing w:line="429" w:lineRule="auto" w:before="49"/>
        <w:ind w:right="1137" w:firstLine="401"/>
        <w:jc w:val="both"/>
      </w:pPr>
      <w:r>
        <w:rPr>
          <w:rFonts w:ascii="宋体" w:hAnsi="宋体" w:cs="宋体" w:eastAsia="宋体" w:hint="default"/>
          <w:spacing w:val="-1"/>
          <w:w w:val="95"/>
        </w:rPr>
        <w:t>2</w:t>
      </w:r>
      <w:r>
        <w:rPr>
          <w:spacing w:val="-1"/>
          <w:w w:val="95"/>
        </w:rPr>
        <w:t>）因转移而收到的对价，与原直接计入所有者权益的公允价值变动累计额（涉及转移的金融资产为以公允</w:t>
      </w:r>
      <w:r>
        <w:rPr>
          <w:spacing w:val="-57"/>
          <w:w w:val="95"/>
        </w:rPr>
        <w:t> </w:t>
      </w:r>
      <w:r>
        <w:rPr>
          <w:spacing w:val="-57"/>
          <w:w w:val="95"/>
        </w:rPr>
      </w:r>
      <w:r>
        <w:rPr/>
        <w:t>价值计量且其变动计入其他综合收益的金融资产（债务工具）、可供出售金融资产的情形）之和。</w:t>
      </w:r>
    </w:p>
    <w:p>
      <w:pPr>
        <w:pStyle w:val="BodyText"/>
        <w:spacing w:line="429" w:lineRule="auto" w:before="48"/>
        <w:ind w:right="1141" w:firstLine="401"/>
        <w:jc w:val="both"/>
      </w:pPr>
      <w:r>
        <w:rPr/>
        <w:t>金融资产部分转移满足终止确认条件的，将所转移金融资产整体的账面价值，在终止确认部分和未终止确</w:t>
      </w:r>
      <w:r>
        <w:rPr>
          <w:w w:val="99"/>
        </w:rPr>
        <w:t> </w:t>
      </w:r>
      <w:r>
        <w:rPr/>
        <w:t>认部分之间，按照各自的相对公允价值进行分摊，并将下列两项金额的差额计入当期损益：</w:t>
      </w:r>
    </w:p>
    <w:p>
      <w:pPr>
        <w:pStyle w:val="BodyText"/>
        <w:spacing w:line="240" w:lineRule="auto" w:before="48"/>
        <w:ind w:left="554" w:right="1133"/>
        <w:jc w:val="left"/>
      </w:pPr>
      <w:r>
        <w:rPr>
          <w:rFonts w:ascii="宋体" w:hAnsi="宋体" w:cs="宋体" w:eastAsia="宋体" w:hint="default"/>
        </w:rPr>
        <w:t>1</w:t>
      </w:r>
      <w:r>
        <w:rPr/>
        <w:t>）终止确认部分的账面价值；</w:t>
      </w:r>
    </w:p>
    <w:p>
      <w:pPr>
        <w:spacing w:line="240" w:lineRule="auto" w:before="10"/>
        <w:rPr>
          <w:rFonts w:ascii="宋体" w:hAnsi="宋体" w:cs="宋体" w:eastAsia="宋体" w:hint="default"/>
          <w:sz w:val="15"/>
          <w:szCs w:val="15"/>
        </w:rPr>
      </w:pPr>
    </w:p>
    <w:p>
      <w:pPr>
        <w:pStyle w:val="BodyText"/>
        <w:spacing w:line="429" w:lineRule="auto"/>
        <w:ind w:right="1137" w:firstLine="401"/>
        <w:jc w:val="both"/>
      </w:pPr>
      <w:r>
        <w:rPr>
          <w:rFonts w:ascii="宋体" w:hAnsi="宋体" w:cs="宋体" w:eastAsia="宋体" w:hint="default"/>
          <w:spacing w:val="-1"/>
          <w:w w:val="95"/>
        </w:rPr>
        <w:t>2</w:t>
      </w:r>
      <w:r>
        <w:rPr>
          <w:spacing w:val="-1"/>
          <w:w w:val="95"/>
        </w:rPr>
        <w:t>）终止确认部分的对价，与原直接计入所有者权益的公允价值变动累计额中对应终止确认部分的金额（涉</w:t>
      </w:r>
      <w:r>
        <w:rPr>
          <w:spacing w:val="-57"/>
          <w:w w:val="95"/>
        </w:rPr>
        <w:t> </w:t>
      </w:r>
      <w:r>
        <w:rPr>
          <w:spacing w:val="-57"/>
          <w:w w:val="95"/>
        </w:rPr>
      </w:r>
      <w:r>
        <w:rPr/>
        <w:t>及转移的金融资产为以公允价值计量且其变动计入其他综合收益的金融资产（债务工具）、可供出售金融资产</w:t>
      </w:r>
    </w:p>
    <w:p>
      <w:pPr>
        <w:spacing w:after="0" w:line="429"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29" w:lineRule="auto"/>
        <w:ind w:left="554" w:right="1454" w:hanging="402"/>
        <w:jc w:val="left"/>
      </w:pPr>
      <w:r>
        <w:rPr/>
        <w:t>的情形）之和。</w:t>
      </w:r>
      <w:r>
        <w:rPr>
          <w:w w:val="99"/>
        </w:rPr>
        <w:t> </w:t>
      </w:r>
      <w:r>
        <w:rPr>
          <w:w w:val="95"/>
        </w:rPr>
        <w:t>金融资产转移不满足终止确认条件的，继续确认该金融资产，所收到的对价确认为一项金融负债。</w:t>
      </w:r>
      <w:r>
        <w:rPr/>
      </w:r>
    </w:p>
    <w:p>
      <w:pPr>
        <w:pStyle w:val="BodyText"/>
        <w:spacing w:line="429" w:lineRule="auto" w:before="48"/>
        <w:ind w:left="554" w:right="1133"/>
        <w:jc w:val="left"/>
      </w:pPr>
      <w:r>
        <w:rPr/>
        <w:t>（</w:t>
      </w:r>
      <w:r>
        <w:rPr>
          <w:rFonts w:ascii="宋体" w:hAnsi="宋体" w:cs="宋体" w:eastAsia="宋体" w:hint="default"/>
        </w:rPr>
        <w:t>4</w:t>
      </w:r>
      <w:r>
        <w:rPr/>
        <w:t>）金融负债终止确认条件</w:t>
      </w:r>
      <w:r>
        <w:rPr>
          <w:w w:val="99"/>
        </w:rPr>
        <w:t> </w:t>
      </w:r>
      <w:r>
        <w:rPr/>
        <w:t>金融负债的现时义务全部或部分已经解除的，则终止确认该金融负债或其一部分；本公司若与债权人签定</w:t>
      </w:r>
    </w:p>
    <w:p>
      <w:pPr>
        <w:pStyle w:val="BodyText"/>
        <w:spacing w:line="429" w:lineRule="auto" w:before="48"/>
        <w:ind w:right="1136"/>
        <w:jc w:val="both"/>
      </w:pPr>
      <w:r>
        <w:rPr/>
        <w:t>协议，以承担新金融负债方式替换现存金融负债，且新金融负债与现存金融负债的合同条款实质上不同的，则</w:t>
      </w:r>
      <w:r>
        <w:rPr>
          <w:spacing w:val="-71"/>
        </w:rPr>
        <w:t> </w:t>
      </w:r>
      <w:r>
        <w:rPr>
          <w:spacing w:val="-71"/>
        </w:rPr>
      </w:r>
      <w:r>
        <w:rPr/>
        <w:t>终止确认现存金融负债，并同时确认新金融负债。</w:t>
      </w:r>
    </w:p>
    <w:p>
      <w:pPr>
        <w:pStyle w:val="BodyText"/>
        <w:spacing w:line="429" w:lineRule="auto" w:before="48"/>
        <w:ind w:right="1141" w:firstLine="401"/>
        <w:jc w:val="both"/>
      </w:pPr>
      <w:r>
        <w:rPr/>
        <w:t>对现存金融负债全部或部分合同条款作出实质性修改的，则终止确认现存金融负债或其一部分，同时将修</w:t>
      </w:r>
      <w:r>
        <w:rPr>
          <w:w w:val="99"/>
        </w:rPr>
        <w:t> </w:t>
      </w:r>
      <w:r>
        <w:rPr/>
        <w:t>改条款后的金融负债确认为一项新金融负债。</w:t>
      </w:r>
    </w:p>
    <w:p>
      <w:pPr>
        <w:pStyle w:val="BodyText"/>
        <w:spacing w:line="429" w:lineRule="auto" w:before="49"/>
        <w:ind w:right="1141" w:firstLine="401"/>
        <w:jc w:val="both"/>
      </w:pPr>
      <w:r>
        <w:rPr/>
        <w:t>金融负债全部或部分终止确认时，终止确认的金融负债账面价值与支付对价（包括转出的非现金资产或承</w:t>
      </w:r>
      <w:r>
        <w:rPr>
          <w:w w:val="99"/>
        </w:rPr>
        <w:t> </w:t>
      </w:r>
      <w:r>
        <w:rPr/>
        <w:t>担的新金融负债）之间的差额，计入当期损益。</w:t>
      </w:r>
    </w:p>
    <w:p>
      <w:pPr>
        <w:pStyle w:val="BodyText"/>
        <w:spacing w:line="429" w:lineRule="auto" w:before="48"/>
        <w:ind w:right="1136" w:firstLine="401"/>
        <w:jc w:val="both"/>
      </w:pPr>
      <w:r>
        <w:rPr/>
        <w:t>本公司若回购部分金融负债的，在回购日按照继续确认部分与终止确认部分的相对公允价值，将该金融负</w:t>
      </w:r>
      <w:r>
        <w:rPr>
          <w:w w:val="99"/>
        </w:rPr>
        <w:t> </w:t>
      </w:r>
      <w:r>
        <w:rPr/>
        <w:t>债整体的账面价值进行分配。分配给终止确认部分的账面价值与支付的对价（包括转出的非现金资产或承担的</w:t>
      </w:r>
      <w:r>
        <w:rPr>
          <w:spacing w:val="-72"/>
        </w:rPr>
        <w:t> </w:t>
      </w:r>
      <w:r>
        <w:rPr>
          <w:spacing w:val="-72"/>
        </w:rPr>
      </w:r>
      <w:r>
        <w:rPr/>
        <w:t>新金融负债）之间的差额，计入当期损益。</w:t>
      </w:r>
    </w:p>
    <w:p>
      <w:pPr>
        <w:pStyle w:val="BodyText"/>
        <w:spacing w:line="429" w:lineRule="auto" w:before="48"/>
        <w:ind w:left="554" w:right="1133"/>
        <w:jc w:val="left"/>
      </w:pPr>
      <w:r>
        <w:rPr/>
        <w:t>（</w:t>
      </w:r>
      <w:r>
        <w:rPr>
          <w:rFonts w:ascii="宋体" w:hAnsi="宋体" w:cs="宋体" w:eastAsia="宋体" w:hint="default"/>
        </w:rPr>
        <w:t>5</w:t>
      </w:r>
      <w:r>
        <w:rPr/>
        <w:t>）金融资产和金融负债的公允价值的确定方法</w:t>
      </w:r>
      <w:r>
        <w:rPr>
          <w:w w:val="99"/>
        </w:rPr>
        <w:t> </w:t>
      </w:r>
      <w:r>
        <w:rPr/>
        <w:t>存在活跃市场的金融工具，以活跃市场中的报价确定其公允价值。不存在活跃市场的金融工具，采用估值</w:t>
      </w:r>
    </w:p>
    <w:p>
      <w:pPr>
        <w:pStyle w:val="BodyText"/>
        <w:spacing w:line="429" w:lineRule="auto" w:before="48"/>
        <w:ind w:right="1142"/>
        <w:jc w:val="both"/>
      </w:pPr>
      <w:r>
        <w:rPr/>
        <w:t>技术确定其公允价值。在估值时，本公司采用在当前情况下适用并且有足够可利用数据和其他信息支持的估值</w:t>
      </w:r>
      <w:r>
        <w:rPr>
          <w:spacing w:val="-77"/>
        </w:rPr>
        <w:t> </w:t>
      </w:r>
      <w:r>
        <w:rPr>
          <w:spacing w:val="-77"/>
        </w:rPr>
      </w:r>
      <w:r>
        <w:rPr/>
        <w:t>技术，选择与市场参与者在相关资产或负债的交易中所考虑的资产或负债特征相一致的输入值，并优先使用相</w:t>
      </w:r>
      <w:r>
        <w:rPr>
          <w:spacing w:val="-77"/>
        </w:rPr>
        <w:t> </w:t>
      </w:r>
      <w:r>
        <w:rPr>
          <w:spacing w:val="-77"/>
        </w:rPr>
      </w:r>
      <w:r>
        <w:rPr/>
        <w:t>关可观察输入值。只有在相关可观察输入值无法取得或取得不切实可行的情况下，才使用不可观察输入值。</w:t>
      </w:r>
    </w:p>
    <w:p>
      <w:pPr>
        <w:pStyle w:val="BodyText"/>
        <w:spacing w:line="429" w:lineRule="auto" w:before="48"/>
        <w:ind w:left="554" w:right="5999"/>
        <w:jc w:val="left"/>
      </w:pPr>
      <w:r>
        <w:rPr>
          <w:w w:val="95"/>
        </w:rPr>
        <w:t>（</w:t>
      </w:r>
      <w:r>
        <w:rPr>
          <w:rFonts w:ascii="宋体" w:hAnsi="宋体" w:cs="宋体" w:eastAsia="宋体" w:hint="default"/>
          <w:w w:val="95"/>
        </w:rPr>
        <w:t>6</w:t>
      </w:r>
      <w:r>
        <w:rPr>
          <w:w w:val="95"/>
        </w:rPr>
        <w:t>）金融资产减值的测试方法及会计处理方法</w:t>
      </w:r>
      <w:r>
        <w:rPr>
          <w:spacing w:val="9"/>
          <w:w w:val="95"/>
        </w:rPr>
        <w:t> </w:t>
      </w:r>
      <w:r>
        <w:rPr>
          <w:spacing w:val="9"/>
          <w:w w:val="95"/>
        </w:rPr>
      </w:r>
      <w:r>
        <w:rPr/>
        <w:t>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日起适用的会计政策</w:t>
      </w:r>
    </w:p>
    <w:p>
      <w:pPr>
        <w:pStyle w:val="BodyText"/>
        <w:spacing w:line="429" w:lineRule="auto" w:before="48"/>
        <w:ind w:right="1141" w:firstLine="401"/>
        <w:jc w:val="both"/>
      </w:pPr>
      <w:r>
        <w:rPr/>
        <w:t>本公司考虑所有合理且有依据的信息，包括前瞻性信息，以单项或组合的方式对以摊余成本计量的金融资</w:t>
      </w:r>
      <w:r>
        <w:rPr>
          <w:w w:val="99"/>
        </w:rPr>
        <w:t> </w:t>
      </w:r>
      <w:r>
        <w:rPr/>
        <w:t>产和以公允价值计量且其变动计入其他综合收益的金融资产（债务工具）的预期信用损失进行估计。预期信用</w:t>
      </w:r>
      <w:r>
        <w:rPr>
          <w:spacing w:val="-77"/>
        </w:rPr>
        <w:t> </w:t>
      </w:r>
      <w:r>
        <w:rPr>
          <w:spacing w:val="-77"/>
        </w:rPr>
      </w:r>
      <w:r>
        <w:rPr/>
        <w:t>损失的计量取决于金融资产自初始确认后是否发生信用风险显著增加。</w:t>
      </w:r>
    </w:p>
    <w:p>
      <w:pPr>
        <w:pStyle w:val="BodyText"/>
        <w:spacing w:line="429" w:lineRule="auto" w:before="49"/>
        <w:ind w:right="1134" w:firstLine="401"/>
        <w:jc w:val="both"/>
      </w:pPr>
      <w:r>
        <w:rPr/>
        <w:t>如果该金融工具的信用风险自初始确认后已显著增加，本公司按照相当于该金融工具整个存续期内预期信</w:t>
      </w:r>
      <w:r>
        <w:rPr>
          <w:w w:val="99"/>
        </w:rPr>
        <w:t> </w:t>
      </w:r>
      <w:r>
        <w:rPr/>
        <w:t>用损失的金额计量其损失准备；如果该金融工具的信用风险自初始确认后并未显著增加，本公司按照相当于该</w:t>
      </w:r>
      <w:r>
        <w:rPr>
          <w:spacing w:val="-70"/>
        </w:rPr>
        <w:t> </w:t>
      </w:r>
      <w:r>
        <w:rPr>
          <w:spacing w:val="-70"/>
        </w:rPr>
      </w:r>
      <w:r>
        <w:rPr/>
        <w:t>金融工具未来</w:t>
      </w:r>
      <w:r>
        <w:rPr>
          <w:rFonts w:ascii="宋体" w:hAnsi="宋体" w:cs="宋体" w:eastAsia="宋体" w:hint="default"/>
        </w:rPr>
        <w:t>12</w:t>
      </w:r>
      <w:r>
        <w:rPr/>
        <w:t>个月内预期信用损失的金额计量其损失准备。由此形成的损失准备的增加或转回金额，作为减</w:t>
      </w:r>
      <w:r>
        <w:rPr>
          <w:spacing w:val="-76"/>
        </w:rPr>
        <w:t> </w:t>
      </w:r>
      <w:r>
        <w:rPr>
          <w:spacing w:val="-76"/>
        </w:rPr>
      </w:r>
      <w:r>
        <w:rPr/>
        <w:t>值损失或利得计入当期损益。</w:t>
      </w:r>
    </w:p>
    <w:p>
      <w:pPr>
        <w:pStyle w:val="BodyText"/>
        <w:spacing w:line="429" w:lineRule="auto" w:before="48"/>
        <w:ind w:right="1140" w:firstLine="401"/>
        <w:jc w:val="both"/>
      </w:pPr>
      <w:r>
        <w:rPr/>
        <w:t>通常逾期超过</w:t>
      </w:r>
      <w:r>
        <w:rPr>
          <w:rFonts w:ascii="宋体" w:hAnsi="宋体" w:cs="宋体" w:eastAsia="宋体" w:hint="default"/>
        </w:rPr>
        <w:t>30</w:t>
      </w:r>
      <w:r>
        <w:rPr/>
        <w:t>日，本公司即认为该金融工具的信用风险已显著增加，除非有确凿证据证明该金融工具的</w:t>
      </w:r>
      <w:r>
        <w:rPr>
          <w:w w:val="99"/>
        </w:rPr>
        <w:t> </w:t>
      </w:r>
      <w:r>
        <w:rPr/>
        <w:t>信用风险自初始确认后并未显著增加。</w:t>
      </w:r>
    </w:p>
    <w:p>
      <w:pPr>
        <w:pStyle w:val="BodyText"/>
        <w:spacing w:line="240" w:lineRule="auto" w:before="48"/>
        <w:ind w:left="554" w:right="1129"/>
        <w:jc w:val="left"/>
      </w:pPr>
      <w:r>
        <w:rPr/>
        <w:t>如果金融工具于资产负债表日的信用风险较低，本公司即认为该金融工具的信用风险自初始确认后并未显</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right="1133"/>
        <w:jc w:val="left"/>
      </w:pPr>
      <w:r>
        <w:rPr/>
        <w:t>著增加。</w:t>
      </w:r>
    </w:p>
    <w:p>
      <w:pPr>
        <w:spacing w:line="240" w:lineRule="auto" w:before="10"/>
        <w:rPr>
          <w:rFonts w:ascii="宋体" w:hAnsi="宋体" w:cs="宋体" w:eastAsia="宋体" w:hint="default"/>
          <w:sz w:val="15"/>
          <w:szCs w:val="15"/>
        </w:rPr>
      </w:pPr>
    </w:p>
    <w:p>
      <w:pPr>
        <w:pStyle w:val="BodyText"/>
        <w:spacing w:line="429" w:lineRule="auto"/>
        <w:ind w:left="554" w:right="1129"/>
        <w:jc w:val="left"/>
      </w:pPr>
      <w:r>
        <w:rPr>
          <w:spacing w:val="-1"/>
          <w:w w:val="95"/>
        </w:rPr>
        <w:t>如果有客观证据表明某项金融资产已经发生信用减值，则本公司在单项基础上对该金融资产计提减值准备。</w:t>
      </w:r>
      <w:r>
        <w:rPr>
          <w:spacing w:val="67"/>
          <w:w w:val="95"/>
        </w:rPr>
        <w:t> </w:t>
      </w:r>
      <w:r>
        <w:rPr>
          <w:spacing w:val="67"/>
          <w:w w:val="95"/>
        </w:rPr>
      </w:r>
      <w:r>
        <w:rPr/>
        <w:t>对于应收账款，无论是否包含重大融资成分，本公司始终按照相当于整个存续期内预期信用损失的金额计</w:t>
      </w:r>
    </w:p>
    <w:p>
      <w:pPr>
        <w:pStyle w:val="BodyText"/>
        <w:spacing w:line="429" w:lineRule="auto" w:before="48"/>
        <w:ind w:left="554" w:right="1133" w:hanging="402"/>
        <w:jc w:val="left"/>
      </w:pPr>
      <w:r>
        <w:rPr/>
        <w:t>量其损失准备。</w:t>
      </w:r>
      <w:r>
        <w:rPr>
          <w:w w:val="99"/>
        </w:rPr>
        <w:t> </w:t>
      </w:r>
      <w:r>
        <w:rPr/>
        <w:t>对于租赁应收款、公司通过销售商品或提供劳务形成的长期应收款，本公司选择始终按照相当于整个存续</w:t>
      </w:r>
    </w:p>
    <w:p>
      <w:pPr>
        <w:pStyle w:val="BodyText"/>
        <w:spacing w:line="429" w:lineRule="auto" w:before="48"/>
        <w:ind w:left="554" w:right="6552" w:hanging="402"/>
        <w:jc w:val="left"/>
      </w:pPr>
      <w:r>
        <w:rPr/>
        <w:t>期内预期信用损失的金额计量其损失准备。</w:t>
      </w:r>
      <w:r>
        <w:rPr>
          <w:w w:val="99"/>
        </w:rPr>
        <w:t> </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日前适用的会计政策</w:t>
      </w:r>
    </w:p>
    <w:p>
      <w:pPr>
        <w:pStyle w:val="BodyText"/>
        <w:spacing w:line="429" w:lineRule="auto" w:before="48"/>
        <w:ind w:right="1133" w:firstLine="401"/>
        <w:jc w:val="left"/>
      </w:pPr>
      <w:r>
        <w:rPr/>
        <w:t>除以公允价值计量且其变动计入当期损益的金融资产外，本公司于资产负债表日对金融资产的账面价值进</w:t>
      </w:r>
      <w:r>
        <w:rPr>
          <w:w w:val="99"/>
        </w:rPr>
        <w:t> </w:t>
      </w:r>
      <w:r>
        <w:rPr/>
        <w:t>行检查，如果有客观证据表明某项金融资产发生减值的，计提减值准备。</w:t>
      </w:r>
    </w:p>
    <w:p>
      <w:pPr>
        <w:pStyle w:val="BodyText"/>
        <w:spacing w:line="429" w:lineRule="auto" w:before="48"/>
        <w:ind w:left="554" w:right="1133"/>
        <w:jc w:val="left"/>
      </w:pPr>
      <w:r>
        <w:rPr>
          <w:rFonts w:ascii="宋体" w:hAnsi="宋体" w:cs="宋体" w:eastAsia="宋体" w:hint="default"/>
        </w:rPr>
        <w:t>1</w:t>
      </w:r>
      <w:r>
        <w:rPr/>
        <w:t>）可供出售金融资产的减值准备：</w:t>
      </w:r>
      <w:r>
        <w:rPr>
          <w:w w:val="99"/>
        </w:rPr>
        <w:t> </w:t>
      </w:r>
      <w:r>
        <w:rPr/>
        <w:t>期末如果可供出售权益工具投资的公允价值发生严重下降，或在综合考虑各种相关因素后，预期这种下降</w:t>
      </w:r>
    </w:p>
    <w:p>
      <w:pPr>
        <w:pStyle w:val="BodyText"/>
        <w:spacing w:line="429" w:lineRule="auto" w:before="48"/>
        <w:ind w:right="1133"/>
        <w:jc w:val="left"/>
      </w:pPr>
      <w:r>
        <w:rPr/>
        <w:t>趋势属于非暂时性的，就认定其已发生减值，将原直接计入所有者权益的公允价值下降形成的累计损失一并转</w:t>
      </w:r>
      <w:r>
        <w:rPr>
          <w:spacing w:val="-77"/>
        </w:rPr>
        <w:t> </w:t>
      </w:r>
      <w:r>
        <w:rPr>
          <w:spacing w:val="-77"/>
        </w:rPr>
      </w:r>
      <w:r>
        <w:rPr/>
        <w:t>出，确认减值损失。</w:t>
      </w:r>
    </w:p>
    <w:p>
      <w:pPr>
        <w:pStyle w:val="BodyText"/>
        <w:spacing w:line="429" w:lineRule="auto" w:before="48"/>
        <w:ind w:right="1133" w:firstLine="401"/>
        <w:jc w:val="left"/>
      </w:pPr>
      <w:r>
        <w:rPr/>
        <w:t>对于已确认减值损失的可供出售债务工具，在随后的会计期间公允价值已上升且客观上与确认原减值损失</w:t>
      </w:r>
      <w:r>
        <w:rPr>
          <w:w w:val="99"/>
        </w:rPr>
        <w:t> </w:t>
      </w:r>
      <w:r>
        <w:rPr/>
        <w:t>确认后发生的事项有关的，原确认的减值损失予以转回，计入当期损益。</w:t>
      </w:r>
    </w:p>
    <w:p>
      <w:pPr>
        <w:pStyle w:val="BodyText"/>
        <w:spacing w:line="429" w:lineRule="auto" w:before="48"/>
        <w:ind w:left="554" w:right="5152"/>
        <w:jc w:val="left"/>
      </w:pPr>
      <w:r>
        <w:rPr/>
        <w:t>可供出售权益工具投资发生的减值损失，不通过损益转回。</w:t>
      </w:r>
      <w:r>
        <w:rPr>
          <w:w w:val="99"/>
        </w:rPr>
        <w:t> </w:t>
      </w:r>
      <w:r>
        <w:rPr>
          <w:rFonts w:ascii="宋体" w:hAnsi="宋体" w:cs="宋体" w:eastAsia="宋体" w:hint="default"/>
        </w:rPr>
        <w:t>2</w:t>
      </w:r>
      <w:r>
        <w:rPr/>
        <w:t>）应收款项坏账准备：</w:t>
      </w:r>
    </w:p>
    <w:p>
      <w:pPr>
        <w:pStyle w:val="BodyText"/>
        <w:spacing w:line="429" w:lineRule="auto" w:before="48"/>
        <w:ind w:left="554" w:right="1133"/>
        <w:jc w:val="left"/>
      </w:pPr>
      <w:r>
        <w:rPr/>
        <w:t>①单项金额重大并单独计提坏账准备的应收款项：</w:t>
      </w:r>
      <w:r>
        <w:rPr>
          <w:w w:val="99"/>
        </w:rPr>
        <w:t> </w:t>
      </w:r>
      <w:r>
        <w:rPr/>
        <w:t>单项金额重大的判断依据或金额标准：应收款项余额前五名的款项。</w:t>
      </w:r>
      <w:r>
        <w:rPr>
          <w:w w:val="99"/>
        </w:rPr>
        <w:t> </w:t>
      </w:r>
      <w:r>
        <w:rPr/>
        <w:t>单项金额重大并单独计提坏账准备的计提方法：</w:t>
      </w:r>
      <w:r>
        <w:rPr>
          <w:w w:val="99"/>
        </w:rPr>
        <w:t> </w:t>
      </w:r>
      <w:r>
        <w:rPr/>
        <w:t>期末对于单项金额重大的应收款项单独进行减值测试。如有客观证据表明其已发生了减值，按预计未来现</w:t>
      </w:r>
    </w:p>
    <w:p>
      <w:pPr>
        <w:pStyle w:val="BodyText"/>
        <w:spacing w:line="429" w:lineRule="auto" w:before="48"/>
        <w:ind w:right="1133"/>
        <w:jc w:val="left"/>
      </w:pPr>
      <w:r>
        <w:rPr/>
        <w:t>金流量现值低于其账面价值的差额计提坏账准备，计入当期损益。单独测试未发生减值的应收款项，将其归入</w:t>
      </w:r>
      <w:r>
        <w:rPr>
          <w:spacing w:val="-77"/>
        </w:rPr>
        <w:t> </w:t>
      </w:r>
      <w:r>
        <w:rPr>
          <w:spacing w:val="-77"/>
        </w:rPr>
      </w:r>
      <w:r>
        <w:rPr/>
        <w:t>相应组合计提坏账准备。</w:t>
      </w:r>
    </w:p>
    <w:p>
      <w:pPr>
        <w:pStyle w:val="BodyText"/>
        <w:spacing w:line="240" w:lineRule="auto" w:before="49"/>
        <w:ind w:left="554" w:right="1133"/>
        <w:jc w:val="left"/>
      </w:pPr>
      <w:r>
        <w:rPr/>
        <w:t>②按信用风险特征组合计提坏账准备应收款项：</w:t>
      </w:r>
    </w:p>
    <w:p>
      <w:pPr>
        <w:spacing w:line="240" w:lineRule="auto" w:before="4"/>
        <w:rPr>
          <w:rFonts w:ascii="宋体" w:hAnsi="宋体" w:cs="宋体" w:eastAsia="宋体" w:hint="default"/>
          <w:sz w:val="10"/>
          <w:szCs w:val="10"/>
        </w:rPr>
      </w:pPr>
    </w:p>
    <w:tbl>
      <w:tblPr>
        <w:tblW w:w="0" w:type="auto"/>
        <w:jc w:val="left"/>
        <w:tblInd w:w="1060" w:type="dxa"/>
        <w:tblLayout w:type="fixed"/>
        <w:tblCellMar>
          <w:top w:w="0" w:type="dxa"/>
          <w:left w:w="0" w:type="dxa"/>
          <w:bottom w:w="0" w:type="dxa"/>
          <w:right w:w="0" w:type="dxa"/>
        </w:tblCellMar>
        <w:tblLook w:val="01E0"/>
      </w:tblPr>
      <w:tblGrid>
        <w:gridCol w:w="4357"/>
        <w:gridCol w:w="3457"/>
      </w:tblGrid>
      <w:tr>
        <w:trPr>
          <w:trHeight w:val="341" w:hRule="exact"/>
        </w:trPr>
        <w:tc>
          <w:tcPr>
            <w:tcW w:w="78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911" w:right="0"/>
              <w:jc w:val="left"/>
              <w:rPr>
                <w:rFonts w:ascii="宋体" w:hAnsi="宋体" w:cs="宋体" w:eastAsia="宋体" w:hint="default"/>
                <w:sz w:val="20"/>
                <w:szCs w:val="20"/>
              </w:rPr>
            </w:pPr>
            <w:r>
              <w:rPr>
                <w:rFonts w:ascii="宋体" w:hAnsi="宋体" w:cs="宋体" w:eastAsia="宋体" w:hint="default"/>
                <w:sz w:val="20"/>
                <w:szCs w:val="20"/>
              </w:rPr>
              <w:t>按信用风险特征组合计提坏账准备的计提方法</w:t>
            </w:r>
          </w:p>
        </w:tc>
      </w:tr>
      <w:tr>
        <w:trPr>
          <w:trHeight w:val="967"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4"/>
              <w:ind w:left="21" w:right="4"/>
              <w:jc w:val="left"/>
              <w:rPr>
                <w:rFonts w:ascii="宋体" w:hAnsi="宋体" w:cs="宋体" w:eastAsia="宋体" w:hint="default"/>
                <w:sz w:val="20"/>
                <w:szCs w:val="20"/>
              </w:rPr>
            </w:pPr>
            <w:r>
              <w:rPr>
                <w:rFonts w:ascii="宋体" w:hAnsi="宋体" w:cs="宋体" w:eastAsia="宋体" w:hint="default"/>
                <w:spacing w:val="-3"/>
                <w:w w:val="95"/>
                <w:sz w:val="20"/>
                <w:szCs w:val="20"/>
              </w:rPr>
              <w:t>组合</w:t>
            </w:r>
            <w:r>
              <w:rPr>
                <w:rFonts w:ascii="Times New Roman" w:hAnsi="Times New Roman" w:cs="Times New Roman" w:eastAsia="Times New Roman" w:hint="default"/>
                <w:spacing w:val="-3"/>
                <w:w w:val="95"/>
                <w:sz w:val="20"/>
                <w:szCs w:val="20"/>
              </w:rPr>
              <w:t>1</w:t>
            </w:r>
            <w:r>
              <w:rPr>
                <w:rFonts w:ascii="宋体" w:hAnsi="宋体" w:cs="宋体" w:eastAsia="宋体" w:hint="default"/>
                <w:spacing w:val="-3"/>
                <w:w w:val="95"/>
                <w:sz w:val="20"/>
                <w:szCs w:val="20"/>
              </w:rPr>
              <w:t>：除组合</w:t>
            </w:r>
            <w:r>
              <w:rPr>
                <w:rFonts w:ascii="Times New Roman" w:hAnsi="Times New Roman" w:cs="Times New Roman" w:eastAsia="Times New Roman" w:hint="default"/>
                <w:spacing w:val="-3"/>
                <w:w w:val="95"/>
                <w:sz w:val="20"/>
                <w:szCs w:val="20"/>
              </w:rPr>
              <w:t>2</w:t>
            </w:r>
            <w:r>
              <w:rPr>
                <w:rFonts w:ascii="宋体" w:hAnsi="宋体" w:cs="宋体" w:eastAsia="宋体" w:hint="default"/>
                <w:spacing w:val="-3"/>
                <w:w w:val="95"/>
                <w:sz w:val="20"/>
                <w:szCs w:val="20"/>
              </w:rPr>
              <w:t>以外的单项金额非重大的且不单独</w:t>
            </w:r>
            <w:r>
              <w:rPr>
                <w:rFonts w:ascii="宋体" w:hAnsi="宋体" w:cs="宋体" w:eastAsia="宋体" w:hint="default"/>
                <w:spacing w:val="19"/>
                <w:w w:val="95"/>
                <w:sz w:val="20"/>
                <w:szCs w:val="20"/>
              </w:rPr>
              <w:t> </w:t>
            </w:r>
            <w:r>
              <w:rPr>
                <w:rFonts w:ascii="宋体" w:hAnsi="宋体" w:cs="宋体" w:eastAsia="宋体" w:hint="default"/>
                <w:spacing w:val="19"/>
                <w:w w:val="95"/>
                <w:sz w:val="20"/>
                <w:szCs w:val="20"/>
              </w:rPr>
            </w:r>
            <w:r>
              <w:rPr>
                <w:rFonts w:ascii="宋体" w:hAnsi="宋体" w:cs="宋体" w:eastAsia="宋体" w:hint="default"/>
                <w:sz w:val="20"/>
                <w:szCs w:val="20"/>
              </w:rPr>
              <w:t>计提坏账准备的应收款项与经单独测试后未减值</w:t>
            </w:r>
            <w:r>
              <w:rPr>
                <w:rFonts w:ascii="宋体" w:hAnsi="宋体" w:cs="宋体" w:eastAsia="宋体" w:hint="default"/>
                <w:w w:val="99"/>
                <w:sz w:val="20"/>
                <w:szCs w:val="20"/>
              </w:rPr>
              <w:t> </w:t>
            </w:r>
            <w:r>
              <w:rPr>
                <w:rFonts w:ascii="宋体" w:hAnsi="宋体" w:cs="宋体" w:eastAsia="宋体" w:hint="default"/>
                <w:sz w:val="20"/>
                <w:szCs w:val="20"/>
              </w:rPr>
              <w:t>的应收款项</w:t>
            </w:r>
          </w:p>
        </w:tc>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7" w:right="0"/>
              <w:jc w:val="left"/>
              <w:rPr>
                <w:rFonts w:ascii="宋体" w:hAnsi="宋体" w:cs="宋体" w:eastAsia="宋体" w:hint="default"/>
                <w:sz w:val="20"/>
                <w:szCs w:val="20"/>
              </w:rPr>
            </w:pPr>
            <w:r>
              <w:rPr>
                <w:rFonts w:ascii="宋体" w:hAnsi="宋体" w:cs="宋体" w:eastAsia="宋体" w:hint="default"/>
                <w:sz w:val="20"/>
                <w:szCs w:val="20"/>
              </w:rPr>
              <w:t>账龄分析法</w:t>
            </w:r>
          </w:p>
        </w:tc>
      </w:tr>
      <w:tr>
        <w:trPr>
          <w:trHeight w:val="967"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
              <w:ind w:left="21" w:right="28"/>
              <w:jc w:val="left"/>
              <w:rPr>
                <w:rFonts w:ascii="宋体" w:hAnsi="宋体" w:cs="宋体" w:eastAsia="宋体" w:hint="default"/>
                <w:sz w:val="20"/>
                <w:szCs w:val="20"/>
              </w:rPr>
            </w:pPr>
            <w:r>
              <w:rPr>
                <w:rFonts w:ascii="宋体" w:hAnsi="宋体" w:cs="宋体" w:eastAsia="宋体" w:hint="default"/>
                <w:sz w:val="20"/>
                <w:szCs w:val="20"/>
              </w:rPr>
              <w:t>组合</w:t>
            </w:r>
            <w:r>
              <w:rPr>
                <w:rFonts w:ascii="Times New Roman" w:hAnsi="Times New Roman" w:cs="Times New Roman" w:eastAsia="Times New Roman" w:hint="default"/>
                <w:sz w:val="20"/>
                <w:szCs w:val="20"/>
              </w:rPr>
              <w:t>2</w:t>
            </w:r>
            <w:r>
              <w:rPr>
                <w:rFonts w:ascii="宋体" w:hAnsi="宋体" w:cs="宋体" w:eastAsia="宋体" w:hint="default"/>
                <w:sz w:val="20"/>
                <w:szCs w:val="20"/>
              </w:rPr>
              <w:t>：公司与下属子公司、下属子公司之间的应</w:t>
            </w:r>
            <w:r>
              <w:rPr>
                <w:rFonts w:ascii="宋体" w:hAnsi="宋体" w:cs="宋体" w:eastAsia="宋体" w:hint="default"/>
                <w:w w:val="99"/>
                <w:sz w:val="20"/>
                <w:szCs w:val="20"/>
              </w:rPr>
              <w:t> </w:t>
            </w:r>
            <w:r>
              <w:rPr>
                <w:rFonts w:ascii="宋体" w:hAnsi="宋体" w:cs="宋体" w:eastAsia="宋体" w:hint="default"/>
                <w:sz w:val="20"/>
                <w:szCs w:val="20"/>
              </w:rPr>
              <w:t>收款项及按性质发生坏账的可能性非常小的应收</w:t>
            </w:r>
            <w:r>
              <w:rPr>
                <w:rFonts w:ascii="宋体" w:hAnsi="宋体" w:cs="宋体" w:eastAsia="宋体" w:hint="default"/>
                <w:w w:val="99"/>
                <w:sz w:val="20"/>
                <w:szCs w:val="20"/>
              </w:rPr>
              <w:t> </w:t>
            </w:r>
            <w:r>
              <w:rPr>
                <w:rFonts w:ascii="宋体" w:hAnsi="宋体" w:cs="宋体" w:eastAsia="宋体" w:hint="default"/>
                <w:sz w:val="20"/>
                <w:szCs w:val="20"/>
              </w:rPr>
              <w:t>款项</w:t>
            </w:r>
          </w:p>
        </w:tc>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7" w:right="0"/>
              <w:jc w:val="left"/>
              <w:rPr>
                <w:rFonts w:ascii="宋体" w:hAnsi="宋体" w:cs="宋体" w:eastAsia="宋体" w:hint="default"/>
                <w:sz w:val="20"/>
                <w:szCs w:val="20"/>
              </w:rPr>
            </w:pPr>
            <w:r>
              <w:rPr>
                <w:rFonts w:ascii="宋体" w:hAnsi="宋体" w:cs="宋体" w:eastAsia="宋体" w:hint="default"/>
                <w:sz w:val="20"/>
                <w:szCs w:val="20"/>
              </w:rPr>
              <w:t>不计提坏账准备</w:t>
            </w:r>
          </w:p>
        </w:tc>
      </w:tr>
    </w:tbl>
    <w:p>
      <w:pPr>
        <w:pStyle w:val="BodyText"/>
        <w:spacing w:line="240" w:lineRule="auto" w:before="71"/>
        <w:ind w:left="554" w:right="1133"/>
        <w:jc w:val="left"/>
      </w:pPr>
      <w:r>
        <w:rPr/>
        <w:t>组合中，采用账龄分析法计提坏账准备的：</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755" w:type="dxa"/>
        <w:tblLayout w:type="fixed"/>
        <w:tblCellMar>
          <w:top w:w="0" w:type="dxa"/>
          <w:left w:w="0" w:type="dxa"/>
          <w:bottom w:w="0" w:type="dxa"/>
          <w:right w:w="0" w:type="dxa"/>
        </w:tblCellMar>
        <w:tblLook w:val="01E0"/>
      </w:tblPr>
      <w:tblGrid>
        <w:gridCol w:w="2813"/>
        <w:gridCol w:w="2528"/>
        <w:gridCol w:w="2473"/>
      </w:tblGrid>
      <w:tr>
        <w:trPr>
          <w:trHeight w:val="341"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
              <w:jc w:val="center"/>
              <w:rPr>
                <w:rFonts w:ascii="宋体" w:hAnsi="宋体" w:cs="宋体" w:eastAsia="宋体" w:hint="default"/>
                <w:sz w:val="20"/>
                <w:szCs w:val="20"/>
              </w:rPr>
            </w:pPr>
            <w:r>
              <w:rPr>
                <w:rFonts w:ascii="宋体" w:hAnsi="宋体" w:cs="宋体" w:eastAsia="宋体" w:hint="default"/>
                <w:sz w:val="20"/>
                <w:szCs w:val="20"/>
              </w:rPr>
              <w:t>账龄</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
              <w:jc w:val="center"/>
              <w:rPr>
                <w:rFonts w:ascii="Times New Roman" w:hAnsi="Times New Roman" w:cs="Times New Roman" w:eastAsia="Times New Roman" w:hint="default"/>
                <w:sz w:val="20"/>
                <w:szCs w:val="20"/>
              </w:rPr>
            </w:pPr>
            <w:r>
              <w:rPr>
                <w:rFonts w:ascii="宋体" w:hAnsi="宋体" w:cs="宋体" w:eastAsia="宋体" w:hint="default"/>
                <w:sz w:val="20"/>
                <w:szCs w:val="20"/>
              </w:rPr>
              <w:t>应收账款计提比例</w:t>
            </w:r>
            <w:r>
              <w:rPr>
                <w:rFonts w:ascii="Times New Roman" w:hAnsi="Times New Roman" w:cs="Times New Roman" w:eastAsia="Times New Roman" w:hint="default"/>
                <w:sz w:val="20"/>
                <w:szCs w:val="20"/>
              </w:rPr>
              <w:t>(%)</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其他应收款计提比例</w:t>
            </w:r>
            <w:r>
              <w:rPr>
                <w:rFonts w:ascii="Times New Roman" w:hAnsi="Times New Roman" w:cs="Times New Roman" w:eastAsia="Times New Roman" w:hint="default"/>
                <w:sz w:val="20"/>
                <w:szCs w:val="20"/>
              </w:rPr>
              <w:t>(%)</w:t>
            </w:r>
          </w:p>
        </w:tc>
      </w:tr>
      <w:tr>
        <w:trPr>
          <w:trHeight w:val="343"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年以内（含</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r>
      <w:tr>
        <w:trPr>
          <w:trHeight w:val="341"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年</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10</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20"/>
                <w:szCs w:val="20"/>
              </w:rPr>
            </w:pPr>
            <w:r>
              <w:rPr>
                <w:rFonts w:ascii="Times New Roman"/>
                <w:sz w:val="20"/>
              </w:rPr>
              <w:t>10</w:t>
            </w:r>
          </w:p>
        </w:tc>
      </w:tr>
      <w:tr>
        <w:trPr>
          <w:trHeight w:val="343"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w:t>
            </w:r>
            <w:r>
              <w:rPr>
                <w:rFonts w:ascii="Times New Roman" w:hAnsi="Times New Roman" w:cs="Times New Roman" w:eastAsia="Times New Roman" w:hint="default"/>
                <w:sz w:val="20"/>
                <w:szCs w:val="20"/>
              </w:rPr>
              <w:t>3</w:t>
            </w:r>
            <w:r>
              <w:rPr>
                <w:rFonts w:ascii="宋体" w:hAnsi="宋体" w:cs="宋体" w:eastAsia="宋体" w:hint="default"/>
                <w:sz w:val="20"/>
                <w:szCs w:val="20"/>
              </w:rPr>
              <w:t>年</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Times New Roman" w:hAnsi="Times New Roman" w:cs="Times New Roman" w:eastAsia="Times New Roman" w:hint="default"/>
                <w:sz w:val="20"/>
                <w:szCs w:val="20"/>
              </w:rPr>
            </w:pPr>
            <w:r>
              <w:rPr>
                <w:rFonts w:ascii="Times New Roman"/>
                <w:sz w:val="20"/>
              </w:rPr>
              <w:t>20</w:t>
            </w:r>
          </w:p>
        </w:tc>
      </w:tr>
      <w:tr>
        <w:trPr>
          <w:trHeight w:val="341"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w:t>
            </w:r>
            <w:r>
              <w:rPr>
                <w:rFonts w:ascii="Times New Roman" w:hAnsi="Times New Roman" w:cs="Times New Roman" w:eastAsia="Times New Roman" w:hint="default"/>
                <w:sz w:val="20"/>
                <w:szCs w:val="20"/>
              </w:rPr>
              <w:t>4</w:t>
            </w:r>
            <w:r>
              <w:rPr>
                <w:rFonts w:ascii="宋体" w:hAnsi="宋体" w:cs="宋体" w:eastAsia="宋体" w:hint="default"/>
                <w:sz w:val="20"/>
                <w:szCs w:val="20"/>
              </w:rPr>
              <w:t>年</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50</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20"/>
                <w:szCs w:val="20"/>
              </w:rPr>
            </w:pPr>
            <w:r>
              <w:rPr>
                <w:rFonts w:ascii="Times New Roman"/>
                <w:sz w:val="20"/>
              </w:rPr>
              <w:t>50</w:t>
            </w:r>
          </w:p>
        </w:tc>
      </w:tr>
      <w:tr>
        <w:trPr>
          <w:trHeight w:val="343"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年以上</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100</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Times New Roman" w:hAnsi="Times New Roman" w:cs="Times New Roman" w:eastAsia="Times New Roman" w:hint="default"/>
                <w:sz w:val="20"/>
                <w:szCs w:val="20"/>
              </w:rPr>
            </w:pPr>
            <w:r>
              <w:rPr>
                <w:rFonts w:ascii="Times New Roman"/>
                <w:sz w:val="20"/>
              </w:rPr>
              <w:t>100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1、应收票据" w:id="181"/>
      <w:bookmarkEnd w:id="181"/>
      <w:r>
        <w:rPr>
          <w:b w:val="0"/>
          <w:bCs w:val="0"/>
        </w:rPr>
      </w:r>
      <w:r>
        <w:rPr>
          <w:rFonts w:ascii="Times New Roman" w:hAnsi="Times New Roman" w:cs="Times New Roman" w:eastAsia="Times New Roman" w:hint="default"/>
        </w:rPr>
        <w:t>11</w:t>
      </w:r>
      <w:r>
        <w:rPr/>
        <w:t>、应收票据</w:t>
      </w:r>
      <w:r>
        <w:rPr>
          <w:b w:val="0"/>
          <w:bCs w:val="0"/>
        </w:rPr>
      </w:r>
    </w:p>
    <w:p>
      <w:pPr>
        <w:spacing w:line="240" w:lineRule="auto" w:before="2"/>
        <w:rPr>
          <w:rFonts w:ascii="宋体" w:hAnsi="宋体" w:cs="宋体" w:eastAsia="宋体" w:hint="default"/>
          <w:b/>
          <w:bCs/>
          <w:sz w:val="31"/>
          <w:szCs w:val="31"/>
        </w:rPr>
      </w:pPr>
    </w:p>
    <w:p>
      <w:pPr>
        <w:pStyle w:val="BodyText"/>
        <w:spacing w:line="240" w:lineRule="auto"/>
        <w:ind w:left="554" w:right="1133"/>
        <w:jc w:val="left"/>
      </w:pPr>
      <w:r>
        <w:rPr/>
        <w:t>见</w:t>
      </w:r>
      <w:r>
        <w:rPr>
          <w:rFonts w:ascii="Times New Roman" w:hAnsi="Times New Roman" w:cs="Times New Roman" w:eastAsia="Times New Roman" w:hint="default"/>
        </w:rPr>
        <w:t>“</w:t>
      </w:r>
      <w:r>
        <w:rPr/>
        <w:t>本附注五</w:t>
      </w:r>
      <w:r>
        <w:rPr>
          <w:spacing w:val="-23"/>
        </w:rPr>
        <w:t> </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0"/>
          <w:szCs w:val="20"/>
        </w:rPr>
      </w:pPr>
    </w:p>
    <w:p>
      <w:pPr>
        <w:pStyle w:val="Heading3"/>
        <w:spacing w:line="240" w:lineRule="auto" w:before="146"/>
        <w:ind w:right="1133"/>
        <w:jc w:val="left"/>
        <w:rPr>
          <w:b w:val="0"/>
          <w:bCs w:val="0"/>
        </w:rPr>
      </w:pPr>
      <w:bookmarkStart w:name="12、应收账款" w:id="182"/>
      <w:bookmarkEnd w:id="182"/>
      <w:r>
        <w:rPr>
          <w:b w:val="0"/>
          <w:bCs w:val="0"/>
        </w:rPr>
      </w:r>
      <w:r>
        <w:rPr>
          <w:rFonts w:ascii="Times New Roman" w:hAnsi="Times New Roman" w:cs="Times New Roman" w:eastAsia="Times New Roman" w:hint="default"/>
        </w:rPr>
        <w:t>12</w:t>
      </w:r>
      <w:r>
        <w:rPr/>
        <w:t>、应收账款</w:t>
      </w:r>
      <w:r>
        <w:rPr>
          <w:b w:val="0"/>
          <w:bCs w:val="0"/>
        </w:rPr>
      </w:r>
    </w:p>
    <w:p>
      <w:pPr>
        <w:spacing w:line="240" w:lineRule="auto" w:before="12"/>
        <w:rPr>
          <w:rFonts w:ascii="宋体" w:hAnsi="宋体" w:cs="宋体" w:eastAsia="宋体" w:hint="default"/>
          <w:b/>
          <w:bCs/>
          <w:sz w:val="30"/>
          <w:szCs w:val="30"/>
        </w:rPr>
      </w:pPr>
    </w:p>
    <w:p>
      <w:pPr>
        <w:pStyle w:val="BodyText"/>
        <w:spacing w:line="240" w:lineRule="auto"/>
        <w:ind w:left="554" w:right="1133"/>
        <w:jc w:val="left"/>
      </w:pPr>
      <w:r>
        <w:rPr/>
        <w:t>见“本附注五</w:t>
      </w:r>
      <w:r>
        <w:rPr>
          <w:spacing w:val="-6"/>
        </w:rPr>
        <w:t> </w:t>
      </w:r>
      <w:r>
        <w:rPr>
          <w:rFonts w:ascii="宋体" w:hAnsi="宋体" w:cs="宋体" w:eastAsia="宋体" w:hint="default"/>
        </w:rPr>
        <w:t>10</w:t>
      </w:r>
      <w:r>
        <w:rPr/>
        <w:t>、金融工具”。</w:t>
      </w:r>
    </w:p>
    <w:p>
      <w:pPr>
        <w:spacing w:line="240" w:lineRule="auto" w:before="0"/>
        <w:rPr>
          <w:rFonts w:ascii="宋体" w:hAnsi="宋体" w:cs="宋体" w:eastAsia="宋体" w:hint="default"/>
          <w:sz w:val="20"/>
          <w:szCs w:val="20"/>
        </w:rPr>
      </w:pPr>
    </w:p>
    <w:p>
      <w:pPr>
        <w:pStyle w:val="Heading3"/>
        <w:spacing w:line="240" w:lineRule="auto" w:before="161"/>
        <w:ind w:right="1133"/>
        <w:jc w:val="left"/>
        <w:rPr>
          <w:b w:val="0"/>
          <w:bCs w:val="0"/>
        </w:rPr>
      </w:pPr>
      <w:bookmarkStart w:name="13、其他应收款" w:id="183"/>
      <w:bookmarkEnd w:id="183"/>
      <w:r>
        <w:rPr>
          <w:b w:val="0"/>
          <w:bCs w:val="0"/>
        </w:rPr>
      </w:r>
      <w:r>
        <w:rPr>
          <w:rFonts w:ascii="Times New Roman" w:hAnsi="Times New Roman" w:cs="Times New Roman" w:eastAsia="Times New Roman" w:hint="default"/>
        </w:rPr>
        <w:t>13</w:t>
      </w:r>
      <w:r>
        <w:rPr/>
        <w:t>、其他应收款</w:t>
      </w:r>
      <w:r>
        <w:rPr>
          <w:b w:val="0"/>
          <w:bCs w:val="0"/>
        </w:rPr>
      </w:r>
    </w:p>
    <w:p>
      <w:pPr>
        <w:spacing w:line="240" w:lineRule="auto" w:before="1"/>
        <w:rPr>
          <w:rFonts w:ascii="宋体" w:hAnsi="宋体" w:cs="宋体" w:eastAsia="宋体" w:hint="default"/>
          <w:b/>
          <w:bCs/>
          <w:sz w:val="25"/>
          <w:szCs w:val="25"/>
        </w:rPr>
      </w:pPr>
    </w:p>
    <w:p>
      <w:pPr>
        <w:pStyle w:val="BodyText"/>
        <w:spacing w:line="393" w:lineRule="auto"/>
        <w:ind w:left="554" w:right="5552" w:hanging="402"/>
        <w:jc w:val="left"/>
      </w:pPr>
      <w:r>
        <w:rPr/>
        <w:t>其他应收款的预期信用损失的确定方法及会计处理方法</w:t>
      </w:r>
      <w:r>
        <w:rPr>
          <w:w w:val="99"/>
        </w:rPr>
        <w:t> </w:t>
      </w:r>
      <w:r>
        <w:rPr/>
        <w:t>见“本附注五</w:t>
      </w:r>
      <w:r>
        <w:rPr>
          <w:spacing w:val="-6"/>
        </w:rPr>
        <w:t> </w:t>
      </w:r>
      <w:r>
        <w:rPr>
          <w:rFonts w:ascii="宋体" w:hAnsi="宋体" w:cs="宋体" w:eastAsia="宋体" w:hint="default"/>
        </w:rPr>
        <w:t>10</w:t>
      </w:r>
      <w:r>
        <w:rPr/>
        <w:t>、金融工具”。</w:t>
      </w:r>
    </w:p>
    <w:p>
      <w:pPr>
        <w:spacing w:line="240" w:lineRule="auto" w:before="7"/>
        <w:rPr>
          <w:rFonts w:ascii="宋体" w:hAnsi="宋体" w:cs="宋体" w:eastAsia="宋体" w:hint="default"/>
          <w:sz w:val="22"/>
          <w:szCs w:val="22"/>
        </w:rPr>
      </w:pPr>
    </w:p>
    <w:p>
      <w:pPr>
        <w:pStyle w:val="Heading3"/>
        <w:spacing w:line="240" w:lineRule="auto"/>
        <w:ind w:right="1133"/>
        <w:jc w:val="left"/>
        <w:rPr>
          <w:b w:val="0"/>
          <w:bCs w:val="0"/>
        </w:rPr>
      </w:pPr>
      <w:bookmarkStart w:name="14、存货" w:id="184"/>
      <w:bookmarkEnd w:id="184"/>
      <w:r>
        <w:rPr>
          <w:b w:val="0"/>
          <w:bCs w:val="0"/>
        </w:rPr>
      </w:r>
      <w:r>
        <w:rPr>
          <w:rFonts w:ascii="Times New Roman" w:hAnsi="Times New Roman" w:cs="Times New Roman" w:eastAsia="Times New Roman" w:hint="default"/>
        </w:rPr>
        <w:t>14</w:t>
      </w:r>
      <w:r>
        <w:rPr/>
        <w:t>、存货</w:t>
      </w:r>
      <w:r>
        <w:rPr>
          <w:b w:val="0"/>
          <w:bCs w:val="0"/>
        </w:rPr>
      </w:r>
    </w:p>
    <w:p>
      <w:pPr>
        <w:spacing w:line="240" w:lineRule="auto" w:before="2"/>
        <w:rPr>
          <w:rFonts w:ascii="宋体" w:hAnsi="宋体" w:cs="宋体" w:eastAsia="宋体" w:hint="default"/>
          <w:b/>
          <w:bCs/>
          <w:sz w:val="31"/>
          <w:szCs w:val="31"/>
        </w:rPr>
      </w:pPr>
    </w:p>
    <w:p>
      <w:pPr>
        <w:pStyle w:val="BodyText"/>
        <w:spacing w:line="429" w:lineRule="auto"/>
        <w:ind w:left="554" w:right="3752"/>
        <w:jc w:val="left"/>
      </w:pPr>
      <w:r>
        <w:rPr>
          <w:rFonts w:ascii="宋体" w:hAnsi="宋体" w:cs="宋体" w:eastAsia="宋体" w:hint="default"/>
        </w:rPr>
        <w:t>(1)</w:t>
      </w:r>
      <w:r>
        <w:rPr/>
        <w:t>存货的分类</w:t>
      </w:r>
      <w:r>
        <w:rPr>
          <w:w w:val="99"/>
        </w:rPr>
        <w:t> </w:t>
      </w:r>
      <w:r>
        <w:rPr/>
        <w:t>存货分类为：原材料、库存商品、发出商品、周转材料、委托加工物资等。</w:t>
      </w:r>
      <w:r>
        <w:rPr>
          <w:w w:val="99"/>
        </w:rPr>
        <w:t> </w:t>
      </w:r>
      <w:r>
        <w:rPr>
          <w:rFonts w:ascii="宋体" w:hAnsi="宋体" w:cs="宋体" w:eastAsia="宋体" w:hint="default"/>
        </w:rPr>
        <w:t>(2)</w:t>
      </w:r>
      <w:r>
        <w:rPr/>
        <w:t>发出存货的计价方法</w:t>
      </w:r>
    </w:p>
    <w:p>
      <w:pPr>
        <w:pStyle w:val="BodyText"/>
        <w:spacing w:line="429" w:lineRule="auto" w:before="48"/>
        <w:ind w:left="554" w:right="5999"/>
        <w:jc w:val="left"/>
      </w:pPr>
      <w:r>
        <w:rPr/>
        <w:t>存货发出时采用个别计价法计价。</w:t>
      </w:r>
      <w:r>
        <w:rPr>
          <w:w w:val="99"/>
        </w:rPr>
        <w:t> </w:t>
      </w:r>
      <w:r>
        <w:rPr>
          <w:rFonts w:ascii="宋体" w:hAnsi="宋体" w:cs="宋体" w:eastAsia="宋体" w:hint="default"/>
          <w:w w:val="95"/>
        </w:rPr>
        <w:t>(3)</w:t>
      </w:r>
      <w:r>
        <w:rPr>
          <w:w w:val="95"/>
        </w:rPr>
        <w:t>不同类别存货可变现净值的确定依据</w:t>
      </w:r>
      <w:r>
        <w:rPr/>
      </w:r>
    </w:p>
    <w:p>
      <w:pPr>
        <w:pStyle w:val="BodyText"/>
        <w:spacing w:line="429" w:lineRule="auto" w:before="48"/>
        <w:ind w:right="1141" w:firstLine="401"/>
        <w:jc w:val="right"/>
      </w:pPr>
      <w:r>
        <w:rPr/>
        <w:t>产成品、库存商品和用于出售的材料等直接用于出售的商品存货，在正常生产经营过程中，以该存货的估</w:t>
      </w:r>
      <w:r>
        <w:rPr>
          <w:w w:val="99"/>
        </w:rPr>
        <w:t> </w:t>
      </w:r>
      <w:r>
        <w:rPr/>
        <w:t>计售价减去估计的销售费用和相关税费后的金额，确定其可变现净值；需要经过加工的材料存货，在正常生产</w:t>
      </w:r>
      <w:r>
        <w:rPr>
          <w:spacing w:val="-91"/>
        </w:rPr>
        <w:t> </w:t>
      </w:r>
      <w:r>
        <w:rPr>
          <w:spacing w:val="-91"/>
        </w:rPr>
      </w:r>
      <w:r>
        <w:rPr/>
        <w:t>经营过程中，以所生产的产成品的估计售价减去至完工时估计将要发生的成本、估计的销售费用和相关税费后</w:t>
      </w:r>
      <w:r>
        <w:rPr>
          <w:spacing w:val="-91"/>
        </w:rPr>
        <w:t> </w:t>
      </w:r>
      <w:r>
        <w:rPr>
          <w:spacing w:val="-91"/>
        </w:rPr>
      </w:r>
      <w:r>
        <w:rPr/>
        <w:t>的金额，确定其可变现净值；为执行销售合同或者劳务合同而持有的存货，其可变现净值以合同价格为基础计</w:t>
      </w:r>
      <w:r>
        <w:rPr>
          <w:spacing w:val="-91"/>
        </w:rPr>
        <w:t> </w:t>
      </w:r>
      <w:r>
        <w:rPr>
          <w:spacing w:val="-91"/>
        </w:rPr>
      </w:r>
      <w:r>
        <w:rPr>
          <w:w w:val="95"/>
        </w:rPr>
        <w:t>算，若持有存货的数量多于销售合同订购数量的，超出部分的存货的可变现净值以一般销售价格为基础计算。</w:t>
      </w:r>
      <w:r>
        <w:rPr>
          <w:spacing w:val="45"/>
          <w:w w:val="95"/>
        </w:rPr>
        <w:t> </w:t>
      </w:r>
      <w:r>
        <w:rPr>
          <w:spacing w:val="45"/>
          <w:w w:val="95"/>
        </w:rPr>
      </w:r>
      <w:r>
        <w:rPr/>
        <w:t>期末按照单个存货项目计提存货跌价准备；但对于数量繁多、单价较低的存货，按照存货类别计提存货跌</w:t>
      </w:r>
      <w:r>
        <w:rPr>
          <w:w w:val="99"/>
        </w:rPr>
        <w:t> </w:t>
      </w:r>
      <w:r>
        <w:rPr/>
        <w:t>价准备；与在同一地区生产和销售的产品系列相关、具有相同或类似最终用途或目的，且难以与其他项目分开</w:t>
      </w:r>
    </w:p>
    <w:p>
      <w:pPr>
        <w:pStyle w:val="BodyText"/>
        <w:spacing w:line="429" w:lineRule="auto" w:before="48"/>
        <w:ind w:left="554" w:right="1133" w:hanging="402"/>
        <w:jc w:val="left"/>
      </w:pPr>
      <w:r>
        <w:rPr/>
        <w:t>计量的存货，则合并计提存货跌价准备。</w:t>
      </w:r>
      <w:r>
        <w:rPr>
          <w:w w:val="99"/>
        </w:rPr>
        <w:t> </w:t>
      </w:r>
      <w:r>
        <w:rPr/>
        <w:t>除有明确证据表明资产负债表日市场价格异常外，存货项目的可变现净值以资产负债表日市场价格为基础</w:t>
      </w:r>
    </w:p>
    <w:p>
      <w:pPr>
        <w:spacing w:after="0" w:line="429"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right="1133"/>
        <w:jc w:val="left"/>
      </w:pPr>
      <w:r>
        <w:rPr/>
        <w:t>确定。</w:t>
      </w:r>
    </w:p>
    <w:p>
      <w:pPr>
        <w:spacing w:line="240" w:lineRule="auto" w:before="10"/>
        <w:rPr>
          <w:rFonts w:ascii="宋体" w:hAnsi="宋体" w:cs="宋体" w:eastAsia="宋体" w:hint="default"/>
          <w:sz w:val="15"/>
          <w:szCs w:val="15"/>
        </w:rPr>
      </w:pPr>
    </w:p>
    <w:p>
      <w:pPr>
        <w:pStyle w:val="BodyText"/>
        <w:spacing w:line="429" w:lineRule="auto"/>
        <w:ind w:left="554" w:right="3752"/>
        <w:jc w:val="left"/>
      </w:pPr>
      <w:r>
        <w:rPr>
          <w:w w:val="95"/>
        </w:rPr>
        <w:t>本期期末存货项目的可变现净值以资产负债表日市场价格为基础确定。</w:t>
      </w:r>
      <w:r>
        <w:rPr>
          <w:spacing w:val="18"/>
          <w:w w:val="95"/>
        </w:rPr>
        <w:t> </w:t>
      </w:r>
      <w:r>
        <w:rPr>
          <w:spacing w:val="18"/>
          <w:w w:val="95"/>
        </w:rPr>
      </w:r>
      <w:r>
        <w:rPr>
          <w:rFonts w:ascii="宋体" w:hAnsi="宋体" w:cs="宋体" w:eastAsia="宋体" w:hint="default"/>
        </w:rPr>
        <w:t>(4)</w:t>
      </w:r>
      <w:r>
        <w:rPr/>
        <w:t>存货的盘存制度</w:t>
      </w:r>
    </w:p>
    <w:p>
      <w:pPr>
        <w:pStyle w:val="BodyText"/>
        <w:spacing w:line="429" w:lineRule="auto" w:before="48"/>
        <w:ind w:left="554" w:right="5999"/>
        <w:jc w:val="left"/>
      </w:pPr>
      <w:r>
        <w:rPr/>
        <w:t>采用永续盘存制。</w:t>
      </w:r>
      <w:r>
        <w:rPr>
          <w:w w:val="99"/>
        </w:rPr>
        <w:t> </w:t>
      </w:r>
      <w:r>
        <w:rPr>
          <w:rFonts w:ascii="宋体" w:hAnsi="宋体" w:cs="宋体" w:eastAsia="宋体" w:hint="default"/>
          <w:w w:val="95"/>
        </w:rPr>
        <w:t>(5)</w:t>
      </w:r>
      <w:r>
        <w:rPr>
          <w:w w:val="95"/>
        </w:rPr>
        <w:t>低值易耗品和包装物的摊销方法</w:t>
      </w:r>
      <w:r>
        <w:rPr/>
      </w:r>
    </w:p>
    <w:p>
      <w:pPr>
        <w:pStyle w:val="BodyText"/>
        <w:spacing w:line="240" w:lineRule="auto" w:before="48"/>
        <w:ind w:left="554" w:right="1133"/>
        <w:jc w:val="left"/>
      </w:pPr>
      <w:r>
        <w:rPr/>
        <w:t>①低值易耗品采用一次转销法；</w:t>
      </w:r>
    </w:p>
    <w:p>
      <w:pPr>
        <w:spacing w:line="240" w:lineRule="auto" w:before="10"/>
        <w:rPr>
          <w:rFonts w:ascii="宋体" w:hAnsi="宋体" w:cs="宋体" w:eastAsia="宋体" w:hint="default"/>
          <w:sz w:val="15"/>
          <w:szCs w:val="15"/>
        </w:rPr>
      </w:pPr>
    </w:p>
    <w:p>
      <w:pPr>
        <w:pStyle w:val="BodyText"/>
        <w:spacing w:line="240" w:lineRule="auto"/>
        <w:ind w:left="554" w:right="1133"/>
        <w:jc w:val="left"/>
      </w:pPr>
      <w:r>
        <w:rPr/>
        <w:t>②包装物采用一次转销法。</w:t>
      </w:r>
    </w:p>
    <w:p>
      <w:pPr>
        <w:spacing w:line="240" w:lineRule="auto" w:before="0"/>
        <w:rPr>
          <w:rFonts w:ascii="宋体" w:hAnsi="宋体" w:cs="宋体" w:eastAsia="宋体" w:hint="default"/>
          <w:sz w:val="20"/>
          <w:szCs w:val="20"/>
        </w:rPr>
      </w:pPr>
    </w:p>
    <w:p>
      <w:pPr>
        <w:pStyle w:val="Heading3"/>
        <w:spacing w:line="240" w:lineRule="auto" w:before="161"/>
        <w:ind w:right="1133"/>
        <w:jc w:val="left"/>
        <w:rPr>
          <w:b w:val="0"/>
          <w:bCs w:val="0"/>
        </w:rPr>
      </w:pPr>
      <w:bookmarkStart w:name="15、持有待售资产" w:id="185"/>
      <w:bookmarkEnd w:id="185"/>
      <w:r>
        <w:rPr>
          <w:b w:val="0"/>
          <w:bCs w:val="0"/>
        </w:rPr>
      </w:r>
      <w:r>
        <w:rPr>
          <w:rFonts w:ascii="Times New Roman" w:hAnsi="Times New Roman" w:cs="Times New Roman" w:eastAsia="Times New Roman" w:hint="default"/>
        </w:rPr>
        <w:t>15</w:t>
      </w:r>
      <w:r>
        <w:rPr/>
        <w:t>、持有待售资产</w:t>
      </w:r>
      <w:r>
        <w:rPr>
          <w:b w:val="0"/>
          <w:bCs w:val="0"/>
        </w:rPr>
      </w:r>
    </w:p>
    <w:p>
      <w:pPr>
        <w:spacing w:line="240" w:lineRule="auto" w:before="2"/>
        <w:rPr>
          <w:rFonts w:ascii="宋体" w:hAnsi="宋体" w:cs="宋体" w:eastAsia="宋体" w:hint="default"/>
          <w:b/>
          <w:bCs/>
          <w:sz w:val="31"/>
          <w:szCs w:val="31"/>
        </w:rPr>
      </w:pPr>
    </w:p>
    <w:p>
      <w:pPr>
        <w:pStyle w:val="BodyText"/>
        <w:spacing w:line="240" w:lineRule="auto"/>
        <w:ind w:left="554" w:right="1133"/>
        <w:jc w:val="left"/>
      </w:pPr>
      <w:r>
        <w:rPr/>
        <w:t>本公司将同时满足下列条件的非流动资产或处置组划分为持有待售类别：</w:t>
      </w:r>
    </w:p>
    <w:p>
      <w:pPr>
        <w:spacing w:line="240" w:lineRule="auto" w:before="10"/>
        <w:rPr>
          <w:rFonts w:ascii="宋体" w:hAnsi="宋体" w:cs="宋体" w:eastAsia="宋体" w:hint="default"/>
          <w:sz w:val="15"/>
          <w:szCs w:val="15"/>
        </w:rPr>
      </w:pPr>
    </w:p>
    <w:p>
      <w:pPr>
        <w:pStyle w:val="BodyText"/>
        <w:spacing w:line="240" w:lineRule="auto"/>
        <w:ind w:left="554" w:right="1133"/>
        <w:jc w:val="left"/>
      </w:pPr>
      <w:r>
        <w:rPr/>
        <w:t>（</w:t>
      </w:r>
      <w:r>
        <w:rPr>
          <w:rFonts w:ascii="宋体" w:hAnsi="宋体" w:cs="宋体" w:eastAsia="宋体" w:hint="default"/>
        </w:rPr>
        <w:t>1</w:t>
      </w:r>
      <w:r>
        <w:rPr/>
        <w:t>）根据类似交易中出售此类资产或处置组的惯例，在当前状况下即可立即出售；</w:t>
      </w:r>
    </w:p>
    <w:p>
      <w:pPr>
        <w:spacing w:line="240" w:lineRule="auto" w:before="10"/>
        <w:rPr>
          <w:rFonts w:ascii="宋体" w:hAnsi="宋体" w:cs="宋体" w:eastAsia="宋体" w:hint="default"/>
          <w:sz w:val="15"/>
          <w:szCs w:val="15"/>
        </w:rPr>
      </w:pPr>
    </w:p>
    <w:p>
      <w:pPr>
        <w:pStyle w:val="BodyText"/>
        <w:spacing w:line="429" w:lineRule="auto"/>
        <w:ind w:right="1133" w:firstLine="401"/>
        <w:jc w:val="left"/>
      </w:pPr>
      <w:r>
        <w:rPr>
          <w:spacing w:val="-1"/>
          <w:w w:val="95"/>
        </w:rPr>
        <w:t>（</w:t>
      </w:r>
      <w:r>
        <w:rPr>
          <w:rFonts w:ascii="宋体" w:hAnsi="宋体" w:cs="宋体" w:eastAsia="宋体" w:hint="default"/>
          <w:spacing w:val="-1"/>
          <w:w w:val="95"/>
        </w:rPr>
        <w:t>2</w:t>
      </w:r>
      <w:r>
        <w:rPr>
          <w:spacing w:val="-1"/>
          <w:w w:val="95"/>
        </w:rPr>
        <w:t>）出售极可能发生，即本公司已经就一项出售计划作出决议且获得确定的购买承诺，预计出售将在一年</w:t>
      </w:r>
      <w:r>
        <w:rPr>
          <w:spacing w:val="-57"/>
          <w:w w:val="95"/>
        </w:rPr>
        <w:t> </w:t>
      </w:r>
      <w:r>
        <w:rPr>
          <w:spacing w:val="-57"/>
          <w:w w:val="95"/>
        </w:rPr>
      </w:r>
      <w:r>
        <w:rPr/>
        <w:t>内完成。有关规定要求本公司相关权力机构或者监管部门批准后方可出售的，已经获得批准。</w:t>
      </w:r>
    </w:p>
    <w:p>
      <w:pPr>
        <w:spacing w:line="240" w:lineRule="auto" w:before="3"/>
        <w:rPr>
          <w:rFonts w:ascii="宋体" w:hAnsi="宋体" w:cs="宋体" w:eastAsia="宋体" w:hint="default"/>
          <w:sz w:val="20"/>
          <w:szCs w:val="20"/>
        </w:rPr>
      </w:pPr>
    </w:p>
    <w:p>
      <w:pPr>
        <w:pStyle w:val="Heading3"/>
        <w:spacing w:line="240" w:lineRule="auto"/>
        <w:ind w:right="1133"/>
        <w:jc w:val="left"/>
        <w:rPr>
          <w:b w:val="0"/>
          <w:bCs w:val="0"/>
        </w:rPr>
      </w:pPr>
      <w:bookmarkStart w:name="16、长期股权投资" w:id="186"/>
      <w:bookmarkEnd w:id="186"/>
      <w:r>
        <w:rPr>
          <w:b w:val="0"/>
          <w:bCs w:val="0"/>
        </w:rPr>
      </w:r>
      <w:r>
        <w:rPr>
          <w:rFonts w:ascii="Times New Roman" w:hAnsi="Times New Roman" w:cs="Times New Roman" w:eastAsia="Times New Roman" w:hint="default"/>
        </w:rPr>
        <w:t>16</w:t>
      </w:r>
      <w:r>
        <w:rPr/>
        <w:t>、长期股权投资</w:t>
      </w:r>
      <w:r>
        <w:rPr>
          <w:b w:val="0"/>
          <w:bCs w:val="0"/>
        </w:rPr>
      </w:r>
    </w:p>
    <w:p>
      <w:pPr>
        <w:spacing w:line="240" w:lineRule="auto" w:before="12"/>
        <w:rPr>
          <w:rFonts w:ascii="宋体" w:hAnsi="宋体" w:cs="宋体" w:eastAsia="宋体" w:hint="default"/>
          <w:b/>
          <w:bCs/>
          <w:sz w:val="30"/>
          <w:szCs w:val="30"/>
        </w:rPr>
      </w:pPr>
    </w:p>
    <w:p>
      <w:pPr>
        <w:pStyle w:val="BodyText"/>
        <w:spacing w:line="429" w:lineRule="auto"/>
        <w:ind w:left="554" w:right="1133"/>
        <w:jc w:val="left"/>
      </w:pPr>
      <w:r>
        <w:rPr>
          <w:rFonts w:ascii="宋体" w:hAnsi="宋体" w:cs="宋体" w:eastAsia="宋体" w:hint="default"/>
        </w:rPr>
        <w:t>(1)</w:t>
      </w:r>
      <w:r>
        <w:rPr/>
        <w:t>共同控制、重大影响的判断标准</w:t>
      </w:r>
      <w:r>
        <w:rPr>
          <w:w w:val="99"/>
        </w:rPr>
        <w:t> </w:t>
      </w:r>
      <w:r>
        <w:rPr/>
        <w:t>共同控制，是指按照相关约定对某项安排所共有的控制，并且该安排的相关活动必须经过分享控制权的参</w:t>
      </w:r>
    </w:p>
    <w:p>
      <w:pPr>
        <w:pStyle w:val="BodyText"/>
        <w:spacing w:line="429" w:lineRule="auto" w:before="48"/>
        <w:ind w:right="1133"/>
        <w:jc w:val="left"/>
      </w:pPr>
      <w:r>
        <w:rPr/>
        <w:t>与方一致同意后才能决策。本公司与其他合营方一同对被投资单位实施共同控制且对被投资单位净资产享有权</w:t>
      </w:r>
      <w:r>
        <w:rPr>
          <w:spacing w:val="-77"/>
        </w:rPr>
        <w:t> </w:t>
      </w:r>
      <w:r>
        <w:rPr>
          <w:spacing w:val="-77"/>
        </w:rPr>
      </w:r>
      <w:r>
        <w:rPr/>
        <w:t>利的，被投资单位为本公司的合营企业。</w:t>
      </w:r>
    </w:p>
    <w:p>
      <w:pPr>
        <w:pStyle w:val="BodyText"/>
        <w:spacing w:line="429" w:lineRule="auto" w:before="48"/>
        <w:ind w:right="1133" w:firstLine="401"/>
        <w:jc w:val="left"/>
      </w:pPr>
      <w:r>
        <w:rPr/>
        <w:t>重大影响，是指对一个企业的财务和经营决策有参与决策的权力，但并不能够控制或者与其他方一起共同</w:t>
      </w:r>
      <w:r>
        <w:rPr>
          <w:w w:val="99"/>
        </w:rPr>
        <w:t> </w:t>
      </w:r>
      <w:r>
        <w:rPr/>
        <w:t>控制这些政策的制定。本公司能够对被投资单位施加重大影响的，被投资单位为本公司联营企业。</w:t>
      </w:r>
    </w:p>
    <w:p>
      <w:pPr>
        <w:pStyle w:val="BodyText"/>
        <w:spacing w:line="240" w:lineRule="auto" w:before="48"/>
        <w:ind w:left="554" w:right="1133"/>
        <w:jc w:val="left"/>
      </w:pPr>
      <w:r>
        <w:rPr>
          <w:rFonts w:ascii="宋体" w:hAnsi="宋体" w:cs="宋体" w:eastAsia="宋体" w:hint="default"/>
        </w:rPr>
        <w:t>(2)</w:t>
      </w:r>
      <w:r>
        <w:rPr/>
        <w:t>初始投资成本的确定</w:t>
      </w:r>
    </w:p>
    <w:p>
      <w:pPr>
        <w:spacing w:line="240" w:lineRule="auto" w:before="10"/>
        <w:rPr>
          <w:rFonts w:ascii="宋体" w:hAnsi="宋体" w:cs="宋体" w:eastAsia="宋体" w:hint="default"/>
          <w:sz w:val="15"/>
          <w:szCs w:val="15"/>
        </w:rPr>
      </w:pPr>
    </w:p>
    <w:p>
      <w:pPr>
        <w:pStyle w:val="BodyText"/>
        <w:spacing w:line="429" w:lineRule="auto"/>
        <w:ind w:left="554" w:right="1133"/>
        <w:jc w:val="left"/>
      </w:pPr>
      <w:r>
        <w:rPr/>
        <w:t>①企业合并形成的长期股权投资</w:t>
      </w:r>
      <w:r>
        <w:rPr>
          <w:w w:val="99"/>
        </w:rPr>
        <w:t> </w:t>
      </w:r>
      <w:r>
        <w:rPr/>
        <w:t>同一控制下的企业合并：公司以支付现金、转让非现金资产或承担债务方式以及以发行权益性证券作为合</w:t>
      </w:r>
    </w:p>
    <w:p>
      <w:pPr>
        <w:pStyle w:val="BodyText"/>
        <w:spacing w:line="429" w:lineRule="auto" w:before="49"/>
        <w:ind w:left="0" w:right="1141"/>
        <w:jc w:val="right"/>
      </w:pPr>
      <w:r>
        <w:rPr/>
        <w:t>并对价的，在合并日按照取得被合并方所有者权益在最终控制方合并财务报表中的账面价值的份额作为长期股</w:t>
      </w:r>
      <w:r>
        <w:rPr>
          <w:spacing w:val="-91"/>
        </w:rPr>
        <w:t> </w:t>
      </w:r>
      <w:r>
        <w:rPr>
          <w:spacing w:val="-91"/>
        </w:rPr>
      </w:r>
      <w:r>
        <w:rPr/>
        <w:t>权投资的初始投资成本。因追加投资等原因能够对同一控制下的被投资单位实施控制的，在合并日根据合并后</w:t>
      </w:r>
      <w:r>
        <w:rPr>
          <w:spacing w:val="-91"/>
        </w:rPr>
        <w:t> </w:t>
      </w:r>
      <w:r>
        <w:rPr>
          <w:spacing w:val="-91"/>
        </w:rPr>
      </w:r>
      <w:r>
        <w:rPr>
          <w:w w:val="95"/>
        </w:rPr>
        <w:t>应享有被合并方净资产在最终控制方合并财务报表中的账面价值的份额，确定长期股权投资的初始投资成本。</w:t>
      </w:r>
      <w:r>
        <w:rPr>
          <w:spacing w:val="45"/>
          <w:w w:val="95"/>
        </w:rPr>
        <w:t> </w:t>
      </w:r>
      <w:r>
        <w:rPr>
          <w:spacing w:val="45"/>
          <w:w w:val="95"/>
        </w:rPr>
      </w:r>
      <w:r>
        <w:rPr/>
        <w:t>合并日长期股权投资的初始投资成本，与达到合并前的长期股权投资账面价值加上合并日进一步取得股份</w:t>
      </w:r>
    </w:p>
    <w:p>
      <w:pPr>
        <w:pStyle w:val="BodyText"/>
        <w:spacing w:line="429" w:lineRule="auto" w:before="48"/>
        <w:ind w:left="554" w:right="1133" w:hanging="402"/>
        <w:jc w:val="left"/>
      </w:pPr>
      <w:r>
        <w:rPr/>
        <w:t>新支付对价的账面价值之和的差额，调整股本溢价，股本溢价不足冲减的，冲减留存收益。</w:t>
      </w:r>
      <w:r>
        <w:rPr>
          <w:w w:val="99"/>
        </w:rPr>
        <w:t> </w:t>
      </w:r>
      <w:r>
        <w:rPr/>
        <w:t>非同一控制下的企业合并：公司按照购买日确定的合并成本作为长期股权投资的初始投资成本。因追加投</w:t>
      </w:r>
    </w:p>
    <w:p>
      <w:pPr>
        <w:spacing w:after="0" w:line="429"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29" w:lineRule="auto"/>
        <w:ind w:right="1142"/>
        <w:jc w:val="both"/>
      </w:pPr>
      <w:r>
        <w:rPr/>
        <w:t>资等原因能够对非同一控制下的被投资单位实施控制的，按照原持有的股权投资账面价值加上新增投资成本之</w:t>
      </w:r>
      <w:r>
        <w:rPr>
          <w:spacing w:val="-77"/>
        </w:rPr>
        <w:t> </w:t>
      </w:r>
      <w:r>
        <w:rPr>
          <w:spacing w:val="-77"/>
        </w:rPr>
      </w:r>
      <w:r>
        <w:rPr/>
        <w:t>和，作为改按成本法核算的初始投资成本。</w:t>
      </w:r>
    </w:p>
    <w:p>
      <w:pPr>
        <w:pStyle w:val="BodyText"/>
        <w:spacing w:line="429" w:lineRule="auto" w:before="48"/>
        <w:ind w:left="554" w:right="1133"/>
        <w:jc w:val="left"/>
      </w:pPr>
      <w:r>
        <w:rPr/>
        <w:t>②其他方式取得的长期股权投资</w:t>
      </w:r>
      <w:r>
        <w:rPr>
          <w:w w:val="99"/>
        </w:rPr>
        <w:t> </w:t>
      </w:r>
      <w:r>
        <w:rPr/>
        <w:t>以支付现金方式取得的长期股权投资，按照实际支付的购买价款作为初始投资成本。</w:t>
      </w:r>
      <w:r>
        <w:rPr>
          <w:w w:val="99"/>
        </w:rPr>
        <w:t> </w:t>
      </w:r>
      <w:r>
        <w:rPr/>
        <w:t>以发行权益性证券取得的长期股权投资，按照发行权益性证券的公允价值作为初始投资成本。</w:t>
      </w:r>
      <w:r>
        <w:rPr>
          <w:w w:val="99"/>
        </w:rPr>
        <w:t> </w:t>
      </w:r>
      <w:r>
        <w:rPr/>
        <w:t>在非货币性资产交换具有商业实质，且换入资产或换出资产的公允价值能够可靠计量时，以公允价值为基</w:t>
      </w:r>
    </w:p>
    <w:p>
      <w:pPr>
        <w:pStyle w:val="BodyText"/>
        <w:spacing w:line="429" w:lineRule="auto" w:before="48"/>
        <w:ind w:right="1140"/>
        <w:jc w:val="both"/>
      </w:pPr>
      <w:r>
        <w:rPr/>
        <w:t>础计量。如换入资产和换出资产的公允价值均能可靠计量的，对于换入的长期股权投资，以换出资产的公允价</w:t>
      </w:r>
      <w:r>
        <w:rPr>
          <w:spacing w:val="-75"/>
        </w:rPr>
        <w:t> </w:t>
      </w:r>
      <w:r>
        <w:rPr>
          <w:spacing w:val="-75"/>
        </w:rPr>
      </w:r>
      <w:r>
        <w:rPr/>
        <w:t>值和应支付的相关税费作为换入的长期股权投资的初始投资成本，除非有确凿证据表明换入资产的公允价值更</w:t>
      </w:r>
      <w:r>
        <w:rPr>
          <w:spacing w:val="-77"/>
        </w:rPr>
        <w:t> </w:t>
      </w:r>
      <w:r>
        <w:rPr>
          <w:spacing w:val="-77"/>
        </w:rPr>
      </w:r>
      <w:r>
        <w:rPr/>
        <w:t>加可靠。非货币性资产交换不具有商业实质，或换入资产和换出资产的公允价值均不能可靠计量的，对于换入</w:t>
      </w:r>
      <w:r>
        <w:rPr>
          <w:spacing w:val="-77"/>
        </w:rPr>
        <w:t> </w:t>
      </w:r>
      <w:r>
        <w:rPr>
          <w:spacing w:val="-77"/>
        </w:rPr>
      </w:r>
      <w:r>
        <w:rPr/>
        <w:t>的长期股权投资，以换出资产的账面价值和应支付的相关税费作为换入长期股权投资的初始投资成本。</w:t>
      </w:r>
    </w:p>
    <w:p>
      <w:pPr>
        <w:pStyle w:val="BodyText"/>
        <w:spacing w:line="429" w:lineRule="auto" w:before="48"/>
        <w:ind w:right="1141" w:firstLine="401"/>
        <w:jc w:val="both"/>
      </w:pPr>
      <w:r>
        <w:rPr/>
        <w:t>通过债务重组取得的长期股权投资，以所放弃债权的公允价值和可直接归属于该资产的税金等其他成本确</w:t>
      </w:r>
      <w:r>
        <w:rPr>
          <w:w w:val="99"/>
        </w:rPr>
        <w:t> </w:t>
      </w:r>
      <w:r>
        <w:rPr/>
        <w:t>定其入账价值，并将所放弃债权的公允价值与账面价值之间的差额，计入当期损益。</w:t>
      </w:r>
    </w:p>
    <w:p>
      <w:pPr>
        <w:pStyle w:val="BodyText"/>
        <w:spacing w:line="240" w:lineRule="auto" w:before="48"/>
        <w:ind w:left="554" w:right="1133"/>
        <w:jc w:val="left"/>
      </w:pPr>
      <w:r>
        <w:rPr>
          <w:rFonts w:ascii="宋体" w:hAnsi="宋体" w:cs="宋体" w:eastAsia="宋体" w:hint="default"/>
        </w:rPr>
        <w:t>(3)</w:t>
      </w:r>
      <w:r>
        <w:rPr/>
        <w:t>后续计量及损益确认方法</w:t>
      </w:r>
    </w:p>
    <w:p>
      <w:pPr>
        <w:spacing w:line="240" w:lineRule="auto" w:before="10"/>
        <w:rPr>
          <w:rFonts w:ascii="宋体" w:hAnsi="宋体" w:cs="宋体" w:eastAsia="宋体" w:hint="default"/>
          <w:sz w:val="15"/>
          <w:szCs w:val="15"/>
        </w:rPr>
      </w:pPr>
    </w:p>
    <w:p>
      <w:pPr>
        <w:pStyle w:val="BodyText"/>
        <w:spacing w:line="429" w:lineRule="auto"/>
        <w:ind w:left="554" w:right="1133"/>
        <w:jc w:val="left"/>
      </w:pPr>
      <w:r>
        <w:rPr/>
        <w:t>①成本法核算的长期股权投资</w:t>
      </w:r>
      <w:r>
        <w:rPr>
          <w:w w:val="99"/>
        </w:rPr>
        <w:t> </w:t>
      </w:r>
      <w:r>
        <w:rPr/>
        <w:t>公司对子公司的长期股权投资，采用成本法核算。除取得投资时实际支付的价款或对价中包含的已宣告但</w:t>
      </w:r>
    </w:p>
    <w:p>
      <w:pPr>
        <w:pStyle w:val="BodyText"/>
        <w:spacing w:line="240" w:lineRule="auto" w:before="48"/>
        <w:ind w:right="0"/>
        <w:jc w:val="both"/>
      </w:pPr>
      <w:r>
        <w:rPr/>
        <w:t>尚未发放的现金股利或利润外，公司按照享有被投资单位宣告发放的现金股利或利润确认当期投资收益。</w:t>
      </w:r>
    </w:p>
    <w:p>
      <w:pPr>
        <w:spacing w:line="240" w:lineRule="auto" w:before="10"/>
        <w:rPr>
          <w:rFonts w:ascii="宋体" w:hAnsi="宋体" w:cs="宋体" w:eastAsia="宋体" w:hint="default"/>
          <w:sz w:val="15"/>
          <w:szCs w:val="15"/>
        </w:rPr>
      </w:pPr>
    </w:p>
    <w:p>
      <w:pPr>
        <w:pStyle w:val="BodyText"/>
        <w:spacing w:line="429" w:lineRule="auto"/>
        <w:ind w:left="554" w:right="1133"/>
        <w:jc w:val="left"/>
      </w:pPr>
      <w:r>
        <w:rPr/>
        <w:t>②权益法核算的长期股权投资</w:t>
      </w:r>
      <w:r>
        <w:rPr>
          <w:w w:val="99"/>
        </w:rPr>
        <w:t> </w:t>
      </w:r>
      <w:r>
        <w:rPr/>
        <w:t>对联营企业和合营企业的长期股权投资，采用权益法核算。初始投资成本大于投资时应享有被投资单位可</w:t>
      </w:r>
    </w:p>
    <w:p>
      <w:pPr>
        <w:pStyle w:val="BodyText"/>
        <w:spacing w:line="429" w:lineRule="auto" w:before="48"/>
        <w:ind w:right="1142"/>
        <w:jc w:val="both"/>
      </w:pPr>
      <w:r>
        <w:rPr/>
        <w:t>辨认净资产公允价值份额的差额，不调整长期股权投资的初始投资成本；初始投资成本小于投资时应享有被投</w:t>
      </w:r>
      <w:r>
        <w:rPr>
          <w:spacing w:val="-77"/>
        </w:rPr>
        <w:t> </w:t>
      </w:r>
      <w:r>
        <w:rPr>
          <w:spacing w:val="-77"/>
        </w:rPr>
      </w:r>
      <w:r>
        <w:rPr/>
        <w:t>资单位可辨认净资产公允价值份额的差额，计入当期损益。</w:t>
      </w:r>
    </w:p>
    <w:p>
      <w:pPr>
        <w:pStyle w:val="BodyText"/>
        <w:spacing w:line="429" w:lineRule="auto" w:before="48"/>
        <w:ind w:right="1141" w:firstLine="401"/>
        <w:jc w:val="both"/>
      </w:pPr>
      <w:r>
        <w:rPr/>
        <w:t>公司按照应享有或应分担的被投资单位实现的净损益和其他综合收益的份额，分别确认投资收益和其他综</w:t>
      </w:r>
      <w:r>
        <w:rPr>
          <w:w w:val="99"/>
        </w:rPr>
        <w:t> </w:t>
      </w:r>
      <w:r>
        <w:rPr/>
        <w:t>合收益，同时调整长期股权投资的账面价值；按照被投资单位宣告分派的利润或现金股利计算应享有的部分，</w:t>
      </w:r>
      <w:r>
        <w:rPr>
          <w:spacing w:val="-77"/>
        </w:rPr>
        <w:t> </w:t>
      </w:r>
      <w:r>
        <w:rPr>
          <w:spacing w:val="-77"/>
        </w:rPr>
      </w:r>
      <w:r>
        <w:rPr/>
        <w:t>相应减少长期股权投资的账面价值；对于被投资单位除净损益、其他综合收益和利润分配以外所有者权益的其</w:t>
      </w:r>
      <w:r>
        <w:rPr>
          <w:spacing w:val="-77"/>
        </w:rPr>
        <w:t> </w:t>
      </w:r>
      <w:r>
        <w:rPr>
          <w:spacing w:val="-77"/>
        </w:rPr>
      </w:r>
      <w:r>
        <w:rPr/>
        <w:t>他变动，调整长期股权投资的账面价值并计入所有者权益。</w:t>
      </w:r>
    </w:p>
    <w:p>
      <w:pPr>
        <w:pStyle w:val="BodyText"/>
        <w:spacing w:line="429" w:lineRule="auto" w:before="48"/>
        <w:ind w:right="1136" w:firstLine="401"/>
        <w:jc w:val="both"/>
      </w:pPr>
      <w:r>
        <w:rPr/>
        <w:t>在确认应享有被投资单位净损益的份额时，以取得投资时被投资单位可辨认净资产的公允价值为基础，并</w:t>
      </w:r>
      <w:r>
        <w:rPr>
          <w:w w:val="99"/>
        </w:rPr>
        <w:t> </w:t>
      </w:r>
      <w:r>
        <w:rPr/>
        <w:t>按照公司的会计政策及会计期间，对被投资单位的净利润进行调整后确认。在持有投资期间，被投资单位编制</w:t>
      </w:r>
      <w:r>
        <w:rPr>
          <w:spacing w:val="-71"/>
        </w:rPr>
        <w:t> </w:t>
      </w:r>
      <w:r>
        <w:rPr>
          <w:spacing w:val="-71"/>
        </w:rPr>
      </w:r>
      <w:r>
        <w:rPr/>
        <w:t>合并财务报表的，以合并财务报表中的净利润、其他综合收益和其他所有者权益变动中归属于被投资单位的金</w:t>
      </w:r>
      <w:r>
        <w:rPr>
          <w:spacing w:val="-77"/>
        </w:rPr>
        <w:t> </w:t>
      </w:r>
      <w:r>
        <w:rPr>
          <w:spacing w:val="-77"/>
        </w:rPr>
      </w:r>
      <w:r>
        <w:rPr/>
        <w:t>额为基础进行核算。</w:t>
      </w:r>
    </w:p>
    <w:p>
      <w:pPr>
        <w:pStyle w:val="BodyText"/>
        <w:spacing w:line="429" w:lineRule="auto" w:before="48"/>
        <w:ind w:right="1141" w:firstLine="401"/>
        <w:jc w:val="both"/>
      </w:pPr>
      <w:r>
        <w:rPr/>
        <w:t>公司与联营企业、合营企业之间发生的未实现内部交易损益按照应享有的比例计算归属于公司的部分，予</w:t>
      </w:r>
      <w:r>
        <w:rPr>
          <w:w w:val="99"/>
        </w:rPr>
        <w:t> </w:t>
      </w:r>
      <w:r>
        <w:rPr/>
        <w:t>以抵销，在此基础上确认投资收益。与被投资单位发生的未实现内部交易损失，属于资产减值损失的，全额确</w:t>
      </w:r>
    </w:p>
    <w:p>
      <w:pPr>
        <w:spacing w:after="0" w:line="429"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29" w:lineRule="auto"/>
        <w:ind w:right="1133"/>
        <w:jc w:val="both"/>
      </w:pPr>
      <w:r>
        <w:rPr/>
        <w:t>认。公司与联营企业、合营企业之间发生投出或出售资产的交易，该资产构成业务的，按照本附注“五、</w:t>
      </w:r>
      <w:r>
        <w:rPr>
          <w:rFonts w:ascii="宋体" w:hAnsi="宋体" w:cs="宋体" w:eastAsia="宋体" w:hint="default"/>
        </w:rPr>
        <w:t>5.</w:t>
      </w:r>
      <w:r>
        <w:rPr/>
        <w:t>同</w:t>
      </w:r>
      <w:r>
        <w:rPr>
          <w:spacing w:val="-70"/>
        </w:rPr>
        <w:t> </w:t>
      </w:r>
      <w:r>
        <w:rPr/>
        <w:t>一控制下和非同一控制下企业合并的会计处理方法”和“五、</w:t>
      </w:r>
      <w:r>
        <w:rPr>
          <w:rFonts w:ascii="宋体" w:hAnsi="宋体" w:cs="宋体" w:eastAsia="宋体" w:hint="default"/>
        </w:rPr>
        <w:t>6.</w:t>
      </w:r>
      <w:r>
        <w:rPr/>
        <w:t>合并财务报表的编制方法”中披露的相关政策</w:t>
      </w:r>
      <w:r>
        <w:rPr>
          <w:spacing w:val="-72"/>
        </w:rPr>
        <w:t> </w:t>
      </w:r>
      <w:r>
        <w:rPr>
          <w:spacing w:val="-72"/>
        </w:rPr>
      </w:r>
      <w:r>
        <w:rPr/>
        <w:t>进行会计处理。</w:t>
      </w:r>
    </w:p>
    <w:p>
      <w:pPr>
        <w:pStyle w:val="BodyText"/>
        <w:spacing w:line="429" w:lineRule="auto" w:before="48"/>
        <w:ind w:right="1141" w:firstLine="401"/>
        <w:jc w:val="both"/>
      </w:pPr>
      <w:r>
        <w:rPr/>
        <w:t>在公司确认应分担被投资单位发生的亏损时，按照以下顺序进行处理：首先，冲减长期股权投资的账面价</w:t>
      </w:r>
      <w:r>
        <w:rPr>
          <w:w w:val="99"/>
        </w:rPr>
        <w:t> </w:t>
      </w:r>
      <w:r>
        <w:rPr/>
        <w:t>值。其次，长期股权投资的账面价值不足以冲减的，以其他实质上构成对被投资单位净投资的长期权益账面价</w:t>
      </w:r>
      <w:r>
        <w:rPr>
          <w:spacing w:val="-77"/>
        </w:rPr>
        <w:t> </w:t>
      </w:r>
      <w:r>
        <w:rPr>
          <w:spacing w:val="-77"/>
        </w:rPr>
      </w:r>
      <w:r>
        <w:rPr/>
        <w:t>值为限继续确认投资损失，冲减长期应收项目等的账面价值。最后，经过上述处理，按照投资合同或协议约定</w:t>
      </w:r>
      <w:r>
        <w:rPr>
          <w:spacing w:val="-77"/>
        </w:rPr>
        <w:t> </w:t>
      </w:r>
      <w:r>
        <w:rPr>
          <w:spacing w:val="-77"/>
        </w:rPr>
      </w:r>
      <w:r>
        <w:rPr/>
        <w:t>企业仍承担额外义务的，按预计承担的义务确认预计负债，计入当期投资损失。</w:t>
      </w:r>
    </w:p>
    <w:p>
      <w:pPr>
        <w:pStyle w:val="BodyText"/>
        <w:spacing w:line="429" w:lineRule="auto" w:before="48"/>
        <w:ind w:left="554" w:right="3752"/>
        <w:jc w:val="left"/>
      </w:pPr>
      <w:r>
        <w:rPr/>
        <w:t>③长期股权投资的处置</w:t>
      </w:r>
      <w:r>
        <w:rPr>
          <w:w w:val="99"/>
        </w:rPr>
        <w:t> </w:t>
      </w:r>
      <w:r>
        <w:rPr>
          <w:w w:val="95"/>
        </w:rPr>
        <w:t>处置长期股权投资，其账面价值与实际取得价款的差额，计入当期损益。</w:t>
      </w:r>
      <w:r>
        <w:rPr/>
      </w:r>
    </w:p>
    <w:p>
      <w:pPr>
        <w:pStyle w:val="BodyText"/>
        <w:spacing w:line="429" w:lineRule="auto" w:before="48"/>
        <w:ind w:right="1138" w:firstLine="401"/>
        <w:jc w:val="both"/>
      </w:pPr>
      <w:r>
        <w:rPr/>
        <w:t>采用权益法核算的长期股权投资，在处置该项投资时，采用与被投资单位直接处置相关资产或负债相同的</w:t>
      </w:r>
      <w:r>
        <w:rPr>
          <w:w w:val="99"/>
        </w:rPr>
        <w:t> </w:t>
      </w:r>
      <w:r>
        <w:rPr/>
        <w:t>基础，按相应比例对原计入其他综合收益的部分进行会计处理。因被投资单位除净损益、其他综合收益和利润</w:t>
      </w:r>
      <w:r>
        <w:rPr>
          <w:spacing w:val="-77"/>
        </w:rPr>
        <w:t> </w:t>
      </w:r>
      <w:r>
        <w:rPr>
          <w:spacing w:val="-77"/>
        </w:rPr>
      </w:r>
      <w:r>
        <w:rPr/>
        <w:t>分配以外的其他所有者权益变动而确认的所有者权益，按比例结转入当期损益，由于被投资方重新计量设定受</w:t>
      </w:r>
      <w:r>
        <w:rPr>
          <w:spacing w:val="-77"/>
        </w:rPr>
        <w:t> </w:t>
      </w:r>
      <w:r>
        <w:rPr>
          <w:spacing w:val="-77"/>
        </w:rPr>
      </w:r>
      <w:r>
        <w:rPr/>
        <w:t>益计划净负债或净资产变动而产生的其他综合收益除外。</w:t>
      </w:r>
    </w:p>
    <w:p>
      <w:pPr>
        <w:pStyle w:val="BodyText"/>
        <w:spacing w:line="429" w:lineRule="auto" w:before="48"/>
        <w:ind w:right="1140" w:firstLine="401"/>
        <w:jc w:val="right"/>
      </w:pPr>
      <w:r>
        <w:rPr/>
        <w:t>因处置部分股权投资等原因丧失了对被投资单位的共同控制或重大影响的，处置后的剩余股权改按金融工</w:t>
      </w:r>
      <w:r>
        <w:rPr>
          <w:w w:val="99"/>
        </w:rPr>
        <w:t> </w:t>
      </w:r>
      <w:r>
        <w:rPr>
          <w:w w:val="95"/>
        </w:rPr>
        <w:t>具确认和计量准则核算，其在丧失共同控制或重大影响之日的公允价值与账面价值之间的差额计入当期损益。</w:t>
      </w:r>
      <w:r>
        <w:rPr>
          <w:spacing w:val="44"/>
          <w:w w:val="95"/>
        </w:rPr>
        <w:t> </w:t>
      </w:r>
      <w:r>
        <w:rPr>
          <w:spacing w:val="44"/>
          <w:w w:val="95"/>
        </w:rPr>
      </w:r>
      <w:r>
        <w:rPr/>
        <w:t>原股权投资因采用权益法核算而确认的其他综合收益，在终止采用权益法核算时采用与被投资单位直接处</w:t>
      </w:r>
      <w:r>
        <w:rPr>
          <w:w w:val="99"/>
        </w:rPr>
        <w:t> </w:t>
      </w:r>
      <w:r>
        <w:rPr/>
        <w:t>置相关资产或负债相同的基础进行会计处理。因被投资方除净损益、其他综合收益和利润分配以外的其他所有</w:t>
      </w:r>
    </w:p>
    <w:p>
      <w:pPr>
        <w:pStyle w:val="BodyText"/>
        <w:spacing w:line="429" w:lineRule="auto" w:before="48"/>
        <w:ind w:left="554" w:right="1133" w:hanging="402"/>
        <w:jc w:val="left"/>
      </w:pPr>
      <w:r>
        <w:rPr/>
        <w:t>者权益变动而确认的所有者权益，在终止采用权益法核算时全部转入当期损益。</w:t>
      </w:r>
      <w:r>
        <w:rPr>
          <w:w w:val="99"/>
        </w:rPr>
        <w:t> </w:t>
      </w:r>
      <w:r>
        <w:rPr/>
        <w:t>因处置部分股权投资、因其他投资方对子公司增资而导致本公司持股比例下降等原因丧失了对被投资单位</w:t>
      </w:r>
    </w:p>
    <w:p>
      <w:pPr>
        <w:pStyle w:val="BodyText"/>
        <w:spacing w:line="429" w:lineRule="auto" w:before="48"/>
        <w:ind w:right="1133"/>
        <w:jc w:val="left"/>
      </w:pPr>
      <w:r>
        <w:rPr>
          <w:spacing w:val="-1"/>
          <w:w w:val="95"/>
        </w:rPr>
        <w:t>控制权的，在编制个别财务报表时，剩余股权能够对被投资单位实施共同控制或重大影响的，改按权益法核算，</w:t>
      </w:r>
      <w:r>
        <w:rPr>
          <w:spacing w:val="85"/>
          <w:w w:val="95"/>
        </w:rPr>
        <w:t> </w:t>
      </w:r>
      <w:r>
        <w:rPr>
          <w:spacing w:val="85"/>
          <w:w w:val="95"/>
        </w:rPr>
      </w:r>
      <w:r>
        <w:rPr/>
        <w:t>并对该剩余股权视同自取得时即采用权益法核算进行调整；剩余股权不能对被投资单位实施共同控制或施加重</w:t>
      </w:r>
      <w:r>
        <w:rPr>
          <w:spacing w:val="-69"/>
        </w:rPr>
        <w:t> </w:t>
      </w:r>
      <w:r>
        <w:rPr>
          <w:spacing w:val="-69"/>
        </w:rPr>
      </w:r>
      <w:r>
        <w:rPr/>
        <w:t>大影响的，改按金融工具确认和计量准则的有关规定进行会计处理，其在丧失控制之日的公允价值与账面价值</w:t>
      </w:r>
      <w:r>
        <w:rPr>
          <w:spacing w:val="-77"/>
        </w:rPr>
        <w:t> </w:t>
      </w:r>
      <w:r>
        <w:rPr>
          <w:spacing w:val="-77"/>
        </w:rPr>
      </w:r>
      <w:r>
        <w:rPr/>
        <w:t>间的差额计入当期损益。</w:t>
      </w:r>
    </w:p>
    <w:p>
      <w:pPr>
        <w:pStyle w:val="BodyText"/>
        <w:spacing w:line="429" w:lineRule="auto" w:before="49"/>
        <w:ind w:right="1141" w:firstLine="401"/>
        <w:jc w:val="both"/>
      </w:pPr>
      <w:r>
        <w:rPr/>
        <w:t>处置的股权是因追加投资等原因通过企业合并取得的，在编制个别财务报表时，处置后的剩余股权采用成</w:t>
      </w:r>
      <w:r>
        <w:rPr>
          <w:w w:val="99"/>
        </w:rPr>
        <w:t> </w:t>
      </w:r>
      <w:r>
        <w:rPr/>
        <w:t>本法或权益法核算的，购买日之前持有的股权投资因采用权益法核算而确认的其他综合收益和其他所有者权益</w:t>
      </w:r>
      <w:r>
        <w:rPr>
          <w:spacing w:val="-77"/>
        </w:rPr>
        <w:t> </w:t>
      </w:r>
      <w:r>
        <w:rPr>
          <w:spacing w:val="-77"/>
        </w:rPr>
      </w:r>
      <w:r>
        <w:rPr/>
        <w:t>按比例结转；处置后的剩余股权改按金融工具确认和计量准则进行会计处理的，其他综合收益和其他所有者权</w:t>
      </w:r>
      <w:r>
        <w:rPr>
          <w:spacing w:val="-77"/>
        </w:rPr>
        <w:t> </w:t>
      </w:r>
      <w:r>
        <w:rPr>
          <w:spacing w:val="-77"/>
        </w:rPr>
      </w:r>
      <w:r>
        <w:rPr/>
        <w:t>益全部结转。</w:t>
      </w:r>
    </w:p>
    <w:p>
      <w:pPr>
        <w:spacing w:line="240" w:lineRule="auto" w:before="3"/>
        <w:rPr>
          <w:rFonts w:ascii="宋体" w:hAnsi="宋体" w:cs="宋体" w:eastAsia="宋体" w:hint="default"/>
          <w:sz w:val="20"/>
          <w:szCs w:val="20"/>
        </w:rPr>
      </w:pPr>
    </w:p>
    <w:p>
      <w:pPr>
        <w:pStyle w:val="Heading3"/>
        <w:spacing w:line="240" w:lineRule="auto"/>
        <w:ind w:right="1133"/>
        <w:jc w:val="left"/>
        <w:rPr>
          <w:b w:val="0"/>
          <w:bCs w:val="0"/>
        </w:rPr>
      </w:pPr>
      <w:bookmarkStart w:name="17、投资性房地产" w:id="187"/>
      <w:bookmarkEnd w:id="187"/>
      <w:r>
        <w:rPr>
          <w:b w:val="0"/>
          <w:bCs w:val="0"/>
        </w:rPr>
      </w:r>
      <w:r>
        <w:rPr>
          <w:rFonts w:ascii="Times New Roman" w:hAnsi="Times New Roman" w:cs="Times New Roman" w:eastAsia="Times New Roman" w:hint="default"/>
        </w:rPr>
        <w:t>17</w:t>
      </w:r>
      <w:r>
        <w:rPr/>
        <w:t>、投资性房地产</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133"/>
        <w:jc w:val="left"/>
      </w:pPr>
      <w:r>
        <w:rPr/>
        <w:t>投资性房地产计量模式</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5"/>
          <w:szCs w:val="25"/>
        </w:rPr>
      </w:pPr>
    </w:p>
    <w:p>
      <w:pPr>
        <w:pStyle w:val="BodyText"/>
        <w:spacing w:line="324" w:lineRule="auto" w:before="37"/>
        <w:ind w:right="9354"/>
        <w:jc w:val="left"/>
      </w:pPr>
      <w:r>
        <w:rPr/>
        <w:t>成本法计量</w:t>
      </w:r>
      <w:r>
        <w:rPr>
          <w:w w:val="99"/>
        </w:rPr>
        <w:t> </w:t>
      </w:r>
      <w:r>
        <w:rPr/>
        <w:t>折旧或摊销方法</w:t>
      </w:r>
    </w:p>
    <w:p>
      <w:pPr>
        <w:pStyle w:val="BodyText"/>
        <w:spacing w:line="429" w:lineRule="auto" w:before="98"/>
        <w:ind w:right="1140" w:firstLine="401"/>
        <w:jc w:val="both"/>
      </w:pPr>
      <w:r>
        <w:rPr/>
        <w:t>投资性房地产是指为赚取租金或资本增值，或两者兼有而持有的房地产，包括已出租的土地使用权、持有</w:t>
      </w:r>
      <w:r>
        <w:rPr>
          <w:w w:val="99"/>
        </w:rPr>
        <w:t> </w:t>
      </w:r>
      <w:r>
        <w:rPr/>
        <w:t>并准备增值后转让的土地使用权、已出租的建筑物（含自行建造或开发活动完成后用于出租的建筑物以及正在</w:t>
      </w:r>
      <w:r>
        <w:rPr>
          <w:spacing w:val="-77"/>
        </w:rPr>
        <w:t> </w:t>
      </w:r>
      <w:r>
        <w:rPr>
          <w:spacing w:val="-77"/>
        </w:rPr>
      </w:r>
      <w:r>
        <w:rPr/>
        <w:t>建造或开发过程中将来用于出租的建筑物）。</w:t>
      </w:r>
    </w:p>
    <w:p>
      <w:pPr>
        <w:pStyle w:val="BodyText"/>
        <w:spacing w:line="429" w:lineRule="auto" w:before="48"/>
        <w:ind w:right="1133" w:firstLine="401"/>
        <w:jc w:val="left"/>
      </w:pPr>
      <w:r>
        <w:rPr/>
        <w:t>本公司对现有投资性房地产采用成本模式计量。对按照成本模式计量的投资性房地产－出租用建筑物采用</w:t>
      </w:r>
      <w:r>
        <w:rPr>
          <w:w w:val="99"/>
        </w:rPr>
        <w:t> </w:t>
      </w:r>
      <w:r>
        <w:rPr/>
        <w:t>与本公司固定资产相同的折旧政策，出租用土地使用权按与无形资产相同的摊销政策执行。</w:t>
      </w:r>
    </w:p>
    <w:p>
      <w:pPr>
        <w:spacing w:line="240" w:lineRule="auto" w:before="3"/>
        <w:rPr>
          <w:rFonts w:ascii="宋体" w:hAnsi="宋体" w:cs="宋体" w:eastAsia="宋体" w:hint="default"/>
          <w:sz w:val="20"/>
          <w:szCs w:val="20"/>
        </w:rPr>
      </w:pPr>
    </w:p>
    <w:p>
      <w:pPr>
        <w:pStyle w:val="Heading3"/>
        <w:spacing w:line="240" w:lineRule="auto"/>
        <w:ind w:right="1133"/>
        <w:jc w:val="left"/>
        <w:rPr>
          <w:b w:val="0"/>
          <w:bCs w:val="0"/>
        </w:rPr>
      </w:pPr>
      <w:bookmarkStart w:name="18、固定资产" w:id="188"/>
      <w:bookmarkEnd w:id="188"/>
      <w:r>
        <w:rPr>
          <w:b w:val="0"/>
          <w:bCs w:val="0"/>
        </w:rPr>
      </w:r>
      <w:r>
        <w:rPr>
          <w:rFonts w:ascii="Times New Roman" w:hAnsi="Times New Roman" w:cs="Times New Roman" w:eastAsia="Times New Roman" w:hint="default"/>
        </w:rPr>
        <w:t>18</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确认条件" w:id="189"/>
      <w:bookmarkEnd w:id="189"/>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12"/>
        <w:rPr>
          <w:rFonts w:ascii="宋体" w:hAnsi="宋体" w:cs="宋体" w:eastAsia="宋体" w:hint="default"/>
          <w:b/>
          <w:bCs/>
          <w:sz w:val="30"/>
          <w:szCs w:val="30"/>
        </w:rPr>
      </w:pPr>
    </w:p>
    <w:p>
      <w:pPr>
        <w:pStyle w:val="BodyText"/>
        <w:spacing w:line="429" w:lineRule="auto"/>
        <w:ind w:right="1133" w:firstLine="401"/>
        <w:jc w:val="left"/>
      </w:pPr>
      <w:r>
        <w:rPr>
          <w:spacing w:val="-1"/>
          <w:w w:val="95"/>
        </w:rPr>
        <w:t>固定资产指为生产商品、提供劳务、出租或经营管理而持有，并且使用寿命超过一个会计年度的有形资产。</w:t>
      </w:r>
      <w:r>
        <w:rPr>
          <w:spacing w:val="-50"/>
          <w:w w:val="95"/>
        </w:rPr>
        <w:t> </w:t>
      </w:r>
      <w:r>
        <w:rPr>
          <w:spacing w:val="-50"/>
          <w:w w:val="95"/>
        </w:rPr>
      </w:r>
      <w:r>
        <w:rPr/>
        <w:t>固定资产在同时满足下列条件时予以确认：①与该固定资产有关的经济利益很可能流入企业；②该固定资产的</w:t>
      </w:r>
      <w:r>
        <w:rPr>
          <w:spacing w:val="-77"/>
        </w:rPr>
        <w:t> </w:t>
      </w:r>
      <w:r>
        <w:rPr>
          <w:spacing w:val="-77"/>
        </w:rPr>
      </w:r>
      <w:r>
        <w:rPr/>
        <w:t>成本能够可靠地计量。</w:t>
      </w:r>
    </w:p>
    <w:p>
      <w:pPr>
        <w:spacing w:line="240" w:lineRule="auto" w:before="3"/>
        <w:rPr>
          <w:rFonts w:ascii="宋体" w:hAnsi="宋体" w:cs="宋体" w:eastAsia="宋体" w:hint="default"/>
          <w:sz w:val="20"/>
          <w:szCs w:val="20"/>
        </w:rPr>
      </w:pPr>
    </w:p>
    <w:p>
      <w:pPr>
        <w:pStyle w:val="Heading3"/>
        <w:spacing w:line="240" w:lineRule="auto"/>
        <w:ind w:right="1133"/>
        <w:jc w:val="left"/>
        <w:rPr>
          <w:b w:val="0"/>
          <w:bCs w:val="0"/>
        </w:rPr>
      </w:pPr>
      <w:bookmarkStart w:name="（2）折旧方法" w:id="190"/>
      <w:bookmarkEnd w:id="190"/>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20-50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1.9-4.75%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w:t>
            </w:r>
          </w:p>
        </w:tc>
      </w:tr>
    </w:tbl>
    <w:p>
      <w:pPr>
        <w:pStyle w:val="BodyText"/>
        <w:spacing w:line="429" w:lineRule="auto" w:before="71"/>
        <w:ind w:right="1137" w:firstLine="401"/>
        <w:jc w:val="both"/>
      </w:pPr>
      <w:r>
        <w:rPr/>
        <w:t>固定资产折旧采用年限平均法分类计提，根据固定资产类别、预计使用寿命和预计净残值率确定折旧率。</w:t>
      </w:r>
      <w:r>
        <w:rPr>
          <w:w w:val="99"/>
        </w:rPr>
        <w:t> </w:t>
      </w:r>
      <w:r>
        <w:rPr/>
        <w:t>如固定资产各组成部分的使用寿命不同或者以不同方式为企业提供经济利益，则选择不同折旧率或折旧方法，</w:t>
      </w:r>
      <w:r>
        <w:rPr>
          <w:spacing w:val="-73"/>
        </w:rPr>
        <w:t> </w:t>
      </w:r>
      <w:r>
        <w:rPr>
          <w:spacing w:val="-73"/>
        </w:rPr>
      </w:r>
      <w:r>
        <w:rPr/>
        <w:t>分别计提折旧。</w:t>
      </w:r>
    </w:p>
    <w:p>
      <w:pPr>
        <w:pStyle w:val="BodyText"/>
        <w:spacing w:line="429" w:lineRule="auto" w:before="48"/>
        <w:ind w:right="1141" w:firstLine="401"/>
        <w:jc w:val="both"/>
      </w:pPr>
      <w:r>
        <w:rPr/>
        <w:t>融资租赁方式租入的固定资产，能合理确定租赁期届满时将会取得租赁资产所有权的，在租赁资产尚可使</w:t>
      </w:r>
      <w:r>
        <w:rPr>
          <w:w w:val="99"/>
        </w:rPr>
        <w:t> </w:t>
      </w:r>
      <w:r>
        <w:rPr/>
        <w:t>用年限内计提折旧；无法合理确定租赁期届满时能够取得租赁资产所有权的，在租赁期与租赁资产尚可使用年</w:t>
      </w:r>
      <w:r>
        <w:rPr>
          <w:spacing w:val="-77"/>
        </w:rPr>
        <w:t> </w:t>
      </w:r>
      <w:r>
        <w:rPr>
          <w:spacing w:val="-77"/>
        </w:rPr>
      </w:r>
      <w:r>
        <w:rPr/>
        <w:t>限两者中较短的期间内计提折旧。</w:t>
      </w:r>
    </w:p>
    <w:p>
      <w:pPr>
        <w:spacing w:line="240" w:lineRule="auto" w:before="3"/>
        <w:rPr>
          <w:rFonts w:ascii="宋体" w:hAnsi="宋体" w:cs="宋体" w:eastAsia="宋体" w:hint="default"/>
          <w:sz w:val="20"/>
          <w:szCs w:val="20"/>
        </w:rPr>
      </w:pPr>
    </w:p>
    <w:p>
      <w:pPr>
        <w:pStyle w:val="Heading3"/>
        <w:spacing w:line="240" w:lineRule="auto"/>
        <w:ind w:right="1133"/>
        <w:jc w:val="left"/>
        <w:rPr>
          <w:b w:val="0"/>
          <w:bCs w:val="0"/>
        </w:rPr>
      </w:pPr>
      <w:bookmarkStart w:name="（3）融资租入固定资产的认定依据、计价和折旧方法" w:id="191"/>
      <w:bookmarkEnd w:id="191"/>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12"/>
        <w:rPr>
          <w:rFonts w:ascii="宋体" w:hAnsi="宋体" w:cs="宋体" w:eastAsia="宋体" w:hint="default"/>
          <w:b/>
          <w:bCs/>
          <w:sz w:val="30"/>
          <w:szCs w:val="30"/>
        </w:rPr>
      </w:pPr>
    </w:p>
    <w:p>
      <w:pPr>
        <w:pStyle w:val="BodyText"/>
        <w:spacing w:line="429" w:lineRule="auto"/>
        <w:ind w:right="982" w:firstLine="401"/>
        <w:jc w:val="left"/>
      </w:pPr>
      <w:r>
        <w:rPr/>
        <w:t>公司与租赁方所签订的租赁协议条款中规定了下列条件之一的，确认为融资租入资产：</w:t>
      </w:r>
      <w:r>
        <w:rPr>
          <w:rFonts w:ascii="宋体" w:hAnsi="宋体" w:cs="宋体" w:eastAsia="宋体" w:hint="default"/>
        </w:rPr>
        <w:t>1</w:t>
      </w:r>
      <w:r>
        <w:rPr/>
        <w:t>）租赁期满后租赁</w:t>
      </w:r>
      <w:r>
        <w:rPr>
          <w:w w:val="99"/>
        </w:rPr>
        <w:t> </w:t>
      </w:r>
      <w:r>
        <w:rPr>
          <w:spacing w:val="-3"/>
          <w:w w:val="95"/>
        </w:rPr>
        <w:t>资产的所有权归属于本公司；</w:t>
      </w:r>
      <w:r>
        <w:rPr>
          <w:rFonts w:ascii="宋体" w:hAnsi="宋体" w:cs="宋体" w:eastAsia="宋体" w:hint="default"/>
          <w:spacing w:val="-3"/>
          <w:w w:val="95"/>
        </w:rPr>
        <w:t>2</w:t>
      </w:r>
      <w:r>
        <w:rPr>
          <w:spacing w:val="-3"/>
          <w:w w:val="95"/>
        </w:rPr>
        <w:t>）公司具有购买资产的选择权，购买价款远低于行使选择权时该资产的公允价值；</w:t>
      </w:r>
      <w:r>
        <w:rPr>
          <w:spacing w:val="17"/>
          <w:w w:val="95"/>
        </w:rPr>
        <w:t> </w:t>
      </w:r>
      <w:r>
        <w:rPr>
          <w:spacing w:val="17"/>
          <w:w w:val="95"/>
        </w:rPr>
      </w:r>
      <w:r>
        <w:rPr>
          <w:rFonts w:ascii="宋体" w:hAnsi="宋体" w:cs="宋体" w:eastAsia="宋体" w:hint="default"/>
        </w:rPr>
        <w:t>3</w:t>
      </w:r>
      <w:r>
        <w:rPr/>
        <w:t>）租赁期占所租赁资产使用寿命的大部分；</w:t>
      </w:r>
      <w:r>
        <w:rPr>
          <w:rFonts w:ascii="宋体" w:hAnsi="宋体" w:cs="宋体" w:eastAsia="宋体" w:hint="default"/>
        </w:rPr>
        <w:t>4</w:t>
      </w:r>
      <w:r>
        <w:rPr/>
        <w:t>）租赁开始日的最低租赁付款额现值，与该资产的公允价值不存</w:t>
      </w:r>
    </w:p>
    <w:p>
      <w:pPr>
        <w:spacing w:after="0" w:line="429"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29" w:lineRule="auto"/>
        <w:ind w:right="1133"/>
        <w:jc w:val="left"/>
      </w:pPr>
      <w:r>
        <w:rPr/>
        <w:t>在较大的差异。公司在承租开始日，将租赁资产公允价值与最低租赁付款额现值两者中较低者作为租入资产的</w:t>
      </w:r>
      <w:r>
        <w:rPr>
          <w:spacing w:val="-77"/>
        </w:rPr>
        <w:t> </w:t>
      </w:r>
      <w:r>
        <w:rPr>
          <w:spacing w:val="-77"/>
        </w:rPr>
      </w:r>
      <w:r>
        <w:rPr/>
        <w:t>入账价值，将最低租赁付款额作为长期应付款的入账价值，其差额作为未确认的融资费。</w:t>
      </w:r>
    </w:p>
    <w:p>
      <w:pPr>
        <w:spacing w:line="240" w:lineRule="auto" w:before="3"/>
        <w:rPr>
          <w:rFonts w:ascii="宋体" w:hAnsi="宋体" w:cs="宋体" w:eastAsia="宋体" w:hint="default"/>
          <w:sz w:val="20"/>
          <w:szCs w:val="20"/>
        </w:rPr>
      </w:pPr>
    </w:p>
    <w:p>
      <w:pPr>
        <w:pStyle w:val="Heading3"/>
        <w:spacing w:line="240" w:lineRule="auto"/>
        <w:ind w:right="1133"/>
        <w:jc w:val="left"/>
        <w:rPr>
          <w:b w:val="0"/>
          <w:bCs w:val="0"/>
        </w:rPr>
      </w:pPr>
      <w:bookmarkStart w:name="19、在建工程" w:id="192"/>
      <w:bookmarkEnd w:id="192"/>
      <w:r>
        <w:rPr>
          <w:b w:val="0"/>
          <w:bCs w:val="0"/>
        </w:rPr>
      </w:r>
      <w:r>
        <w:rPr>
          <w:rFonts w:ascii="Times New Roman" w:hAnsi="Times New Roman" w:cs="Times New Roman" w:eastAsia="Times New Roman" w:hint="default"/>
        </w:rPr>
        <w:t>19</w:t>
      </w:r>
      <w:r>
        <w:rPr/>
        <w:t>、在建工程</w:t>
      </w:r>
      <w:r>
        <w:rPr>
          <w:b w:val="0"/>
          <w:bCs w:val="0"/>
        </w:rPr>
      </w:r>
    </w:p>
    <w:p>
      <w:pPr>
        <w:spacing w:line="240" w:lineRule="auto" w:before="2"/>
        <w:rPr>
          <w:rFonts w:ascii="宋体" w:hAnsi="宋体" w:cs="宋体" w:eastAsia="宋体" w:hint="default"/>
          <w:b/>
          <w:bCs/>
          <w:sz w:val="31"/>
          <w:szCs w:val="31"/>
        </w:rPr>
      </w:pPr>
    </w:p>
    <w:p>
      <w:pPr>
        <w:pStyle w:val="BodyText"/>
        <w:spacing w:line="429" w:lineRule="auto"/>
        <w:ind w:right="1140" w:firstLine="401"/>
        <w:jc w:val="both"/>
      </w:pPr>
      <w:r>
        <w:rPr/>
        <w:t>在建工程项目按建造该项资产达到预定可使用状态前所发生的必要支出，作为固定资产的入账价值。所建</w:t>
      </w:r>
      <w:r>
        <w:rPr>
          <w:w w:val="99"/>
        </w:rPr>
        <w:t> </w:t>
      </w:r>
      <w:r>
        <w:rPr/>
        <w:t>造的固定资产在工程已达到预定可使用状态，但尚未办理竣工决算的，自达到预定可使用状态之日起，根据工</w:t>
      </w:r>
      <w:r>
        <w:rPr>
          <w:spacing w:val="-77"/>
        </w:rPr>
        <w:t> </w:t>
      </w:r>
      <w:r>
        <w:rPr>
          <w:spacing w:val="-77"/>
        </w:rPr>
      </w:r>
      <w:r>
        <w:rPr/>
        <w:t>程预算、造价或者工程实际成本等，按估计的价值转入固定资产，并按本公司固定资产折旧政策计提固定资产</w:t>
      </w:r>
      <w:r>
        <w:rPr>
          <w:spacing w:val="-76"/>
        </w:rPr>
        <w:t> </w:t>
      </w:r>
      <w:r>
        <w:rPr>
          <w:spacing w:val="-76"/>
        </w:rPr>
      </w:r>
      <w:r>
        <w:rPr/>
        <w:t>的折旧，待办理竣工决算后，再按实际成本调整原来的暂估价值，但不调整原已计提的折旧额。</w:t>
      </w:r>
    </w:p>
    <w:p>
      <w:pPr>
        <w:spacing w:line="240" w:lineRule="auto" w:before="3"/>
        <w:rPr>
          <w:rFonts w:ascii="宋体" w:hAnsi="宋体" w:cs="宋体" w:eastAsia="宋体" w:hint="default"/>
          <w:sz w:val="20"/>
          <w:szCs w:val="20"/>
        </w:rPr>
      </w:pPr>
    </w:p>
    <w:p>
      <w:pPr>
        <w:pStyle w:val="Heading3"/>
        <w:spacing w:line="240" w:lineRule="auto"/>
        <w:ind w:right="1133"/>
        <w:jc w:val="left"/>
        <w:rPr>
          <w:b w:val="0"/>
          <w:bCs w:val="0"/>
        </w:rPr>
      </w:pPr>
      <w:bookmarkStart w:name="20、借款费用" w:id="193"/>
      <w:bookmarkEnd w:id="193"/>
      <w:r>
        <w:rPr>
          <w:b w:val="0"/>
          <w:bCs w:val="0"/>
        </w:rPr>
      </w:r>
      <w:r>
        <w:rPr>
          <w:rFonts w:ascii="Times New Roman" w:hAnsi="Times New Roman" w:cs="Times New Roman" w:eastAsia="Times New Roman" w:hint="default"/>
        </w:rPr>
        <w:t>20</w:t>
      </w:r>
      <w:r>
        <w:rPr/>
        <w:t>、借款费用</w:t>
      </w:r>
      <w:r>
        <w:rPr>
          <w:b w:val="0"/>
          <w:bCs w:val="0"/>
        </w:rPr>
      </w:r>
    </w:p>
    <w:p>
      <w:pPr>
        <w:spacing w:line="240" w:lineRule="auto" w:before="12"/>
        <w:rPr>
          <w:rFonts w:ascii="宋体" w:hAnsi="宋体" w:cs="宋体" w:eastAsia="宋体" w:hint="default"/>
          <w:b/>
          <w:bCs/>
          <w:sz w:val="30"/>
          <w:szCs w:val="30"/>
        </w:rPr>
      </w:pPr>
    </w:p>
    <w:p>
      <w:pPr>
        <w:pStyle w:val="BodyText"/>
        <w:spacing w:line="429" w:lineRule="auto"/>
        <w:ind w:left="554" w:right="1133"/>
        <w:jc w:val="left"/>
      </w:pPr>
      <w:r>
        <w:rPr/>
        <w:t>（</w:t>
      </w:r>
      <w:r>
        <w:rPr>
          <w:rFonts w:ascii="宋体" w:hAnsi="宋体" w:cs="宋体" w:eastAsia="宋体" w:hint="default"/>
        </w:rPr>
        <w:t>1</w:t>
      </w:r>
      <w:r>
        <w:rPr/>
        <w:t>）借款费用资本化的确认原则</w:t>
      </w:r>
      <w:r>
        <w:rPr>
          <w:w w:val="99"/>
        </w:rPr>
        <w:t> </w:t>
      </w:r>
      <w:r>
        <w:rPr/>
        <w:t>借款费用，包括借款利息、折价或者溢价的摊销、辅助费用以及因外币借款而发生的汇兑差额等。</w:t>
      </w:r>
      <w:r>
        <w:rPr>
          <w:w w:val="99"/>
        </w:rPr>
        <w:t> </w:t>
      </w:r>
      <w:r>
        <w:rPr/>
        <w:t>公司发生的借款费用，可直接归属于符合资本化条件的资产的购建或者生产的，予以资本化，计入相关资</w:t>
      </w:r>
    </w:p>
    <w:p>
      <w:pPr>
        <w:pStyle w:val="BodyText"/>
        <w:spacing w:line="429" w:lineRule="auto" w:before="48"/>
        <w:ind w:left="554" w:right="1133" w:hanging="402"/>
        <w:jc w:val="left"/>
      </w:pPr>
      <w:r>
        <w:rPr/>
        <w:t>产成本；其他借款费用，在发生时根据其发生额确认为费用，计入当期损益。</w:t>
      </w:r>
      <w:r>
        <w:rPr>
          <w:w w:val="99"/>
        </w:rPr>
        <w:t> </w:t>
      </w:r>
      <w:r>
        <w:rPr/>
        <w:t>符合资本化条件的资产，是指需要经过相当长时间的购建或者生产活动才能达到预定可使用或者可销售状</w:t>
      </w:r>
    </w:p>
    <w:p>
      <w:pPr>
        <w:pStyle w:val="BodyText"/>
        <w:spacing w:line="429" w:lineRule="auto" w:before="48"/>
        <w:ind w:left="554" w:right="5999" w:hanging="402"/>
        <w:jc w:val="left"/>
      </w:pPr>
      <w:r>
        <w:rPr/>
        <w:t>态的固定资产、投资性房地产和存货等资产。</w:t>
      </w:r>
      <w:r>
        <w:rPr>
          <w:w w:val="99"/>
        </w:rPr>
        <w:t> </w:t>
      </w:r>
      <w:r>
        <w:rPr>
          <w:w w:val="95"/>
        </w:rPr>
        <w:t>借款费用同时满足下列条件时开始资本化：</w:t>
      </w:r>
      <w:r>
        <w:rPr/>
      </w:r>
    </w:p>
    <w:p>
      <w:pPr>
        <w:pStyle w:val="BodyText"/>
        <w:spacing w:line="429" w:lineRule="auto" w:before="48"/>
        <w:ind w:right="1141" w:firstLine="401"/>
        <w:jc w:val="both"/>
      </w:pPr>
      <w:r>
        <w:rPr/>
        <w:t>①资产支出已经发生，资产支出包括为购建或者生产符合资本化条件的资产而以支付现金、转移非现金资</w:t>
      </w:r>
      <w:r>
        <w:rPr>
          <w:w w:val="99"/>
        </w:rPr>
        <w:t> </w:t>
      </w:r>
      <w:r>
        <w:rPr/>
        <w:t>产或者承担带息债务形式发生的支出；</w:t>
      </w:r>
    </w:p>
    <w:p>
      <w:pPr>
        <w:pStyle w:val="BodyText"/>
        <w:spacing w:line="240" w:lineRule="auto" w:before="48"/>
        <w:ind w:left="554" w:right="1133"/>
        <w:jc w:val="left"/>
      </w:pPr>
      <w:r>
        <w:rPr/>
        <w:t>②借款费用已经发生；</w:t>
      </w:r>
    </w:p>
    <w:p>
      <w:pPr>
        <w:spacing w:line="240" w:lineRule="auto" w:before="10"/>
        <w:rPr>
          <w:rFonts w:ascii="宋体" w:hAnsi="宋体" w:cs="宋体" w:eastAsia="宋体" w:hint="default"/>
          <w:sz w:val="15"/>
          <w:szCs w:val="15"/>
        </w:rPr>
      </w:pPr>
    </w:p>
    <w:p>
      <w:pPr>
        <w:pStyle w:val="BodyText"/>
        <w:spacing w:line="240" w:lineRule="auto"/>
        <w:ind w:left="554" w:right="1133"/>
        <w:jc w:val="left"/>
      </w:pPr>
      <w:r>
        <w:rPr/>
        <w:t>③为使资产达到预定可使用或者可销售状态所必要的购建或者生产活动已经开始。</w:t>
      </w:r>
    </w:p>
    <w:p>
      <w:pPr>
        <w:spacing w:line="240" w:lineRule="auto" w:before="10"/>
        <w:rPr>
          <w:rFonts w:ascii="宋体" w:hAnsi="宋体" w:cs="宋体" w:eastAsia="宋体" w:hint="default"/>
          <w:sz w:val="15"/>
          <w:szCs w:val="15"/>
        </w:rPr>
      </w:pPr>
    </w:p>
    <w:p>
      <w:pPr>
        <w:pStyle w:val="BodyText"/>
        <w:spacing w:line="429" w:lineRule="auto"/>
        <w:ind w:left="554" w:right="1133"/>
        <w:jc w:val="left"/>
      </w:pPr>
      <w:r>
        <w:rPr/>
        <w:t>（</w:t>
      </w:r>
      <w:r>
        <w:rPr>
          <w:rFonts w:ascii="宋体" w:hAnsi="宋体" w:cs="宋体" w:eastAsia="宋体" w:hint="default"/>
        </w:rPr>
        <w:t>2</w:t>
      </w:r>
      <w:r>
        <w:rPr/>
        <w:t>）借款费用资本化期间</w:t>
      </w:r>
      <w:r>
        <w:rPr>
          <w:w w:val="99"/>
        </w:rPr>
        <w:t> </w:t>
      </w:r>
      <w:r>
        <w:rPr/>
        <w:t>资本化期间，指从借款费用开始资本化时点到停止资本化时点的期间，借款费用暂停资本化的期间不包括</w:t>
      </w:r>
    </w:p>
    <w:p>
      <w:pPr>
        <w:pStyle w:val="BodyText"/>
        <w:spacing w:line="240" w:lineRule="auto" w:before="48"/>
        <w:ind w:right="1133"/>
        <w:jc w:val="left"/>
      </w:pPr>
      <w:r>
        <w:rPr/>
        <w:t>在内。</w:t>
      </w:r>
    </w:p>
    <w:p>
      <w:pPr>
        <w:spacing w:line="240" w:lineRule="auto" w:before="11"/>
        <w:rPr>
          <w:rFonts w:ascii="宋体" w:hAnsi="宋体" w:cs="宋体" w:eastAsia="宋体" w:hint="default"/>
          <w:sz w:val="15"/>
          <w:szCs w:val="15"/>
        </w:rPr>
      </w:pPr>
    </w:p>
    <w:p>
      <w:pPr>
        <w:pStyle w:val="BodyText"/>
        <w:spacing w:line="429" w:lineRule="auto"/>
        <w:ind w:left="554" w:right="1133"/>
        <w:jc w:val="left"/>
      </w:pPr>
      <w:r>
        <w:rPr/>
        <w:t>当购建或者生产符合资本化条件的资产达到预定可使用或者可销售状态时，借款费用停止资本化。</w:t>
      </w:r>
      <w:r>
        <w:rPr>
          <w:w w:val="99"/>
        </w:rPr>
        <w:t> </w:t>
      </w:r>
      <w:r>
        <w:rPr/>
        <w:t>当购建或者生产符合资本化条件的资产中部分项目分别完工且可单独使用时，该部分资产借款费用停止资</w:t>
      </w:r>
    </w:p>
    <w:p>
      <w:pPr>
        <w:pStyle w:val="BodyText"/>
        <w:spacing w:line="240" w:lineRule="auto" w:before="48"/>
        <w:ind w:right="1133"/>
        <w:jc w:val="left"/>
      </w:pPr>
      <w:r>
        <w:rPr/>
        <w:t>本化。</w:t>
      </w:r>
    </w:p>
    <w:p>
      <w:pPr>
        <w:spacing w:line="240" w:lineRule="auto" w:before="10"/>
        <w:rPr>
          <w:rFonts w:ascii="宋体" w:hAnsi="宋体" w:cs="宋体" w:eastAsia="宋体" w:hint="default"/>
          <w:sz w:val="15"/>
          <w:szCs w:val="15"/>
        </w:rPr>
      </w:pPr>
    </w:p>
    <w:p>
      <w:pPr>
        <w:pStyle w:val="BodyText"/>
        <w:spacing w:line="429" w:lineRule="auto"/>
        <w:ind w:right="1141" w:firstLine="401"/>
        <w:jc w:val="both"/>
      </w:pPr>
      <w:r>
        <w:rPr/>
        <w:t>购建或者生产的资产的各部分分别完工，但必须等到整体完工后才可使用或可对外销售的，在该资产整体</w:t>
      </w:r>
      <w:r>
        <w:rPr>
          <w:w w:val="99"/>
        </w:rPr>
        <w:t> </w:t>
      </w:r>
      <w:r>
        <w:rPr/>
        <w:t>完工时停止借款费用资本化。</w:t>
      </w:r>
    </w:p>
    <w:p>
      <w:pPr>
        <w:pStyle w:val="BodyText"/>
        <w:spacing w:line="240" w:lineRule="auto" w:before="48"/>
        <w:ind w:left="554" w:right="1133"/>
        <w:jc w:val="left"/>
      </w:pPr>
      <w:r>
        <w:rPr/>
        <w:t>（</w:t>
      </w:r>
      <w:r>
        <w:rPr>
          <w:rFonts w:ascii="宋体" w:hAnsi="宋体" w:cs="宋体" w:eastAsia="宋体" w:hint="default"/>
        </w:rPr>
        <w:t>3</w:t>
      </w:r>
      <w:r>
        <w:rPr/>
        <w:t>）暂停资本化期间</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29" w:lineRule="auto"/>
        <w:ind w:right="1133" w:firstLine="401"/>
        <w:jc w:val="both"/>
      </w:pPr>
      <w:r>
        <w:rPr>
          <w:spacing w:val="-1"/>
          <w:w w:val="95"/>
        </w:rPr>
        <w:t>符合资本化条件的资产在购建或生产过程中发生的非正常中断、且中断时间连续超过</w:t>
      </w:r>
      <w:r>
        <w:rPr>
          <w:rFonts w:ascii="宋体" w:hAnsi="宋体" w:cs="宋体" w:eastAsia="宋体" w:hint="default"/>
          <w:spacing w:val="-1"/>
          <w:w w:val="95"/>
        </w:rPr>
        <w:t>3</w:t>
      </w:r>
      <w:r>
        <w:rPr>
          <w:spacing w:val="-1"/>
          <w:w w:val="95"/>
        </w:rPr>
        <w:t>个月的，则借款费用</w:t>
      </w:r>
      <w:r>
        <w:rPr>
          <w:spacing w:val="-52"/>
          <w:w w:val="95"/>
        </w:rPr>
        <w:t> </w:t>
      </w:r>
      <w:r>
        <w:rPr>
          <w:spacing w:val="-52"/>
          <w:w w:val="95"/>
        </w:rPr>
      </w:r>
      <w:r>
        <w:rPr/>
        <w:t>暂停资本化；该项中断如是所购建或生产的符合资本化条件的资产达到预定可使用状态或者可销售状态必要的</w:t>
      </w:r>
      <w:r>
        <w:rPr>
          <w:spacing w:val="-77"/>
        </w:rPr>
        <w:t> </w:t>
      </w:r>
      <w:r>
        <w:rPr>
          <w:spacing w:val="-77"/>
        </w:rPr>
      </w:r>
      <w:r>
        <w:rPr/>
        <w:t>程序，则借款费用继续资本化。在中断期间发生的借款费用确认为当期损益，直至资产的购建或者生产活动重</w:t>
      </w:r>
      <w:r>
        <w:rPr>
          <w:spacing w:val="-74"/>
        </w:rPr>
        <w:t> </w:t>
      </w:r>
      <w:r>
        <w:rPr>
          <w:spacing w:val="-74"/>
        </w:rPr>
      </w:r>
      <w:r>
        <w:rPr/>
        <w:t>新开始后借款费用继续资本化。</w:t>
      </w:r>
    </w:p>
    <w:p>
      <w:pPr>
        <w:pStyle w:val="BodyText"/>
        <w:spacing w:line="429" w:lineRule="auto" w:before="48"/>
        <w:ind w:left="554" w:right="1133"/>
        <w:jc w:val="left"/>
      </w:pPr>
      <w:r>
        <w:rPr/>
        <w:t>（</w:t>
      </w:r>
      <w:r>
        <w:rPr>
          <w:rFonts w:ascii="宋体" w:hAnsi="宋体" w:cs="宋体" w:eastAsia="宋体" w:hint="default"/>
        </w:rPr>
        <w:t>4</w:t>
      </w:r>
      <w:r>
        <w:rPr/>
        <w:t>）借款费用资本化率、资本化金额的计算方法</w:t>
      </w:r>
      <w:r>
        <w:rPr>
          <w:w w:val="99"/>
        </w:rPr>
        <w:t> </w:t>
      </w:r>
      <w:r>
        <w:rPr/>
        <w:t>对于为购建或者生产符合资本化条件的资产而借入的专门借款，以专门借款当期实际发生的借款费用，减</w:t>
      </w:r>
    </w:p>
    <w:p>
      <w:pPr>
        <w:pStyle w:val="BodyText"/>
        <w:spacing w:line="429" w:lineRule="auto" w:before="48"/>
        <w:ind w:right="1133"/>
        <w:jc w:val="left"/>
      </w:pPr>
      <w:r>
        <w:rPr/>
        <w:t>去尚未动用的借款资金存入银行取得的利息收入或进行暂时性投资取得的投资收益后的金额，来确定借款费用</w:t>
      </w:r>
      <w:r>
        <w:rPr>
          <w:spacing w:val="-77"/>
        </w:rPr>
        <w:t> </w:t>
      </w:r>
      <w:r>
        <w:rPr>
          <w:spacing w:val="-77"/>
        </w:rPr>
      </w:r>
      <w:r>
        <w:rPr/>
        <w:t>的资本化金额。</w:t>
      </w:r>
    </w:p>
    <w:p>
      <w:pPr>
        <w:pStyle w:val="BodyText"/>
        <w:spacing w:line="429" w:lineRule="auto" w:before="49"/>
        <w:ind w:right="1135" w:firstLine="401"/>
        <w:jc w:val="both"/>
      </w:pPr>
      <w:r>
        <w:rPr/>
        <w:t>对于为购建或者生产符合资本化条件的资产而占用的一般借款，根据累计资产支出超过专门借款部分的资</w:t>
      </w:r>
      <w:r>
        <w:rPr>
          <w:w w:val="99"/>
        </w:rPr>
        <w:t> </w:t>
      </w:r>
      <w:r>
        <w:rPr/>
        <w:t>产支出加权平均数乘以所占用一般借款的资本化率，计算确定一般借款应予资本化的借款费用金额。资本化率</w:t>
      </w:r>
      <w:r>
        <w:rPr>
          <w:spacing w:val="-71"/>
        </w:rPr>
        <w:t> </w:t>
      </w:r>
      <w:r>
        <w:rPr>
          <w:spacing w:val="-71"/>
        </w:rPr>
      </w:r>
      <w:r>
        <w:rPr/>
        <w:t>根据一般借款加权平均利率计算确定。</w:t>
      </w:r>
    </w:p>
    <w:p>
      <w:pPr>
        <w:spacing w:line="240" w:lineRule="auto" w:before="3"/>
        <w:rPr>
          <w:rFonts w:ascii="宋体" w:hAnsi="宋体" w:cs="宋体" w:eastAsia="宋体" w:hint="default"/>
          <w:sz w:val="20"/>
          <w:szCs w:val="20"/>
        </w:rPr>
      </w:pPr>
    </w:p>
    <w:p>
      <w:pPr>
        <w:pStyle w:val="Heading3"/>
        <w:spacing w:line="240" w:lineRule="auto"/>
        <w:ind w:right="1133"/>
        <w:jc w:val="left"/>
        <w:rPr>
          <w:b w:val="0"/>
          <w:bCs w:val="0"/>
        </w:rPr>
      </w:pPr>
      <w:bookmarkStart w:name="21、无形资产" w:id="194"/>
      <w:bookmarkEnd w:id="194"/>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计价方法、使用寿命、减值测试" w:id="195"/>
      <w:bookmarkEnd w:id="195"/>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12"/>
        <w:rPr>
          <w:rFonts w:ascii="宋体" w:hAnsi="宋体" w:cs="宋体" w:eastAsia="宋体" w:hint="default"/>
          <w:b/>
          <w:bCs/>
          <w:sz w:val="30"/>
          <w:szCs w:val="30"/>
        </w:rPr>
      </w:pPr>
    </w:p>
    <w:p>
      <w:pPr>
        <w:pStyle w:val="BodyText"/>
        <w:spacing w:line="429" w:lineRule="auto"/>
        <w:ind w:left="554" w:right="6352"/>
        <w:jc w:val="left"/>
      </w:pPr>
      <w:r>
        <w:rPr/>
        <w:t>①无形资产的计价方法</w:t>
      </w:r>
      <w:r>
        <w:rPr>
          <w:w w:val="99"/>
        </w:rPr>
        <w:t> </w:t>
      </w:r>
      <w:r>
        <w:rPr>
          <w:rFonts w:ascii="宋体" w:hAnsi="宋体" w:cs="宋体" w:eastAsia="宋体" w:hint="default"/>
        </w:rPr>
        <w:t>a.</w:t>
      </w:r>
      <w:r>
        <w:rPr/>
        <w:t>公司取得无形资产时按成本进行初始计量；</w:t>
      </w:r>
    </w:p>
    <w:p>
      <w:pPr>
        <w:pStyle w:val="BodyText"/>
        <w:spacing w:line="429" w:lineRule="auto" w:before="48"/>
        <w:ind w:right="1141" w:firstLine="401"/>
        <w:jc w:val="both"/>
      </w:pPr>
      <w:r>
        <w:rPr/>
        <w:t>外购无形资产的成本，包括购买价款、相关税费以及直接归属于使该项资产达到预定用途所发生的其他支</w:t>
      </w:r>
      <w:r>
        <w:rPr>
          <w:w w:val="99"/>
        </w:rPr>
        <w:t> </w:t>
      </w:r>
      <w:r>
        <w:rPr/>
        <w:t>出。购买无形资产的价款超过正常信用条件延期支付，实质上具有融资性质的，无形资产的成本以购买价款的</w:t>
      </w:r>
      <w:r>
        <w:rPr>
          <w:spacing w:val="-77"/>
        </w:rPr>
        <w:t> </w:t>
      </w:r>
      <w:r>
        <w:rPr>
          <w:spacing w:val="-77"/>
        </w:rPr>
      </w:r>
      <w:r>
        <w:rPr/>
        <w:t>现值为基础确定。</w:t>
      </w:r>
    </w:p>
    <w:p>
      <w:pPr>
        <w:pStyle w:val="BodyText"/>
        <w:spacing w:line="429" w:lineRule="auto" w:before="48"/>
        <w:ind w:right="1141" w:firstLine="401"/>
        <w:jc w:val="both"/>
      </w:pPr>
      <w:r>
        <w:rPr/>
        <w:t>债务重组取得债务人用以抵债的无形资产，以该无形资产的公允价值为基础确定其入账价值，并将重组债</w:t>
      </w:r>
      <w:r>
        <w:rPr>
          <w:w w:val="99"/>
        </w:rPr>
        <w:t> </w:t>
      </w:r>
      <w:r>
        <w:rPr/>
        <w:t>务的账面价值与该用以抵债的无形资产公允价值之间的差额，计入当期损益。</w:t>
      </w:r>
    </w:p>
    <w:p>
      <w:pPr>
        <w:pStyle w:val="BodyText"/>
        <w:spacing w:line="429" w:lineRule="auto" w:before="48"/>
        <w:ind w:right="1141" w:firstLine="401"/>
        <w:jc w:val="both"/>
      </w:pPr>
      <w:r>
        <w:rPr/>
        <w:t>在非货币性资产交换具备商业实质且换入资产或换出资产的公允价值能够可靠计量的前提下，非货币性资</w:t>
      </w:r>
      <w:r>
        <w:rPr>
          <w:w w:val="99"/>
        </w:rPr>
        <w:t> </w:t>
      </w:r>
      <w:r>
        <w:rPr/>
        <w:t>产交换换入的无形资产以换出资产的公允价值为基础确定其入账价值，除非有确凿证据表明换入资产的公允价</w:t>
      </w:r>
      <w:r>
        <w:rPr>
          <w:spacing w:val="-77"/>
        </w:rPr>
        <w:t> </w:t>
      </w:r>
      <w:r>
        <w:rPr>
          <w:spacing w:val="-77"/>
        </w:rPr>
      </w:r>
      <w:r>
        <w:rPr/>
        <w:t>值更加可靠；不满足上述前提的非货币性资产交换，以换出资产的账面价值和应支付的相关税费作为换入无形</w:t>
      </w:r>
      <w:r>
        <w:rPr>
          <w:spacing w:val="-77"/>
        </w:rPr>
        <w:t> </w:t>
      </w:r>
      <w:r>
        <w:rPr>
          <w:spacing w:val="-77"/>
        </w:rPr>
      </w:r>
      <w:r>
        <w:rPr/>
        <w:t>资产的成本，不确认损益。</w:t>
      </w:r>
    </w:p>
    <w:p>
      <w:pPr>
        <w:pStyle w:val="BodyText"/>
        <w:spacing w:line="429" w:lineRule="auto" w:before="48"/>
        <w:ind w:left="554" w:right="6752"/>
        <w:jc w:val="left"/>
      </w:pPr>
      <w:r>
        <w:rPr>
          <w:rFonts w:ascii="宋体" w:hAnsi="宋体" w:cs="宋体" w:eastAsia="宋体" w:hint="default"/>
        </w:rPr>
        <w:t>b.</w:t>
      </w:r>
      <w:r>
        <w:rPr/>
        <w:t>后续计量</w:t>
      </w:r>
      <w:r>
        <w:rPr>
          <w:w w:val="99"/>
        </w:rPr>
        <w:t> </w:t>
      </w:r>
      <w:r>
        <w:rPr/>
        <w:t>在取得无形资产时分析判断其使用寿命。</w:t>
      </w:r>
    </w:p>
    <w:p>
      <w:pPr>
        <w:pStyle w:val="BodyText"/>
        <w:spacing w:line="429" w:lineRule="auto" w:before="48"/>
        <w:ind w:right="1141" w:firstLine="401"/>
        <w:jc w:val="both"/>
      </w:pPr>
      <w:r>
        <w:rPr/>
        <w:t>对于使用寿命有限的无形资产，在为企业带来经济利益的期限内按直线法摊销；无法预见无形资产为企业</w:t>
      </w:r>
      <w:r>
        <w:rPr>
          <w:w w:val="99"/>
        </w:rPr>
        <w:t> </w:t>
      </w:r>
      <w:r>
        <w:rPr/>
        <w:t>带来经济利益期限的，视为使用寿命不确定的无形资产，不予摊销。</w:t>
      </w:r>
    </w:p>
    <w:p>
      <w:pPr>
        <w:spacing w:after="0" w:line="429" w:lineRule="auto"/>
        <w:jc w:val="both"/>
        <w:sectPr>
          <w:footerReference w:type="default" r:id="rId18"/>
          <w:pgSz w:w="11910" w:h="16840"/>
          <w:pgMar w:footer="980" w:header="745" w:top="1060" w:bottom="1160" w:left="980" w:right="0"/>
          <w:pgNumType w:start="1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554" w:right="1133"/>
        <w:jc w:val="left"/>
      </w:pPr>
      <w:r>
        <w:rPr/>
        <w:t>②使用寿命有限的无形资产的使用寿命估计情况：</w:t>
      </w:r>
    </w:p>
    <w:p>
      <w:pPr>
        <w:spacing w:line="240" w:lineRule="auto" w:before="5"/>
        <w:rPr>
          <w:rFonts w:ascii="宋体" w:hAnsi="宋体" w:cs="宋体" w:eastAsia="宋体" w:hint="default"/>
          <w:sz w:val="10"/>
          <w:szCs w:val="10"/>
        </w:rPr>
      </w:pPr>
    </w:p>
    <w:tbl>
      <w:tblPr>
        <w:tblW w:w="0" w:type="auto"/>
        <w:jc w:val="left"/>
        <w:tblInd w:w="755" w:type="dxa"/>
        <w:tblLayout w:type="fixed"/>
        <w:tblCellMar>
          <w:top w:w="0" w:type="dxa"/>
          <w:left w:w="0" w:type="dxa"/>
          <w:bottom w:w="0" w:type="dxa"/>
          <w:right w:w="0" w:type="dxa"/>
        </w:tblCellMar>
        <w:tblLook w:val="01E0"/>
      </w:tblPr>
      <w:tblGrid>
        <w:gridCol w:w="3053"/>
        <w:gridCol w:w="1916"/>
        <w:gridCol w:w="2845"/>
      </w:tblGrid>
      <w:tr>
        <w:trPr>
          <w:trHeight w:val="341" w:hRule="exact"/>
        </w:trPr>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0"/>
                <w:szCs w:val="20"/>
              </w:rPr>
            </w:pPr>
            <w:r>
              <w:rPr>
                <w:rFonts w:ascii="宋体" w:hAnsi="宋体" w:cs="宋体" w:eastAsia="宋体" w:hint="default"/>
                <w:sz w:val="20"/>
                <w:szCs w:val="20"/>
              </w:rPr>
              <w:t>预计使用寿命</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0"/>
                <w:szCs w:val="20"/>
              </w:rPr>
            </w:pPr>
            <w:r>
              <w:rPr>
                <w:rFonts w:ascii="宋体" w:hAnsi="宋体" w:cs="宋体" w:eastAsia="宋体" w:hint="default"/>
                <w:sz w:val="20"/>
                <w:szCs w:val="20"/>
              </w:rPr>
              <w:t>依据</w:t>
            </w:r>
          </w:p>
        </w:tc>
      </w:tr>
      <w:tr>
        <w:trPr>
          <w:trHeight w:val="343" w:hRule="exact"/>
        </w:trPr>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软件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
              <w:jc w:val="center"/>
              <w:rPr>
                <w:rFonts w:ascii="宋体" w:hAnsi="宋体" w:cs="宋体" w:eastAsia="宋体" w:hint="default"/>
                <w:sz w:val="20"/>
                <w:szCs w:val="20"/>
              </w:rPr>
            </w:pPr>
            <w:r>
              <w:rPr>
                <w:rFonts w:ascii="宋体" w:hAnsi="宋体" w:cs="宋体" w:eastAsia="宋体" w:hint="default"/>
                <w:sz w:val="20"/>
                <w:szCs w:val="20"/>
              </w:rPr>
              <w:t>预计受益年限</w:t>
            </w:r>
          </w:p>
        </w:tc>
      </w:tr>
      <w:tr>
        <w:trPr>
          <w:trHeight w:val="341" w:hRule="exact"/>
        </w:trPr>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土地使用权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宋体" w:hAnsi="宋体" w:cs="宋体" w:eastAsia="宋体" w:hint="default"/>
                <w:sz w:val="20"/>
                <w:szCs w:val="20"/>
              </w:rPr>
              <w:t>年</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
              <w:jc w:val="center"/>
              <w:rPr>
                <w:rFonts w:ascii="宋体" w:hAnsi="宋体" w:cs="宋体" w:eastAsia="宋体" w:hint="default"/>
                <w:sz w:val="20"/>
                <w:szCs w:val="20"/>
              </w:rPr>
            </w:pPr>
            <w:r>
              <w:rPr>
                <w:rFonts w:ascii="宋体" w:hAnsi="宋体" w:cs="宋体" w:eastAsia="宋体" w:hint="default"/>
                <w:sz w:val="20"/>
                <w:szCs w:val="20"/>
              </w:rPr>
              <w:t>土地使用权证</w:t>
            </w:r>
          </w:p>
        </w:tc>
      </w:tr>
      <w:tr>
        <w:trPr>
          <w:trHeight w:val="343" w:hRule="exact"/>
        </w:trPr>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专利权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年</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专利权有效期限</w:t>
            </w:r>
          </w:p>
        </w:tc>
      </w:tr>
      <w:tr>
        <w:trPr>
          <w:trHeight w:val="343" w:hRule="exact"/>
        </w:trPr>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非专利技术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年</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
              <w:jc w:val="center"/>
              <w:rPr>
                <w:rFonts w:ascii="宋体" w:hAnsi="宋体" w:cs="宋体" w:eastAsia="宋体" w:hint="default"/>
                <w:sz w:val="20"/>
                <w:szCs w:val="20"/>
              </w:rPr>
            </w:pPr>
            <w:r>
              <w:rPr>
                <w:rFonts w:ascii="宋体" w:hAnsi="宋体" w:cs="宋体" w:eastAsia="宋体" w:hint="default"/>
                <w:sz w:val="20"/>
                <w:szCs w:val="20"/>
              </w:rPr>
              <w:t>预计受益年限</w:t>
            </w:r>
          </w:p>
        </w:tc>
      </w:tr>
    </w:tbl>
    <w:p>
      <w:pPr>
        <w:pStyle w:val="BodyText"/>
        <w:spacing w:line="429" w:lineRule="auto" w:before="71"/>
        <w:ind w:left="554" w:right="1133"/>
        <w:jc w:val="left"/>
      </w:pPr>
      <w:r>
        <w:rPr>
          <w:w w:val="95"/>
        </w:rPr>
        <w:t>每年度终了，对使用寿命有限的无形资产的使用寿命及摊销方法进行复核。</w:t>
      </w:r>
      <w:r>
        <w:rPr>
          <w:spacing w:val="38"/>
          <w:w w:val="95"/>
        </w:rPr>
        <w:t> </w:t>
      </w:r>
      <w:r>
        <w:rPr>
          <w:spacing w:val="38"/>
          <w:w w:val="95"/>
        </w:rPr>
      </w:r>
      <w:r>
        <w:rPr/>
        <w:t>经复核，本年期末无形资产的使用寿命及摊销方法与以前估计未有不同。</w:t>
      </w:r>
    </w:p>
    <w:p>
      <w:pPr>
        <w:pStyle w:val="BodyText"/>
        <w:spacing w:line="429" w:lineRule="auto" w:before="48"/>
        <w:ind w:left="554" w:right="1133"/>
        <w:jc w:val="left"/>
      </w:pPr>
      <w:r>
        <w:rPr>
          <w:w w:val="95"/>
        </w:rPr>
        <w:t>③使用寿命不确定的无形资产的判断依据以及对其使用寿命进行复核的程序</w:t>
      </w:r>
      <w:r>
        <w:rPr>
          <w:spacing w:val="38"/>
          <w:w w:val="95"/>
        </w:rPr>
        <w:t> </w:t>
      </w:r>
      <w:r>
        <w:rPr>
          <w:spacing w:val="38"/>
          <w:w w:val="95"/>
        </w:rPr>
      </w:r>
      <w:r>
        <w:rPr/>
        <w:t>截至资产负债表日</w:t>
      </w:r>
      <w:r>
        <w:rPr>
          <w:rFonts w:ascii="宋体" w:hAnsi="宋体" w:cs="宋体" w:eastAsia="宋体" w:hint="default"/>
        </w:rPr>
        <w:t>,</w:t>
      </w:r>
      <w:r>
        <w:rPr/>
        <w:t>公司无使用寿命不确定的无形资产。</w:t>
      </w:r>
    </w:p>
    <w:p>
      <w:pPr>
        <w:spacing w:line="240" w:lineRule="auto" w:before="3"/>
        <w:rPr>
          <w:rFonts w:ascii="宋体" w:hAnsi="宋体" w:cs="宋体" w:eastAsia="宋体" w:hint="default"/>
          <w:sz w:val="20"/>
          <w:szCs w:val="20"/>
        </w:rPr>
      </w:pPr>
    </w:p>
    <w:p>
      <w:pPr>
        <w:pStyle w:val="Heading3"/>
        <w:spacing w:line="240" w:lineRule="auto"/>
        <w:ind w:right="1133"/>
        <w:jc w:val="left"/>
        <w:rPr>
          <w:b w:val="0"/>
          <w:bCs w:val="0"/>
        </w:rPr>
      </w:pPr>
      <w:bookmarkStart w:name="（2）内部研究开发支出会计政策" w:id="196"/>
      <w:bookmarkEnd w:id="196"/>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12"/>
        <w:rPr>
          <w:rFonts w:ascii="宋体" w:hAnsi="宋体" w:cs="宋体" w:eastAsia="宋体" w:hint="default"/>
          <w:b/>
          <w:bCs/>
          <w:sz w:val="30"/>
          <w:szCs w:val="30"/>
        </w:rPr>
      </w:pPr>
    </w:p>
    <w:p>
      <w:pPr>
        <w:pStyle w:val="BodyText"/>
        <w:spacing w:line="429" w:lineRule="auto"/>
        <w:ind w:left="554" w:right="1133"/>
        <w:jc w:val="left"/>
      </w:pPr>
      <w:r>
        <w:rPr/>
        <w:t>①划分研究阶段和开发阶段的具体标准</w:t>
      </w:r>
      <w:r>
        <w:rPr>
          <w:w w:val="99"/>
        </w:rPr>
        <w:t> </w:t>
      </w:r>
      <w:r>
        <w:rPr>
          <w:spacing w:val="-1"/>
          <w:w w:val="95"/>
        </w:rPr>
        <w:t>公司制定了研发项目管理制度，明确每个研发项目均需要经过项目调研、立项申请、立项评审、项目启动、</w:t>
      </w:r>
      <w:r>
        <w:rPr>
          <w:spacing w:val="-1"/>
        </w:rPr>
      </w:r>
    </w:p>
    <w:p>
      <w:pPr>
        <w:pStyle w:val="BodyText"/>
        <w:spacing w:line="429" w:lineRule="auto" w:before="48"/>
        <w:ind w:left="554" w:right="6152" w:hanging="402"/>
        <w:jc w:val="left"/>
      </w:pPr>
      <w:r>
        <w:rPr/>
        <w:t>项目过程管理、项目阶段评估和项目验收阶段。</w:t>
      </w:r>
      <w:r>
        <w:rPr>
          <w:w w:val="99"/>
        </w:rPr>
        <w:t> </w:t>
      </w:r>
      <w:r>
        <w:rPr/>
        <w:t>研发费用的会计处理方式为：</w:t>
      </w:r>
    </w:p>
    <w:p>
      <w:pPr>
        <w:pStyle w:val="BodyText"/>
        <w:spacing w:line="429" w:lineRule="auto" w:before="48"/>
        <w:ind w:right="1133" w:firstLine="401"/>
        <w:jc w:val="left"/>
      </w:pPr>
      <w:r>
        <w:rPr/>
        <w:t>将研究阶段和不符合资本化条件的开发阶段的费用计入“研发费用”科目进行核算，月底一次性费用化，</w:t>
      </w:r>
      <w:r>
        <w:rPr>
          <w:w w:val="99"/>
        </w:rPr>
        <w:t> </w:t>
      </w:r>
      <w:r>
        <w:rPr/>
        <w:t>结转计入当期损益；</w:t>
      </w:r>
    </w:p>
    <w:p>
      <w:pPr>
        <w:pStyle w:val="BodyText"/>
        <w:spacing w:line="429" w:lineRule="auto" w:before="48"/>
        <w:ind w:left="554" w:right="1133"/>
        <w:jc w:val="left"/>
      </w:pPr>
      <w:r>
        <w:rPr/>
        <w:t>将符合资本化条件的开发阶段的费用计入“开发支出”科目进行归集核算，具体操作过程如下：</w:t>
      </w:r>
      <w:r>
        <w:rPr>
          <w:w w:val="99"/>
        </w:rPr>
        <w:t> </w:t>
      </w:r>
      <w:r>
        <w:rPr>
          <w:rFonts w:ascii="宋体" w:hAnsi="宋体" w:cs="宋体" w:eastAsia="宋体" w:hint="default"/>
        </w:rPr>
        <w:t>a.</w:t>
      </w:r>
      <w:r>
        <w:rPr/>
        <w:t>研发费用资本化开始时点：</w:t>
      </w:r>
      <w:r>
        <w:rPr>
          <w:w w:val="99"/>
        </w:rPr>
        <w:t> </w:t>
      </w:r>
      <w:r>
        <w:rPr/>
        <w:t>在形成《项目可行性研究报告》后由公司组织项目评审组对项目的技术可行性、方案可行性、研发产品未</w:t>
      </w:r>
    </w:p>
    <w:p>
      <w:pPr>
        <w:pStyle w:val="BodyText"/>
        <w:spacing w:line="429" w:lineRule="auto" w:before="48"/>
        <w:ind w:right="1133"/>
        <w:jc w:val="left"/>
      </w:pPr>
      <w:r>
        <w:rPr>
          <w:spacing w:val="-1"/>
          <w:w w:val="95"/>
        </w:rPr>
        <w:t>来市场情况、投资收益、投资风险、预算的合理性和项目资金的落实情况进行评审。通过评审形成立项通知书，</w:t>
      </w:r>
      <w:r>
        <w:rPr>
          <w:spacing w:val="89"/>
          <w:w w:val="95"/>
        </w:rPr>
        <w:t> </w:t>
      </w:r>
      <w:r>
        <w:rPr>
          <w:spacing w:val="89"/>
          <w:w w:val="95"/>
        </w:rPr>
      </w:r>
      <w:r>
        <w:rPr/>
        <w:t>此时为研发费用资本化开始时点。项目资本化开始后产生的相关费用在“开发支出”科目进行归集核算。</w:t>
      </w:r>
    </w:p>
    <w:p>
      <w:pPr>
        <w:pStyle w:val="BodyText"/>
        <w:spacing w:line="429" w:lineRule="auto" w:before="48"/>
        <w:ind w:left="554" w:right="1133"/>
        <w:jc w:val="left"/>
      </w:pPr>
      <w:r>
        <w:rPr>
          <w:rFonts w:ascii="宋体" w:hAnsi="宋体" w:cs="宋体" w:eastAsia="宋体" w:hint="default"/>
        </w:rPr>
        <w:t>b.</w:t>
      </w:r>
      <w:r>
        <w:rPr/>
        <w:t>研发项目成果结转</w:t>
      </w:r>
      <w:r>
        <w:rPr>
          <w:w w:val="99"/>
        </w:rPr>
        <w:t> </w:t>
      </w:r>
      <w:r>
        <w:rPr/>
        <w:t>研发项目达到研发目标后，项目开发组、相关专家、业务部门及财务管理部、审计部等组成研发项目验收</w:t>
      </w:r>
    </w:p>
    <w:p>
      <w:pPr>
        <w:pStyle w:val="BodyText"/>
        <w:spacing w:line="429" w:lineRule="auto" w:before="49"/>
        <w:ind w:right="1133"/>
        <w:jc w:val="left"/>
      </w:pPr>
      <w:r>
        <w:rPr/>
        <w:t>组，对项目成果进行验收，形成《验收报告》和《结项报告》。对研发成果申请专利或计算机软件著作权，取</w:t>
      </w:r>
      <w:r>
        <w:rPr>
          <w:spacing w:val="-77"/>
        </w:rPr>
        <w:t> </w:t>
      </w:r>
      <w:r>
        <w:rPr>
          <w:spacing w:val="-77"/>
        </w:rPr>
      </w:r>
      <w:r>
        <w:rPr/>
        <w:t>得著作权登记证书当月，将“开发支出”归集的费用转入无形资产进行核算。</w:t>
      </w:r>
    </w:p>
    <w:p>
      <w:pPr>
        <w:pStyle w:val="BodyText"/>
        <w:spacing w:line="429" w:lineRule="auto" w:before="48"/>
        <w:ind w:left="554" w:right="1133"/>
        <w:jc w:val="left"/>
      </w:pPr>
      <w:r>
        <w:rPr/>
        <w:t>②开发阶段支出资本化的具体条件</w:t>
      </w:r>
      <w:r>
        <w:rPr>
          <w:w w:val="99"/>
        </w:rPr>
        <w:t> </w:t>
      </w:r>
      <w:r>
        <w:rPr>
          <w:w w:val="95"/>
        </w:rPr>
        <w:t>内部研究开发项目开发阶段的支出，同时满足下列条件时确认为无形资产：</w:t>
      </w:r>
      <w:r>
        <w:rPr>
          <w:spacing w:val="38"/>
          <w:w w:val="95"/>
        </w:rPr>
        <w:t> </w:t>
      </w:r>
      <w:r>
        <w:rPr>
          <w:spacing w:val="38"/>
          <w:w w:val="95"/>
        </w:rPr>
      </w:r>
      <w:r>
        <w:rPr>
          <w:rFonts w:ascii="宋体" w:hAnsi="宋体" w:cs="宋体" w:eastAsia="宋体" w:hint="default"/>
        </w:rPr>
        <w:t>a.</w:t>
      </w:r>
      <w:r>
        <w:rPr/>
        <w:t>完成该无形资产以使其能够使用或出售在技术上具有可行性；</w:t>
      </w:r>
      <w:r>
        <w:rPr>
          <w:w w:val="99"/>
        </w:rPr>
        <w:t> </w:t>
      </w:r>
      <w:r>
        <w:rPr>
          <w:rFonts w:ascii="宋体" w:hAnsi="宋体" w:cs="宋体" w:eastAsia="宋体" w:hint="default"/>
        </w:rPr>
        <w:t>b.</w:t>
      </w:r>
      <w:r>
        <w:rPr/>
        <w:t>具有完成该无形资产并使用或出售的意图；</w:t>
      </w:r>
    </w:p>
    <w:p>
      <w:pPr>
        <w:spacing w:after="0" w:line="429"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29" w:lineRule="auto"/>
        <w:ind w:right="1141" w:firstLine="401"/>
        <w:jc w:val="both"/>
      </w:pPr>
      <w:r>
        <w:rPr>
          <w:rFonts w:ascii="宋体" w:hAnsi="宋体" w:cs="宋体" w:eastAsia="宋体" w:hint="default"/>
        </w:rPr>
        <w:t>c.</w:t>
      </w:r>
      <w:r>
        <w:rPr/>
        <w:t>无形资产产生经济利益的方式，包括能够证明运用该无形资产生产的产品存在市场或无形资产自身存在</w:t>
      </w:r>
      <w:r>
        <w:rPr>
          <w:w w:val="99"/>
        </w:rPr>
        <w:t> </w:t>
      </w:r>
      <w:r>
        <w:rPr/>
        <w:t>市场，无形资产将在内部使用的，能够证明其有用性；</w:t>
      </w:r>
    </w:p>
    <w:p>
      <w:pPr>
        <w:pStyle w:val="BodyText"/>
        <w:spacing w:line="429" w:lineRule="auto" w:before="48"/>
        <w:ind w:left="554" w:right="1133"/>
        <w:jc w:val="left"/>
      </w:pPr>
      <w:r>
        <w:rPr>
          <w:rFonts w:ascii="宋体" w:hAnsi="宋体" w:cs="宋体" w:eastAsia="宋体" w:hint="default"/>
          <w:spacing w:val="-1"/>
          <w:w w:val="95"/>
        </w:rPr>
        <w:t>d.</w:t>
      </w:r>
      <w:r>
        <w:rPr>
          <w:spacing w:val="-1"/>
          <w:w w:val="95"/>
        </w:rPr>
        <w:t>有足够的技术、财务资源和其他资源支持，以完成该无形资产的开发，并有能力使用或出售该无形资产；</w:t>
      </w:r>
      <w:r>
        <w:rPr>
          <w:spacing w:val="64"/>
          <w:w w:val="95"/>
        </w:rPr>
        <w:t> </w:t>
      </w:r>
      <w:r>
        <w:rPr>
          <w:spacing w:val="64"/>
          <w:w w:val="95"/>
        </w:rPr>
      </w:r>
      <w:r>
        <w:rPr>
          <w:rFonts w:ascii="宋体" w:hAnsi="宋体" w:cs="宋体" w:eastAsia="宋体" w:hint="default"/>
        </w:rPr>
        <w:t>e.</w:t>
      </w:r>
      <w:r>
        <w:rPr/>
        <w:t>归属于该无形资产开发阶段的支出能够可靠地计量。</w:t>
      </w:r>
      <w:r>
        <w:rPr>
          <w:w w:val="99"/>
        </w:rPr>
        <w:t> </w:t>
      </w:r>
      <w:r>
        <w:rPr/>
        <w:t>开发阶段的支出，若不满足上列条件的，于发生时计入当期损益。</w:t>
      </w:r>
    </w:p>
    <w:p>
      <w:pPr>
        <w:spacing w:line="240" w:lineRule="auto" w:before="3"/>
        <w:rPr>
          <w:rFonts w:ascii="宋体" w:hAnsi="宋体" w:cs="宋体" w:eastAsia="宋体" w:hint="default"/>
          <w:sz w:val="20"/>
          <w:szCs w:val="20"/>
        </w:rPr>
      </w:pPr>
    </w:p>
    <w:p>
      <w:pPr>
        <w:pStyle w:val="Heading3"/>
        <w:spacing w:line="240" w:lineRule="auto"/>
        <w:ind w:right="0"/>
        <w:jc w:val="both"/>
        <w:rPr>
          <w:b w:val="0"/>
          <w:bCs w:val="0"/>
        </w:rPr>
      </w:pPr>
      <w:bookmarkStart w:name="22、长期资产减值" w:id="197"/>
      <w:bookmarkEnd w:id="197"/>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2"/>
        <w:rPr>
          <w:rFonts w:ascii="宋体" w:hAnsi="宋体" w:cs="宋体" w:eastAsia="宋体" w:hint="default"/>
          <w:b/>
          <w:bCs/>
          <w:sz w:val="31"/>
          <w:szCs w:val="31"/>
        </w:rPr>
      </w:pPr>
    </w:p>
    <w:p>
      <w:pPr>
        <w:pStyle w:val="BodyText"/>
        <w:spacing w:line="429" w:lineRule="auto"/>
        <w:ind w:right="1135" w:firstLine="401"/>
        <w:jc w:val="both"/>
      </w:pPr>
      <w:r>
        <w:rPr/>
        <w:t>长期股权投资、采用成本模式计量的投资性房地产、固定资产、在建工程、使用寿命有限的无形资产等长</w:t>
      </w:r>
      <w:r>
        <w:rPr>
          <w:w w:val="99"/>
        </w:rPr>
        <w:t> </w:t>
      </w:r>
      <w:r>
        <w:rPr/>
        <w:t>期资产，于资产负债表日存在减值迹象的，进行减值测试。减值测试结果表明资产的可收回金额低于其账面价</w:t>
      </w:r>
      <w:r>
        <w:rPr>
          <w:spacing w:val="-77"/>
        </w:rPr>
        <w:t> </w:t>
      </w:r>
      <w:r>
        <w:rPr>
          <w:spacing w:val="-77"/>
        </w:rPr>
      </w:r>
      <w:r>
        <w:rPr/>
        <w:t>值的，按其差额计提减值准备并计入减值损失。可收回金额为资产的公允价值减去处置费用后的净额与资产预</w:t>
      </w:r>
      <w:r>
        <w:rPr>
          <w:spacing w:val="-77"/>
        </w:rPr>
        <w:t> </w:t>
      </w:r>
      <w:r>
        <w:rPr>
          <w:spacing w:val="-77"/>
        </w:rPr>
      </w:r>
      <w:r>
        <w:rPr/>
        <w:t>计未来现金流量的现值两者之间的较高者。资产减值准备按单项资产为基础计算并确认，如果难以对单项资产</w:t>
      </w:r>
      <w:r>
        <w:rPr>
          <w:spacing w:val="-77"/>
        </w:rPr>
        <w:t> </w:t>
      </w:r>
      <w:r>
        <w:rPr>
          <w:spacing w:val="-77"/>
        </w:rPr>
      </w:r>
      <w:r>
        <w:rPr/>
        <w:t>的可收回金额进行估计的，以该资产所属的资产组确定资产组的可收回金额。资产组是能够独立产生现金流入</w:t>
      </w:r>
      <w:r>
        <w:rPr>
          <w:spacing w:val="-71"/>
        </w:rPr>
        <w:t> </w:t>
      </w:r>
      <w:r>
        <w:rPr>
          <w:spacing w:val="-71"/>
        </w:rPr>
      </w:r>
      <w:r>
        <w:rPr/>
        <w:t>的最小资产组合。</w:t>
      </w:r>
    </w:p>
    <w:p>
      <w:pPr>
        <w:pStyle w:val="BodyText"/>
        <w:spacing w:line="429" w:lineRule="auto" w:before="48"/>
        <w:ind w:right="1141" w:firstLine="401"/>
        <w:jc w:val="right"/>
      </w:pPr>
      <w:r>
        <w:rPr>
          <w:w w:val="95"/>
        </w:rPr>
        <w:t>商誉、使用寿命不确定的无形资产、尚未达到可使用状态的无形资产至少在每年年度终了进行减值测试。</w:t>
      </w:r>
      <w:r>
        <w:rPr>
          <w:spacing w:val="-90"/>
          <w:w w:val="95"/>
        </w:rPr>
        <w:t> </w:t>
      </w:r>
      <w:r>
        <w:rPr>
          <w:spacing w:val="-90"/>
          <w:w w:val="95"/>
        </w:rPr>
      </w:r>
      <w:r>
        <w:rPr/>
        <w:t>本公司进行商誉减值测试，对于因企业合并形成的商誉的账面价值，自购买日起按照合理的方法分摊至相</w:t>
      </w:r>
      <w:r>
        <w:rPr>
          <w:w w:val="99"/>
        </w:rPr>
        <w:t> </w:t>
      </w:r>
      <w:r>
        <w:rPr/>
        <w:t>关的资产组；难以分摊至相关的资产组的，将其分摊至相关的资产组组合。在将商誉的账面价值分摊至相关的</w:t>
      </w:r>
      <w:r>
        <w:rPr>
          <w:spacing w:val="-91"/>
        </w:rPr>
        <w:t> </w:t>
      </w:r>
      <w:r>
        <w:rPr>
          <w:spacing w:val="-91"/>
        </w:rPr>
      </w:r>
      <w:r>
        <w:rPr/>
        <w:t>资产组或者资产组组合时，按照各资产组或者资产组组合的公允价值占相关资产组或者资产组组合公允价值总</w:t>
      </w:r>
      <w:r>
        <w:rPr>
          <w:spacing w:val="-91"/>
        </w:rPr>
        <w:t> </w:t>
      </w:r>
      <w:r>
        <w:rPr>
          <w:spacing w:val="-91"/>
        </w:rPr>
      </w:r>
      <w:r>
        <w:rPr/>
        <w:t>额的比例进行分摊。公允价值难以可靠计量的，按照各资产组或者资产组组合的账面价值占相关资产组或者资</w:t>
      </w:r>
    </w:p>
    <w:p>
      <w:pPr>
        <w:pStyle w:val="BodyText"/>
        <w:spacing w:line="429" w:lineRule="auto" w:before="48"/>
        <w:ind w:left="554" w:right="1133" w:hanging="402"/>
        <w:jc w:val="left"/>
      </w:pPr>
      <w:r>
        <w:rPr/>
        <w:t>产组组合账面价值总额的比例进行分摊。</w:t>
      </w:r>
      <w:r>
        <w:rPr>
          <w:w w:val="99"/>
        </w:rPr>
        <w:t> </w:t>
      </w:r>
      <w:r>
        <w:rPr/>
        <w:t>在对包含商誉的相关资产组或者资产组组合进行减值测试时，如与商誉相关的资产组或者资产组组合存在</w:t>
      </w:r>
    </w:p>
    <w:p>
      <w:pPr>
        <w:pStyle w:val="BodyText"/>
        <w:spacing w:line="429" w:lineRule="auto" w:before="48"/>
        <w:ind w:right="1131"/>
        <w:jc w:val="both"/>
      </w:pPr>
      <w:r>
        <w:rPr/>
        <w:t>减值迹象的，先对不包含商誉的资产组或者资产组组合进行减值测试，计算可收回金额，并与相关账面价值相</w:t>
      </w:r>
      <w:r>
        <w:rPr>
          <w:spacing w:val="-77"/>
        </w:rPr>
        <w:t> </w:t>
      </w:r>
      <w:r>
        <w:rPr>
          <w:spacing w:val="-77"/>
        </w:rPr>
      </w:r>
      <w:r>
        <w:rPr/>
        <w:t>比较，确认相应的减值损失。再对包含商誉的资产组或者资产组组合进行减值测试，比较这些相关资产组或者</w:t>
      </w:r>
      <w:r>
        <w:rPr>
          <w:spacing w:val="-77"/>
        </w:rPr>
        <w:t> </w:t>
      </w:r>
      <w:r>
        <w:rPr>
          <w:spacing w:val="-77"/>
        </w:rPr>
      </w:r>
      <w:r>
        <w:rPr/>
        <w:t>资产组组合的账面价值（包括所分摊的商誉的账面价值部分）与其可收回金额，如相关资产组或者资产组组合</w:t>
      </w:r>
      <w:r>
        <w:rPr>
          <w:spacing w:val="-77"/>
        </w:rPr>
        <w:t> </w:t>
      </w:r>
      <w:r>
        <w:rPr>
          <w:spacing w:val="-77"/>
        </w:rPr>
      </w:r>
      <w:r>
        <w:rPr/>
        <w:t>的可收回金额低于其账面价值的，确认商誉的减值损失。</w:t>
      </w:r>
      <w:r>
        <w:rPr>
          <w:spacing w:val="-60"/>
        </w:rPr>
        <w:t> </w:t>
      </w:r>
      <w:r>
        <w:rPr/>
        <w:t>上述资产减值损失一经确认，在以后会计期间不予转</w:t>
      </w:r>
      <w:r>
        <w:rPr>
          <w:spacing w:val="2"/>
          <w:w w:val="99"/>
        </w:rPr>
        <w:t> </w:t>
      </w:r>
      <w:r>
        <w:rPr/>
        <w:t>回。</w:t>
      </w:r>
    </w:p>
    <w:p>
      <w:pPr>
        <w:spacing w:line="240" w:lineRule="auto" w:before="3"/>
        <w:rPr>
          <w:rFonts w:ascii="宋体" w:hAnsi="宋体" w:cs="宋体" w:eastAsia="宋体" w:hint="default"/>
          <w:sz w:val="20"/>
          <w:szCs w:val="20"/>
        </w:rPr>
      </w:pPr>
    </w:p>
    <w:p>
      <w:pPr>
        <w:pStyle w:val="Heading3"/>
        <w:spacing w:line="240" w:lineRule="auto"/>
        <w:ind w:right="0"/>
        <w:jc w:val="both"/>
        <w:rPr>
          <w:b w:val="0"/>
          <w:bCs w:val="0"/>
        </w:rPr>
      </w:pPr>
      <w:bookmarkStart w:name="23、长期待摊费用" w:id="198"/>
      <w:bookmarkEnd w:id="198"/>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2"/>
        <w:rPr>
          <w:rFonts w:ascii="宋体" w:hAnsi="宋体" w:cs="宋体" w:eastAsia="宋体" w:hint="default"/>
          <w:b/>
          <w:bCs/>
          <w:sz w:val="31"/>
          <w:szCs w:val="31"/>
        </w:rPr>
      </w:pPr>
    </w:p>
    <w:p>
      <w:pPr>
        <w:pStyle w:val="BodyText"/>
        <w:spacing w:line="429" w:lineRule="auto"/>
        <w:ind w:right="1141" w:firstLine="401"/>
        <w:jc w:val="both"/>
      </w:pPr>
      <w:r>
        <w:rPr/>
        <w:t>长期待摊费用为已经发生但应由本期和以后各期负担的分摊期限在一年以上的各项费用。本公司长期待摊</w:t>
      </w:r>
      <w:r>
        <w:rPr>
          <w:w w:val="99"/>
        </w:rPr>
        <w:t> </w:t>
      </w:r>
      <w:r>
        <w:rPr/>
        <w:t>费用包括装修费。</w:t>
      </w:r>
    </w:p>
    <w:p>
      <w:pPr>
        <w:pStyle w:val="BodyText"/>
        <w:spacing w:line="240" w:lineRule="auto" w:before="48"/>
        <w:ind w:left="554" w:right="1133"/>
        <w:jc w:val="left"/>
      </w:pPr>
      <w:r>
        <w:rPr/>
        <w:t>（</w:t>
      </w:r>
      <w:r>
        <w:rPr>
          <w:rFonts w:ascii="宋体" w:hAnsi="宋体" w:cs="宋体" w:eastAsia="宋体" w:hint="default"/>
        </w:rPr>
        <w:t>1</w:t>
      </w:r>
      <w:r>
        <w:rPr/>
        <w:t>）摊销方法</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554" w:right="1133"/>
        <w:jc w:val="left"/>
      </w:pPr>
      <w:r>
        <w:rPr/>
        <w:t>长期待摊费用在受益期内平均摊销</w:t>
      </w:r>
    </w:p>
    <w:p>
      <w:pPr>
        <w:spacing w:line="240" w:lineRule="auto" w:before="10"/>
        <w:rPr>
          <w:rFonts w:ascii="宋体" w:hAnsi="宋体" w:cs="宋体" w:eastAsia="宋体" w:hint="default"/>
          <w:sz w:val="15"/>
          <w:szCs w:val="15"/>
        </w:rPr>
      </w:pPr>
    </w:p>
    <w:p>
      <w:pPr>
        <w:pStyle w:val="BodyText"/>
        <w:spacing w:line="429" w:lineRule="auto"/>
        <w:ind w:left="554" w:right="3752"/>
        <w:jc w:val="left"/>
      </w:pPr>
      <w:r>
        <w:rPr/>
        <w:t>（</w:t>
      </w:r>
      <w:r>
        <w:rPr>
          <w:rFonts w:ascii="宋体" w:hAnsi="宋体" w:cs="宋体" w:eastAsia="宋体" w:hint="default"/>
        </w:rPr>
        <w:t>2</w:t>
      </w:r>
      <w:r>
        <w:rPr/>
        <w:t>）摊销年限</w:t>
      </w:r>
      <w:r>
        <w:rPr>
          <w:w w:val="99"/>
        </w:rPr>
        <w:t> </w:t>
      </w:r>
      <w:r>
        <w:rPr>
          <w:w w:val="95"/>
        </w:rPr>
        <w:t>装修费按照预计可使用年限和剩余租赁期限孰短原则确认摊销年限。</w:t>
      </w:r>
      <w:r>
        <w:rPr/>
      </w:r>
    </w:p>
    <w:p>
      <w:pPr>
        <w:spacing w:line="240" w:lineRule="auto" w:before="3"/>
        <w:rPr>
          <w:rFonts w:ascii="宋体" w:hAnsi="宋体" w:cs="宋体" w:eastAsia="宋体" w:hint="default"/>
          <w:sz w:val="20"/>
          <w:szCs w:val="20"/>
        </w:rPr>
      </w:pPr>
    </w:p>
    <w:p>
      <w:pPr>
        <w:pStyle w:val="Heading3"/>
        <w:spacing w:line="240" w:lineRule="auto"/>
        <w:ind w:right="1133"/>
        <w:jc w:val="left"/>
        <w:rPr>
          <w:b w:val="0"/>
          <w:bCs w:val="0"/>
        </w:rPr>
      </w:pPr>
      <w:bookmarkStart w:name="24、职工薪酬" w:id="199"/>
      <w:bookmarkEnd w:id="199"/>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短期薪酬的会计处理方法" w:id="200"/>
      <w:bookmarkEnd w:id="200"/>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12"/>
        <w:rPr>
          <w:rFonts w:ascii="宋体" w:hAnsi="宋体" w:cs="宋体" w:eastAsia="宋体" w:hint="default"/>
          <w:b/>
          <w:bCs/>
          <w:sz w:val="30"/>
          <w:szCs w:val="30"/>
        </w:rPr>
      </w:pPr>
    </w:p>
    <w:p>
      <w:pPr>
        <w:pStyle w:val="BodyText"/>
        <w:spacing w:line="429" w:lineRule="auto"/>
        <w:ind w:right="1133" w:firstLine="401"/>
        <w:jc w:val="left"/>
      </w:pPr>
      <w:r>
        <w:rPr/>
        <w:t>本公司在职工为本公司提供服务的会计期间，将实际发生的短期薪酬确认为负债，并计入当期损益或相关</w:t>
      </w:r>
      <w:r>
        <w:rPr>
          <w:w w:val="99"/>
        </w:rPr>
        <w:t> </w:t>
      </w:r>
      <w:r>
        <w:rPr/>
        <w:t>资产成本。</w:t>
      </w:r>
    </w:p>
    <w:p>
      <w:pPr>
        <w:pStyle w:val="BodyText"/>
        <w:spacing w:line="429" w:lineRule="auto" w:before="49"/>
        <w:ind w:right="1133" w:firstLine="401"/>
        <w:jc w:val="left"/>
      </w:pPr>
      <w:r>
        <w:rPr/>
        <w:t>本公司为职工缴纳的社会保险费和住房公积金，以及按规定提取的工会经费和职工教育经费，在职工为本</w:t>
      </w:r>
      <w:r>
        <w:rPr>
          <w:w w:val="99"/>
        </w:rPr>
        <w:t> </w:t>
      </w:r>
      <w:r>
        <w:rPr/>
        <w:t>公司提供服务的会计期间，根据规定的计提基础和计提比例计算确定相应的职工薪酬金额。</w:t>
      </w:r>
    </w:p>
    <w:p>
      <w:pPr>
        <w:pStyle w:val="BodyText"/>
        <w:spacing w:line="240" w:lineRule="auto" w:before="48"/>
        <w:ind w:left="554" w:right="1133"/>
        <w:jc w:val="left"/>
      </w:pPr>
      <w:r>
        <w:rPr/>
        <w:t>职工福利费为非货币性福利的，如能够可靠计量的，按照公允价值计量。</w:t>
      </w:r>
    </w:p>
    <w:p>
      <w:pPr>
        <w:spacing w:line="240" w:lineRule="auto" w:before="0"/>
        <w:rPr>
          <w:rFonts w:ascii="宋体" w:hAnsi="宋体" w:cs="宋体" w:eastAsia="宋体" w:hint="default"/>
          <w:sz w:val="20"/>
          <w:szCs w:val="20"/>
        </w:rPr>
      </w:pPr>
    </w:p>
    <w:p>
      <w:pPr>
        <w:pStyle w:val="Heading3"/>
        <w:spacing w:line="240" w:lineRule="auto" w:before="161"/>
        <w:ind w:right="1133"/>
        <w:jc w:val="left"/>
        <w:rPr>
          <w:b w:val="0"/>
          <w:bCs w:val="0"/>
        </w:rPr>
      </w:pPr>
      <w:bookmarkStart w:name="（2）离职后福利的会计处理方法" w:id="201"/>
      <w:bookmarkEnd w:id="201"/>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2"/>
        <w:rPr>
          <w:rFonts w:ascii="宋体" w:hAnsi="宋体" w:cs="宋体" w:eastAsia="宋体" w:hint="default"/>
          <w:b/>
          <w:bCs/>
          <w:sz w:val="31"/>
          <w:szCs w:val="31"/>
        </w:rPr>
      </w:pPr>
    </w:p>
    <w:p>
      <w:pPr>
        <w:pStyle w:val="BodyText"/>
        <w:spacing w:line="429" w:lineRule="auto"/>
        <w:ind w:right="1133" w:firstLine="401"/>
        <w:jc w:val="left"/>
      </w:pPr>
      <w:r>
        <w:rPr>
          <w:spacing w:val="-1"/>
          <w:w w:val="95"/>
        </w:rPr>
        <w:t>本公司按当地政府的相关规定为职工缴纳基本养老保险和失业保险，在职工为本公司提供服务的会计期间，</w:t>
      </w:r>
      <w:r>
        <w:rPr>
          <w:spacing w:val="-49"/>
          <w:w w:val="95"/>
        </w:rPr>
        <w:t> </w:t>
      </w:r>
      <w:r>
        <w:rPr>
          <w:spacing w:val="-49"/>
          <w:w w:val="95"/>
        </w:rPr>
      </w:r>
      <w:r>
        <w:rPr/>
        <w:t>按以当地规定的缴纳基数和比例计算应缴纳金额，确认为负债，并计入当期损益或相关资产成本。</w:t>
      </w:r>
    </w:p>
    <w:p>
      <w:pPr>
        <w:spacing w:line="240" w:lineRule="auto" w:before="3"/>
        <w:rPr>
          <w:rFonts w:ascii="宋体" w:hAnsi="宋体" w:cs="宋体" w:eastAsia="宋体" w:hint="default"/>
          <w:sz w:val="20"/>
          <w:szCs w:val="20"/>
        </w:rPr>
      </w:pPr>
    </w:p>
    <w:p>
      <w:pPr>
        <w:pStyle w:val="Heading3"/>
        <w:spacing w:line="240" w:lineRule="auto"/>
        <w:ind w:right="1133"/>
        <w:jc w:val="left"/>
        <w:rPr>
          <w:b w:val="0"/>
          <w:bCs w:val="0"/>
        </w:rPr>
      </w:pPr>
      <w:bookmarkStart w:name="（3）辞退福利的会计处理方法" w:id="202"/>
      <w:bookmarkEnd w:id="202"/>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12"/>
        <w:rPr>
          <w:rFonts w:ascii="宋体" w:hAnsi="宋体" w:cs="宋体" w:eastAsia="宋体" w:hint="default"/>
          <w:b/>
          <w:bCs/>
          <w:sz w:val="30"/>
          <w:szCs w:val="30"/>
        </w:rPr>
      </w:pPr>
    </w:p>
    <w:p>
      <w:pPr>
        <w:pStyle w:val="BodyText"/>
        <w:spacing w:line="429" w:lineRule="auto"/>
        <w:ind w:right="1133" w:firstLine="401"/>
        <w:jc w:val="left"/>
      </w:pPr>
      <w:r>
        <w:rPr/>
        <w:t>本公司在不能单方面撤回因解除劳动关系计划或裁减建议所提供的辞退福利时，或确认与涉及支付辞退福</w:t>
      </w:r>
      <w:r>
        <w:rPr>
          <w:w w:val="99"/>
        </w:rPr>
        <w:t> </w:t>
      </w:r>
      <w:r>
        <w:rPr/>
        <w:t>利的重组相关的成本或费用时（两者孰早），确认辞退福利产生的职工薪酬负债，并计入当期损益。</w:t>
      </w:r>
    </w:p>
    <w:p>
      <w:pPr>
        <w:spacing w:line="240" w:lineRule="auto" w:before="3"/>
        <w:rPr>
          <w:rFonts w:ascii="宋体" w:hAnsi="宋体" w:cs="宋体" w:eastAsia="宋体" w:hint="default"/>
          <w:sz w:val="20"/>
          <w:szCs w:val="20"/>
        </w:rPr>
      </w:pPr>
    </w:p>
    <w:p>
      <w:pPr>
        <w:pStyle w:val="Heading3"/>
        <w:spacing w:line="240" w:lineRule="auto"/>
        <w:ind w:right="1133"/>
        <w:jc w:val="left"/>
        <w:rPr>
          <w:b w:val="0"/>
          <w:bCs w:val="0"/>
        </w:rPr>
      </w:pPr>
      <w:bookmarkStart w:name="25、预计负债" w:id="203"/>
      <w:bookmarkEnd w:id="203"/>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2"/>
        <w:rPr>
          <w:rFonts w:ascii="宋体" w:hAnsi="宋体" w:cs="宋体" w:eastAsia="宋体" w:hint="default"/>
          <w:b/>
          <w:bCs/>
          <w:sz w:val="31"/>
          <w:szCs w:val="31"/>
        </w:rPr>
      </w:pPr>
    </w:p>
    <w:p>
      <w:pPr>
        <w:pStyle w:val="BodyText"/>
        <w:spacing w:line="429" w:lineRule="auto"/>
        <w:ind w:left="554" w:right="1133"/>
        <w:jc w:val="left"/>
      </w:pPr>
      <w:r>
        <w:rPr/>
        <w:t>（</w:t>
      </w:r>
      <w:r>
        <w:rPr>
          <w:rFonts w:ascii="宋体" w:hAnsi="宋体" w:cs="宋体" w:eastAsia="宋体" w:hint="default"/>
        </w:rPr>
        <w:t>1</w:t>
      </w:r>
      <w:r>
        <w:rPr/>
        <w:t>）预计负债的确认标准</w:t>
      </w:r>
      <w:r>
        <w:rPr>
          <w:w w:val="99"/>
        </w:rPr>
        <w:t> </w:t>
      </w:r>
      <w:r>
        <w:rPr/>
        <w:t>与诉讼、债务担保、亏损合同、重组事项等或有事项相关的义务同时满足下列条件时，本公司确认为预计</w:t>
      </w:r>
    </w:p>
    <w:p>
      <w:pPr>
        <w:pStyle w:val="BodyText"/>
        <w:spacing w:line="240" w:lineRule="auto" w:before="49"/>
        <w:ind w:right="1133"/>
        <w:jc w:val="left"/>
      </w:pPr>
      <w:r>
        <w:rPr/>
        <w:t>负债：</w:t>
      </w:r>
    </w:p>
    <w:p>
      <w:pPr>
        <w:spacing w:line="240" w:lineRule="auto" w:before="10"/>
        <w:rPr>
          <w:rFonts w:ascii="宋体" w:hAnsi="宋体" w:cs="宋体" w:eastAsia="宋体" w:hint="default"/>
          <w:sz w:val="15"/>
          <w:szCs w:val="15"/>
        </w:rPr>
      </w:pPr>
    </w:p>
    <w:p>
      <w:pPr>
        <w:pStyle w:val="BodyText"/>
        <w:spacing w:line="240" w:lineRule="auto"/>
        <w:ind w:left="554" w:right="1133"/>
        <w:jc w:val="left"/>
      </w:pPr>
      <w:r>
        <w:rPr/>
        <w:t>①该义务是本公司承担的现时义务；</w:t>
      </w:r>
    </w:p>
    <w:p>
      <w:pPr>
        <w:spacing w:line="240" w:lineRule="auto" w:before="10"/>
        <w:rPr>
          <w:rFonts w:ascii="宋体" w:hAnsi="宋体" w:cs="宋体" w:eastAsia="宋体" w:hint="default"/>
          <w:sz w:val="15"/>
          <w:szCs w:val="15"/>
        </w:rPr>
      </w:pPr>
    </w:p>
    <w:p>
      <w:pPr>
        <w:pStyle w:val="BodyText"/>
        <w:spacing w:line="240" w:lineRule="auto"/>
        <w:ind w:left="554" w:right="1133"/>
        <w:jc w:val="left"/>
      </w:pPr>
      <w:r>
        <w:rPr/>
        <w:t>②履行该义务很可能导致经济利益流出本公司；</w:t>
      </w:r>
    </w:p>
    <w:p>
      <w:pPr>
        <w:spacing w:line="240" w:lineRule="auto" w:before="10"/>
        <w:rPr>
          <w:rFonts w:ascii="宋体" w:hAnsi="宋体" w:cs="宋体" w:eastAsia="宋体" w:hint="default"/>
          <w:sz w:val="15"/>
          <w:szCs w:val="15"/>
        </w:rPr>
      </w:pPr>
    </w:p>
    <w:p>
      <w:pPr>
        <w:pStyle w:val="BodyText"/>
        <w:spacing w:line="240" w:lineRule="auto"/>
        <w:ind w:left="554" w:right="1133"/>
        <w:jc w:val="left"/>
      </w:pPr>
      <w:r>
        <w:rPr/>
        <w:t>③该义务的金额能够可靠地计量。</w:t>
      </w:r>
    </w:p>
    <w:p>
      <w:pPr>
        <w:spacing w:line="240" w:lineRule="auto" w:before="10"/>
        <w:rPr>
          <w:rFonts w:ascii="宋体" w:hAnsi="宋体" w:cs="宋体" w:eastAsia="宋体" w:hint="default"/>
          <w:sz w:val="15"/>
          <w:szCs w:val="15"/>
        </w:rPr>
      </w:pPr>
    </w:p>
    <w:p>
      <w:pPr>
        <w:pStyle w:val="BodyText"/>
        <w:spacing w:line="429" w:lineRule="auto"/>
        <w:ind w:left="554" w:right="3752"/>
        <w:jc w:val="left"/>
      </w:pPr>
      <w:r>
        <w:rPr/>
        <w:t>（</w:t>
      </w:r>
      <w:r>
        <w:rPr>
          <w:rFonts w:ascii="宋体" w:hAnsi="宋体" w:cs="宋体" w:eastAsia="宋体" w:hint="default"/>
        </w:rPr>
        <w:t>2</w:t>
      </w:r>
      <w:r>
        <w:rPr/>
        <w:t>）各类预计负债的计量方法</w:t>
      </w:r>
      <w:r>
        <w:rPr>
          <w:w w:val="99"/>
        </w:rPr>
        <w:t> </w:t>
      </w:r>
      <w:r>
        <w:rPr>
          <w:w w:val="95"/>
        </w:rPr>
        <w:t>本公司预计负债按履行相关现时义务所需的支出的最佳估计数进行初始计量。</w:t>
      </w:r>
      <w:r>
        <w:rPr/>
      </w:r>
    </w:p>
    <w:p>
      <w:pPr>
        <w:spacing w:after="0" w:line="429"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29" w:lineRule="auto"/>
        <w:ind w:right="1141" w:firstLine="401"/>
        <w:jc w:val="both"/>
      </w:pPr>
      <w:r>
        <w:rPr/>
        <w:t>本公司在确定最佳估计数时，综合考虑与或有事项有关的风险、不确定性和货币时间价值等因素。对于货</w:t>
      </w:r>
      <w:r>
        <w:rPr>
          <w:w w:val="99"/>
        </w:rPr>
        <w:t> </w:t>
      </w:r>
      <w:r>
        <w:rPr/>
        <w:t>币时间价值影响重大的，通过对相关未来现金流出进行折现后确定最佳估计数。</w:t>
      </w:r>
    </w:p>
    <w:p>
      <w:pPr>
        <w:pStyle w:val="BodyText"/>
        <w:spacing w:line="429" w:lineRule="auto" w:before="48"/>
        <w:ind w:left="554" w:right="1133"/>
        <w:jc w:val="left"/>
      </w:pPr>
      <w:r>
        <w:rPr/>
        <w:t>最佳估计数分别以下情况处理：</w:t>
      </w:r>
      <w:r>
        <w:rPr>
          <w:w w:val="99"/>
        </w:rPr>
        <w:t> </w:t>
      </w:r>
      <w:r>
        <w:rPr/>
        <w:t>所需支出存在一个连续范围（或区间），且该范围内各种结果发生的可能性相同的，则最佳估计数按照该</w:t>
      </w:r>
    </w:p>
    <w:p>
      <w:pPr>
        <w:pStyle w:val="BodyText"/>
        <w:spacing w:line="429" w:lineRule="auto" w:before="48"/>
        <w:ind w:left="554" w:right="1133" w:hanging="402"/>
        <w:jc w:val="left"/>
      </w:pPr>
      <w:r>
        <w:rPr/>
        <w:t>范围的中间值即上下限金额的平均数确定。</w:t>
      </w:r>
      <w:r>
        <w:rPr>
          <w:w w:val="99"/>
        </w:rPr>
        <w:t> </w:t>
      </w:r>
      <w:r>
        <w:rPr/>
        <w:t>所需支出不存在一个连续范围（或区间），或虽然存在一个连续范围但该范围内各种结果发生的可能性不</w:t>
      </w:r>
    </w:p>
    <w:p>
      <w:pPr>
        <w:pStyle w:val="BodyText"/>
        <w:spacing w:line="429" w:lineRule="auto" w:before="48"/>
        <w:ind w:right="1142"/>
        <w:jc w:val="both"/>
      </w:pPr>
      <w:r>
        <w:rPr/>
        <w:t>相同的，如或有事项涉及单个项目的，则最佳估计数按照最可能发生金额确定；如或有事项涉及多个项目的，</w:t>
      </w:r>
      <w:r>
        <w:rPr>
          <w:spacing w:val="-77"/>
        </w:rPr>
        <w:t> </w:t>
      </w:r>
      <w:r>
        <w:rPr>
          <w:spacing w:val="-77"/>
        </w:rPr>
      </w:r>
      <w:r>
        <w:rPr/>
        <w:t>则最佳估计数按各种可能结果及相关概率计算确定。</w:t>
      </w:r>
    </w:p>
    <w:p>
      <w:pPr>
        <w:pStyle w:val="BodyText"/>
        <w:spacing w:line="429" w:lineRule="auto" w:before="49"/>
        <w:ind w:right="1136" w:firstLine="401"/>
        <w:jc w:val="both"/>
      </w:pPr>
      <w:r>
        <w:rPr/>
        <w:t>本公司清偿预计负债所需支出全部或部分预期由第三方补偿的，补偿金额在基本确定能够收到时，作为资</w:t>
      </w:r>
      <w:r>
        <w:rPr>
          <w:w w:val="99"/>
        </w:rPr>
        <w:t> </w:t>
      </w:r>
      <w:r>
        <w:rPr/>
        <w:t>产单独确认，确认的补偿金额不超过预计负债的账面价值。</w:t>
      </w:r>
    </w:p>
    <w:p>
      <w:pPr>
        <w:spacing w:line="240" w:lineRule="auto" w:before="3"/>
        <w:rPr>
          <w:rFonts w:ascii="宋体" w:hAnsi="宋体" w:cs="宋体" w:eastAsia="宋体" w:hint="default"/>
          <w:sz w:val="20"/>
          <w:szCs w:val="20"/>
        </w:rPr>
      </w:pPr>
    </w:p>
    <w:p>
      <w:pPr>
        <w:pStyle w:val="Heading3"/>
        <w:spacing w:line="240" w:lineRule="auto"/>
        <w:ind w:right="0"/>
        <w:jc w:val="both"/>
        <w:rPr>
          <w:b w:val="0"/>
          <w:bCs w:val="0"/>
        </w:rPr>
      </w:pPr>
      <w:bookmarkStart w:name="26、股份支付" w:id="204"/>
      <w:bookmarkEnd w:id="204"/>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2"/>
        <w:rPr>
          <w:rFonts w:ascii="宋体" w:hAnsi="宋体" w:cs="宋体" w:eastAsia="宋体" w:hint="default"/>
          <w:b/>
          <w:bCs/>
          <w:sz w:val="31"/>
          <w:szCs w:val="31"/>
        </w:rPr>
      </w:pPr>
    </w:p>
    <w:p>
      <w:pPr>
        <w:pStyle w:val="BodyText"/>
        <w:spacing w:line="429" w:lineRule="auto"/>
        <w:ind w:right="1141" w:firstLine="401"/>
        <w:jc w:val="both"/>
      </w:pPr>
      <w:r>
        <w:rPr/>
        <w:t>本公司的股份支付是为了获取职工或其他方提供服务而授予权益工具或者承担以权益工具为基础确定的负</w:t>
      </w:r>
      <w:r>
        <w:rPr>
          <w:w w:val="99"/>
        </w:rPr>
        <w:t> </w:t>
      </w:r>
      <w:r>
        <w:rPr/>
        <w:t>债的交易。本公司的股份支付分为以权益结算的股份支付和以现金结算的股份支付。</w:t>
      </w:r>
    </w:p>
    <w:p>
      <w:pPr>
        <w:pStyle w:val="BodyText"/>
        <w:spacing w:line="429" w:lineRule="auto" w:before="48"/>
        <w:ind w:left="554" w:right="1133"/>
        <w:jc w:val="left"/>
      </w:pPr>
      <w:r>
        <w:rPr/>
        <w:t>（</w:t>
      </w:r>
      <w:r>
        <w:rPr>
          <w:rFonts w:ascii="宋体" w:hAnsi="宋体" w:cs="宋体" w:eastAsia="宋体" w:hint="default"/>
        </w:rPr>
        <w:t>1</w:t>
      </w:r>
      <w:r>
        <w:rPr/>
        <w:t>）以权益结算的股份支付及权益工具</w:t>
      </w:r>
      <w:r>
        <w:rPr>
          <w:w w:val="99"/>
        </w:rPr>
        <w:t> </w:t>
      </w:r>
      <w:r>
        <w:rPr/>
        <w:t>以权益结算的股份支付换取职工提供服务的，以授予职工权益工具的公允价值计量。本公司以限制性股票</w:t>
      </w:r>
    </w:p>
    <w:p>
      <w:pPr>
        <w:pStyle w:val="BodyText"/>
        <w:spacing w:line="429" w:lineRule="auto" w:before="48"/>
        <w:ind w:right="1134"/>
        <w:jc w:val="both"/>
      </w:pPr>
      <w:r>
        <w:rPr/>
        <w:t>进行股份支付的，职工出资认购股票，股票在达到解锁条件并解锁前不得上市流通或转让；如果最终股权激励</w:t>
      </w:r>
      <w:r>
        <w:rPr>
          <w:spacing w:val="-77"/>
        </w:rPr>
        <w:t> </w:t>
      </w:r>
      <w:r>
        <w:rPr>
          <w:spacing w:val="-77"/>
        </w:rPr>
      </w:r>
      <w:r>
        <w:rPr/>
        <w:t>计划规定的解锁条件未能达到，则本公司按照事先约定的价格回购股票。本公司取得职工认购限制性股票支付</w:t>
      </w:r>
      <w:r>
        <w:rPr>
          <w:spacing w:val="-77"/>
        </w:rPr>
        <w:t> </w:t>
      </w:r>
      <w:r>
        <w:rPr>
          <w:spacing w:val="-77"/>
        </w:rPr>
      </w:r>
      <w:r>
        <w:rPr/>
        <w:t>的款项时，按照取得的认股款确认股本和资本公积（股本溢价），同时就回购义务全额确认一项负债并确认库</w:t>
      </w:r>
      <w:r>
        <w:rPr>
          <w:spacing w:val="-77"/>
        </w:rPr>
        <w:t> </w:t>
      </w:r>
      <w:r>
        <w:rPr>
          <w:spacing w:val="-77"/>
        </w:rPr>
      </w:r>
      <w:r>
        <w:rPr/>
        <w:t>存股。在等待期内每个资产负债表日，本公司根据最新取得的</w:t>
      </w:r>
      <w:r>
        <w:rPr>
          <w:rFonts w:ascii="宋体" w:hAnsi="宋体" w:cs="宋体" w:eastAsia="宋体" w:hint="default"/>
        </w:rPr>
        <w:t>[</w:t>
      </w:r>
      <w:r>
        <w:rPr/>
        <w:t>可行权职工人数变动</w:t>
      </w:r>
      <w:r>
        <w:rPr>
          <w:rFonts w:ascii="宋体" w:hAnsi="宋体" w:cs="宋体" w:eastAsia="宋体" w:hint="default"/>
        </w:rPr>
        <w:t>]</w:t>
      </w:r>
      <w:r>
        <w:rPr>
          <w:rFonts w:ascii="宋体" w:hAnsi="宋体" w:cs="宋体" w:eastAsia="宋体" w:hint="default"/>
          <w:spacing w:val="25"/>
        </w:rPr>
        <w:t> </w:t>
      </w:r>
      <w:r>
        <w:rPr/>
        <w:t>、</w:t>
      </w:r>
      <w:r>
        <w:rPr>
          <w:rFonts w:ascii="宋体" w:hAnsi="宋体" w:cs="宋体" w:eastAsia="宋体" w:hint="default"/>
        </w:rPr>
        <w:t>[</w:t>
      </w:r>
      <w:r>
        <w:rPr/>
        <w:t>是否达到规定业绩条</w:t>
      </w:r>
      <w:r>
        <w:rPr>
          <w:spacing w:val="-97"/>
        </w:rPr>
        <w:t> </w:t>
      </w:r>
      <w:r>
        <w:rPr>
          <w:spacing w:val="-97"/>
        </w:rPr>
      </w:r>
      <w:r>
        <w:rPr>
          <w:spacing w:val="-1"/>
          <w:w w:val="95"/>
        </w:rPr>
        <w:t>件</w:t>
      </w:r>
      <w:r>
        <w:rPr>
          <w:rFonts w:ascii="宋体" w:hAnsi="宋体" w:cs="宋体" w:eastAsia="宋体" w:hint="default"/>
          <w:spacing w:val="-1"/>
          <w:w w:val="95"/>
        </w:rPr>
        <w:t>]</w:t>
      </w:r>
      <w:r>
        <w:rPr>
          <w:spacing w:val="-1"/>
          <w:w w:val="95"/>
        </w:rPr>
        <w:t>等后续信息对可行权权益工具数量作出最佳估计，以此为基础，按照授予日的公允价值，将当期取得的服务</w:t>
      </w:r>
      <w:r>
        <w:rPr>
          <w:spacing w:val="82"/>
          <w:w w:val="95"/>
        </w:rPr>
        <w:t> </w:t>
      </w:r>
      <w:r>
        <w:rPr>
          <w:spacing w:val="82"/>
          <w:w w:val="95"/>
        </w:rPr>
      </w:r>
      <w:r>
        <w:rPr/>
        <w:t>计入相关成本或费用，相应增加资本公积。在可行权日之后不再对已确认的相关成本或费用和所有者权益总额</w:t>
      </w:r>
      <w:r>
        <w:rPr>
          <w:spacing w:val="-77"/>
        </w:rPr>
        <w:t> </w:t>
      </w:r>
      <w:r>
        <w:rPr>
          <w:spacing w:val="-77"/>
        </w:rPr>
      </w:r>
      <w:r>
        <w:rPr/>
        <w:t>进行调整。但授予后立即可行权的，在授予日按照公允价值计入相关成本或费用，相应增加资本公积。</w:t>
      </w:r>
    </w:p>
    <w:p>
      <w:pPr>
        <w:pStyle w:val="BodyText"/>
        <w:spacing w:line="429" w:lineRule="auto" w:before="49"/>
        <w:ind w:right="1141" w:firstLine="401"/>
        <w:jc w:val="both"/>
      </w:pPr>
      <w:r>
        <w:rPr/>
        <w:t>对于最终未能行权的股份支付，不确认成本或费用，除非行权条件是市场条件或非可行权条件，此时无论</w:t>
      </w:r>
      <w:r>
        <w:rPr>
          <w:w w:val="99"/>
        </w:rPr>
        <w:t> </w:t>
      </w:r>
      <w:r>
        <w:rPr/>
        <w:t>是否满足市场条件或非可行权条件，只要满足所有可行权条件中的非市场条件，即视为可行权。</w:t>
      </w:r>
    </w:p>
    <w:p>
      <w:pPr>
        <w:pStyle w:val="BodyText"/>
        <w:spacing w:line="429" w:lineRule="auto" w:before="48"/>
        <w:ind w:right="1141" w:firstLine="401"/>
        <w:jc w:val="both"/>
      </w:pPr>
      <w:r>
        <w:rPr/>
        <w:t>如果修改了以权益结算的股份支付的条款，至少按照未修改条款的情况确认取得的服务。此外，任何增加</w:t>
      </w:r>
      <w:r>
        <w:rPr>
          <w:w w:val="99"/>
        </w:rPr>
        <w:t> </w:t>
      </w:r>
      <w:r>
        <w:rPr/>
        <w:t>所授予权益工具公允价值的修改，或在修改日对职工有利的变更，均确认取得服务的增加。</w:t>
      </w:r>
    </w:p>
    <w:p>
      <w:pPr>
        <w:pStyle w:val="BodyText"/>
        <w:spacing w:line="429" w:lineRule="auto" w:before="48"/>
        <w:ind w:right="1141" w:firstLine="401"/>
        <w:jc w:val="both"/>
      </w:pPr>
      <w:r>
        <w:rPr/>
        <w:t>如果取消了以权益结算的股份支付，则于取消日作为加速行权处理，立即确认尚未确认的金额。职工或其</w:t>
      </w:r>
      <w:r>
        <w:rPr>
          <w:w w:val="99"/>
        </w:rPr>
        <w:t> </w:t>
      </w:r>
      <w:r>
        <w:rPr/>
        <w:t>他方能够选择满足非可行权条件但在等待期内未满足的，作为取消以权益结算的股份支付处理。但是，如果授</w:t>
      </w:r>
      <w:r>
        <w:rPr>
          <w:spacing w:val="-76"/>
        </w:rPr>
        <w:t> </w:t>
      </w:r>
      <w:r>
        <w:rPr>
          <w:spacing w:val="-76"/>
        </w:rPr>
      </w:r>
      <w:r>
        <w:rPr/>
        <w:t>予新的权益工具，并在新权益工具授予日认定所授予的新权益工具是用于替代被取消的权益工具的，则以与处</w:t>
      </w:r>
    </w:p>
    <w:p>
      <w:pPr>
        <w:spacing w:after="0" w:line="429"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right="0"/>
        <w:jc w:val="both"/>
      </w:pPr>
      <w:r>
        <w:rPr/>
        <w:t>理原权益工具条款和条件修改相同的方式，对所授予的替代权益工具进行处理。</w:t>
      </w:r>
    </w:p>
    <w:p>
      <w:pPr>
        <w:spacing w:line="240" w:lineRule="auto" w:before="10"/>
        <w:rPr>
          <w:rFonts w:ascii="宋体" w:hAnsi="宋体" w:cs="宋体" w:eastAsia="宋体" w:hint="default"/>
          <w:sz w:val="15"/>
          <w:szCs w:val="15"/>
        </w:rPr>
      </w:pPr>
    </w:p>
    <w:p>
      <w:pPr>
        <w:pStyle w:val="BodyText"/>
        <w:spacing w:line="429" w:lineRule="auto"/>
        <w:ind w:left="554" w:right="1133"/>
        <w:jc w:val="left"/>
      </w:pPr>
      <w:r>
        <w:rPr/>
        <w:t>（</w:t>
      </w:r>
      <w:r>
        <w:rPr>
          <w:rFonts w:ascii="宋体" w:hAnsi="宋体" w:cs="宋体" w:eastAsia="宋体" w:hint="default"/>
        </w:rPr>
        <w:t>2</w:t>
      </w:r>
      <w:r>
        <w:rPr/>
        <w:t>）以现金结算的股份支付及权益工具</w:t>
      </w:r>
      <w:r>
        <w:rPr>
          <w:w w:val="99"/>
        </w:rPr>
        <w:t> </w:t>
      </w:r>
      <w:r>
        <w:rPr>
          <w:spacing w:val="-1"/>
          <w:w w:val="95"/>
        </w:rPr>
        <w:t>以现金结算的股份支付，按照本公司承担的以股份或其他权益工具为基础计算确定的负债的公允价值计量。</w:t>
      </w:r>
      <w:r>
        <w:rPr>
          <w:spacing w:val="-1"/>
        </w:rPr>
      </w:r>
    </w:p>
    <w:p>
      <w:pPr>
        <w:pStyle w:val="BodyText"/>
        <w:spacing w:line="429" w:lineRule="auto" w:before="48"/>
        <w:ind w:right="1140"/>
        <w:jc w:val="both"/>
      </w:pPr>
      <w:r>
        <w:rPr/>
        <w:t>授予后立即可行权的，在授予日以承担负债的公允价值计入成本或费用，相应增加负债；完成等待期内的服务</w:t>
      </w:r>
      <w:r>
        <w:rPr>
          <w:spacing w:val="-77"/>
        </w:rPr>
        <w:t> </w:t>
      </w:r>
      <w:r>
        <w:rPr>
          <w:spacing w:val="-77"/>
        </w:rPr>
      </w:r>
      <w:r>
        <w:rPr/>
        <w:t>或达到规定业绩条件才可行权的，在等待期内以对可行权情况的最佳估计为基础，按照承担负债的公允价值，</w:t>
      </w:r>
      <w:r>
        <w:rPr>
          <w:spacing w:val="-75"/>
        </w:rPr>
        <w:t> </w:t>
      </w:r>
      <w:r>
        <w:rPr>
          <w:spacing w:val="-75"/>
        </w:rPr>
      </w:r>
      <w:r>
        <w:rPr/>
        <w:t>将当期取得的服务计入相关成本或费用，增加相应负债。在相关负债结算前的每个资产负债表日以及结算日，</w:t>
      </w:r>
      <w:r>
        <w:rPr>
          <w:spacing w:val="-77"/>
        </w:rPr>
        <w:t> </w:t>
      </w:r>
      <w:r>
        <w:rPr>
          <w:spacing w:val="-77"/>
        </w:rPr>
      </w:r>
      <w:r>
        <w:rPr/>
        <w:t>对负债的公允价值重新计量，其变动计入当期损益。</w:t>
      </w:r>
    </w:p>
    <w:p>
      <w:pPr>
        <w:spacing w:line="240" w:lineRule="auto" w:before="3"/>
        <w:rPr>
          <w:rFonts w:ascii="宋体" w:hAnsi="宋体" w:cs="宋体" w:eastAsia="宋体" w:hint="default"/>
          <w:sz w:val="20"/>
          <w:szCs w:val="20"/>
        </w:rPr>
      </w:pPr>
    </w:p>
    <w:p>
      <w:pPr>
        <w:pStyle w:val="Heading3"/>
        <w:spacing w:line="240" w:lineRule="auto"/>
        <w:ind w:right="0"/>
        <w:jc w:val="both"/>
        <w:rPr>
          <w:b w:val="0"/>
          <w:bCs w:val="0"/>
        </w:rPr>
      </w:pPr>
      <w:bookmarkStart w:name="27、收入" w:id="205"/>
      <w:bookmarkEnd w:id="205"/>
      <w:r>
        <w:rPr>
          <w:b w:val="0"/>
          <w:bCs w:val="0"/>
        </w:rPr>
      </w:r>
      <w:r>
        <w:rPr>
          <w:rFonts w:ascii="Times New Roman" w:hAnsi="Times New Roman" w:cs="Times New Roman" w:eastAsia="Times New Roman" w:hint="default"/>
        </w:rPr>
        <w:t>27</w:t>
      </w:r>
      <w:r>
        <w:rPr/>
        <w:t>、收入</w:t>
      </w:r>
      <w:r>
        <w:rPr>
          <w:b w:val="0"/>
          <w:bCs w:val="0"/>
        </w:rPr>
      </w:r>
    </w:p>
    <w:p>
      <w:pPr>
        <w:spacing w:line="240" w:lineRule="auto" w:before="2"/>
        <w:rPr>
          <w:rFonts w:ascii="宋体" w:hAnsi="宋体" w:cs="宋体" w:eastAsia="宋体" w:hint="default"/>
          <w:b/>
          <w:bCs/>
          <w:sz w:val="31"/>
          <w:szCs w:val="31"/>
        </w:rPr>
      </w:pPr>
    </w:p>
    <w:p>
      <w:pPr>
        <w:pStyle w:val="BodyText"/>
        <w:spacing w:line="429" w:lineRule="auto"/>
        <w:ind w:right="1133" w:firstLine="401"/>
        <w:jc w:val="left"/>
      </w:pPr>
      <w:r>
        <w:rPr/>
        <w:t>公司需遵守《深圳证券交易所行业信息披露指引第</w:t>
      </w:r>
      <w:r>
        <w:rPr>
          <w:rFonts w:ascii="宋体" w:hAnsi="宋体" w:cs="宋体" w:eastAsia="宋体" w:hint="default"/>
        </w:rPr>
        <w:t>12</w:t>
      </w:r>
      <w:r>
        <w:rPr/>
        <w:t>号——上市公司从事软件与信息技术服务业务》的披</w:t>
      </w:r>
      <w:r>
        <w:rPr>
          <w:w w:val="99"/>
        </w:rPr>
        <w:t> </w:t>
      </w:r>
      <w:r>
        <w:rPr/>
        <w:t>露要求</w:t>
      </w:r>
    </w:p>
    <w:p>
      <w:pPr>
        <w:pStyle w:val="BodyText"/>
        <w:spacing w:line="429" w:lineRule="auto" w:before="48"/>
        <w:ind w:left="554" w:right="3752"/>
        <w:jc w:val="left"/>
      </w:pPr>
      <w:r>
        <w:rPr/>
        <w:t>（</w:t>
      </w:r>
      <w:r>
        <w:rPr>
          <w:rFonts w:ascii="宋体" w:hAnsi="宋体" w:cs="宋体" w:eastAsia="宋体" w:hint="default"/>
        </w:rPr>
        <w:t>1</w:t>
      </w:r>
      <w:r>
        <w:rPr/>
        <w:t>）销售商品收入确认的一般原则</w:t>
      </w:r>
      <w:r>
        <w:rPr>
          <w:w w:val="99"/>
        </w:rPr>
        <w:t> </w:t>
      </w:r>
      <w:r>
        <w:rPr>
          <w:rFonts w:ascii="宋体" w:hAnsi="宋体" w:cs="宋体" w:eastAsia="宋体" w:hint="default"/>
          <w:w w:val="95"/>
        </w:rPr>
        <w:t>1</w:t>
      </w:r>
      <w:r>
        <w:rPr>
          <w:w w:val="95"/>
        </w:rPr>
        <w:t>）本公司已将商品所有权上的主要风险和报酬转移给购货方；</w:t>
      </w:r>
      <w:r>
        <w:rPr/>
      </w:r>
    </w:p>
    <w:p>
      <w:pPr>
        <w:pStyle w:val="BodyText"/>
        <w:spacing w:line="240" w:lineRule="auto" w:before="48"/>
        <w:ind w:left="554" w:right="1133"/>
        <w:jc w:val="left"/>
      </w:pPr>
      <w:r>
        <w:rPr>
          <w:rFonts w:ascii="宋体" w:hAnsi="宋体" w:cs="宋体" w:eastAsia="宋体" w:hint="default"/>
        </w:rPr>
        <w:t>2</w:t>
      </w:r>
      <w:r>
        <w:rPr/>
        <w:t>）本公司既没有保留通常与所有权相联系的继续管理权，也没有对已售出的商品实施有效控制；</w:t>
      </w:r>
    </w:p>
    <w:p>
      <w:pPr>
        <w:spacing w:line="240" w:lineRule="auto" w:before="10"/>
        <w:rPr>
          <w:rFonts w:ascii="宋体" w:hAnsi="宋体" w:cs="宋体" w:eastAsia="宋体" w:hint="default"/>
          <w:sz w:val="15"/>
          <w:szCs w:val="15"/>
        </w:rPr>
      </w:pPr>
    </w:p>
    <w:p>
      <w:pPr>
        <w:pStyle w:val="BodyText"/>
        <w:spacing w:line="240" w:lineRule="auto"/>
        <w:ind w:left="554" w:right="1133"/>
        <w:jc w:val="left"/>
      </w:pPr>
      <w:r>
        <w:rPr>
          <w:rFonts w:ascii="宋体" w:hAnsi="宋体" w:cs="宋体" w:eastAsia="宋体" w:hint="default"/>
        </w:rPr>
        <w:t>3</w:t>
      </w:r>
      <w:r>
        <w:rPr/>
        <w:t>）收入的金额能够可靠地计量；</w:t>
      </w:r>
    </w:p>
    <w:p>
      <w:pPr>
        <w:spacing w:line="240" w:lineRule="auto" w:before="10"/>
        <w:rPr>
          <w:rFonts w:ascii="宋体" w:hAnsi="宋体" w:cs="宋体" w:eastAsia="宋体" w:hint="default"/>
          <w:sz w:val="15"/>
          <w:szCs w:val="15"/>
        </w:rPr>
      </w:pPr>
    </w:p>
    <w:p>
      <w:pPr>
        <w:pStyle w:val="BodyText"/>
        <w:spacing w:line="240" w:lineRule="auto"/>
        <w:ind w:left="554" w:right="1133"/>
        <w:jc w:val="left"/>
      </w:pPr>
      <w:r>
        <w:rPr>
          <w:rFonts w:ascii="宋体" w:hAnsi="宋体" w:cs="宋体" w:eastAsia="宋体" w:hint="default"/>
        </w:rPr>
        <w:t>4</w:t>
      </w:r>
      <w:r>
        <w:rPr/>
        <w:t>）相关的经济利益很可能流入本公司；</w:t>
      </w:r>
    </w:p>
    <w:p>
      <w:pPr>
        <w:spacing w:line="240" w:lineRule="auto" w:before="10"/>
        <w:rPr>
          <w:rFonts w:ascii="宋体" w:hAnsi="宋体" w:cs="宋体" w:eastAsia="宋体" w:hint="default"/>
          <w:sz w:val="15"/>
          <w:szCs w:val="15"/>
        </w:rPr>
      </w:pPr>
    </w:p>
    <w:p>
      <w:pPr>
        <w:pStyle w:val="BodyText"/>
        <w:spacing w:line="240" w:lineRule="auto"/>
        <w:ind w:left="554" w:right="1133"/>
        <w:jc w:val="left"/>
      </w:pPr>
      <w:r>
        <w:rPr>
          <w:rFonts w:ascii="宋体" w:hAnsi="宋体" w:cs="宋体" w:eastAsia="宋体" w:hint="default"/>
        </w:rPr>
        <w:t>5</w:t>
      </w:r>
      <w:r>
        <w:rPr/>
        <w:t>）相关的、已发生或将发生的成本能够可靠地计量。</w:t>
      </w:r>
    </w:p>
    <w:p>
      <w:pPr>
        <w:spacing w:line="240" w:lineRule="auto" w:before="8"/>
        <w:rPr>
          <w:rFonts w:ascii="宋体" w:hAnsi="宋体" w:cs="宋体" w:eastAsia="宋体" w:hint="default"/>
          <w:sz w:val="15"/>
          <w:szCs w:val="15"/>
        </w:rPr>
      </w:pPr>
    </w:p>
    <w:p>
      <w:pPr>
        <w:pStyle w:val="BodyText"/>
        <w:spacing w:line="429" w:lineRule="auto"/>
        <w:ind w:left="554" w:right="1133"/>
        <w:jc w:val="left"/>
      </w:pPr>
      <w:r>
        <w:rPr/>
        <w:t>（</w:t>
      </w:r>
      <w:r>
        <w:rPr>
          <w:rFonts w:ascii="宋体" w:hAnsi="宋体" w:cs="宋体" w:eastAsia="宋体" w:hint="default"/>
        </w:rPr>
        <w:t>2</w:t>
      </w:r>
      <w:r>
        <w:rPr/>
        <w:t>）按完工百分比法确认提供劳务的收入和建造合同收入的确认和计量的原则</w:t>
      </w:r>
      <w:r>
        <w:rPr>
          <w:w w:val="99"/>
        </w:rPr>
        <w:t> </w:t>
      </w:r>
      <w:r>
        <w:rPr/>
        <w:t>在资产负债表日提供劳务交易的结果能够可靠估计的，采用完工百分比法确认提供劳务收入。提供劳务交</w:t>
      </w:r>
    </w:p>
    <w:p>
      <w:pPr>
        <w:pStyle w:val="BodyText"/>
        <w:spacing w:line="429" w:lineRule="auto" w:before="48"/>
        <w:ind w:left="554" w:right="1133" w:hanging="402"/>
        <w:jc w:val="left"/>
      </w:pPr>
      <w:r>
        <w:rPr/>
        <w:t>易的完工进度，依据已完工作的测量确定。</w:t>
      </w:r>
      <w:r>
        <w:rPr>
          <w:w w:val="99"/>
        </w:rPr>
        <w:t> </w:t>
      </w:r>
      <w:r>
        <w:rPr>
          <w:spacing w:val="-1"/>
          <w:w w:val="95"/>
        </w:rPr>
        <w:t>按照已收或应收的合同或协议价款确定提供劳务收入总额，但已收或应收的合同或协议价款不公允的除外。</w:t>
      </w:r>
      <w:r>
        <w:rPr>
          <w:spacing w:val="-1"/>
        </w:rPr>
      </w:r>
    </w:p>
    <w:p>
      <w:pPr>
        <w:pStyle w:val="BodyText"/>
        <w:spacing w:line="429" w:lineRule="auto" w:before="48"/>
        <w:ind w:right="1133"/>
        <w:jc w:val="both"/>
      </w:pPr>
      <w:r>
        <w:rPr/>
        <w:t>资产负债表日按照提供劳务收入总额乘以完工进度扣除以前会计期间累计已确认提供劳务收入后的金额，确认</w:t>
      </w:r>
      <w:r>
        <w:rPr>
          <w:spacing w:val="-69"/>
        </w:rPr>
        <w:t> </w:t>
      </w:r>
      <w:r>
        <w:rPr>
          <w:spacing w:val="-69"/>
        </w:rPr>
      </w:r>
      <w:r>
        <w:rPr/>
        <w:t>当期提供劳务收入；同时，按照提供劳务估计总成本乘以完工进度扣除以前会计期间累计已确认劳务成本后的</w:t>
      </w:r>
      <w:r>
        <w:rPr>
          <w:spacing w:val="-77"/>
        </w:rPr>
        <w:t> </w:t>
      </w:r>
      <w:r>
        <w:rPr>
          <w:spacing w:val="-77"/>
        </w:rPr>
      </w:r>
      <w:r>
        <w:rPr/>
        <w:t>金额，结转当期劳务成本。</w:t>
      </w:r>
    </w:p>
    <w:p>
      <w:pPr>
        <w:pStyle w:val="BodyText"/>
        <w:spacing w:line="429" w:lineRule="auto" w:before="48"/>
        <w:ind w:left="554" w:right="1133"/>
        <w:jc w:val="left"/>
      </w:pPr>
      <w:r>
        <w:rPr/>
        <w:t>在资产负债表日提供劳务交易结果不能够可靠估计的，分别下列情况处理：</w:t>
      </w:r>
      <w:r>
        <w:rPr>
          <w:w w:val="99"/>
        </w:rPr>
        <w:t> </w:t>
      </w:r>
      <w:r>
        <w:rPr>
          <w:rFonts w:ascii="宋体" w:hAnsi="宋体" w:cs="宋体" w:eastAsia="宋体" w:hint="default"/>
          <w:spacing w:val="-1"/>
          <w:w w:val="95"/>
        </w:rPr>
        <w:t>1</w:t>
      </w:r>
      <w:r>
        <w:rPr>
          <w:spacing w:val="-1"/>
          <w:w w:val="95"/>
        </w:rPr>
        <w:t>）已经发生的劳务成本预计能够得到补偿的，按照已经发生的劳务成本金额确认提供劳务收入，并按相同</w:t>
      </w:r>
      <w:r>
        <w:rPr>
          <w:spacing w:val="-1"/>
        </w:rPr>
      </w:r>
    </w:p>
    <w:p>
      <w:pPr>
        <w:pStyle w:val="BodyText"/>
        <w:spacing w:line="429" w:lineRule="auto" w:before="48"/>
        <w:ind w:left="554" w:right="1133" w:hanging="402"/>
        <w:jc w:val="left"/>
      </w:pPr>
      <w:r>
        <w:rPr/>
        <w:t>金额结转劳务成本。</w:t>
      </w:r>
      <w:r>
        <w:rPr>
          <w:w w:val="99"/>
        </w:rPr>
        <w:t> </w:t>
      </w:r>
      <w:r>
        <w:rPr>
          <w:rFonts w:ascii="宋体" w:hAnsi="宋体" w:cs="宋体" w:eastAsia="宋体" w:hint="default"/>
          <w:spacing w:val="-1"/>
          <w:w w:val="95"/>
        </w:rPr>
        <w:t>2</w:t>
      </w:r>
      <w:r>
        <w:rPr>
          <w:spacing w:val="-1"/>
          <w:w w:val="95"/>
        </w:rPr>
        <w:t>）已经发生的劳务成本预计不能够得到补偿的，将已经发生的劳务成本计入当期损益，不确认提供劳务收</w:t>
      </w:r>
      <w:r>
        <w:rPr>
          <w:spacing w:val="-1"/>
        </w:rPr>
      </w:r>
    </w:p>
    <w:p>
      <w:pPr>
        <w:pStyle w:val="BodyText"/>
        <w:spacing w:line="240" w:lineRule="auto" w:before="48"/>
        <w:ind w:right="0"/>
        <w:jc w:val="both"/>
      </w:pPr>
      <w:r>
        <w:rPr/>
        <w:t>入。</w:t>
      </w:r>
    </w:p>
    <w:p>
      <w:pPr>
        <w:spacing w:line="240" w:lineRule="auto" w:before="10"/>
        <w:rPr>
          <w:rFonts w:ascii="宋体" w:hAnsi="宋体" w:cs="宋体" w:eastAsia="宋体" w:hint="default"/>
          <w:sz w:val="15"/>
          <w:szCs w:val="15"/>
        </w:rPr>
      </w:pPr>
    </w:p>
    <w:p>
      <w:pPr>
        <w:pStyle w:val="BodyText"/>
        <w:spacing w:line="240" w:lineRule="auto"/>
        <w:ind w:left="554" w:right="1133"/>
        <w:jc w:val="left"/>
      </w:pPr>
      <w:r>
        <w:rPr/>
        <w:t>（</w:t>
      </w:r>
      <w:r>
        <w:rPr>
          <w:rFonts w:ascii="宋体" w:hAnsi="宋体" w:cs="宋体" w:eastAsia="宋体" w:hint="default"/>
        </w:rPr>
        <w:t>3</w:t>
      </w:r>
      <w:r>
        <w:rPr/>
        <w:t>）具体原则</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29" w:lineRule="auto"/>
        <w:ind w:right="1134" w:firstLine="401"/>
        <w:jc w:val="both"/>
      </w:pPr>
      <w:r>
        <w:rPr/>
        <w:t>公司主营业务为应用软件开发、技术服务及相关的计算机信息系统集成服务。包括集成服务、技术服务和</w:t>
      </w:r>
      <w:r>
        <w:rPr>
          <w:w w:val="99"/>
        </w:rPr>
        <w:t> </w:t>
      </w:r>
      <w:r>
        <w:rPr/>
        <w:t>软件产品销售，各类业务销售收入确认的具体方法如下：</w:t>
      </w:r>
    </w:p>
    <w:p>
      <w:pPr>
        <w:pStyle w:val="BodyText"/>
        <w:spacing w:line="240" w:lineRule="auto" w:before="48"/>
        <w:ind w:left="554" w:right="1133"/>
        <w:jc w:val="left"/>
      </w:pPr>
      <w:r>
        <w:rPr>
          <w:rFonts w:ascii="宋体" w:hAnsi="宋体" w:cs="宋体" w:eastAsia="宋体" w:hint="default"/>
        </w:rPr>
        <w:t>1</w:t>
      </w:r>
      <w:r>
        <w:rPr/>
        <w:t>）集成服务收入：按合同约定在产品交付购货方，并经客户验收合格后确认收入。</w:t>
      </w:r>
    </w:p>
    <w:p>
      <w:pPr>
        <w:spacing w:line="240" w:lineRule="auto" w:before="10"/>
        <w:rPr>
          <w:rFonts w:ascii="宋体" w:hAnsi="宋体" w:cs="宋体" w:eastAsia="宋体" w:hint="default"/>
          <w:sz w:val="15"/>
          <w:szCs w:val="15"/>
        </w:rPr>
      </w:pPr>
    </w:p>
    <w:p>
      <w:pPr>
        <w:pStyle w:val="BodyText"/>
        <w:spacing w:line="429" w:lineRule="auto"/>
        <w:ind w:right="1135" w:firstLine="401"/>
        <w:jc w:val="both"/>
      </w:pPr>
      <w:r>
        <w:rPr>
          <w:rFonts w:ascii="宋体" w:hAnsi="宋体" w:cs="宋体" w:eastAsia="宋体" w:hint="default"/>
          <w:spacing w:val="-1"/>
          <w:w w:val="95"/>
        </w:rPr>
        <w:t>2</w:t>
      </w:r>
      <w:r>
        <w:rPr>
          <w:spacing w:val="-1"/>
          <w:w w:val="95"/>
        </w:rPr>
        <w:t>）技术服务收入：技术咨询、技术服务、技术培训按合同约定提供服务完成并经客户验收合格后，或服务</w:t>
      </w:r>
      <w:r>
        <w:rPr>
          <w:spacing w:val="-53"/>
          <w:w w:val="95"/>
        </w:rPr>
        <w:t> </w:t>
      </w:r>
      <w:r>
        <w:rPr>
          <w:spacing w:val="-53"/>
          <w:w w:val="95"/>
        </w:rPr>
      </w:r>
      <w:r>
        <w:rPr/>
        <w:t>期满后确认收入。技术开发收入按合同约定开发进度，并经客户阶段验收合格后按进度确认收入。</w:t>
      </w:r>
    </w:p>
    <w:p>
      <w:pPr>
        <w:pStyle w:val="BodyText"/>
        <w:spacing w:line="429" w:lineRule="auto" w:before="48"/>
        <w:ind w:right="1135" w:firstLine="401"/>
        <w:jc w:val="both"/>
      </w:pPr>
      <w:r>
        <w:rPr>
          <w:rFonts w:ascii="宋体" w:hAnsi="宋体" w:cs="宋体" w:eastAsia="宋体" w:hint="default"/>
          <w:spacing w:val="-1"/>
          <w:w w:val="95"/>
        </w:rPr>
        <w:t>3</w:t>
      </w:r>
      <w:r>
        <w:rPr>
          <w:spacing w:val="-1"/>
          <w:w w:val="95"/>
        </w:rPr>
        <w:t>）软件产品销售收入：按合同约定，需安装调试的，在安装调试完成、投入运行并经客户验收合格后确认</w:t>
      </w:r>
      <w:r>
        <w:rPr>
          <w:spacing w:val="-53"/>
          <w:w w:val="95"/>
        </w:rPr>
        <w:t> </w:t>
      </w:r>
      <w:r>
        <w:rPr>
          <w:spacing w:val="-53"/>
          <w:w w:val="95"/>
        </w:rPr>
      </w:r>
      <w:r>
        <w:rPr/>
        <w:t>收入；不需安装的，于产品发出且到货验收合格后确认收入。</w:t>
      </w:r>
    </w:p>
    <w:p>
      <w:pPr>
        <w:pStyle w:val="BodyText"/>
        <w:spacing w:line="429" w:lineRule="auto" w:before="48"/>
        <w:ind w:right="1073" w:firstLine="401"/>
        <w:jc w:val="both"/>
      </w:pPr>
      <w:r>
        <w:rPr>
          <w:rFonts w:ascii="宋体" w:hAnsi="宋体" w:cs="宋体" w:eastAsia="宋体" w:hint="default"/>
        </w:rPr>
        <w:t>4</w:t>
      </w:r>
      <w:r>
        <w:rPr/>
        <w:t>）自助设备（硬件销售）收入：按合同约定，需开通上线的，在设备开通上线，经客户验收后确认收入；</w:t>
      </w:r>
      <w:r>
        <w:rPr>
          <w:w w:val="99"/>
        </w:rPr>
        <w:t> </w:t>
      </w:r>
      <w:r>
        <w:rPr/>
        <w:t>不需开通上线的，于产品发出且到货验收合格后确认收入。</w:t>
      </w:r>
    </w:p>
    <w:p>
      <w:pPr>
        <w:pStyle w:val="BodyText"/>
        <w:spacing w:line="240" w:lineRule="auto" w:before="48"/>
        <w:ind w:left="554" w:right="1133"/>
        <w:jc w:val="left"/>
      </w:pPr>
      <w:r>
        <w:rPr>
          <w:rFonts w:ascii="宋体" w:hAnsi="宋体" w:cs="宋体" w:eastAsia="宋体" w:hint="default"/>
        </w:rPr>
        <w:t>5</w:t>
      </w:r>
      <w:r>
        <w:rPr/>
        <w:t>）合作运营：在每个运营期，依据合同约定比例以及经确认的交易金额确认收入。</w:t>
      </w:r>
    </w:p>
    <w:p>
      <w:pPr>
        <w:spacing w:line="240" w:lineRule="auto" w:before="0"/>
        <w:rPr>
          <w:rFonts w:ascii="宋体" w:hAnsi="宋体" w:cs="宋体" w:eastAsia="宋体" w:hint="default"/>
          <w:sz w:val="20"/>
          <w:szCs w:val="20"/>
        </w:rPr>
      </w:pPr>
    </w:p>
    <w:p>
      <w:pPr>
        <w:pStyle w:val="Heading3"/>
        <w:spacing w:line="240" w:lineRule="auto" w:before="161"/>
        <w:ind w:right="1133"/>
        <w:jc w:val="left"/>
        <w:rPr>
          <w:b w:val="0"/>
          <w:bCs w:val="0"/>
        </w:rPr>
      </w:pPr>
      <w:bookmarkStart w:name="28、政府补助" w:id="206"/>
      <w:bookmarkEnd w:id="206"/>
      <w:r>
        <w:rPr>
          <w:b w:val="0"/>
          <w:bCs w:val="0"/>
        </w:rPr>
      </w:r>
      <w:r>
        <w:rPr>
          <w:rFonts w:ascii="Times New Roman" w:hAnsi="Times New Roman" w:cs="Times New Roman" w:eastAsia="Times New Roman" w:hint="default"/>
        </w:rPr>
        <w:t>28</w:t>
      </w:r>
      <w:r>
        <w:rPr/>
        <w:t>、政府补助</w:t>
      </w:r>
      <w:r>
        <w:rPr>
          <w:b w:val="0"/>
          <w:bCs w:val="0"/>
        </w:rPr>
      </w:r>
    </w:p>
    <w:p>
      <w:pPr>
        <w:spacing w:line="240" w:lineRule="auto" w:before="2"/>
        <w:rPr>
          <w:rFonts w:ascii="宋体" w:hAnsi="宋体" w:cs="宋体" w:eastAsia="宋体" w:hint="default"/>
          <w:b/>
          <w:bCs/>
          <w:sz w:val="31"/>
          <w:szCs w:val="31"/>
        </w:rPr>
      </w:pPr>
    </w:p>
    <w:p>
      <w:pPr>
        <w:pStyle w:val="BodyText"/>
        <w:spacing w:line="429" w:lineRule="auto"/>
        <w:ind w:left="554" w:right="1133"/>
        <w:jc w:val="left"/>
      </w:pPr>
      <w:r>
        <w:rPr/>
        <w:t>（</w:t>
      </w:r>
      <w:r>
        <w:rPr>
          <w:rFonts w:ascii="宋体" w:hAnsi="宋体" w:cs="宋体" w:eastAsia="宋体" w:hint="default"/>
        </w:rPr>
        <w:t>1</w:t>
      </w:r>
      <w:r>
        <w:rPr/>
        <w:t>）与资产相关的政府补助判断依据及会计处理方法</w:t>
      </w:r>
      <w:r>
        <w:rPr>
          <w:w w:val="99"/>
        </w:rPr>
        <w:t> </w:t>
      </w:r>
      <w:r>
        <w:rPr/>
        <w:t>与资产相关的政府补助，是指本公司取得的、用于购建或以其他方式形成长期资产的政府补助。</w:t>
      </w:r>
      <w:r>
        <w:rPr>
          <w:w w:val="99"/>
        </w:rPr>
        <w:t> </w:t>
      </w:r>
      <w:r>
        <w:rPr/>
        <w:t>本公司将政府补助划分为与资产相关的具体标准为：企业取得的，用于购建或以其他方式形成长期资产的</w:t>
      </w:r>
    </w:p>
    <w:p>
      <w:pPr>
        <w:pStyle w:val="BodyText"/>
        <w:spacing w:line="240" w:lineRule="auto" w:before="48"/>
        <w:ind w:right="1133"/>
        <w:jc w:val="left"/>
      </w:pPr>
      <w:r>
        <w:rPr/>
        <w:t>政府补助；</w:t>
      </w:r>
    </w:p>
    <w:p>
      <w:pPr>
        <w:spacing w:line="240" w:lineRule="auto" w:before="10"/>
        <w:rPr>
          <w:rFonts w:ascii="宋体" w:hAnsi="宋体" w:cs="宋体" w:eastAsia="宋体" w:hint="default"/>
          <w:sz w:val="15"/>
          <w:szCs w:val="15"/>
        </w:rPr>
      </w:pPr>
    </w:p>
    <w:p>
      <w:pPr>
        <w:pStyle w:val="BodyText"/>
        <w:spacing w:line="427" w:lineRule="auto"/>
        <w:ind w:left="554" w:right="1133"/>
        <w:jc w:val="left"/>
      </w:pPr>
      <w:r>
        <w:rPr/>
        <w:t>与资产相关的政府补助，以建造或购买的资产达到可使用状态作为确认时点；</w:t>
      </w:r>
      <w:r>
        <w:rPr>
          <w:w w:val="99"/>
        </w:rPr>
        <w:t> </w:t>
      </w:r>
      <w:r>
        <w:rPr/>
        <w:t>与资产相关的政府补助，冲减相关资产账面价值或确认为递延收益。确认为递延收益的，在相关资产使用</w:t>
      </w:r>
    </w:p>
    <w:p>
      <w:pPr>
        <w:pStyle w:val="BodyText"/>
        <w:spacing w:line="429" w:lineRule="auto" w:before="50"/>
        <w:ind w:right="1133"/>
        <w:jc w:val="left"/>
      </w:pPr>
      <w:r>
        <w:rPr/>
        <w:t>寿命内按照合理、系统的方法分期计入当期损益（与本公司日常活动相关的，计入其他收益；与本公司日常活</w:t>
      </w:r>
      <w:r>
        <w:rPr>
          <w:spacing w:val="-77"/>
        </w:rPr>
        <w:t> </w:t>
      </w:r>
      <w:r>
        <w:rPr>
          <w:spacing w:val="-77"/>
        </w:rPr>
      </w:r>
      <w:r>
        <w:rPr/>
        <w:t>动无关的，计入营业外收入）。</w:t>
      </w:r>
    </w:p>
    <w:p>
      <w:pPr>
        <w:pStyle w:val="BodyText"/>
        <w:spacing w:line="429" w:lineRule="auto" w:before="48"/>
        <w:ind w:left="554" w:right="1133"/>
        <w:jc w:val="left"/>
      </w:pPr>
      <w:r>
        <w:rPr/>
        <w:t>（</w:t>
      </w:r>
      <w:r>
        <w:rPr>
          <w:rFonts w:ascii="宋体" w:hAnsi="宋体" w:cs="宋体" w:eastAsia="宋体" w:hint="default"/>
        </w:rPr>
        <w:t>2</w:t>
      </w:r>
      <w:r>
        <w:rPr/>
        <w:t>）与收益相关的政府补助判断依据及会计处理方法</w:t>
      </w:r>
      <w:r>
        <w:rPr>
          <w:w w:val="99"/>
        </w:rPr>
        <w:t> </w:t>
      </w:r>
      <w:r>
        <w:rPr/>
        <w:t>与收益相关的政府补助，是指除与资产相关的政府补助之外的政府补助。</w:t>
      </w:r>
      <w:r>
        <w:rPr>
          <w:w w:val="99"/>
        </w:rPr>
        <w:t> </w:t>
      </w:r>
      <w:r>
        <w:rPr/>
        <w:t>本公司将政府补助划分为与收益相关的具体标准为：除与资产相关的政府补助之外的政府补助；</w:t>
      </w:r>
      <w:r>
        <w:rPr>
          <w:w w:val="99"/>
        </w:rPr>
        <w:t> </w:t>
      </w:r>
      <w:r>
        <w:rPr>
          <w:spacing w:val="-1"/>
          <w:w w:val="95"/>
        </w:rPr>
        <w:t>与收益相关的政府补助，用于补偿企业以后期间的相关费用或损失的，如政府补助相关文件规定需要验收，</w:t>
      </w:r>
      <w:r>
        <w:rPr>
          <w:spacing w:val="-1"/>
        </w:rPr>
      </w:r>
    </w:p>
    <w:p>
      <w:pPr>
        <w:pStyle w:val="BodyText"/>
        <w:spacing w:line="429" w:lineRule="auto" w:before="48"/>
        <w:ind w:right="1133"/>
        <w:jc w:val="left"/>
      </w:pPr>
      <w:r>
        <w:rPr/>
        <w:t>以验收报告确认的完成时点作为确认时点，未规定是否验收，以确认相关费用的期间作为确认时点；用于补偿</w:t>
      </w:r>
      <w:r>
        <w:rPr>
          <w:spacing w:val="-77"/>
        </w:rPr>
        <w:t> </w:t>
      </w:r>
      <w:r>
        <w:rPr>
          <w:spacing w:val="-77"/>
        </w:rPr>
      </w:r>
      <w:r>
        <w:rPr/>
        <w:t>企业已发生的相关费用或损失的，以实际收到政府补助款项作为确认时点。</w:t>
      </w:r>
    </w:p>
    <w:p>
      <w:pPr>
        <w:pStyle w:val="BodyText"/>
        <w:spacing w:line="429" w:lineRule="auto" w:before="48"/>
        <w:ind w:right="1136" w:firstLine="401"/>
        <w:jc w:val="both"/>
      </w:pPr>
      <w:r>
        <w:rPr/>
        <w:t>与收益相关的政府补助，用于补偿本公司以后期间的相关成本费用或损失的，确认为递延收益，并在确认</w:t>
      </w:r>
      <w:r>
        <w:rPr>
          <w:w w:val="99"/>
        </w:rPr>
        <w:t> </w:t>
      </w:r>
      <w:r>
        <w:rPr/>
        <w:t>相关成本费用或损失的期间，计入当期损益（与本公司日常活动相关的，计入其他收益；与本公司日常活动无</w:t>
      </w:r>
      <w:r>
        <w:rPr>
          <w:spacing w:val="-77"/>
        </w:rPr>
        <w:t> </w:t>
      </w:r>
      <w:r>
        <w:rPr>
          <w:spacing w:val="-77"/>
        </w:rPr>
      </w:r>
      <w:r>
        <w:rPr/>
        <w:t>关的，计入营业外收入）或冲减相关成本费用或损失；用于补偿本公司已发生的相关成本费用或损失的，直接</w:t>
      </w:r>
      <w:r>
        <w:rPr>
          <w:spacing w:val="-77"/>
        </w:rPr>
        <w:t> </w:t>
      </w:r>
      <w:r>
        <w:rPr>
          <w:spacing w:val="-77"/>
        </w:rPr>
      </w:r>
      <w:r>
        <w:rPr/>
        <w:t>计入当期损益（与本公司日常活动相关的，计入其他收益；与本公司日常活动无关的，计入营业外收入）或冲</w:t>
      </w:r>
    </w:p>
    <w:p>
      <w:pPr>
        <w:spacing w:after="0" w:line="429"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right="1133"/>
        <w:jc w:val="left"/>
      </w:pPr>
      <w:r>
        <w:rPr/>
        <w:t>减相关成本费用或损失。</w:t>
      </w:r>
    </w:p>
    <w:p>
      <w:pPr>
        <w:spacing w:line="240" w:lineRule="auto" w:before="0"/>
        <w:rPr>
          <w:rFonts w:ascii="宋体" w:hAnsi="宋体" w:cs="宋体" w:eastAsia="宋体" w:hint="default"/>
          <w:sz w:val="20"/>
          <w:szCs w:val="20"/>
        </w:rPr>
      </w:pPr>
    </w:p>
    <w:p>
      <w:pPr>
        <w:pStyle w:val="Heading3"/>
        <w:spacing w:line="240" w:lineRule="auto" w:before="161"/>
        <w:ind w:right="1133"/>
        <w:jc w:val="left"/>
        <w:rPr>
          <w:b w:val="0"/>
          <w:bCs w:val="0"/>
        </w:rPr>
      </w:pPr>
      <w:bookmarkStart w:name="29、递延所得税资产/递延所得税负债" w:id="207"/>
      <w:bookmarkEnd w:id="207"/>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2"/>
        <w:rPr>
          <w:rFonts w:ascii="宋体" w:hAnsi="宋体" w:cs="宋体" w:eastAsia="宋体" w:hint="default"/>
          <w:b/>
          <w:bCs/>
          <w:sz w:val="31"/>
          <w:szCs w:val="31"/>
        </w:rPr>
      </w:pPr>
    </w:p>
    <w:p>
      <w:pPr>
        <w:pStyle w:val="BodyText"/>
        <w:spacing w:line="429" w:lineRule="auto"/>
        <w:ind w:right="1141" w:firstLine="401"/>
        <w:jc w:val="both"/>
      </w:pPr>
      <w:r>
        <w:rPr/>
        <w:t>对于可抵扣暂时性差异确认递延所得税资产，以未来期间很可能取得的用来抵扣可抵扣暂时性差异的应纳</w:t>
      </w:r>
      <w:r>
        <w:rPr>
          <w:w w:val="99"/>
        </w:rPr>
        <w:t> </w:t>
      </w:r>
      <w:r>
        <w:rPr/>
        <w:t>税所得额为限。对于能够结转以后年度的可抵扣亏损和税款抵减，以很可能获得用来抵扣可抵扣亏损和税款抵</w:t>
      </w:r>
      <w:r>
        <w:rPr>
          <w:spacing w:val="-77"/>
        </w:rPr>
        <w:t> </w:t>
      </w:r>
      <w:r>
        <w:rPr>
          <w:spacing w:val="-77"/>
        </w:rPr>
      </w:r>
      <w:r>
        <w:rPr/>
        <w:t>减的未来应纳税所得额为限，确认相应的递延所得税资产。</w:t>
      </w:r>
    </w:p>
    <w:p>
      <w:pPr>
        <w:pStyle w:val="BodyText"/>
        <w:spacing w:line="429" w:lineRule="auto" w:before="48"/>
        <w:ind w:left="554" w:right="1133"/>
        <w:jc w:val="left"/>
      </w:pPr>
      <w:r>
        <w:rPr/>
        <w:t>对于应纳税暂时性差异，除特殊情况外，确认递延所得税负债。</w:t>
      </w:r>
      <w:r>
        <w:rPr>
          <w:w w:val="99"/>
        </w:rPr>
        <w:t> </w:t>
      </w:r>
      <w:r>
        <w:rPr/>
        <w:t>不确认递延所得税资产或递延所得税负债的特殊情况包括：商誉的初始确认；除企业合并以外的发生时既</w:t>
      </w:r>
    </w:p>
    <w:p>
      <w:pPr>
        <w:pStyle w:val="BodyText"/>
        <w:spacing w:line="429" w:lineRule="auto" w:before="49"/>
        <w:ind w:left="554" w:right="1133" w:hanging="402"/>
        <w:jc w:val="left"/>
      </w:pPr>
      <w:r>
        <w:rPr/>
        <w:t>不影响会计利润也不影响应纳税所得额（或可抵扣亏损）的其他交易或事项。</w:t>
      </w:r>
      <w:r>
        <w:rPr>
          <w:w w:val="99"/>
        </w:rPr>
        <w:t> </w:t>
      </w:r>
      <w:r>
        <w:rPr/>
        <w:t>当拥有以净额结算的法定权利，且意图以净额结算或取得资产、清偿负债同时进行时，当期所得税资产及</w:t>
      </w:r>
    </w:p>
    <w:p>
      <w:pPr>
        <w:pStyle w:val="BodyText"/>
        <w:spacing w:line="429" w:lineRule="auto" w:before="48"/>
        <w:ind w:left="554" w:right="1133" w:hanging="402"/>
        <w:jc w:val="left"/>
      </w:pPr>
      <w:r>
        <w:rPr/>
        <w:t>当期所得税负债以抵销后的净额列报。</w:t>
      </w:r>
      <w:r>
        <w:rPr>
          <w:w w:val="99"/>
        </w:rPr>
        <w:t> </w:t>
      </w:r>
      <w:r>
        <w:rPr/>
        <w:t>当拥有以净额结算当期所得税资产及当期所得税负债的法定权利，且递延所得税资产及递延所得税负债是</w:t>
      </w:r>
    </w:p>
    <w:p>
      <w:pPr>
        <w:pStyle w:val="BodyText"/>
        <w:spacing w:line="429" w:lineRule="auto" w:before="48"/>
        <w:ind w:right="1142"/>
        <w:jc w:val="both"/>
      </w:pPr>
      <w:r>
        <w:rPr/>
        <w:t>与同一税收征管部门对同一纳税主体征收的所得税相关或者是对不同的纳税主体相关，但在未来每一具有重要</w:t>
      </w:r>
      <w:r>
        <w:rPr>
          <w:spacing w:val="-77"/>
        </w:rPr>
        <w:t> </w:t>
      </w:r>
      <w:r>
        <w:rPr>
          <w:spacing w:val="-77"/>
        </w:rPr>
      </w:r>
      <w:r>
        <w:rPr/>
        <w:t>性的递延所得税资产及负债转回的期间内，涉及的纳税主体意图以净额结算当期所得税资产和负债或是同时取</w:t>
      </w:r>
      <w:r>
        <w:rPr>
          <w:spacing w:val="-77"/>
        </w:rPr>
        <w:t> </w:t>
      </w:r>
      <w:r>
        <w:rPr>
          <w:spacing w:val="-77"/>
        </w:rPr>
      </w:r>
      <w:r>
        <w:rPr/>
        <w:t>得资产、清偿负债时，递延所得税资产及递延所得税负债以抵销后的净额列报。</w:t>
      </w:r>
    </w:p>
    <w:p>
      <w:pPr>
        <w:spacing w:line="240" w:lineRule="auto" w:before="3"/>
        <w:rPr>
          <w:rFonts w:ascii="宋体" w:hAnsi="宋体" w:cs="宋体" w:eastAsia="宋体" w:hint="default"/>
          <w:sz w:val="20"/>
          <w:szCs w:val="20"/>
        </w:rPr>
      </w:pPr>
    </w:p>
    <w:p>
      <w:pPr>
        <w:pStyle w:val="Heading3"/>
        <w:spacing w:line="240" w:lineRule="auto"/>
        <w:ind w:right="1133"/>
        <w:jc w:val="left"/>
        <w:rPr>
          <w:b w:val="0"/>
          <w:bCs w:val="0"/>
        </w:rPr>
      </w:pPr>
      <w:bookmarkStart w:name="30、租赁" w:id="208"/>
      <w:bookmarkEnd w:id="208"/>
      <w:r>
        <w:rPr>
          <w:b w:val="0"/>
          <w:bCs w:val="0"/>
        </w:rPr>
      </w:r>
      <w:r>
        <w:rPr>
          <w:rFonts w:ascii="Times New Roman" w:hAnsi="Times New Roman" w:cs="Times New Roman" w:eastAsia="Times New Roman" w:hint="default"/>
        </w:rPr>
        <w:t>30</w:t>
      </w:r>
      <w:r>
        <w:rPr/>
        <w:t>、租赁</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经营租赁的会计处理方法" w:id="209"/>
      <w:bookmarkEnd w:id="209"/>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31"/>
          <w:szCs w:val="31"/>
        </w:rPr>
      </w:pPr>
    </w:p>
    <w:p>
      <w:pPr>
        <w:pStyle w:val="BodyText"/>
        <w:spacing w:line="429" w:lineRule="auto"/>
        <w:ind w:right="1141" w:firstLine="401"/>
        <w:jc w:val="both"/>
      </w:pPr>
      <w:r>
        <w:rPr/>
        <w:t>①公司租入资产所支付的租赁费，在不扣除免租期的整个租赁期内，按直线法进行分摊，计入当期费用。</w:t>
      </w:r>
      <w:r>
        <w:rPr>
          <w:w w:val="99"/>
        </w:rPr>
        <w:t> </w:t>
      </w:r>
      <w:r>
        <w:rPr/>
        <w:t>公司支付的与租赁交易相关的初始直接费用，计入当期费用。</w:t>
      </w:r>
    </w:p>
    <w:p>
      <w:pPr>
        <w:pStyle w:val="BodyText"/>
        <w:spacing w:line="429" w:lineRule="auto" w:before="48"/>
        <w:ind w:right="1141" w:firstLine="401"/>
        <w:jc w:val="both"/>
      </w:pPr>
      <w:r>
        <w:rPr/>
        <w:t>资产出租方承担了应由公司承担的与租赁相关的费用时，公司将该部分费用从租金总额中扣除，按扣除后</w:t>
      </w:r>
      <w:r>
        <w:rPr>
          <w:w w:val="99"/>
        </w:rPr>
        <w:t> </w:t>
      </w:r>
      <w:r>
        <w:rPr/>
        <w:t>的租金费用在租赁期内分摊，计入当期费用。</w:t>
      </w:r>
    </w:p>
    <w:p>
      <w:pPr>
        <w:pStyle w:val="BodyText"/>
        <w:spacing w:line="429" w:lineRule="auto" w:before="48"/>
        <w:ind w:right="1134" w:firstLine="401"/>
        <w:jc w:val="both"/>
      </w:pPr>
      <w:r>
        <w:rPr/>
        <w:t>②公司出租资产所收取的租赁费，在不扣除免租期的整个租赁期内，按直线法进行分摊，确认为租赁相关</w:t>
      </w:r>
      <w:r>
        <w:rPr>
          <w:w w:val="99"/>
        </w:rPr>
        <w:t> </w:t>
      </w:r>
      <w:r>
        <w:rPr/>
        <w:t>收入。公司支付的与租赁交易相关的初始直接费用，计入当期费用；如金额较大的，则予以资本化，在整个租</w:t>
      </w:r>
      <w:r>
        <w:rPr>
          <w:spacing w:val="-69"/>
        </w:rPr>
        <w:t> </w:t>
      </w:r>
      <w:r>
        <w:rPr>
          <w:spacing w:val="-69"/>
        </w:rPr>
      </w:r>
      <w:r>
        <w:rPr/>
        <w:t>赁期间内按照与租赁相关收入确认相同的基础分期计入当期收益。</w:t>
      </w:r>
    </w:p>
    <w:p>
      <w:pPr>
        <w:pStyle w:val="BodyText"/>
        <w:spacing w:line="429" w:lineRule="auto" w:before="48"/>
        <w:ind w:right="1141" w:firstLine="401"/>
        <w:jc w:val="both"/>
      </w:pPr>
      <w:r>
        <w:rPr/>
        <w:t>公司承担了应由承租方承担的与租赁相关的费用时，公司将该部分费用从租金收入总额中扣除，按扣除后</w:t>
      </w:r>
      <w:r>
        <w:rPr>
          <w:w w:val="99"/>
        </w:rPr>
        <w:t> </w:t>
      </w:r>
      <w:r>
        <w:rPr/>
        <w:t>的租金费用在租赁期内分配。</w:t>
      </w:r>
    </w:p>
    <w:p>
      <w:pPr>
        <w:spacing w:after="0" w:line="429"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2）融资租赁的会计处理方法" w:id="210"/>
      <w:bookmarkEnd w:id="210"/>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2"/>
        <w:rPr>
          <w:rFonts w:ascii="宋体" w:hAnsi="宋体" w:cs="宋体" w:eastAsia="宋体" w:hint="default"/>
          <w:b/>
          <w:bCs/>
          <w:sz w:val="31"/>
          <w:szCs w:val="31"/>
        </w:rPr>
      </w:pPr>
    </w:p>
    <w:p>
      <w:pPr>
        <w:pStyle w:val="BodyText"/>
        <w:spacing w:line="429" w:lineRule="auto"/>
        <w:ind w:right="1141" w:firstLine="401"/>
        <w:jc w:val="both"/>
      </w:pPr>
      <w:r>
        <w:rPr/>
        <w:t>①融资租入资产：公司在承租开始日，将租赁资产公允价值与最低租赁付款额现值两者中较低者作为租入</w:t>
      </w:r>
      <w:r>
        <w:rPr>
          <w:w w:val="99"/>
        </w:rPr>
        <w:t> </w:t>
      </w:r>
      <w:r>
        <w:rPr/>
        <w:t>资产的入账价值，将最低租赁付款额作为长期应付款的入账价值，其差额作为未确认的融资费用。公司采用实</w:t>
      </w:r>
      <w:r>
        <w:rPr>
          <w:spacing w:val="-77"/>
        </w:rPr>
        <w:t> </w:t>
      </w:r>
      <w:r>
        <w:rPr>
          <w:spacing w:val="-77"/>
        </w:rPr>
      </w:r>
      <w:r>
        <w:rPr/>
        <w:t>际利率法对未确认的融资费用，在资产租赁期间内摊销，计入财务费用。公司发生的初始直接费用，计入租入</w:t>
      </w:r>
      <w:r>
        <w:rPr>
          <w:spacing w:val="-77"/>
        </w:rPr>
        <w:t> </w:t>
      </w:r>
      <w:r>
        <w:rPr>
          <w:spacing w:val="-77"/>
        </w:rPr>
      </w:r>
      <w:r>
        <w:rPr/>
        <w:t>资产价值。</w:t>
      </w:r>
    </w:p>
    <w:p>
      <w:pPr>
        <w:pStyle w:val="BodyText"/>
        <w:spacing w:line="429" w:lineRule="auto" w:before="48"/>
        <w:ind w:right="1141" w:firstLine="401"/>
        <w:jc w:val="both"/>
      </w:pPr>
      <w:r>
        <w:rPr/>
        <w:t>②融资租出资产：公司在租赁开始日，将应收融资租赁款，未担保余值之和与其现值的差额确认为未实现</w:t>
      </w:r>
      <w:r>
        <w:rPr>
          <w:w w:val="99"/>
        </w:rPr>
        <w:t> </w:t>
      </w:r>
      <w:r>
        <w:rPr/>
        <w:t>融资收益，在将来收到租金的各期间内确认为租赁收入。公司发生的与出租交易相关的初始直接费用，计入应</w:t>
      </w:r>
      <w:r>
        <w:rPr>
          <w:spacing w:val="-77"/>
        </w:rPr>
        <w:t> </w:t>
      </w:r>
      <w:r>
        <w:rPr>
          <w:spacing w:val="-77"/>
        </w:rPr>
      </w:r>
      <w:r>
        <w:rPr/>
        <w:t>收融资租赁款的初始计量中，并减少租赁期内确认的收益金额。</w:t>
      </w:r>
    </w:p>
    <w:p>
      <w:pPr>
        <w:spacing w:line="240" w:lineRule="auto" w:before="3"/>
        <w:rPr>
          <w:rFonts w:ascii="宋体" w:hAnsi="宋体" w:cs="宋体" w:eastAsia="宋体" w:hint="default"/>
          <w:sz w:val="20"/>
          <w:szCs w:val="20"/>
        </w:rPr>
      </w:pPr>
    </w:p>
    <w:p>
      <w:pPr>
        <w:pStyle w:val="Heading3"/>
        <w:spacing w:line="240" w:lineRule="auto"/>
        <w:ind w:right="1133"/>
        <w:jc w:val="left"/>
        <w:rPr>
          <w:b w:val="0"/>
          <w:bCs w:val="0"/>
        </w:rPr>
      </w:pPr>
      <w:bookmarkStart w:name="31、重要会计政策和会计估计变更" w:id="211"/>
      <w:bookmarkEnd w:id="211"/>
      <w:r>
        <w:rPr>
          <w:b w:val="0"/>
          <w:bCs w:val="0"/>
        </w:rPr>
      </w:r>
      <w:r>
        <w:rPr>
          <w:rFonts w:ascii="Times New Roman" w:hAnsi="Times New Roman" w:cs="Times New Roman" w:eastAsia="Times New Roman" w:hint="default"/>
        </w:rPr>
        <w:t>31</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重要会计政策变更" w:id="212"/>
      <w:bookmarkEnd w:id="212"/>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t>不适用</w:t>
      </w:r>
    </w:p>
    <w:p>
      <w:pPr>
        <w:spacing w:line="240" w:lineRule="auto" w:before="3"/>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83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02" w:lineRule="auto"/>
              <w:ind w:left="24" w:right="17"/>
              <w:jc w:val="left"/>
              <w:rPr>
                <w:rFonts w:ascii="宋体" w:hAnsi="宋体" w:cs="宋体" w:eastAsia="宋体" w:hint="default"/>
                <w:sz w:val="18"/>
                <w:szCs w:val="18"/>
              </w:rPr>
            </w:pPr>
            <w:r>
              <w:rPr>
                <w:rFonts w:ascii="宋体" w:hAnsi="宋体" w:cs="宋体" w:eastAsia="宋体" w:hint="default"/>
                <w:sz w:val="18"/>
                <w:szCs w:val="18"/>
              </w:rPr>
              <w:t>执行《财政部关于修订印发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年度一 般企业财务报表格式的通知》和《关于 修订印发合并财务报表格式（</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 </w:t>
            </w:r>
            <w:r>
              <w:rPr>
                <w:rFonts w:ascii="宋体" w:hAnsi="宋体" w:cs="宋体" w:eastAsia="宋体" w:hint="default"/>
                <w:spacing w:val="-6"/>
                <w:w w:val="100"/>
                <w:sz w:val="18"/>
                <w:szCs w:val="18"/>
              </w:rPr>
              <w:t>的通知》：将资产负债表中</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应收票据及</w:t>
            </w:r>
            <w:r>
              <w:rPr>
                <w:rFonts w:ascii="宋体" w:hAnsi="宋体" w:cs="宋体" w:eastAsia="宋体" w:hint="default"/>
                <w:spacing w:val="-74"/>
                <w:w w:val="100"/>
                <w:sz w:val="18"/>
                <w:szCs w:val="18"/>
              </w:rPr>
              <w:t> </w:t>
            </w:r>
            <w:r>
              <w:rPr>
                <w:rFonts w:ascii="宋体" w:hAnsi="宋体" w:cs="宋体" w:eastAsia="宋体" w:hint="default"/>
                <w:spacing w:val="-74"/>
                <w:w w:val="100"/>
                <w:sz w:val="18"/>
                <w:szCs w:val="18"/>
              </w:rPr>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 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 </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应付票据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和</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应付账款</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列示，比较数据</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相应调整。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1"/>
              <w:jc w:val="left"/>
              <w:rPr>
                <w:rFonts w:ascii="宋体" w:hAnsi="宋体" w:cs="宋体" w:eastAsia="宋体" w:hint="default"/>
                <w:sz w:val="18"/>
                <w:szCs w:val="18"/>
              </w:rPr>
            </w:pPr>
            <w:r>
              <w:rPr>
                <w:rFonts w:ascii="宋体" w:hAnsi="宋体" w:cs="宋体" w:eastAsia="宋体" w:hint="default"/>
                <w:spacing w:val="-5"/>
                <w:w w:val="100"/>
                <w:sz w:val="18"/>
                <w:szCs w:val="18"/>
              </w:rPr>
              <w:t>在合并层面，</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应收票据及应收账款</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拆分</w:t>
            </w:r>
            <w:r>
              <w:rPr>
                <w:rFonts w:ascii="宋体" w:hAnsi="宋体" w:cs="宋体" w:eastAsia="宋体" w:hint="default"/>
                <w:spacing w:val="-85"/>
                <w:w w:val="100"/>
                <w:sz w:val="18"/>
                <w:szCs w:val="18"/>
              </w:rPr>
              <w:t> </w:t>
            </w:r>
            <w:r>
              <w:rPr>
                <w:rFonts w:ascii="宋体" w:hAnsi="宋体" w:cs="宋体" w:eastAsia="宋体" w:hint="default"/>
                <w:spacing w:val="-3"/>
                <w:sz w:val="18"/>
                <w:szCs w:val="18"/>
              </w:rPr>
              <w:t>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应收票据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应收票据</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上年年末余额 </w:t>
            </w:r>
            <w:r>
              <w:rPr>
                <w:rFonts w:ascii="Times New Roman" w:hAnsi="Times New Roman" w:cs="Times New Roman" w:eastAsia="Times New Roman" w:hint="default"/>
                <w:sz w:val="18"/>
                <w:szCs w:val="18"/>
              </w:rPr>
              <w:t>28,821,652.00 </w:t>
            </w:r>
            <w:r>
              <w:rPr>
                <w:rFonts w:ascii="宋体" w:hAnsi="宋体" w:cs="宋体" w:eastAsia="宋体" w:hint="default"/>
                <w:sz w:val="18"/>
                <w:szCs w:val="18"/>
              </w:rPr>
              <w:t>元，</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应收 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108,821,967.43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在母公司层面，</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应收 票据</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28,821,652.00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300" w:lineRule="auto" w:before="13"/>
              <w:ind w:left="23"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98,039,076.04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 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 </w:t>
            </w:r>
            <w:r>
              <w:rPr>
                <w:rFonts w:ascii="Times New Roman" w:hAnsi="Times New Roman" w:cs="Times New Roman" w:eastAsia="Times New Roman" w:hint="default"/>
                <w:sz w:val="18"/>
                <w:szCs w:val="18"/>
              </w:rPr>
              <w:t>426,324.80 </w:t>
            </w:r>
            <w:r>
              <w:rPr>
                <w:rFonts w:ascii="宋体" w:hAnsi="宋体" w:cs="宋体" w:eastAsia="宋体" w:hint="default"/>
                <w:sz w:val="18"/>
                <w:szCs w:val="18"/>
              </w:rPr>
              <w:t>元，</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310,572,247.91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3795"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执行《企业会计准则第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具确认和计量</w:t>
            </w:r>
            <w:r>
              <w:rPr>
                <w:rFonts w:ascii="宋体" w:hAnsi="宋体" w:cs="宋体" w:eastAsia="宋体" w:hint="default"/>
                <w:spacing w:val="-92"/>
                <w:sz w:val="18"/>
                <w:szCs w:val="18"/>
              </w:rPr>
              <w:t>》</w:t>
            </w:r>
            <w:r>
              <w:rPr>
                <w:rFonts w:ascii="宋体" w:hAnsi="宋体" w:cs="宋体" w:eastAsia="宋体" w:hint="default"/>
                <w:spacing w:val="-106"/>
                <w:sz w:val="18"/>
                <w:szCs w:val="18"/>
              </w:rPr>
              <w:t>、</w:t>
            </w:r>
            <w:r>
              <w:rPr>
                <w:rFonts w:ascii="宋体" w:hAnsi="宋体" w:cs="宋体" w:eastAsia="宋体" w:hint="default"/>
                <w:sz w:val="18"/>
                <w:szCs w:val="18"/>
              </w:rPr>
              <w:t>《企业会计</w:t>
            </w:r>
            <w:r>
              <w:rPr>
                <w:rFonts w:ascii="宋体" w:hAnsi="宋体" w:cs="宋体" w:eastAsia="宋体" w:hint="default"/>
                <w:spacing w:val="2"/>
                <w:sz w:val="18"/>
                <w:szCs w:val="18"/>
              </w:rPr>
              <w:t>准</w:t>
            </w:r>
            <w:r>
              <w:rPr>
                <w:rFonts w:ascii="宋体" w:hAnsi="宋体" w:cs="宋体" w:eastAsia="宋体" w:hint="default"/>
                <w:sz w:val="18"/>
                <w:szCs w:val="18"/>
              </w:rPr>
              <w:t>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312" w:lineRule="auto" w:before="63"/>
              <w:ind w:left="24" w:right="23"/>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金融资产转移》、《企业会计准则第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Times New Roman" w:hAnsi="Times New Roman" w:cs="Times New Roman" w:eastAsia="Times New Roman" w:hint="default"/>
                <w:sz w:val="18"/>
                <w:szCs w:val="18"/>
              </w:rPr>
              <w:t>24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套期会计》和《企业会计准则 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金融工具列报》（</w:t>
            </w:r>
            <w:r>
              <w:rPr>
                <w:rFonts w:ascii="Times New Roman" w:hAnsi="Times New Roman" w:cs="Times New Roman" w:eastAsia="Times New Roman" w:hint="default"/>
                <w:spacing w:val="-7"/>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年修</w:t>
            </w:r>
            <w:r>
              <w:rPr>
                <w:rFonts w:ascii="宋体" w:hAnsi="宋体" w:cs="宋体" w:eastAsia="宋体" w:hint="default"/>
                <w:spacing w:val="-88"/>
                <w:sz w:val="18"/>
                <w:szCs w:val="18"/>
              </w:rPr>
              <w:t> </w:t>
            </w:r>
            <w:r>
              <w:rPr>
                <w:rFonts w:ascii="宋体" w:hAnsi="宋体" w:cs="宋体" w:eastAsia="宋体" w:hint="default"/>
                <w:spacing w:val="-6"/>
                <w:sz w:val="18"/>
                <w:szCs w:val="18"/>
              </w:rPr>
              <w:t>订），对于首次执行日尚未终止确认的金</w:t>
            </w:r>
            <w:r>
              <w:rPr>
                <w:rFonts w:ascii="宋体" w:hAnsi="宋体" w:cs="宋体" w:eastAsia="宋体" w:hint="default"/>
                <w:sz w:val="18"/>
                <w:szCs w:val="18"/>
              </w:rPr>
              <w:t> 融工具，之前的确认和计量与修订后的 准则要求不一致的，应当追溯调整。涉 及前期比较财务报表数据与修订后的准 则要求不一致的，无需调整。本公司将 因追溯调整产生的累积影响数调整当年 年初留存收益和其他综合收益：①可供</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在合并层面，可供出售金融资产减少</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18,248,400.00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元，其他非流动金融资产</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18,248,400.00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元，其他非流动资产</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600,000,000.00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元，债权投资增加</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600,000,000.00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元，其他流动资产减少</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986,300,000.00</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元，交易性金融资产增加</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991,114,277.07</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元，公允价值变动收益增</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4,814,277.07</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元；在母公司层面，可供</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出售金融资产减少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4,800,000.00 </w:t>
            </w:r>
            <w:r>
              <w:rPr>
                <w:rFonts w:ascii="宋体" w:hAnsi="宋体" w:cs="宋体" w:eastAsia="宋体" w:hint="default"/>
                <w:spacing w:val="-16"/>
                <w:sz w:val="18"/>
                <w:szCs w:val="18"/>
              </w:rPr>
              <w:t>元，其他</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非流动金融资产增加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4,800,000.00</w:t>
            </w:r>
            <w:r>
              <w:rPr>
                <w:rFonts w:ascii="Times New Roman" w:hAnsi="Times New Roman" w:cs="Times New Roman" w:eastAsia="Times New Roman" w:hint="default"/>
                <w:spacing w:val="1"/>
                <w:sz w:val="18"/>
                <w:szCs w:val="18"/>
              </w:rPr>
              <w:t> </w:t>
            </w:r>
            <w:r>
              <w:rPr>
                <w:rFonts w:ascii="宋体" w:hAnsi="宋体" w:cs="宋体" w:eastAsia="宋体" w:hint="default"/>
                <w:spacing w:val="-21"/>
                <w:sz w:val="18"/>
                <w:szCs w:val="18"/>
              </w:rPr>
              <w:t>元，其</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他流动资产减少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784,000,000.00</w:t>
            </w:r>
            <w:r>
              <w:rPr>
                <w:rFonts w:ascii="Times New Roman" w:hAnsi="Times New Roman" w:cs="Times New Roman" w:eastAsia="Times New Roman" w:hint="default"/>
                <w:spacing w:val="-1"/>
                <w:sz w:val="18"/>
                <w:szCs w:val="18"/>
              </w:rPr>
              <w:t> </w:t>
            </w:r>
            <w:r>
              <w:rPr>
                <w:rFonts w:ascii="宋体" w:hAnsi="宋体" w:cs="宋体" w:eastAsia="宋体" w:hint="default"/>
                <w:spacing w:val="-16"/>
                <w:sz w:val="18"/>
                <w:szCs w:val="18"/>
              </w:rPr>
              <w:t>元，交易</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性金融资产增加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786,997,376.72</w:t>
            </w:r>
            <w:r>
              <w:rPr>
                <w:rFonts w:ascii="Times New Roman" w:hAnsi="Times New Roman" w:cs="Times New Roman" w:eastAsia="Times New Roman" w:hint="default"/>
                <w:spacing w:val="-1"/>
                <w:sz w:val="18"/>
                <w:szCs w:val="18"/>
              </w:rPr>
              <w:t> </w:t>
            </w:r>
            <w:r>
              <w:rPr>
                <w:rFonts w:ascii="宋体" w:hAnsi="宋体" w:cs="宋体" w:eastAsia="宋体" w:hint="default"/>
                <w:spacing w:val="-16"/>
                <w:sz w:val="18"/>
                <w:szCs w:val="18"/>
              </w:rPr>
              <w:t>元，公允</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2235"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8"/>
              <w:ind w:left="24" w:right="22"/>
              <w:jc w:val="left"/>
              <w:rPr>
                <w:rFonts w:ascii="宋体" w:hAnsi="宋体" w:cs="宋体" w:eastAsia="宋体" w:hint="default"/>
                <w:sz w:val="18"/>
                <w:szCs w:val="18"/>
              </w:rPr>
            </w:pPr>
            <w:r>
              <w:rPr>
                <w:rFonts w:ascii="宋体" w:hAnsi="宋体" w:cs="宋体" w:eastAsia="宋体" w:hint="default"/>
                <w:sz w:val="18"/>
                <w:szCs w:val="18"/>
              </w:rPr>
              <w:t>出售权益工具投资重分类为</w:t>
            </w:r>
            <w:r>
              <w:rPr>
                <w:rFonts w:ascii="Times New Roman" w:hAnsi="Times New Roman" w:cs="Times New Roman" w:eastAsia="Times New Roman" w:hint="default"/>
                <w:sz w:val="18"/>
                <w:szCs w:val="18"/>
              </w:rPr>
              <w:t>“</w:t>
            </w:r>
            <w:r>
              <w:rPr>
                <w:rFonts w:ascii="宋体" w:hAnsi="宋体" w:cs="宋体" w:eastAsia="宋体" w:hint="default"/>
                <w:sz w:val="18"/>
                <w:szCs w:val="18"/>
              </w:rPr>
              <w:t>以公允价 值计量且其变动计入当期损益的金融资 产</w:t>
            </w:r>
            <w:r>
              <w:rPr>
                <w:rFonts w:ascii="Times New Roman" w:hAnsi="Times New Roman" w:cs="Times New Roman" w:eastAsia="Times New Roman" w:hint="default"/>
                <w:sz w:val="18"/>
                <w:szCs w:val="18"/>
              </w:rPr>
              <w:t>”</w:t>
            </w:r>
            <w:r>
              <w:rPr>
                <w:rFonts w:ascii="宋体" w:hAnsi="宋体" w:cs="宋体" w:eastAsia="宋体" w:hint="default"/>
                <w:sz w:val="18"/>
                <w:szCs w:val="18"/>
              </w:rPr>
              <w:t>；②可供出售债务工具投资重分类为 </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以摊余成本计量的金融资产</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；③可供出</w:t>
            </w:r>
            <w:r>
              <w:rPr>
                <w:rFonts w:ascii="宋体" w:hAnsi="宋体" w:cs="宋体" w:eastAsia="宋体" w:hint="default"/>
                <w:spacing w:val="-82"/>
                <w:w w:val="100"/>
                <w:sz w:val="18"/>
                <w:szCs w:val="18"/>
              </w:rPr>
              <w:t> </w:t>
            </w:r>
            <w:r>
              <w:rPr>
                <w:rFonts w:ascii="宋体" w:hAnsi="宋体" w:cs="宋体" w:eastAsia="宋体" w:hint="default"/>
                <w:spacing w:val="-82"/>
                <w:w w:val="100"/>
                <w:sz w:val="18"/>
                <w:szCs w:val="18"/>
              </w:rPr>
            </w:r>
            <w:r>
              <w:rPr>
                <w:rFonts w:ascii="宋体" w:hAnsi="宋体" w:cs="宋体" w:eastAsia="宋体" w:hint="default"/>
                <w:sz w:val="18"/>
                <w:szCs w:val="18"/>
              </w:rPr>
              <w:t>售债务工具投资重分类为</w:t>
            </w:r>
            <w:r>
              <w:rPr>
                <w:rFonts w:ascii="Times New Roman" w:hAnsi="Times New Roman" w:cs="Times New Roman" w:eastAsia="Times New Roman" w:hint="default"/>
                <w:sz w:val="18"/>
                <w:szCs w:val="18"/>
              </w:rPr>
              <w:t>“</w:t>
            </w:r>
            <w:r>
              <w:rPr>
                <w:rFonts w:ascii="宋体" w:hAnsi="宋体" w:cs="宋体" w:eastAsia="宋体" w:hint="default"/>
                <w:sz w:val="18"/>
                <w:szCs w:val="18"/>
              </w:rPr>
              <w:t>以公允价值 计量且其变动计入当期损益的金融资 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188"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价值变动收益增加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2,997,376.72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重要会计估计变更" w:id="213"/>
      <w:bookmarkEnd w:id="213"/>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2"/>
        <w:rPr>
          <w:rFonts w:ascii="宋体" w:hAnsi="宋体" w:cs="宋体" w:eastAsia="宋体" w:hint="default"/>
          <w:sz w:val="25"/>
          <w:szCs w:val="25"/>
        </w:rPr>
      </w:pPr>
    </w:p>
    <w:p>
      <w:pPr>
        <w:pStyle w:val="Heading3"/>
        <w:spacing w:line="240" w:lineRule="auto"/>
        <w:ind w:right="982"/>
        <w:jc w:val="left"/>
        <w:rPr>
          <w:b w:val="0"/>
          <w:bCs w:val="0"/>
        </w:rPr>
      </w:pPr>
      <w:bookmarkStart w:name="（3）2019年起执行新金融工具准则、新收入准则或新租赁准则调整执行当年年初财务" w:id="214"/>
      <w:bookmarkEnd w:id="214"/>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304" w:lineRule="auto" w:before="37"/>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t>不适用</w:t>
      </w:r>
      <w:r>
        <w:rPr>
          <w:w w:val="99"/>
        </w:rPr>
        <w:t> </w:t>
      </w:r>
      <w:r>
        <w:rPr/>
        <w:t>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683" w:space="7238"/>
            <w:col w:w="2009"/>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389,651,012.22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389,651,012.22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991,114,277.07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3" w:right="0"/>
              <w:jc w:val="left"/>
              <w:rPr>
                <w:rFonts w:ascii="Times New Roman" w:hAnsi="Times New Roman" w:cs="Times New Roman" w:eastAsia="Times New Roman" w:hint="default"/>
                <w:sz w:val="18"/>
                <w:szCs w:val="18"/>
              </w:rPr>
            </w:pPr>
            <w:r>
              <w:rPr>
                <w:rFonts w:ascii="Times New Roman"/>
                <w:sz w:val="18"/>
              </w:rPr>
              <w:t>991,114,277.07</w:t>
            </w: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28,821,652.00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28,821,652.00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108,821,967.43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108,821,967.43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19,999,663.24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19,999,663.24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94,884,447.92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94,884,447.92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490,477,654.58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490,477,654.58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1,285,451,694.38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299,151,694.38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-986,300,000.00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2,418,108,091.77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2,422,922,368.84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4,814,277.07</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18,248,400.00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-18,248,400.00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316,368,248.35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316,368,248.35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18,248,400.00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18,248,400.00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19,093,358.06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19,093,358.06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44,061,762.58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44,061,762.58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68,098,288.60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68,098,288.60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285,022,670.05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285,022,670.05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658,393.79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658,393.79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17,340,247.26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17,340,247.26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622,523,250.11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22,523,250.11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1,391,414,618.80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1,391,414,618.80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3,809,522,710.57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3,814,336,987.64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4,814,277.07</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317,875,718.84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317,875,718.84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426,324.80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426,324.80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313,996,638.90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313,996,638.90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403,068,221.56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403,068,221.56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17,805,379.13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17,805,379.13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24,464,522.57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24,464,522.57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83,721,184.10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83,721,184.10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54,070,484.20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54,070,484.20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1,215,428,474.10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1,215,428,474.10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51,410,035.67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51,410,035.67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1,745,711.37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1,745,711.37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757,445.08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757,445.08</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53,155,747.04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53,913,192.12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757,445.08</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1,268,584,221.14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1,269,341,666.22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757,445.08</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337,576,686.00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337,576,686.00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1,773,201,926.11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1,773,201,926.11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2,451.07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2,451.07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68,729,799.54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68,984,576.56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254,777.02</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346,231,552.50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350,033,607.47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3,802,054.97</w:t>
            </w: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2,525,742,415.22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2,529,799,247.21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4,056,831.99</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15,196,074.21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15,196,074.21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2,540,938,489.43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2,544,995,321.42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4,056,831.99</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3,809,522,710.57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3,814,336,987.64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4,814,277.07</w:t>
            </w:r>
          </w:p>
        </w:tc>
      </w:tr>
    </w:tbl>
    <w:p>
      <w:pPr>
        <w:pStyle w:val="BodyText"/>
        <w:spacing w:line="240" w:lineRule="auto" w:before="33"/>
        <w:ind w:right="1133"/>
        <w:jc w:val="left"/>
      </w:pPr>
      <w:r>
        <w:rPr/>
        <w:t>调整情况说明</w:t>
      </w:r>
    </w:p>
    <w:p>
      <w:pPr>
        <w:pStyle w:val="BodyText"/>
        <w:spacing w:line="405" w:lineRule="auto" w:before="168"/>
        <w:ind w:right="1115" w:firstLine="401"/>
        <w:jc w:val="left"/>
      </w:pPr>
      <w:r>
        <w:rPr>
          <w:spacing w:val="-1"/>
        </w:rPr>
        <w:t>公司的理财产品</w:t>
      </w:r>
      <w:r>
        <w:rPr>
          <w:rFonts w:ascii="Times New Roman" w:hAnsi="Times New Roman" w:cs="Times New Roman" w:eastAsia="Times New Roman" w:hint="default"/>
          <w:spacing w:val="-1"/>
        </w:rPr>
        <w:t>986,300,000.00</w:t>
      </w:r>
      <w:r>
        <w:rPr>
          <w:spacing w:val="-1"/>
        </w:rPr>
        <w:t>元由其他流动资产调整至交易性金融资产，重新计量的金额为</w:t>
      </w:r>
      <w:r>
        <w:rPr>
          <w:rFonts w:ascii="Times New Roman" w:hAnsi="Times New Roman" w:cs="Times New Roman" w:eastAsia="Times New Roman" w:hint="default"/>
          <w:spacing w:val="-1"/>
        </w:rPr>
        <w:t>991,114,277.07</w:t>
      </w:r>
      <w:r>
        <w:rPr>
          <w:rFonts w:ascii="Times New Roman" w:hAnsi="Times New Roman" w:cs="Times New Roman" w:eastAsia="Times New Roman" w:hint="default"/>
          <w:w w:val="99"/>
        </w:rPr>
        <w:t> </w:t>
      </w:r>
      <w:r>
        <w:rPr/>
        <w:t>元；纳入结构化主体的信托产品</w:t>
      </w:r>
      <w:r>
        <w:rPr>
          <w:rFonts w:ascii="Times New Roman" w:hAnsi="Times New Roman" w:cs="Times New Roman" w:eastAsia="Times New Roman" w:hint="default"/>
        </w:rPr>
        <w:t>600,000,000.00</w:t>
      </w:r>
      <w:r>
        <w:rPr/>
        <w:t>元由其他非流动资产重分类至债权投资</w:t>
      </w:r>
      <w:r>
        <w:rPr>
          <w:rFonts w:ascii="Times New Roman" w:hAnsi="Times New Roman" w:cs="Times New Roman" w:eastAsia="Times New Roman" w:hint="default"/>
        </w:rPr>
        <w:t>600,000,000.00</w:t>
      </w:r>
      <w:r>
        <w:rPr/>
        <w:t>元。</w:t>
      </w:r>
    </w:p>
    <w:p>
      <w:pPr>
        <w:pStyle w:val="BodyText"/>
        <w:spacing w:line="429" w:lineRule="auto" w:before="38"/>
        <w:ind w:right="1133" w:firstLine="401"/>
        <w:jc w:val="left"/>
      </w:pPr>
      <w:r>
        <w:rPr/>
        <w:t>公司将持有佛山南海新华村镇银行股份有限公司、大连鼎金企业管理中心（有限合伙）、安徽省金融资产</w:t>
      </w:r>
      <w:r>
        <w:rPr>
          <w:w w:val="99"/>
        </w:rPr>
        <w:t> </w:t>
      </w:r>
      <w:r>
        <w:rPr/>
        <w:t>交易所有限责任公司的股权由可供出售金融资产重分类至其他非流动金融资产</w:t>
      </w:r>
      <w:r>
        <w:rPr>
          <w:rFonts w:ascii="Times New Roman" w:hAnsi="Times New Roman" w:cs="Times New Roman" w:eastAsia="Times New Roman" w:hint="default"/>
        </w:rPr>
        <w:t>18,248,400.00</w:t>
      </w:r>
      <w:r>
        <w:rPr/>
        <w:t>元。</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5" w:footer="980" w:top="1060" w:bottom="1160" w:left="980" w:right="0"/>
        </w:sectPr>
      </w:pPr>
    </w:p>
    <w:p>
      <w:pPr>
        <w:spacing w:line="240" w:lineRule="auto" w:before="1"/>
        <w:rPr>
          <w:rFonts w:ascii="宋体" w:hAnsi="宋体" w:cs="宋体" w:eastAsia="宋体" w:hint="default"/>
          <w:sz w:val="14"/>
          <w:szCs w:val="14"/>
        </w:rPr>
      </w:pPr>
    </w:p>
    <w:p>
      <w:pPr>
        <w:pStyle w:val="BodyText"/>
        <w:spacing w:line="240" w:lineRule="auto"/>
        <w:ind w:right="0"/>
        <w:jc w:val="left"/>
      </w:pPr>
      <w:r>
        <w:rPr>
          <w:w w:val="95"/>
        </w:rPr>
        <w:t>母公司资产负债表</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24"/>
          <w:szCs w:val="2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751" w:space="7169"/>
            <w:col w:w="201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95"/>
        <w:gridCol w:w="2453"/>
        <w:gridCol w:w="2454"/>
        <w:gridCol w:w="2443"/>
      </w:tblGrid>
      <w:tr>
        <w:trPr>
          <w:trHeight w:val="403"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288" w:right="0"/>
              <w:jc w:val="left"/>
              <w:rPr>
                <w:rFonts w:ascii="Times New Roman" w:hAnsi="Times New Roman" w:cs="Times New Roman" w:eastAsia="Times New Roman" w:hint="default"/>
                <w:sz w:val="18"/>
                <w:szCs w:val="18"/>
              </w:rPr>
            </w:pPr>
            <w:r>
              <w:rPr>
                <w:rFonts w:ascii="Times New Roman"/>
                <w:sz w:val="18"/>
              </w:rPr>
              <w:t>215,626,374.05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5" w:right="0"/>
              <w:jc w:val="left"/>
              <w:rPr>
                <w:rFonts w:ascii="Times New Roman" w:hAnsi="Times New Roman" w:cs="Times New Roman" w:eastAsia="Times New Roman" w:hint="default"/>
                <w:sz w:val="18"/>
                <w:szCs w:val="18"/>
              </w:rPr>
            </w:pPr>
            <w:r>
              <w:rPr>
                <w:rFonts w:ascii="Times New Roman"/>
                <w:sz w:val="18"/>
              </w:rPr>
              <w:t>215,626,374.05</w:t>
            </w:r>
          </w:p>
        </w:tc>
        <w:tc>
          <w:tcPr>
            <w:tcW w:w="244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786,997,376.72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786,997,376.72</w:t>
            </w: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28,821,652.00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28,821,652.00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98,039,076.04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98,039,076.04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18,259,881.70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18,259,881.70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235,424,934.28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235,424,934.28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482,631,518.48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482,631,518.48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792,797,308.43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8,797,308.43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-784,000,000.00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1,871,600,744.98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1,874,598,121.70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2,997,376.72</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4,800,000.00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-4,800,000.00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1,900,431,159.63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1,900,431,159.63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4,800,000.00</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7,071,621.43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7,071,621.43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34,200,500.27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34,200,500.27</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67,203,242.86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67,203,242.86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221,908.61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221,908.61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12,765,834.26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12,765,834.26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22,523,250.11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22,523,250.11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2,049,217,517.17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2,049,217,517.17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3,920,818,262.15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3,923,815,638.87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6" w:right="0"/>
              <w:jc w:val="left"/>
              <w:rPr>
                <w:rFonts w:ascii="Times New Roman" w:hAnsi="Times New Roman" w:cs="Times New Roman" w:eastAsia="Times New Roman" w:hint="default"/>
                <w:sz w:val="18"/>
                <w:szCs w:val="18"/>
              </w:rPr>
            </w:pPr>
            <w:r>
              <w:rPr>
                <w:rFonts w:ascii="Times New Roman"/>
                <w:sz w:val="18"/>
              </w:rPr>
              <w:t>2,997,376.72</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317,075,718.84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317,075,718.84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426,324.80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426,324.80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310,572,247.91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310,572,247.91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394,863,562.87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394,863,562.87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14,668,556.67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14,668,556.67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17,598,936.01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17,598,936.01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22,120,106.01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22,120,106.01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54,070,484.20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54,070,484.20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1,131,395,937.31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1,131,395,937.31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51,410,035.67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51,410,035.67</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1,745,711.37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1,745,711.37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449,606.51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449,606.51</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53,155,747.04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53,605,353.55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449,606.51</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1,184,551,684.35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1,185,001,290.86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449,606.51</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337,576,686.00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337,576,686.00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1,775,741,179.64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1,775,741,179.64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68,729,799.54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68,984,576.56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254,777.02</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554,218,912.62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556,511,905.81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2,292,993.19</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2,736,266,577.80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2,738,814,348.01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2,547,770.21</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3,920,818,262.15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3,923,815,638.87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2,997,376.72</w:t>
            </w:r>
          </w:p>
        </w:tc>
      </w:tr>
    </w:tbl>
    <w:p>
      <w:pPr>
        <w:pStyle w:val="BodyText"/>
        <w:spacing w:line="240" w:lineRule="auto" w:before="33"/>
        <w:ind w:right="1133"/>
        <w:jc w:val="left"/>
      </w:pPr>
      <w:r>
        <w:rPr/>
        <w:t>调整情况说明</w:t>
      </w:r>
    </w:p>
    <w:p>
      <w:pPr>
        <w:pStyle w:val="BodyText"/>
        <w:spacing w:line="240" w:lineRule="auto" w:before="168"/>
        <w:ind w:left="554" w:right="982"/>
        <w:jc w:val="left"/>
      </w:pPr>
      <w:r>
        <w:rPr>
          <w:spacing w:val="24"/>
        </w:rPr>
        <w:t>公司的理财产品</w:t>
      </w:r>
      <w:r>
        <w:rPr>
          <w:spacing w:val="-79"/>
        </w:rPr>
        <w:t> </w:t>
      </w:r>
      <w:r>
        <w:rPr>
          <w:rFonts w:ascii="Times New Roman" w:hAnsi="Times New Roman" w:cs="Times New Roman" w:eastAsia="Times New Roman" w:hint="default"/>
        </w:rPr>
        <w:t>784,000,000.00</w:t>
      </w:r>
      <w:r>
        <w:rPr>
          <w:rFonts w:ascii="Times New Roman" w:hAnsi="Times New Roman" w:cs="Times New Roman" w:eastAsia="Times New Roman" w:hint="default"/>
          <w:spacing w:val="-26"/>
        </w:rPr>
        <w:t> </w:t>
      </w:r>
      <w:r>
        <w:rPr>
          <w:spacing w:val="26"/>
        </w:rPr>
        <w:t>元由其他流动资产重分类至交易性金融资</w:t>
      </w:r>
      <w:r>
        <w:rPr>
          <w:spacing w:val="-77"/>
        </w:rPr>
        <w:t> </w:t>
      </w:r>
      <w:r>
        <w:rPr>
          <w:spacing w:val="25"/>
        </w:rPr>
        <w:t>产，重新计量的金额为</w:t>
      </w:r>
      <w:r>
        <w:rPr>
          <w:spacing w:val="-72"/>
        </w:rPr>
        <w:t> </w:t>
      </w:r>
      <w:r>
        <w:rPr/>
      </w:r>
    </w:p>
    <w:p>
      <w:pPr>
        <w:spacing w:line="240" w:lineRule="auto" w:before="8"/>
        <w:rPr>
          <w:rFonts w:ascii="宋体" w:hAnsi="宋体" w:cs="宋体" w:eastAsia="宋体" w:hint="default"/>
          <w:sz w:val="14"/>
          <w:szCs w:val="14"/>
        </w:rPr>
      </w:pPr>
    </w:p>
    <w:p>
      <w:pPr>
        <w:pStyle w:val="BodyText"/>
        <w:spacing w:line="240" w:lineRule="auto"/>
        <w:ind w:right="1133"/>
        <w:jc w:val="left"/>
      </w:pPr>
      <w:r>
        <w:rPr>
          <w:rFonts w:ascii="Times New Roman" w:hAnsi="Times New Roman" w:cs="Times New Roman" w:eastAsia="Times New Roman" w:hint="default"/>
        </w:rPr>
        <w:t>786,997,376.72</w:t>
      </w:r>
      <w:r>
        <w:rPr/>
        <w:t>元。</w:t>
      </w:r>
    </w:p>
    <w:p>
      <w:pPr>
        <w:spacing w:line="240" w:lineRule="auto" w:before="8"/>
        <w:rPr>
          <w:rFonts w:ascii="宋体" w:hAnsi="宋体" w:cs="宋体" w:eastAsia="宋体" w:hint="default"/>
          <w:sz w:val="14"/>
          <w:szCs w:val="14"/>
        </w:rPr>
      </w:pPr>
    </w:p>
    <w:p>
      <w:pPr>
        <w:pStyle w:val="BodyText"/>
        <w:spacing w:line="240" w:lineRule="auto"/>
        <w:ind w:left="554" w:right="982"/>
        <w:jc w:val="left"/>
      </w:pPr>
      <w:r>
        <w:rPr>
          <w:spacing w:val="5"/>
        </w:rPr>
        <w:t>公司将持有安徽省金融资产交易所有限责任公司的股权由可供出售金融资产调整至其他非流动金融资产</w:t>
      </w:r>
    </w:p>
    <w:p>
      <w:pPr>
        <w:spacing w:line="240" w:lineRule="auto" w:before="10"/>
        <w:rPr>
          <w:rFonts w:ascii="宋体" w:hAnsi="宋体" w:cs="宋体" w:eastAsia="宋体" w:hint="default"/>
          <w:sz w:val="15"/>
          <w:szCs w:val="15"/>
        </w:rPr>
      </w:pPr>
    </w:p>
    <w:p>
      <w:pPr>
        <w:pStyle w:val="BodyText"/>
        <w:spacing w:line="240" w:lineRule="auto"/>
        <w:ind w:right="1133"/>
        <w:jc w:val="left"/>
      </w:pPr>
      <w:r>
        <w:rPr>
          <w:rFonts w:ascii="Times New Roman" w:hAnsi="Times New Roman" w:cs="Times New Roman" w:eastAsia="Times New Roman" w:hint="default"/>
        </w:rPr>
        <w:t>4,800,000.00</w:t>
      </w:r>
      <w:r>
        <w:rPr/>
        <w:t>元。</w:t>
      </w:r>
    </w:p>
    <w:p>
      <w:pPr>
        <w:spacing w:line="240" w:lineRule="auto" w:before="0"/>
        <w:rPr>
          <w:rFonts w:ascii="宋体" w:hAnsi="宋体" w:cs="宋体" w:eastAsia="宋体" w:hint="default"/>
          <w:sz w:val="20"/>
          <w:szCs w:val="20"/>
        </w:rPr>
      </w:pPr>
    </w:p>
    <w:p>
      <w:pPr>
        <w:pStyle w:val="Heading3"/>
        <w:spacing w:line="240" w:lineRule="auto" w:before="145"/>
        <w:ind w:right="1133"/>
        <w:jc w:val="left"/>
        <w:rPr>
          <w:b w:val="0"/>
          <w:bCs w:val="0"/>
        </w:rPr>
      </w:pPr>
      <w:bookmarkStart w:name="（4）2019年起执行新金融工具准则或新租赁准则追溯调整前期比较数据说明" w:id="215"/>
      <w:bookmarkEnd w:id="215"/>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2"/>
        <w:rPr>
          <w:rFonts w:ascii="宋体" w:hAnsi="宋体" w:cs="宋体" w:eastAsia="宋体" w:hint="default"/>
          <w:b/>
          <w:bCs/>
          <w:sz w:val="25"/>
          <w:szCs w:val="25"/>
        </w:rPr>
      </w:pPr>
    </w:p>
    <w:p>
      <w:pPr>
        <w:spacing w:line="496" w:lineRule="auto" w:before="0"/>
        <w:ind w:left="152" w:right="8962" w:firstLine="0"/>
        <w:jc w:val="left"/>
        <w:rPr>
          <w:rFonts w:ascii="宋体" w:hAnsi="宋体" w:cs="宋体" w:eastAsia="宋体" w:hint="default"/>
          <w:sz w:val="21"/>
          <w:szCs w:val="21"/>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48"/>
          <w:sz w:val="20"/>
          <w:szCs w:val="20"/>
        </w:rPr>
        <w:t> </w:t>
      </w:r>
      <w:r>
        <w:rPr>
          <w:rFonts w:ascii="宋体" w:hAnsi="宋体" w:cs="宋体" w:eastAsia="宋体" w:hint="default"/>
          <w:sz w:val="20"/>
          <w:szCs w:val="20"/>
        </w:rPr>
        <w:t>不适用</w:t>
      </w:r>
      <w:r>
        <w:rPr>
          <w:rFonts w:ascii="宋体" w:hAnsi="宋体" w:cs="宋体" w:eastAsia="宋体" w:hint="default"/>
          <w:w w:val="99"/>
          <w:sz w:val="20"/>
          <w:szCs w:val="20"/>
        </w:rPr>
        <w:t> </w:t>
      </w:r>
      <w:bookmarkStart w:name="六、税项" w:id="216"/>
      <w:bookmarkEnd w:id="216"/>
      <w:r>
        <w:rPr>
          <w:rFonts w:ascii="宋体" w:hAnsi="宋体" w:cs="宋体" w:eastAsia="宋体" w:hint="default"/>
          <w:w w:val="99"/>
          <w:sz w:val="20"/>
          <w:szCs w:val="20"/>
        </w:rPr>
      </w:r>
      <w:r>
        <w:rPr>
          <w:rFonts w:ascii="宋体" w:hAnsi="宋体" w:cs="宋体" w:eastAsia="宋体" w:hint="default"/>
          <w:b/>
          <w:bCs/>
          <w:sz w:val="24"/>
          <w:szCs w:val="24"/>
        </w:rPr>
        <w:t>六、税项</w:t>
      </w:r>
      <w:r>
        <w:rPr>
          <w:rFonts w:ascii="宋体" w:hAnsi="宋体" w:cs="宋体" w:eastAsia="宋体" w:hint="default"/>
          <w:b/>
          <w:bCs/>
          <w:w w:val="99"/>
          <w:sz w:val="24"/>
          <w:szCs w:val="24"/>
        </w:rPr>
        <w:t> </w:t>
      </w:r>
      <w:bookmarkStart w:name="1、主要税种及税率" w:id="217"/>
      <w:bookmarkEnd w:id="21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8"/>
          <w:szCs w:val="18"/>
        </w:rPr>
      </w:pPr>
    </w:p>
    <w:p>
      <w:pPr>
        <w:spacing w:before="63"/>
        <w:ind w:left="0" w:right="1138" w:firstLine="0"/>
        <w:jc w:val="right"/>
        <w:rPr>
          <w:rFonts w:ascii="宋体" w:hAnsi="宋体" w:cs="宋体" w:eastAsia="宋体" w:hint="default"/>
          <w:sz w:val="18"/>
          <w:szCs w:val="18"/>
        </w:rPr>
      </w:pPr>
      <w:r>
        <w:rPr/>
        <w:pict>
          <v:shape style="position:absolute;margin-left:57pt;margin-top:-20.89432pt;width:478.7pt;height:40.7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8"/>
                          <w:ind w:right="70"/>
                          <w:jc w:val="center"/>
                          <w:rPr>
                            <w:rFonts w:ascii="宋体" w:hAnsi="宋体" w:cs="宋体" w:eastAsia="宋体" w:hint="default"/>
                            <w:sz w:val="18"/>
                            <w:szCs w:val="18"/>
                          </w:rPr>
                        </w:pPr>
                        <w:r>
                          <w:rPr>
                            <w:rFonts w:ascii="宋体" w:hAnsi="宋体" w:cs="宋体" w:eastAsia="宋体" w:hint="default"/>
                            <w:sz w:val="18"/>
                            <w:szCs w:val="18"/>
                          </w:rPr>
                          <w:t>按税法规定计算的销售货物和应税劳务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17%</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16%</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13%</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11%</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9%</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6%</w:t>
                        </w:r>
                        <w:r>
                          <w:rPr>
                            <w:rFonts w:ascii="Times New Roman" w:hAnsi="Times New Roman" w:cs="Times New Roman" w:eastAsia="Times New Roman" w:hint="default"/>
                            <w:sz w:val="18"/>
                            <w:szCs w:val="18"/>
                          </w:rPr>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98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94"/>
              <w:jc w:val="both"/>
              <w:rPr>
                <w:rFonts w:ascii="宋体" w:hAnsi="宋体" w:cs="宋体" w:eastAsia="宋体" w:hint="default"/>
                <w:sz w:val="18"/>
                <w:szCs w:val="18"/>
              </w:rPr>
            </w:pPr>
            <w:r>
              <w:rPr>
                <w:rFonts w:ascii="宋体" w:hAnsi="宋体" w:cs="宋体" w:eastAsia="宋体" w:hint="default"/>
                <w:sz w:val="18"/>
                <w:szCs w:val="18"/>
              </w:rPr>
              <w:t>收入为基础计算销项税额，在扣除当期 允许抵扣的进项税额后，差额部分为应 交增值税。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按实际缴纳的增值税计缴</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按实际缴纳的增值税计缴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按照应纳税所得额计缴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按实际缴纳的增值税计缴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按实际缴纳的增值税计缴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33"/>
        <w:ind w:right="1133"/>
        <w:jc w:val="left"/>
      </w:pPr>
      <w:r>
        <w:rPr/>
        <w:t>存在不同企业所得税税率纳税主体的，披露情况说明</w:t>
      </w:r>
    </w:p>
    <w:p>
      <w:pPr>
        <w:spacing w:line="240" w:lineRule="auto" w:before="7"/>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北京中科金财科技股份有限公司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天津中科金财科技有限公司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北京中科金财信息科技有限公司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北京中科金财软件技术有限公司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北京中科金财投资管理有限公司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中科金财（上海）互联网金融信息服务有限公司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天津壬辰软件开发有限公司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大连鼎运企业管理有限公司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中科金财保险经纪有限公司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华缔资产管理（北京）有限公司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深圳中金财富科技有限公司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香港中科金财科技有限公司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深圳前海中科金财金控投资有限公司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北京志东方科技有限责任公司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税收优惠" w:id="218"/>
      <w:bookmarkEnd w:id="218"/>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2"/>
        <w:rPr>
          <w:rFonts w:ascii="宋体" w:hAnsi="宋体" w:cs="宋体" w:eastAsia="宋体" w:hint="default"/>
          <w:b/>
          <w:bCs/>
          <w:sz w:val="31"/>
          <w:szCs w:val="31"/>
        </w:rPr>
      </w:pPr>
    </w:p>
    <w:p>
      <w:pPr>
        <w:pStyle w:val="BodyText"/>
        <w:spacing w:line="405" w:lineRule="auto"/>
        <w:ind w:left="554" w:right="1133"/>
        <w:jc w:val="left"/>
      </w:pPr>
      <w:r>
        <w:rPr/>
        <w:t>（</w:t>
      </w:r>
      <w:r>
        <w:rPr>
          <w:rFonts w:ascii="Times New Roman" w:hAnsi="Times New Roman" w:cs="Times New Roman" w:eastAsia="Times New Roman" w:hint="default"/>
        </w:rPr>
        <w:t>1</w:t>
      </w:r>
      <w:r>
        <w:rPr/>
        <w:t>）企业所得税减免</w:t>
      </w:r>
      <w:r>
        <w:rPr>
          <w:w w:val="99"/>
        </w:rPr>
        <w:t> </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日取得北京市科学技术委员会、北京市财政局、北京市国家税务局、北京市地方税务</w:t>
      </w:r>
    </w:p>
    <w:p>
      <w:pPr>
        <w:pStyle w:val="BodyText"/>
        <w:spacing w:line="405" w:lineRule="auto" w:before="38"/>
        <w:ind w:right="1133"/>
        <w:jc w:val="left"/>
      </w:pPr>
      <w:r>
        <w:rPr>
          <w:w w:val="95"/>
        </w:rPr>
        <w:t>局核发的编号为</w:t>
      </w:r>
      <w:r>
        <w:rPr>
          <w:rFonts w:ascii="Times New Roman" w:hAnsi="Times New Roman" w:cs="Times New Roman" w:eastAsia="Times New Roman" w:hint="default"/>
          <w:w w:val="95"/>
        </w:rPr>
        <w:t>GR201711003394</w:t>
      </w:r>
      <w:r>
        <w:rPr>
          <w:w w:val="95"/>
        </w:rPr>
        <w:t>的《高新技术企业证书》，有效期</w:t>
      </w:r>
      <w:r>
        <w:rPr>
          <w:rFonts w:ascii="Times New Roman" w:hAnsi="Times New Roman" w:cs="Times New Roman" w:eastAsia="Times New Roman" w:hint="default"/>
          <w:w w:val="95"/>
        </w:rPr>
        <w:t>3</w:t>
      </w:r>
      <w:r>
        <w:rPr>
          <w:w w:val="95"/>
        </w:rPr>
        <w:t>年。根据《中华人民共和国企业所得税法》</w:t>
      </w:r>
      <w:r>
        <w:rPr>
          <w:spacing w:val="59"/>
          <w:w w:val="95"/>
        </w:rPr>
        <w:t> </w:t>
      </w:r>
      <w:r>
        <w:rPr>
          <w:spacing w:val="59"/>
          <w:w w:val="95"/>
        </w:rPr>
      </w:r>
      <w:r>
        <w:rPr/>
        <w:t>第</w:t>
      </w:r>
      <w:r>
        <w:rPr>
          <w:rFonts w:ascii="Times New Roman" w:hAnsi="Times New Roman" w:cs="Times New Roman" w:eastAsia="Times New Roman" w:hint="default"/>
        </w:rPr>
        <w:t>28</w:t>
      </w:r>
      <w:r>
        <w:rPr/>
        <w:t>条的规定，</w:t>
      </w:r>
      <w:r>
        <w:rPr>
          <w:rFonts w:ascii="Times New Roman" w:hAnsi="Times New Roman" w:cs="Times New Roman" w:eastAsia="Times New Roman" w:hint="default"/>
        </w:rPr>
        <w:t>2019</w:t>
      </w:r>
      <w:r>
        <w:rPr/>
        <w:t>年度按</w:t>
      </w:r>
      <w:r>
        <w:rPr>
          <w:rFonts w:ascii="Times New Roman" w:hAnsi="Times New Roman" w:cs="Times New Roman" w:eastAsia="Times New Roman" w:hint="default"/>
        </w:rPr>
        <w:t>15%</w:t>
      </w:r>
      <w:r>
        <w:rPr/>
        <w:t>的税率缴纳企业所得税。</w:t>
      </w:r>
    </w:p>
    <w:p>
      <w:pPr>
        <w:pStyle w:val="BodyText"/>
        <w:spacing w:line="405" w:lineRule="auto" w:before="38"/>
        <w:ind w:right="1131" w:firstLine="401"/>
        <w:jc w:val="both"/>
      </w:pPr>
      <w:r>
        <w:rPr/>
        <w:t>子公司北京中科金财信息科技有限公司于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日取得北京市科学技术委员会、北京市财政局、北</w:t>
      </w:r>
      <w:r>
        <w:rPr>
          <w:w w:val="99"/>
        </w:rPr>
        <w:t> </w:t>
      </w:r>
      <w:r>
        <w:rPr/>
        <w:t>京市国家税务局、北京市地方税务局核发的编号为</w:t>
      </w:r>
      <w:r>
        <w:rPr>
          <w:rFonts w:ascii="Times New Roman" w:hAnsi="Times New Roman" w:cs="Times New Roman" w:eastAsia="Times New Roman" w:hint="default"/>
        </w:rPr>
        <w:t>GR201711002489</w:t>
      </w:r>
      <w:r>
        <w:rPr/>
        <w:t>的《高新技术企业证书》，有效期</w:t>
      </w:r>
      <w:r>
        <w:rPr>
          <w:rFonts w:ascii="Times New Roman" w:hAnsi="Times New Roman" w:cs="Times New Roman" w:eastAsia="Times New Roman" w:hint="default"/>
        </w:rPr>
        <w:t>3</w:t>
      </w:r>
      <w:r>
        <w:rPr/>
        <w:t>年。根</w:t>
      </w:r>
      <w:r>
        <w:rPr>
          <w:spacing w:val="-54"/>
        </w:rPr>
        <w:t> </w:t>
      </w:r>
      <w:r>
        <w:rPr>
          <w:spacing w:val="-54"/>
        </w:rPr>
      </w:r>
      <w:r>
        <w:rPr/>
        <w:t>据《中华人民共和国企业所得税法》第</w:t>
      </w:r>
      <w:r>
        <w:rPr>
          <w:rFonts w:ascii="Times New Roman" w:hAnsi="Times New Roman" w:cs="Times New Roman" w:eastAsia="Times New Roman" w:hint="default"/>
        </w:rPr>
        <w:t>28</w:t>
      </w:r>
      <w:r>
        <w:rPr/>
        <w:t>条的规定，</w:t>
      </w:r>
      <w:r>
        <w:rPr>
          <w:rFonts w:ascii="Times New Roman" w:hAnsi="Times New Roman" w:cs="Times New Roman" w:eastAsia="Times New Roman" w:hint="default"/>
        </w:rPr>
        <w:t>2019</w:t>
      </w:r>
      <w:r>
        <w:rPr/>
        <w:t>年度按</w:t>
      </w:r>
      <w:r>
        <w:rPr>
          <w:rFonts w:ascii="Times New Roman" w:hAnsi="Times New Roman" w:cs="Times New Roman" w:eastAsia="Times New Roman" w:hint="default"/>
        </w:rPr>
        <w:t>15%</w:t>
      </w:r>
      <w:r>
        <w:rPr/>
        <w:t>的税率缴纳企业所得税。</w:t>
      </w:r>
    </w:p>
    <w:p>
      <w:pPr>
        <w:spacing w:after="0" w:line="405"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05" w:lineRule="auto"/>
        <w:ind w:right="1130" w:firstLine="401"/>
        <w:jc w:val="both"/>
      </w:pPr>
      <w:r>
        <w:rPr>
          <w:spacing w:val="-2"/>
        </w:rPr>
        <w:t>子公司天津壬辰软件有限公司</w:t>
      </w:r>
      <w:r>
        <w:rPr>
          <w:rFonts w:ascii="Times New Roman" w:hAnsi="Times New Roman" w:cs="Times New Roman" w:eastAsia="Times New Roman" w:hint="default"/>
          <w:spacing w:val="-2"/>
        </w:rPr>
        <w:t>2019</w:t>
      </w:r>
      <w:r>
        <w:rPr>
          <w:spacing w:val="-2"/>
        </w:rPr>
        <w:t>年满足小型微利企业的要求，根据财税</w:t>
      </w:r>
      <w:r>
        <w:rPr>
          <w:rFonts w:ascii="Times New Roman" w:hAnsi="Times New Roman" w:cs="Times New Roman" w:eastAsia="Times New Roman" w:hint="default"/>
          <w:spacing w:val="-2"/>
        </w:rPr>
        <w:t>[2019]13</w:t>
      </w:r>
      <w:r>
        <w:rPr>
          <w:spacing w:val="-2"/>
        </w:rPr>
        <w:t>号文政策规定，对小型微</w:t>
      </w:r>
      <w:r>
        <w:rPr>
          <w:w w:val="99"/>
        </w:rPr>
        <w:t> </w:t>
      </w:r>
      <w:r>
        <w:rPr/>
        <w:t>利企业年应纳税所得额不超过</w:t>
      </w:r>
      <w:r>
        <w:rPr>
          <w:rFonts w:ascii="Times New Roman" w:hAnsi="Times New Roman" w:cs="Times New Roman" w:eastAsia="Times New Roman" w:hint="default"/>
        </w:rPr>
        <w:t>100</w:t>
      </w:r>
      <w:r>
        <w:rPr/>
        <w:t>万元的部分，减按</w:t>
      </w:r>
      <w:r>
        <w:rPr>
          <w:rFonts w:ascii="Times New Roman" w:hAnsi="Times New Roman" w:cs="Times New Roman" w:eastAsia="Times New Roman" w:hint="default"/>
        </w:rPr>
        <w:t>25%</w:t>
      </w:r>
      <w:r>
        <w:rPr/>
        <w:t>计入应纳税所得额，按</w:t>
      </w:r>
      <w:r>
        <w:rPr>
          <w:rFonts w:ascii="Times New Roman" w:hAnsi="Times New Roman" w:cs="Times New Roman" w:eastAsia="Times New Roman" w:hint="default"/>
        </w:rPr>
        <w:t>20%</w:t>
      </w:r>
      <w:r>
        <w:rPr/>
        <w:t>的税率缴纳企业所得税；对</w:t>
      </w:r>
      <w:r>
        <w:rPr>
          <w:w w:val="99"/>
        </w:rPr>
        <w:t> </w:t>
      </w:r>
      <w:r>
        <w:rPr>
          <w:spacing w:val="-2"/>
        </w:rPr>
        <w:t>年应纳税所得额超过</w:t>
      </w:r>
      <w:r>
        <w:rPr>
          <w:rFonts w:ascii="Times New Roman" w:hAnsi="Times New Roman" w:cs="Times New Roman" w:eastAsia="Times New Roman" w:hint="default"/>
          <w:spacing w:val="-2"/>
        </w:rPr>
        <w:t>100</w:t>
      </w:r>
      <w:r>
        <w:rPr>
          <w:spacing w:val="-2"/>
        </w:rPr>
        <w:t>万元但不超过</w:t>
      </w:r>
      <w:r>
        <w:rPr>
          <w:rFonts w:ascii="Times New Roman" w:hAnsi="Times New Roman" w:cs="Times New Roman" w:eastAsia="Times New Roman" w:hint="default"/>
          <w:spacing w:val="-2"/>
        </w:rPr>
        <w:t>300</w:t>
      </w:r>
      <w:r>
        <w:rPr>
          <w:spacing w:val="-2"/>
        </w:rPr>
        <w:t>万元的部分，减按</w:t>
      </w:r>
      <w:r>
        <w:rPr>
          <w:rFonts w:ascii="Times New Roman" w:hAnsi="Times New Roman" w:cs="Times New Roman" w:eastAsia="Times New Roman" w:hint="default"/>
          <w:spacing w:val="-2"/>
        </w:rPr>
        <w:t>50%</w:t>
      </w:r>
      <w:r>
        <w:rPr>
          <w:spacing w:val="-2"/>
        </w:rPr>
        <w:t>计入应纳税所得额，按</w:t>
      </w:r>
      <w:r>
        <w:rPr>
          <w:rFonts w:ascii="Times New Roman" w:hAnsi="Times New Roman" w:cs="Times New Roman" w:eastAsia="Times New Roman" w:hint="default"/>
          <w:spacing w:val="-2"/>
        </w:rPr>
        <w:t>20%</w:t>
      </w:r>
      <w:r>
        <w:rPr>
          <w:spacing w:val="-2"/>
        </w:rPr>
        <w:t>的税率缴纳企业所得</w:t>
      </w:r>
      <w:r>
        <w:rPr>
          <w:spacing w:val="-96"/>
        </w:rPr>
        <w:t> </w:t>
      </w:r>
      <w:r>
        <w:rPr>
          <w:spacing w:val="-96"/>
        </w:rPr>
      </w:r>
      <w:r>
        <w:rPr/>
        <w:t>税。天津壬辰软件有限公司</w:t>
      </w:r>
      <w:r>
        <w:rPr>
          <w:rFonts w:ascii="Times New Roman" w:hAnsi="Times New Roman" w:cs="Times New Roman" w:eastAsia="Times New Roman" w:hint="default"/>
        </w:rPr>
        <w:t>2019</w:t>
      </w:r>
      <w:r>
        <w:rPr/>
        <w:t>年度按</w:t>
      </w:r>
      <w:r>
        <w:rPr>
          <w:rFonts w:ascii="Times New Roman" w:hAnsi="Times New Roman" w:cs="Times New Roman" w:eastAsia="Times New Roman" w:hint="default"/>
        </w:rPr>
        <w:t>25%</w:t>
      </w:r>
      <w:r>
        <w:rPr/>
        <w:t>计入应纳税额所得额，按</w:t>
      </w:r>
      <w:r>
        <w:rPr>
          <w:rFonts w:ascii="Times New Roman" w:hAnsi="Times New Roman" w:cs="Times New Roman" w:eastAsia="Times New Roman" w:hint="default"/>
        </w:rPr>
        <w:t>20%</w:t>
      </w:r>
      <w:r>
        <w:rPr/>
        <w:t>税率缴纳企业所得税。</w:t>
      </w:r>
    </w:p>
    <w:p>
      <w:pPr>
        <w:pStyle w:val="BodyText"/>
        <w:spacing w:line="412" w:lineRule="auto" w:before="38"/>
        <w:ind w:right="1128" w:firstLine="401"/>
        <w:jc w:val="both"/>
      </w:pPr>
      <w:r>
        <w:rPr/>
        <w:t>子公司北京中科金财软件技术有限公司已根据《财政部</w:t>
      </w:r>
      <w:r>
        <w:rPr>
          <w:spacing w:val="-60"/>
        </w:rPr>
        <w:t> </w:t>
      </w:r>
      <w:r>
        <w:rPr/>
        <w:t>税务总局关于集成电路设计和软件产业企业所得税</w:t>
      </w:r>
      <w:r>
        <w:rPr>
          <w:w w:val="99"/>
        </w:rPr>
        <w:t> </w:t>
      </w:r>
      <w:r>
        <w:rPr>
          <w:spacing w:val="-1"/>
        </w:rPr>
        <w:t>政策的公告》财政部税务总局公告</w:t>
      </w:r>
      <w:r>
        <w:rPr>
          <w:rFonts w:ascii="Times New Roman" w:hAnsi="Times New Roman" w:cs="Times New Roman" w:eastAsia="Times New Roman" w:hint="default"/>
          <w:spacing w:val="-1"/>
        </w:rPr>
        <w:t>2019</w:t>
      </w:r>
      <w:r>
        <w:rPr>
          <w:spacing w:val="-1"/>
        </w:rPr>
        <w:t>年第</w:t>
      </w:r>
      <w:r>
        <w:rPr>
          <w:rFonts w:ascii="Times New Roman" w:hAnsi="Times New Roman" w:cs="Times New Roman" w:eastAsia="Times New Roman" w:hint="default"/>
          <w:spacing w:val="-1"/>
        </w:rPr>
        <w:t>68</w:t>
      </w:r>
      <w:r>
        <w:rPr>
          <w:spacing w:val="-1"/>
        </w:rPr>
        <w:t>号文件规定办理企业所得税减免备案，文件规定：</w:t>
      </w:r>
      <w:r>
        <w:rPr>
          <w:rFonts w:ascii="Times New Roman" w:hAnsi="Times New Roman" w:cs="Times New Roman" w:eastAsia="Times New Roman" w:hint="default"/>
          <w:spacing w:val="-1"/>
        </w:rPr>
        <w:t>“</w:t>
      </w:r>
      <w:r>
        <w:rPr>
          <w:spacing w:val="-1"/>
        </w:rPr>
        <w:t>依法成立且符</w:t>
      </w:r>
      <w:r>
        <w:rPr>
          <w:w w:val="99"/>
        </w:rPr>
        <w:t> </w:t>
      </w:r>
      <w:r>
        <w:rPr/>
        <w:t>合条件的集成电路设计企业和软件企业，在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日前自获利年度起计算优惠期，第一年至第二年免征</w:t>
      </w:r>
      <w:r>
        <w:rPr>
          <w:spacing w:val="-74"/>
        </w:rPr>
        <w:t> </w:t>
      </w:r>
      <w:r>
        <w:rPr>
          <w:spacing w:val="-74"/>
        </w:rPr>
      </w:r>
      <w:r>
        <w:rPr>
          <w:spacing w:val="-3"/>
          <w:w w:val="95"/>
        </w:rPr>
        <w:t>企业所得税，第三年至第五年按照</w:t>
      </w:r>
      <w:r>
        <w:rPr>
          <w:rFonts w:ascii="Times New Roman" w:hAnsi="Times New Roman" w:cs="Times New Roman" w:eastAsia="Times New Roman" w:hint="default"/>
          <w:spacing w:val="-3"/>
          <w:w w:val="95"/>
        </w:rPr>
        <w:t>25%</w:t>
      </w:r>
      <w:r>
        <w:rPr>
          <w:spacing w:val="-3"/>
          <w:w w:val="95"/>
        </w:rPr>
        <w:t>的法定税率减半征收企业所得税，并享受至期满为止。</w:t>
      </w:r>
      <w:r>
        <w:rPr>
          <w:rFonts w:ascii="Times New Roman" w:hAnsi="Times New Roman" w:cs="Times New Roman" w:eastAsia="Times New Roman" w:hint="default"/>
          <w:spacing w:val="-3"/>
          <w:w w:val="95"/>
        </w:rPr>
        <w:t>”2019</w:t>
      </w:r>
      <w:r>
        <w:rPr>
          <w:spacing w:val="-3"/>
          <w:w w:val="95"/>
        </w:rPr>
        <w:t>年度按照</w:t>
      </w:r>
      <w:r>
        <w:rPr>
          <w:rFonts w:ascii="Times New Roman" w:hAnsi="Times New Roman" w:cs="Times New Roman" w:eastAsia="Times New Roman" w:hint="default"/>
          <w:spacing w:val="-3"/>
          <w:w w:val="95"/>
        </w:rPr>
        <w:t>25%</w:t>
      </w:r>
      <w:r>
        <w:rPr>
          <w:rFonts w:ascii="Times New Roman" w:hAnsi="Times New Roman" w:cs="Times New Roman" w:eastAsia="Times New Roman" w:hint="default"/>
          <w:spacing w:val="19"/>
          <w:w w:val="95"/>
        </w:rPr>
        <w:t> </w:t>
      </w:r>
      <w:r>
        <w:rPr>
          <w:rFonts w:ascii="Times New Roman" w:hAnsi="Times New Roman" w:cs="Times New Roman" w:eastAsia="Times New Roman" w:hint="default"/>
          <w:spacing w:val="19"/>
          <w:w w:val="95"/>
        </w:rPr>
      </w:r>
      <w:r>
        <w:rPr/>
        <w:t>的法定税率减半征收企业所得税。</w:t>
      </w:r>
    </w:p>
    <w:p>
      <w:pPr>
        <w:pStyle w:val="BodyText"/>
        <w:spacing w:line="405" w:lineRule="auto" w:before="62"/>
        <w:ind w:right="1134" w:firstLine="401"/>
        <w:jc w:val="both"/>
      </w:pPr>
      <w:r>
        <w:rPr>
          <w:spacing w:val="-1"/>
          <w:w w:val="95"/>
        </w:rPr>
        <w:t>子公司北京志东方科技有限责任公司于</w:t>
      </w:r>
      <w:r>
        <w:rPr>
          <w:rFonts w:ascii="Times New Roman" w:hAnsi="Times New Roman" w:cs="Times New Roman" w:eastAsia="Times New Roman" w:hint="default"/>
          <w:spacing w:val="-1"/>
          <w:w w:val="95"/>
        </w:rPr>
        <w:t>2018</w:t>
      </w:r>
      <w:r>
        <w:rPr>
          <w:spacing w:val="-1"/>
          <w:w w:val="95"/>
        </w:rPr>
        <w:t>年</w:t>
      </w:r>
      <w:r>
        <w:rPr>
          <w:rFonts w:ascii="Times New Roman" w:hAnsi="Times New Roman" w:cs="Times New Roman" w:eastAsia="Times New Roman" w:hint="default"/>
          <w:spacing w:val="-1"/>
          <w:w w:val="95"/>
        </w:rPr>
        <w:t>9</w:t>
      </w:r>
      <w:r>
        <w:rPr>
          <w:spacing w:val="-1"/>
          <w:w w:val="95"/>
        </w:rPr>
        <w:t>月</w:t>
      </w:r>
      <w:r>
        <w:rPr>
          <w:rFonts w:ascii="Times New Roman" w:hAnsi="Times New Roman" w:cs="Times New Roman" w:eastAsia="Times New Roman" w:hint="default"/>
          <w:spacing w:val="-1"/>
          <w:w w:val="95"/>
        </w:rPr>
        <w:t>10</w:t>
      </w:r>
      <w:r>
        <w:rPr>
          <w:spacing w:val="-1"/>
          <w:w w:val="95"/>
        </w:rPr>
        <w:t>日取得北京市科学技术委员会、北京市财政局、北京市</w:t>
      </w:r>
      <w:r>
        <w:rPr>
          <w:spacing w:val="-54"/>
          <w:w w:val="95"/>
        </w:rPr>
        <w:t> </w:t>
      </w:r>
      <w:r>
        <w:rPr>
          <w:spacing w:val="-54"/>
          <w:w w:val="95"/>
        </w:rPr>
      </w:r>
      <w:r>
        <w:rPr/>
        <w:t>国家税务局核发的编号为</w:t>
      </w:r>
      <w:r>
        <w:rPr>
          <w:rFonts w:ascii="Times New Roman" w:hAnsi="Times New Roman" w:cs="Times New Roman" w:eastAsia="Times New Roman" w:hint="default"/>
        </w:rPr>
        <w:t>GR201811002137</w:t>
      </w:r>
      <w:r>
        <w:rPr/>
        <w:t>的《高新技术企业证书》，有效期</w:t>
      </w:r>
      <w:r>
        <w:rPr>
          <w:rFonts w:ascii="Times New Roman" w:hAnsi="Times New Roman" w:cs="Times New Roman" w:eastAsia="Times New Roman" w:hint="default"/>
        </w:rPr>
        <w:t>3</w:t>
      </w:r>
      <w:r>
        <w:rPr/>
        <w:t>年。根据《中华人民共和国企业</w:t>
      </w:r>
      <w:r>
        <w:rPr>
          <w:spacing w:val="-55"/>
        </w:rPr>
        <w:t> </w:t>
      </w:r>
      <w:r>
        <w:rPr>
          <w:spacing w:val="-55"/>
        </w:rPr>
      </w:r>
      <w:r>
        <w:rPr/>
        <w:t>所得税法》第</w:t>
      </w:r>
      <w:r>
        <w:rPr>
          <w:rFonts w:ascii="Times New Roman" w:hAnsi="Times New Roman" w:cs="Times New Roman" w:eastAsia="Times New Roman" w:hint="default"/>
        </w:rPr>
        <w:t>28</w:t>
      </w:r>
      <w:r>
        <w:rPr/>
        <w:t>条的规定，</w:t>
      </w:r>
      <w:r>
        <w:rPr>
          <w:rFonts w:ascii="Times New Roman" w:hAnsi="Times New Roman" w:cs="Times New Roman" w:eastAsia="Times New Roman" w:hint="default"/>
        </w:rPr>
        <w:t>2019</w:t>
      </w:r>
      <w:r>
        <w:rPr/>
        <w:t>年度按</w:t>
      </w:r>
      <w:r>
        <w:rPr>
          <w:rFonts w:ascii="Times New Roman" w:hAnsi="Times New Roman" w:cs="Times New Roman" w:eastAsia="Times New Roman" w:hint="default"/>
        </w:rPr>
        <w:t>15%</w:t>
      </w:r>
      <w:r>
        <w:rPr/>
        <w:t>的税率缴纳企业所得税。</w:t>
      </w:r>
    </w:p>
    <w:p>
      <w:pPr>
        <w:pStyle w:val="BodyText"/>
        <w:spacing w:line="405" w:lineRule="auto" w:before="38"/>
        <w:ind w:left="554" w:right="1125"/>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）增值税减免及退税</w:t>
      </w:r>
      <w:r>
        <w:rPr>
          <w:w w:val="99"/>
        </w:rPr>
        <w:t> </w:t>
      </w:r>
      <w:r>
        <w:rPr>
          <w:spacing w:val="-2"/>
        </w:rPr>
        <w:t>根据《财政部国家税务总局关于全面推开营业税改征增值税试点的通知》财税</w:t>
      </w:r>
      <w:r>
        <w:rPr>
          <w:rFonts w:ascii="Times New Roman" w:hAnsi="Times New Roman" w:cs="Times New Roman" w:eastAsia="Times New Roman" w:hint="default"/>
          <w:spacing w:val="-2"/>
        </w:rPr>
        <w:t>[2016]36</w:t>
      </w:r>
      <w:r>
        <w:rPr>
          <w:spacing w:val="-2"/>
        </w:rPr>
        <w:t>号规定，本公司</w:t>
      </w:r>
      <w:r>
        <w:rPr>
          <w:rFonts w:ascii="Times New Roman" w:hAnsi="Times New Roman" w:cs="Times New Roman" w:eastAsia="Times New Roman" w:hint="default"/>
          <w:spacing w:val="-2"/>
        </w:rPr>
        <w:t>2019</w:t>
      </w:r>
      <w:r>
        <w:rPr>
          <w:rFonts w:ascii="Times New Roman" w:hAnsi="Times New Roman" w:cs="Times New Roman" w:eastAsia="Times New Roman" w:hint="default"/>
        </w:rPr>
      </w:r>
    </w:p>
    <w:p>
      <w:pPr>
        <w:pStyle w:val="BodyText"/>
        <w:spacing w:line="240" w:lineRule="auto" w:before="38"/>
        <w:ind w:right="1133"/>
        <w:jc w:val="left"/>
      </w:pPr>
      <w:r>
        <w:rPr/>
        <w:t>年度提供技术转让、技术开发业务和与之相关的技术咨询、技术服务业务取得的收入免征增值税。</w:t>
      </w:r>
    </w:p>
    <w:p>
      <w:pPr>
        <w:spacing w:line="240" w:lineRule="auto" w:before="10"/>
        <w:rPr>
          <w:rFonts w:ascii="宋体" w:hAnsi="宋体" w:cs="宋体" w:eastAsia="宋体" w:hint="default"/>
          <w:sz w:val="15"/>
          <w:szCs w:val="15"/>
        </w:rPr>
      </w:pPr>
    </w:p>
    <w:p>
      <w:pPr>
        <w:pStyle w:val="BodyText"/>
        <w:spacing w:line="405" w:lineRule="auto"/>
        <w:ind w:right="1035" w:firstLine="401"/>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日，国务院颁发《进一步鼓励软件产业和集成电路产业发展的若干政策》（国发</w:t>
      </w:r>
      <w:r>
        <w:rPr>
          <w:rFonts w:ascii="Times New Roman" w:hAnsi="Times New Roman" w:cs="Times New Roman" w:eastAsia="Times New Roman" w:hint="default"/>
        </w:rPr>
        <w:t>[2011]4</w:t>
      </w:r>
      <w:r>
        <w:rPr/>
        <w:t>号），</w:t>
      </w:r>
      <w:r>
        <w:rPr>
          <w:w w:val="99"/>
        </w:rPr>
        <w:t> </w:t>
      </w:r>
      <w:r>
        <w:rPr/>
        <w:t>规定明确了</w:t>
      </w:r>
      <w:r>
        <w:rPr>
          <w:rFonts w:ascii="Times New Roman" w:hAnsi="Times New Roman" w:cs="Times New Roman" w:eastAsia="Times New Roman" w:hint="default"/>
        </w:rPr>
        <w:t>“</w:t>
      </w:r>
      <w:r>
        <w:rPr/>
        <w:t>继续实施软件增值税优惠政策</w:t>
      </w:r>
      <w:r>
        <w:rPr>
          <w:rFonts w:ascii="Times New Roman" w:hAnsi="Times New Roman" w:cs="Times New Roman" w:eastAsia="Times New Roman" w:hint="default"/>
        </w:rPr>
        <w:t>”</w:t>
      </w:r>
      <w:r>
        <w:rPr/>
        <w:t>。</w:t>
      </w:r>
    </w:p>
    <w:p>
      <w:pPr>
        <w:pStyle w:val="BodyText"/>
        <w:spacing w:line="405" w:lineRule="auto" w:before="38"/>
        <w:ind w:right="1133" w:firstLine="401"/>
        <w:jc w:val="both"/>
      </w:pPr>
      <w:r>
        <w:rPr/>
        <w:t>根据《关于软件产品增值税政策的通知》（财税</w:t>
      </w:r>
      <w:r>
        <w:rPr>
          <w:rFonts w:ascii="Times New Roman" w:hAnsi="Times New Roman" w:cs="Times New Roman" w:eastAsia="Times New Roman" w:hint="default"/>
        </w:rPr>
        <w:t>[2011]100</w:t>
      </w:r>
      <w:r>
        <w:rPr/>
        <w:t>号）明确了增值税一般纳税人销售其自行开发生</w:t>
      </w:r>
      <w:r>
        <w:rPr>
          <w:w w:val="99"/>
        </w:rPr>
        <w:t> </w:t>
      </w:r>
      <w:r>
        <w:rPr/>
        <w:t>产的软件产品，按</w:t>
      </w:r>
      <w:r>
        <w:rPr>
          <w:rFonts w:ascii="Times New Roman" w:hAnsi="Times New Roman" w:cs="Times New Roman" w:eastAsia="Times New Roman" w:hint="default"/>
        </w:rPr>
        <w:t>17%</w:t>
      </w:r>
      <w:r>
        <w:rPr/>
        <w:t>税率征收增值税后，对其增值税实际税负超过</w:t>
      </w:r>
      <w:r>
        <w:rPr>
          <w:rFonts w:ascii="Times New Roman" w:hAnsi="Times New Roman" w:cs="Times New Roman" w:eastAsia="Times New Roman" w:hint="default"/>
        </w:rPr>
        <w:t>3%</w:t>
      </w:r>
      <w:r>
        <w:rPr/>
        <w:t>的部分实行即征即退政策。</w:t>
      </w:r>
    </w:p>
    <w:p>
      <w:pPr>
        <w:pStyle w:val="BodyText"/>
        <w:spacing w:line="417" w:lineRule="auto" w:before="38"/>
        <w:ind w:right="1128" w:firstLine="401"/>
        <w:jc w:val="both"/>
        <w:rPr>
          <w:rFonts w:ascii="Times New Roman" w:hAnsi="Times New Roman" w:cs="Times New Roman" w:eastAsia="Times New Roman" w:hint="default"/>
        </w:rPr>
      </w:pPr>
      <w:r>
        <w:rPr/>
        <w:t>根据《财政部</w:t>
      </w:r>
      <w:r>
        <w:rPr>
          <w:spacing w:val="19"/>
        </w:rPr>
        <w:t> </w:t>
      </w:r>
      <w:r>
        <w:rPr/>
        <w:t>国家税务总局关于扩大有关政府性基金免征范围的通知》（财税（</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12</w:t>
      </w:r>
      <w:r>
        <w:rPr/>
        <w:t>号）规定：</w:t>
      </w:r>
      <w:r>
        <w:rPr>
          <w:rFonts w:ascii="Times New Roman" w:hAnsi="Times New Roman" w:cs="Times New Roman" w:eastAsia="Times New Roman" w:hint="default"/>
        </w:rPr>
        <w:t>“</w:t>
      </w:r>
      <w:r>
        <w:rPr/>
        <w:t>将</w:t>
      </w:r>
      <w:r>
        <w:rPr>
          <w:w w:val="99"/>
        </w:rPr>
        <w:t> </w:t>
      </w:r>
      <w:r>
        <w:rPr/>
        <w:t>免征教育附加、地方教育附加、水利建设基金的范围由现月销售额或营业额不超过三万，季销售额或营业额不</w:t>
      </w:r>
      <w:r>
        <w:rPr>
          <w:spacing w:val="-67"/>
        </w:rPr>
        <w:t> </w:t>
      </w:r>
      <w:r>
        <w:rPr>
          <w:spacing w:val="-67"/>
        </w:rPr>
      </w:r>
      <w:r>
        <w:rPr/>
        <w:t>超过</w:t>
      </w:r>
      <w:r>
        <w:rPr>
          <w:rFonts w:ascii="Times New Roman" w:hAnsi="Times New Roman" w:cs="Times New Roman" w:eastAsia="Times New Roman" w:hint="default"/>
        </w:rPr>
        <w:t>10</w:t>
      </w:r>
      <w:r>
        <w:rPr/>
        <w:t>万的缴纳义务人扩大到月销售或营业额不超过</w:t>
      </w:r>
      <w:r>
        <w:rPr>
          <w:rFonts w:ascii="Times New Roman" w:hAnsi="Times New Roman" w:cs="Times New Roman" w:eastAsia="Times New Roman" w:hint="default"/>
        </w:rPr>
        <w:t>10</w:t>
      </w:r>
      <w:r>
        <w:rPr/>
        <w:t>万，季销售额或营业额不超过</w:t>
      </w:r>
      <w:r>
        <w:rPr>
          <w:rFonts w:ascii="Times New Roman" w:hAnsi="Times New Roman" w:cs="Times New Roman" w:eastAsia="Times New Roman" w:hint="default"/>
        </w:rPr>
        <w:t>30</w:t>
      </w:r>
      <w:r>
        <w:rPr/>
        <w:t>万的缴纳义务人。</w:t>
      </w:r>
      <w:r>
        <w:rPr>
          <w:rFonts w:ascii="Times New Roman" w:hAnsi="Times New Roman" w:cs="Times New Roman" w:eastAsia="Times New Roman" w:hint="default"/>
        </w:rPr>
        <w:t>”</w:t>
      </w:r>
    </w:p>
    <w:p>
      <w:pPr>
        <w:pStyle w:val="BodyText"/>
        <w:spacing w:line="412" w:lineRule="auto" w:before="27"/>
        <w:ind w:right="1126" w:firstLine="401"/>
        <w:jc w:val="both"/>
      </w:pPr>
      <w:r>
        <w:rPr>
          <w:spacing w:val="-3"/>
        </w:rPr>
        <w:t>根据财政部、税务总局、海关总署公告</w:t>
      </w:r>
      <w:r>
        <w:rPr>
          <w:rFonts w:ascii="Times New Roman" w:hAnsi="Times New Roman" w:cs="Times New Roman" w:eastAsia="Times New Roman" w:hint="default"/>
          <w:spacing w:val="-3"/>
        </w:rPr>
        <w:t>2019</w:t>
      </w:r>
      <w:r>
        <w:rPr>
          <w:spacing w:val="-3"/>
        </w:rPr>
        <w:t>年第</w:t>
      </w:r>
      <w:r>
        <w:rPr>
          <w:rFonts w:ascii="Times New Roman" w:hAnsi="Times New Roman" w:cs="Times New Roman" w:eastAsia="Times New Roman" w:hint="default"/>
          <w:spacing w:val="-3"/>
        </w:rPr>
        <w:t>39</w:t>
      </w:r>
      <w:r>
        <w:rPr>
          <w:spacing w:val="-3"/>
        </w:rPr>
        <w:t>号《关于深化增值税改革有关政策的公告》规定，自</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1"/>
          <w:w w:val="99"/>
        </w:rPr>
        <w:t>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日，允许生产、生活性服务业纳税人按照当期可抵扣进项税额加计</w:t>
      </w:r>
      <w:r>
        <w:rPr>
          <w:rFonts w:ascii="Times New Roman" w:hAnsi="Times New Roman" w:cs="Times New Roman" w:eastAsia="Times New Roman" w:hint="default"/>
        </w:rPr>
        <w:t>10%</w:t>
      </w:r>
      <w:r>
        <w:rPr/>
        <w:t>，抵减应纳税</w:t>
      </w:r>
      <w:r>
        <w:rPr>
          <w:spacing w:val="-39"/>
        </w:rPr>
        <w:t> </w:t>
      </w:r>
      <w:r>
        <w:rPr/>
        <w:t>额。子公司北京中科金财信息科技有限公司、天津中科金财科技有限公司、天津壬辰软件开发有限公司符合该</w:t>
      </w:r>
      <w:r>
        <w:rPr>
          <w:spacing w:val="-77"/>
        </w:rPr>
        <w:t> </w:t>
      </w:r>
      <w:r>
        <w:rPr>
          <w:spacing w:val="-77"/>
        </w:rPr>
      </w:r>
      <w:r>
        <w:rPr/>
        <w:t>项规定的条件，自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日起适用加计抵减政策。</w:t>
      </w:r>
    </w:p>
    <w:p>
      <w:pPr>
        <w:pStyle w:val="BodyText"/>
        <w:spacing w:line="271" w:lineRule="auto"/>
        <w:ind w:right="1117"/>
        <w:jc w:val="left"/>
      </w:pPr>
      <w:r>
        <w:rPr/>
        <w:t>公司需遵守《深圳证券交易所行业信息披露指引第</w:t>
      </w:r>
      <w:r>
        <w:rPr>
          <w:spacing w:val="-82"/>
        </w:rPr>
        <w:t> </w:t>
      </w:r>
      <w:r>
        <w:rPr>
          <w:rFonts w:ascii="Times New Roman" w:hAnsi="Times New Roman" w:cs="Times New Roman" w:eastAsia="Times New Roman" w:hint="default"/>
        </w:rPr>
        <w:t>12</w:t>
      </w:r>
      <w:r>
        <w:rPr>
          <w:rFonts w:ascii="Times New Roman" w:hAnsi="Times New Roman" w:cs="Times New Roman" w:eastAsia="Times New Roman" w:hint="default"/>
          <w:spacing w:val="-31"/>
        </w:rPr>
        <w:t> </w:t>
      </w:r>
      <w:r>
        <w:rPr/>
        <w:t>号</w:t>
      </w:r>
      <w:r>
        <w:rPr>
          <w:rFonts w:ascii="Times New Roman" w:hAnsi="Times New Roman" w:cs="Times New Roman" w:eastAsia="Times New Roman" w:hint="default"/>
        </w:rPr>
        <w:t>——</w:t>
      </w:r>
      <w:r>
        <w:rPr/>
        <w:t>上市公司从事软件与信息技术服务业务》的披露要</w:t>
      </w:r>
      <w:r>
        <w:rPr>
          <w:w w:val="99"/>
        </w:rPr>
        <w:t> </w:t>
      </w:r>
      <w:r>
        <w:rPr/>
        <w:t>求</w:t>
      </w:r>
    </w:p>
    <w:p>
      <w:pPr>
        <w:spacing w:after="0" w:line="271"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七、合并财务报表项目注释" w:id="219"/>
      <w:bookmarkEnd w:id="219"/>
      <w:r>
        <w:rPr>
          <w:b w:val="0"/>
          <w:bCs w:val="0"/>
        </w:rPr>
      </w: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货币资金" w:id="220"/>
      <w:bookmarkEnd w:id="220"/>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178,063.00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161,140.39</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593,477,555.77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328,306,493.38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31,521,862.95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61,183,378.45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625,177,481.72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389,651,012.22</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36,420.23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60,990.44</w:t>
            </w:r>
          </w:p>
        </w:tc>
      </w:tr>
    </w:tbl>
    <w:p>
      <w:pPr>
        <w:pStyle w:val="BodyText"/>
        <w:spacing w:line="240" w:lineRule="auto" w:before="33"/>
        <w:ind w:right="1133"/>
        <w:jc w:val="left"/>
      </w:pPr>
      <w:r>
        <w:rPr/>
        <w:t>其他说明</w:t>
      </w:r>
    </w:p>
    <w:p>
      <w:pPr>
        <w:pStyle w:val="BodyText"/>
        <w:spacing w:line="240" w:lineRule="auto" w:before="168"/>
        <w:ind w:left="554" w:right="1133"/>
        <w:jc w:val="left"/>
      </w:pPr>
      <w:r>
        <w:rPr/>
        <w:t>因抵押、质押或冻结等对使用有限制的货币资金明细如下：</w:t>
      </w:r>
    </w:p>
    <w:p>
      <w:pPr>
        <w:spacing w:line="240" w:lineRule="auto" w:before="4"/>
        <w:rPr>
          <w:rFonts w:ascii="宋体" w:hAnsi="宋体" w:cs="宋体" w:eastAsia="宋体" w:hint="default"/>
          <w:sz w:val="10"/>
          <w:szCs w:val="10"/>
        </w:rPr>
      </w:pPr>
    </w:p>
    <w:tbl>
      <w:tblPr>
        <w:tblW w:w="0" w:type="auto"/>
        <w:jc w:val="left"/>
        <w:tblInd w:w="938" w:type="dxa"/>
        <w:tblLayout w:type="fixed"/>
        <w:tblCellMar>
          <w:top w:w="0" w:type="dxa"/>
          <w:left w:w="0" w:type="dxa"/>
          <w:bottom w:w="0" w:type="dxa"/>
          <w:right w:w="0" w:type="dxa"/>
        </w:tblCellMar>
        <w:tblLook w:val="01E0"/>
      </w:tblPr>
      <w:tblGrid>
        <w:gridCol w:w="3550"/>
        <w:gridCol w:w="2254"/>
        <w:gridCol w:w="2257"/>
      </w:tblGrid>
      <w:tr>
        <w:trPr>
          <w:trHeight w:val="343"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574"/>
              <w:jc w:val="right"/>
              <w:rPr>
                <w:rFonts w:ascii="宋体" w:hAnsi="宋体" w:cs="宋体" w:eastAsia="宋体" w:hint="default"/>
                <w:sz w:val="20"/>
                <w:szCs w:val="20"/>
              </w:rPr>
            </w:pPr>
            <w:r>
              <w:rPr>
                <w:rFonts w:ascii="宋体" w:hAnsi="宋体" w:cs="宋体" w:eastAsia="宋体" w:hint="default"/>
                <w:w w:val="95"/>
                <w:sz w:val="20"/>
                <w:szCs w:val="20"/>
              </w:rPr>
              <w:t>项目</w:t>
            </w:r>
            <w:r>
              <w:rPr>
                <w:rFonts w:ascii="宋体" w:hAnsi="宋体" w:cs="宋体" w:eastAsia="宋体" w:hint="default"/>
                <w:sz w:val="20"/>
                <w:szCs w:val="20"/>
              </w:rPr>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22" w:right="0"/>
              <w:jc w:val="left"/>
              <w:rPr>
                <w:rFonts w:ascii="宋体" w:hAnsi="宋体" w:cs="宋体" w:eastAsia="宋体" w:hint="default"/>
                <w:sz w:val="20"/>
                <w:szCs w:val="20"/>
              </w:rPr>
            </w:pPr>
            <w:r>
              <w:rPr>
                <w:rFonts w:ascii="宋体" w:hAnsi="宋体" w:cs="宋体" w:eastAsia="宋体" w:hint="default"/>
                <w:sz w:val="20"/>
                <w:szCs w:val="20"/>
              </w:rPr>
              <w:t>期末余额（元）</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23" w:right="0"/>
              <w:jc w:val="left"/>
              <w:rPr>
                <w:rFonts w:ascii="宋体" w:hAnsi="宋体" w:cs="宋体" w:eastAsia="宋体" w:hint="default"/>
                <w:sz w:val="20"/>
                <w:szCs w:val="20"/>
              </w:rPr>
            </w:pPr>
            <w:r>
              <w:rPr>
                <w:rFonts w:ascii="宋体" w:hAnsi="宋体" w:cs="宋体" w:eastAsia="宋体" w:hint="default"/>
                <w:sz w:val="20"/>
                <w:szCs w:val="20"/>
              </w:rPr>
              <w:t>上年年末余额（元）</w:t>
            </w:r>
          </w:p>
        </w:tc>
      </w:tr>
      <w:tr>
        <w:trPr>
          <w:trHeight w:val="341"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银行承兑汇票保证金</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127,897.46</w:t>
            </w:r>
            <w:r>
              <w:rPr>
                <w:rFonts w:ascii="Times New Roman"/>
                <w:sz w:val="20"/>
              </w:rPr>
            </w:r>
          </w:p>
        </w:tc>
      </w:tr>
      <w:tr>
        <w:trPr>
          <w:trHeight w:val="343"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保函保证金</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30,407,523.36</w:t>
            </w:r>
            <w:r>
              <w:rPr>
                <w:rFonts w:ascii="Times New Roman"/>
                <w:sz w:val="20"/>
              </w:rPr>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27,138,486.97</w:t>
            </w:r>
            <w:r>
              <w:rPr>
                <w:rFonts w:ascii="Times New Roman"/>
                <w:sz w:val="20"/>
              </w:rPr>
            </w:r>
          </w:p>
        </w:tc>
      </w:tr>
      <w:tr>
        <w:trPr>
          <w:trHeight w:val="341"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代管资金</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19,487,806.40</w:t>
            </w:r>
            <w:r>
              <w:rPr>
                <w:rFonts w:ascii="Times New Roman"/>
                <w:sz w:val="20"/>
              </w:rPr>
            </w:r>
          </w:p>
        </w:tc>
      </w:tr>
      <w:tr>
        <w:trPr>
          <w:trHeight w:val="343"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信托托管金</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929,883.47</w:t>
            </w:r>
            <w:r>
              <w:rPr>
                <w:rFonts w:ascii="Times New Roman"/>
                <w:sz w:val="20"/>
              </w:rPr>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14,262,392.79</w:t>
            </w:r>
            <w:r>
              <w:rPr>
                <w:rFonts w:ascii="Times New Roman"/>
                <w:sz w:val="20"/>
              </w:rPr>
            </w:r>
          </w:p>
        </w:tc>
      </w:tr>
      <w:tr>
        <w:trPr>
          <w:trHeight w:val="341"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574"/>
              <w:jc w:val="right"/>
              <w:rPr>
                <w:rFonts w:ascii="宋体" w:hAnsi="宋体" w:cs="宋体" w:eastAsia="宋体" w:hint="default"/>
                <w:sz w:val="20"/>
                <w:szCs w:val="20"/>
              </w:rPr>
            </w:pPr>
            <w:r>
              <w:rPr>
                <w:rFonts w:ascii="宋体" w:hAnsi="宋体" w:cs="宋体" w:eastAsia="宋体" w:hint="default"/>
                <w:w w:val="95"/>
                <w:sz w:val="20"/>
                <w:szCs w:val="20"/>
              </w:rPr>
              <w:t>合计</w:t>
            </w:r>
            <w:r>
              <w:rPr>
                <w:rFonts w:ascii="宋体" w:hAnsi="宋体" w:cs="宋体" w:eastAsia="宋体" w:hint="default"/>
                <w:sz w:val="20"/>
                <w:szCs w:val="20"/>
              </w:rPr>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31,337,406.83</w:t>
            </w:r>
            <w:r>
              <w:rPr>
                <w:rFonts w:ascii="Times New Roman"/>
                <w:sz w:val="20"/>
              </w:rPr>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61,016,583.62</w:t>
            </w:r>
            <w:r>
              <w:rPr>
                <w:rFonts w:ascii="Times New Roman"/>
                <w:sz w:val="20"/>
              </w:rPr>
            </w:r>
          </w:p>
        </w:tc>
      </w:tr>
    </w:tbl>
    <w:p>
      <w:pPr>
        <w:pStyle w:val="BodyText"/>
        <w:spacing w:line="429" w:lineRule="auto" w:before="71"/>
        <w:ind w:right="1133" w:firstLine="401"/>
        <w:jc w:val="left"/>
      </w:pPr>
      <w:r>
        <w:rPr>
          <w:spacing w:val="-1"/>
          <w:w w:val="95"/>
        </w:rPr>
        <w:t>截止</w:t>
      </w:r>
      <w:r>
        <w:rPr>
          <w:rFonts w:ascii="宋体" w:hAnsi="宋体" w:cs="宋体" w:eastAsia="宋体" w:hint="default"/>
          <w:spacing w:val="-1"/>
          <w:w w:val="95"/>
        </w:rPr>
        <w:t>2019</w:t>
      </w:r>
      <w:r>
        <w:rPr>
          <w:spacing w:val="-1"/>
          <w:w w:val="95"/>
        </w:rPr>
        <w:t>年</w:t>
      </w:r>
      <w:r>
        <w:rPr>
          <w:rFonts w:ascii="宋体" w:hAnsi="宋体" w:cs="宋体" w:eastAsia="宋体" w:hint="default"/>
          <w:spacing w:val="-1"/>
          <w:w w:val="95"/>
        </w:rPr>
        <w:t>12</w:t>
      </w:r>
      <w:r>
        <w:rPr>
          <w:spacing w:val="-1"/>
          <w:w w:val="95"/>
        </w:rPr>
        <w:t>月</w:t>
      </w:r>
      <w:r>
        <w:rPr>
          <w:rFonts w:ascii="宋体" w:hAnsi="宋体" w:cs="宋体" w:eastAsia="宋体" w:hint="default"/>
          <w:spacing w:val="-1"/>
          <w:w w:val="95"/>
        </w:rPr>
        <w:t>31</w:t>
      </w:r>
      <w:r>
        <w:rPr>
          <w:spacing w:val="-1"/>
          <w:w w:val="95"/>
        </w:rPr>
        <w:t>日，其他货币资金中</w:t>
      </w:r>
      <w:r>
        <w:rPr>
          <w:rFonts w:ascii="宋体" w:hAnsi="宋体" w:cs="宋体" w:eastAsia="宋体" w:hint="default"/>
          <w:spacing w:val="-1"/>
          <w:w w:val="95"/>
        </w:rPr>
        <w:t>30,407,523.36</w:t>
      </w:r>
      <w:r>
        <w:rPr>
          <w:spacing w:val="-1"/>
          <w:w w:val="95"/>
        </w:rPr>
        <w:t>元系本公司向银行申请开具无条件、不可撤销的担保</w:t>
      </w:r>
      <w:r>
        <w:rPr>
          <w:spacing w:val="-48"/>
          <w:w w:val="95"/>
        </w:rPr>
        <w:t> </w:t>
      </w:r>
      <w:r>
        <w:rPr>
          <w:spacing w:val="-48"/>
          <w:w w:val="95"/>
        </w:rPr>
      </w:r>
      <w:r>
        <w:rPr/>
        <w:t>函所存入的保证金存款，</w:t>
      </w:r>
      <w:r>
        <w:rPr>
          <w:rFonts w:ascii="宋体" w:hAnsi="宋体" w:cs="宋体" w:eastAsia="宋体" w:hint="default"/>
        </w:rPr>
        <w:t>929,883.47</w:t>
      </w:r>
      <w:r>
        <w:rPr/>
        <w:t>元系纳入合并范围的信托计划存放于信托公司的资金账户余额。</w:t>
      </w:r>
    </w:p>
    <w:p>
      <w:pPr>
        <w:spacing w:line="240" w:lineRule="auto" w:before="3"/>
        <w:rPr>
          <w:rFonts w:ascii="宋体" w:hAnsi="宋体" w:cs="宋体" w:eastAsia="宋体" w:hint="default"/>
          <w:sz w:val="20"/>
          <w:szCs w:val="20"/>
        </w:rPr>
      </w:pPr>
    </w:p>
    <w:p>
      <w:pPr>
        <w:pStyle w:val="Heading3"/>
        <w:spacing w:line="240" w:lineRule="auto"/>
        <w:ind w:right="1133"/>
        <w:jc w:val="left"/>
        <w:rPr>
          <w:b w:val="0"/>
          <w:bCs w:val="0"/>
        </w:rPr>
      </w:pPr>
      <w:bookmarkStart w:name="2、交易性金融资产" w:id="221"/>
      <w:bookmarkEnd w:id="221"/>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4"/>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464,245,168.51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991,114,277.07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债务工具投资</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464,245,168.51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991,114,277.07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464,245,168.51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991,114,277.07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应收票据" w:id="222"/>
      <w:bookmarkEnd w:id="222"/>
      <w:r>
        <w:rPr>
          <w:b w:val="0"/>
          <w:bCs w:val="0"/>
        </w:rPr>
      </w:r>
      <w:r>
        <w:rPr>
          <w:rFonts w:ascii="Times New Roman" w:hAnsi="Times New Roman" w:cs="Times New Roman" w:eastAsia="Times New Roman" w:hint="default"/>
        </w:rPr>
        <w:t>3</w:t>
      </w:r>
      <w:r>
        <w:rPr/>
        <w:t>、应收票据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应收票据分类列示" w:id="223"/>
      <w:bookmarkEnd w:id="223"/>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13,548,716.93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28,821,652.00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1,237,545.55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14,786,262.48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28,821,652.00</w:t>
            </w:r>
          </w:p>
        </w:tc>
      </w:tr>
    </w:tbl>
    <w:p>
      <w:pPr>
        <w:pStyle w:val="BodyText"/>
        <w:spacing w:line="285" w:lineRule="auto" w:before="33"/>
        <w:ind w:right="1454"/>
        <w:jc w:val="left"/>
      </w:pPr>
      <w:r>
        <w:rPr>
          <w:w w:val="95"/>
        </w:rPr>
        <w:t>如是按照预期信用损失一般模型计提应收票据坏账准备，请参照其他应收款的披露方式披露坏账准备的相关信   </w:t>
      </w:r>
      <w:r>
        <w:rPr>
          <w:spacing w:val="91"/>
          <w:w w:val="95"/>
        </w:rPr>
        <w:t> </w:t>
      </w:r>
      <w:r>
        <w:rPr>
          <w:spacing w:val="91"/>
          <w:w w:val="95"/>
        </w:rPr>
      </w:r>
      <w:r>
        <w:rPr/>
        <w:t>息：</w:t>
      </w:r>
    </w:p>
    <w:p>
      <w:pPr>
        <w:pStyle w:val="BodyText"/>
        <w:spacing w:line="240" w:lineRule="auto" w:before="5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4"/>
        <w:rPr>
          <w:rFonts w:ascii="宋体" w:hAnsi="宋体" w:cs="宋体" w:eastAsia="宋体" w:hint="default"/>
          <w:sz w:val="25"/>
          <w:szCs w:val="25"/>
        </w:rPr>
      </w:pPr>
    </w:p>
    <w:p>
      <w:pPr>
        <w:pStyle w:val="Heading3"/>
        <w:spacing w:line="240" w:lineRule="auto"/>
        <w:ind w:right="1133"/>
        <w:jc w:val="left"/>
        <w:rPr>
          <w:b w:val="0"/>
          <w:bCs w:val="0"/>
        </w:rPr>
      </w:pPr>
      <w:bookmarkStart w:name="（2）期末公司已背书或贴现且在资产负债表日尚未到期的应收票据" w:id="224"/>
      <w:bookmarkEnd w:id="224"/>
      <w:r>
        <w:rPr>
          <w:b w:val="0"/>
          <w:bCs w:val="0"/>
        </w:rPr>
      </w: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1,237,545.55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1,237,545.55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应收账款" w:id="225"/>
      <w:bookmarkEnd w:id="225"/>
      <w:r>
        <w:rPr>
          <w:b w:val="0"/>
          <w:bCs w:val="0"/>
        </w:rPr>
      </w:r>
      <w:r>
        <w:rPr>
          <w:rFonts w:ascii="Times New Roman" w:hAnsi="Times New Roman" w:cs="Times New Roman" w:eastAsia="Times New Roman" w:hint="default"/>
        </w:rPr>
        <w:t>4</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应收账款分类披露" w:id="226"/>
      <w:bookmarkEnd w:id="226"/>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4"/>
        <w:gridCol w:w="761"/>
        <w:gridCol w:w="763"/>
        <w:gridCol w:w="790"/>
        <w:gridCol w:w="775"/>
        <w:gridCol w:w="797"/>
        <w:gridCol w:w="800"/>
        <w:gridCol w:w="790"/>
        <w:gridCol w:w="931"/>
      </w:tblGrid>
      <w:tr>
        <w:trPr>
          <w:trHeight w:val="398"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48"/>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4,175,47</w:t>
            </w:r>
          </w:p>
          <w:p>
            <w:pPr>
              <w:pStyle w:val="TableParagraph"/>
              <w:spacing w:line="240" w:lineRule="auto" w:before="102"/>
              <w:ind w:left="421" w:right="0"/>
              <w:jc w:val="left"/>
              <w:rPr>
                <w:rFonts w:ascii="Times New Roman" w:hAnsi="Times New Roman" w:cs="Times New Roman" w:eastAsia="Times New Roman" w:hint="default"/>
                <w:sz w:val="18"/>
                <w:szCs w:val="18"/>
              </w:rPr>
            </w:pPr>
            <w:r>
              <w:rPr>
                <w:rFonts w:ascii="Times New Roman"/>
                <w:sz w:val="18"/>
              </w:rPr>
              <w:t>9.74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4,175,47</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9.74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595,060.4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595,060.4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4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131,850,</w:t>
            </w:r>
          </w:p>
          <w:p>
            <w:pPr>
              <w:pStyle w:val="TableParagraph"/>
              <w:spacing w:line="240" w:lineRule="auto" w:before="102"/>
              <w:ind w:left="220" w:right="0"/>
              <w:jc w:val="center"/>
              <w:rPr>
                <w:rFonts w:ascii="Times New Roman" w:hAnsi="Times New Roman" w:cs="Times New Roman" w:eastAsia="Times New Roman" w:hint="default"/>
                <w:sz w:val="18"/>
                <w:szCs w:val="18"/>
              </w:rPr>
            </w:pPr>
            <w:r>
              <w:rPr>
                <w:rFonts w:ascii="Times New Roman"/>
                <w:sz w:val="18"/>
              </w:rPr>
              <w:t>669.77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12,989,4</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93.43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118,861,1</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76.34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120,842,6</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17.47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99.51%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12,020,65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108,821,96</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7.43</w:t>
            </w:r>
          </w:p>
        </w:tc>
      </w:tr>
      <w:tr>
        <w:trPr>
          <w:trHeight w:val="40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131,850,</w:t>
            </w:r>
          </w:p>
          <w:p>
            <w:pPr>
              <w:pStyle w:val="TableParagraph"/>
              <w:spacing w:line="240" w:lineRule="auto" w:before="103"/>
              <w:ind w:left="227" w:right="0"/>
              <w:jc w:val="center"/>
              <w:rPr>
                <w:rFonts w:ascii="Times New Roman" w:hAnsi="Times New Roman" w:cs="Times New Roman" w:eastAsia="Times New Roman" w:hint="default"/>
                <w:sz w:val="18"/>
                <w:szCs w:val="18"/>
              </w:rPr>
            </w:pPr>
            <w:r>
              <w:rPr>
                <w:rFonts w:ascii="Times New Roman"/>
                <w:sz w:val="18"/>
              </w:rPr>
              <w:t>669.77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12,989,4</w:t>
            </w:r>
          </w:p>
          <w:p>
            <w:pPr>
              <w:pStyle w:val="TableParagraph"/>
              <w:spacing w:line="240" w:lineRule="auto" w:before="103"/>
              <w:ind w:left="323" w:right="0"/>
              <w:jc w:val="left"/>
              <w:rPr>
                <w:rFonts w:ascii="Times New Roman" w:hAnsi="Times New Roman" w:cs="Times New Roman" w:eastAsia="Times New Roman" w:hint="default"/>
                <w:sz w:val="18"/>
                <w:szCs w:val="18"/>
              </w:rPr>
            </w:pPr>
            <w:r>
              <w:rPr>
                <w:rFonts w:ascii="Times New Roman"/>
                <w:sz w:val="18"/>
              </w:rPr>
              <w:t>93.43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118,861,1</w:t>
            </w:r>
          </w:p>
          <w:p>
            <w:pPr>
              <w:pStyle w:val="TableParagraph"/>
              <w:spacing w:line="240" w:lineRule="auto" w:before="103"/>
              <w:ind w:left="350" w:right="0"/>
              <w:jc w:val="left"/>
              <w:rPr>
                <w:rFonts w:ascii="Times New Roman" w:hAnsi="Times New Roman" w:cs="Times New Roman" w:eastAsia="Times New Roman" w:hint="default"/>
                <w:sz w:val="18"/>
                <w:szCs w:val="18"/>
              </w:rPr>
            </w:pPr>
            <w:r>
              <w:rPr>
                <w:rFonts w:ascii="Times New Roman"/>
                <w:sz w:val="18"/>
              </w:rPr>
              <w:t>76.34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120,842,6</w:t>
            </w:r>
          </w:p>
          <w:p>
            <w:pPr>
              <w:pStyle w:val="TableParagraph"/>
              <w:spacing w:line="240" w:lineRule="auto" w:before="103"/>
              <w:ind w:left="338" w:right="0"/>
              <w:jc w:val="left"/>
              <w:rPr>
                <w:rFonts w:ascii="Times New Roman" w:hAnsi="Times New Roman" w:cs="Times New Roman" w:eastAsia="Times New Roman" w:hint="default"/>
                <w:sz w:val="18"/>
                <w:szCs w:val="18"/>
              </w:rPr>
            </w:pPr>
            <w:r>
              <w:rPr>
                <w:rFonts w:ascii="Times New Roman"/>
                <w:sz w:val="18"/>
              </w:rPr>
              <w:t>17.47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99.51%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12,020,65</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0.04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108,821,96</w:t>
            </w:r>
          </w:p>
          <w:p>
            <w:pPr>
              <w:pStyle w:val="TableParagraph"/>
              <w:spacing w:line="240" w:lineRule="auto" w:before="103"/>
              <w:ind w:left="585" w:right="0"/>
              <w:jc w:val="left"/>
              <w:rPr>
                <w:rFonts w:ascii="Times New Roman" w:hAnsi="Times New Roman" w:cs="Times New Roman" w:eastAsia="Times New Roman" w:hint="default"/>
                <w:sz w:val="18"/>
                <w:szCs w:val="18"/>
              </w:rPr>
            </w:pPr>
            <w:r>
              <w:rPr>
                <w:rFonts w:ascii="Times New Roman"/>
                <w:sz w:val="18"/>
              </w:rPr>
              <w:t>7.43</w:t>
            </w:r>
          </w:p>
        </w:tc>
      </w:tr>
      <w:tr>
        <w:trPr>
          <w:trHeight w:val="71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136,026,</w:t>
            </w:r>
          </w:p>
          <w:p>
            <w:pPr>
              <w:pStyle w:val="TableParagraph"/>
              <w:spacing w:line="240" w:lineRule="auto" w:before="105"/>
              <w:ind w:left="227" w:right="0"/>
              <w:jc w:val="center"/>
              <w:rPr>
                <w:rFonts w:ascii="Times New Roman" w:hAnsi="Times New Roman" w:cs="Times New Roman" w:eastAsia="Times New Roman" w:hint="default"/>
                <w:sz w:val="18"/>
                <w:szCs w:val="18"/>
              </w:rPr>
            </w:pPr>
            <w:r>
              <w:rPr>
                <w:rFonts w:ascii="Times New Roman"/>
                <w:sz w:val="18"/>
              </w:rPr>
              <w:t>149.51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17,164,9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73.17</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118,861,1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76.34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121,437,6</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77.88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12,615,71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0.45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10.39%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108,821,96</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7.43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33"/>
        <w:ind w:right="0"/>
        <w:jc w:val="left"/>
      </w:pPr>
      <w:r>
        <w:rPr>
          <w:w w:val="95"/>
        </w:rPr>
        <w:t>按单项计提坏账准备：</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150" w:space="6680"/>
            <w:col w:w="210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按单项计提坏账准备的 应收账款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4,175,479.74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4,175,479.74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5" w:right="0"/>
              <w:jc w:val="left"/>
              <w:rPr>
                <w:rFonts w:ascii="Times New Roman" w:hAnsi="Times New Roman" w:cs="Times New Roman" w:eastAsia="Times New Roman" w:hint="default"/>
                <w:sz w:val="18"/>
                <w:szCs w:val="18"/>
              </w:rPr>
            </w:pPr>
            <w:r>
              <w:rPr>
                <w:rFonts w:ascii="Times New Roman"/>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4,175,479.74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4,175,479.74</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33"/>
        <w:ind w:right="0"/>
        <w:jc w:val="left"/>
      </w:pPr>
      <w:r>
        <w:rPr>
          <w:w w:val="95"/>
        </w:rPr>
        <w:t>按组合计提坏账准备：账龄组合</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951" w:space="5878"/>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105,373,031.00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5,268,651.55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15,822,408.82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1,582,240.88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3,144,763.20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628,952.64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4,001,636.80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2,000,818.41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3,508,829.95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3,508,829.95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131,850,669.77</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12,989,493.43</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85" w:lineRule="auto" w:before="33"/>
        <w:ind w:right="1454"/>
        <w:jc w:val="left"/>
      </w:pPr>
      <w:r>
        <w:rPr>
          <w:w w:val="95"/>
        </w:rPr>
        <w:t>如是按照预期信用损失一般模型计提应收账款坏账准备，请参照其他应收款的披露方式披露坏账准备的相关信   </w:t>
      </w:r>
      <w:r>
        <w:rPr>
          <w:spacing w:val="91"/>
          <w:w w:val="95"/>
        </w:rPr>
        <w:t> </w:t>
      </w:r>
      <w:r>
        <w:rPr>
          <w:spacing w:val="91"/>
          <w:w w:val="95"/>
        </w:rPr>
      </w:r>
      <w:r>
        <w:rPr/>
        <w:t>息：</w:t>
      </w:r>
    </w:p>
    <w:p>
      <w:pPr>
        <w:pStyle w:val="BodyText"/>
        <w:spacing w:line="304" w:lineRule="auto" w:before="53"/>
        <w:ind w:right="89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r>
        <w:rPr>
          <w:w w:val="99"/>
        </w:rPr>
        <w:t> </w:t>
      </w:r>
      <w:r>
        <w:rPr/>
        <w:t>按账龄披露</w:t>
      </w:r>
    </w:p>
    <w:p>
      <w:pPr>
        <w:spacing w:before="5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105,373,031.00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16,184,244.85</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4,636,183.33</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9,832,690.33</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6,283,760.38</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2,280,204.95</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1,268,725.00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136,026,149.51</w:t>
            </w:r>
          </w:p>
        </w:tc>
      </w:tr>
    </w:tbl>
    <w:p>
      <w:pPr>
        <w:pStyle w:val="BodyText"/>
        <w:spacing w:line="271" w:lineRule="auto" w:before="33"/>
        <w:ind w:right="1116"/>
        <w:jc w:val="left"/>
      </w:pPr>
      <w:r>
        <w:rPr/>
        <w:t>公司需要遵守《深圳证券交易所行业信息披露指引第</w:t>
      </w:r>
      <w:r>
        <w:rPr>
          <w:spacing w:val="-81"/>
        </w:rPr>
        <w:t> </w:t>
      </w:r>
      <w:r>
        <w:rPr>
          <w:rFonts w:ascii="Times New Roman" w:hAnsi="Times New Roman" w:cs="Times New Roman" w:eastAsia="Times New Roman" w:hint="default"/>
        </w:rPr>
        <w:t>12</w:t>
      </w:r>
      <w:r>
        <w:rPr>
          <w:rFonts w:ascii="Times New Roman" w:hAnsi="Times New Roman" w:cs="Times New Roman" w:eastAsia="Times New Roman" w:hint="default"/>
          <w:spacing w:val="-31"/>
        </w:rPr>
        <w:t> </w:t>
      </w:r>
      <w:r>
        <w:rPr/>
        <w:t>号</w:t>
      </w:r>
      <w:r>
        <w:rPr>
          <w:rFonts w:ascii="Times New Roman" w:hAnsi="Times New Roman" w:cs="Times New Roman" w:eastAsia="Times New Roman" w:hint="default"/>
        </w:rPr>
        <w:t>——</w:t>
      </w:r>
      <w:r>
        <w:rPr/>
        <w:t>上市公司从事软件与信息技术服务业务》的披露</w:t>
      </w:r>
      <w:r>
        <w:rPr>
          <w:w w:val="99"/>
        </w:rPr>
        <w:t> </w:t>
      </w:r>
      <w:r>
        <w:rPr/>
        <w:t>要求</w:t>
      </w:r>
    </w:p>
    <w:p>
      <w:pPr>
        <w:spacing w:line="240" w:lineRule="auto" w:before="6"/>
        <w:rPr>
          <w:rFonts w:ascii="宋体" w:hAnsi="宋体" w:cs="宋体" w:eastAsia="宋体" w:hint="default"/>
          <w:sz w:val="24"/>
          <w:szCs w:val="24"/>
        </w:rPr>
      </w:pPr>
    </w:p>
    <w:p>
      <w:pPr>
        <w:pStyle w:val="Heading3"/>
        <w:spacing w:line="240" w:lineRule="auto"/>
        <w:ind w:right="1133"/>
        <w:jc w:val="left"/>
        <w:rPr>
          <w:b w:val="0"/>
          <w:bCs w:val="0"/>
        </w:rPr>
      </w:pPr>
      <w:bookmarkStart w:name="（2）本期计提、收回或转回的坏账准备情况" w:id="227"/>
      <w:bookmarkEnd w:id="22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0"/>
        </w:sectPr>
      </w:pPr>
    </w:p>
    <w:p>
      <w:pPr>
        <w:pStyle w:val="BodyText"/>
        <w:spacing w:line="240" w:lineRule="auto" w:before="37"/>
        <w:ind w:right="0"/>
        <w:jc w:val="left"/>
      </w:pPr>
      <w:r>
        <w:rPr>
          <w:w w:val="95"/>
        </w:rPr>
        <w:t>本期计提坏账准备情况：</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352" w:space="6478"/>
            <w:col w:w="210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按单项计提坏账 准备的应收账款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595,060.41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3,348,894.99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231,524.34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4,175,479.74</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按组合计提坏账 准备的应收账款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12,020,650.04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2,779,165.15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-1,810,321.76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12,989,493.43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12,615,710.45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6,128,060.14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-1,578,797.42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17,164,973.17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按欠款方归集的期末余额前五名的应收账款情况" w:id="228"/>
      <w:bookmarkEnd w:id="228"/>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8"/>
      </w:tblGrid>
      <w:tr>
        <w:trPr>
          <w:trHeight w:val="71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36,742,341.68</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27.01%</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2,013,674.03</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6,502,913.79</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4.78%</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325,145.69</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5,527,949.20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4.06%</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276,397.46</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3,995,836.00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199,791.80</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3,271,853.10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2.41%</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163,592.66</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56,040,893.77</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41.20%</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预付款项" w:id="229"/>
      <w:bookmarkEnd w:id="229"/>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预付款项按账龄列示" w:id="230"/>
      <w:bookmarkEnd w:id="230"/>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4"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11,073,262.43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99.28%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19,072,009.00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95.36%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65,114.40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927,654.24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15,490.00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0.14%</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11,153,866.83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19,999,663.24</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按预付对象归集的期末余额前五名的预付款情况" w:id="231"/>
      <w:bookmarkEnd w:id="231"/>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2"/>
        <w:rPr>
          <w:rFonts w:ascii="宋体" w:hAnsi="宋体" w:cs="宋体" w:eastAsia="宋体" w:hint="default"/>
          <w:b/>
          <w:bCs/>
          <w:sz w:val="31"/>
          <w:szCs w:val="31"/>
        </w:rPr>
      </w:pPr>
    </w:p>
    <w:p>
      <w:pPr>
        <w:pStyle w:val="BodyText"/>
        <w:spacing w:line="429" w:lineRule="auto"/>
        <w:ind w:right="1133" w:firstLine="401"/>
        <w:jc w:val="left"/>
      </w:pPr>
      <w:r>
        <w:rPr/>
        <w:t>本报告期按预付对象归集的期末余额前五名的预付款汇总金额</w:t>
      </w:r>
      <w:r>
        <w:rPr>
          <w:rFonts w:ascii="宋体" w:hAnsi="宋体" w:cs="宋体" w:eastAsia="宋体" w:hint="default"/>
        </w:rPr>
        <w:t>8,030,316.51</w:t>
      </w:r>
      <w:r>
        <w:rPr/>
        <w:t>元，占预付款项期末余额合计</w:t>
      </w:r>
      <w:r>
        <w:rPr>
          <w:w w:val="99"/>
        </w:rPr>
        <w:t> </w:t>
      </w:r>
      <w:r>
        <w:rPr/>
        <w:t>数的比例</w:t>
      </w:r>
      <w:r>
        <w:rPr>
          <w:rFonts w:ascii="宋体" w:hAnsi="宋体" w:cs="宋体" w:eastAsia="宋体" w:hint="default"/>
        </w:rPr>
        <w:t>72%</w:t>
      </w:r>
      <w:r>
        <w:rPr/>
        <w:t>。</w:t>
      </w:r>
    </w:p>
    <w:p>
      <w:pPr>
        <w:spacing w:line="240" w:lineRule="auto" w:before="3"/>
        <w:rPr>
          <w:rFonts w:ascii="宋体" w:hAnsi="宋体" w:cs="宋体" w:eastAsia="宋体" w:hint="default"/>
          <w:sz w:val="20"/>
          <w:szCs w:val="20"/>
        </w:rPr>
      </w:pPr>
    </w:p>
    <w:p>
      <w:pPr>
        <w:pStyle w:val="Heading3"/>
        <w:spacing w:line="240" w:lineRule="auto"/>
        <w:ind w:right="1133"/>
        <w:jc w:val="left"/>
        <w:rPr>
          <w:b w:val="0"/>
          <w:bCs w:val="0"/>
        </w:rPr>
      </w:pPr>
      <w:bookmarkStart w:name="6、其他应收款" w:id="232"/>
      <w:bookmarkEnd w:id="232"/>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45,245,672.88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94,884,447.92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45,245,672.88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94,884,447.92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其他应收款" w:id="233"/>
      <w:bookmarkEnd w:id="233"/>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其他应收款按款项性质分类情况" w:id="234"/>
      <w:bookmarkEnd w:id="234"/>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49,834,369.46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65,675,009.34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2,054,445.09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4,894,468.36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房租物业押金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2,321,678.79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3,096,514.02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824,764.24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67,978,114.24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1,326,297.60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1,563,976.45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56,361,555.18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143,208,082.41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坏账准备计提情况" w:id="235"/>
      <w:bookmarkEnd w:id="235"/>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403"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10,473,497.20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37,850,137.29</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48,323,634.49</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608,109.42</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608,109.42</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34,275.68</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-37,850,137.29</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-37,815,861.61</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11,115,882.30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11,115,882.30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33"/>
        <w:ind w:right="0"/>
        <w:jc w:val="left"/>
      </w:pPr>
      <w:r>
        <w:rPr>
          <w:w w:val="95"/>
        </w:rPr>
        <w:t>损失准备本期变动金额重大的账面余额变动情况</w:t>
      </w:r>
      <w:r>
        <w:rPr/>
      </w:r>
    </w:p>
    <w:p>
      <w:pPr>
        <w:pStyle w:val="BodyText"/>
        <w:spacing w:line="304" w:lineRule="auto" w:before="88"/>
        <w:ind w:right="17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r>
        <w:rPr>
          <w:w w:val="99"/>
        </w:rPr>
        <w:t> </w:t>
      </w:r>
      <w:r>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350" w:space="4480"/>
            <w:col w:w="210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26,430,392.20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8,399,490.15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13,372,014.40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8,159,658.43</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3,759,295.25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913,310.10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3,487,053.08</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56,361,555.18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本期计提、收回或转回的坏账准备情况" w:id="236"/>
      <w:bookmarkEnd w:id="236"/>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37"/>
        <w:ind w:right="0"/>
        <w:jc w:val="left"/>
      </w:pPr>
      <w:r>
        <w:rPr>
          <w:w w:val="95"/>
        </w:rPr>
        <w:t>本期计提坏账准备情况：</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351" w:space="6478"/>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6"/>
        <w:gridCol w:w="1097"/>
        <w:gridCol w:w="1196"/>
        <w:gridCol w:w="1303"/>
        <w:gridCol w:w="1092"/>
        <w:gridCol w:w="1736"/>
        <w:gridCol w:w="1730"/>
      </w:tblGrid>
      <w:tr>
        <w:trPr>
          <w:trHeight w:val="401" w:hRule="exact"/>
        </w:trPr>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416"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30"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按单项计提坏账 准备</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37,850,137.29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-37,850,137.29</w:t>
            </w:r>
          </w:p>
        </w:tc>
        <w:tc>
          <w:tcPr>
            <w:tcW w:w="173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按组合计提坏账 准备</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10,473,497.20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608,109.42</w:t>
            </w:r>
          </w:p>
        </w:tc>
        <w:tc>
          <w:tcPr>
            <w:tcW w:w="130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34,275.68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11,115,882.30</w:t>
            </w:r>
          </w:p>
        </w:tc>
      </w:tr>
      <w:tr>
        <w:trPr>
          <w:trHeight w:val="401"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48,323,634.49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608,109.42</w:t>
            </w:r>
          </w:p>
        </w:tc>
        <w:tc>
          <w:tcPr>
            <w:tcW w:w="130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-37,815,861.61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11,115,882.30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按欠款方归集的期末余额前五名的其他应收款情况" w:id="237"/>
      <w:bookmarkEnd w:id="237"/>
      <w:r>
        <w:rPr>
          <w:b w:val="0"/>
          <w:bCs w:val="0"/>
        </w:rPr>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中科软科技股份有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8,845,260.05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1,833,993.53</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北京锐安科技有限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253,800.00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北京北航科技园有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房租物业押金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2,059,602.00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375,574.35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北京财贸职业学院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1,910,044.00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1,907,074.00</w:t>
            </w:r>
          </w:p>
        </w:tc>
      </w:tr>
      <w:tr>
        <w:trPr>
          <w:trHeight w:val="102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北京市文化科技融 资租赁股份有限公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16,952,906.05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30.07%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4,690,441.88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7、存货" w:id="238"/>
      <w:bookmarkEnd w:id="238"/>
      <w:r>
        <w:rPr>
          <w:b w:val="0"/>
          <w:bCs w:val="0"/>
        </w:rPr>
      </w:r>
      <w:r>
        <w:rPr>
          <w:rFonts w:ascii="Times New Roman" w:hAnsi="Times New Roman" w:cs="Times New Roman" w:eastAsia="Times New Roman" w:hint="default"/>
        </w:rPr>
        <w:t>7</w:t>
      </w:r>
      <w:r>
        <w:rPr/>
        <w:t>、存货</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t>是否已执行新收入准则</w:t>
      </w:r>
    </w:p>
    <w:p>
      <w:pPr>
        <w:pStyle w:val="BodyText"/>
        <w:spacing w:line="240" w:lineRule="auto" w:before="88"/>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否</w:t>
      </w:r>
    </w:p>
    <w:p>
      <w:pPr>
        <w:spacing w:line="240" w:lineRule="auto" w:before="4"/>
        <w:rPr>
          <w:rFonts w:ascii="宋体" w:hAnsi="宋体" w:cs="宋体" w:eastAsia="宋体" w:hint="default"/>
          <w:sz w:val="25"/>
          <w:szCs w:val="25"/>
        </w:rPr>
      </w:pPr>
    </w:p>
    <w:p>
      <w:pPr>
        <w:pStyle w:val="Heading3"/>
        <w:spacing w:line="240" w:lineRule="auto"/>
        <w:ind w:right="1133"/>
        <w:jc w:val="left"/>
        <w:rPr>
          <w:b w:val="0"/>
          <w:bCs w:val="0"/>
        </w:rPr>
      </w:pPr>
      <w:bookmarkStart w:name="（1）存货分类" w:id="239"/>
      <w:bookmarkEnd w:id="239"/>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126,992,287.61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52,636,667.79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74,355,619.82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163,759,783.09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3,148,962.22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160,610,820.87</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2"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6,648,325.95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620,396.36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6,027,929.59</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418,577,945.32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418,577,945.32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323,838,904.12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323,838,904.12</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545,570,232.93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52,636,667.79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492,933,565.14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494,247,013.16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3,769,358.58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490,477,654.58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存货跌价准备" w:id="240"/>
      <w:bookmarkEnd w:id="240"/>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3,148,962.22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49,467,642.81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118,551.59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98,488.83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52,636,667.79</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620,396.36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620,396.36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3,769,358.58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49,467,642.81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118,551.59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718,885.19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52,636,667.79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8、一年内到期的非流动资产" w:id="241"/>
      <w:bookmarkEnd w:id="241"/>
      <w:r>
        <w:rPr>
          <w:b w:val="0"/>
          <w:bCs w:val="0"/>
        </w:rPr>
      </w:r>
      <w:r>
        <w:rPr>
          <w:rFonts w:ascii="Times New Roman" w:hAnsi="Times New Roman" w:cs="Times New Roman" w:eastAsia="Times New Roman" w:hint="default"/>
        </w:rPr>
        <w:t>8</w:t>
      </w:r>
      <w:r>
        <w:rPr/>
        <w:t>、一年内到期的非流动资产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一年内到期的债权投资</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pStyle w:val="BodyText"/>
        <w:spacing w:line="240" w:lineRule="auto" w:before="33"/>
        <w:ind w:right="0"/>
        <w:jc w:val="left"/>
      </w:pPr>
      <w:r>
        <w:rPr>
          <w:w w:val="95"/>
        </w:rPr>
        <w:t>重要的债权投资</w:t>
      </w:r>
      <w:r>
        <w:rPr>
          <w:rFonts w:ascii="Times New Roman" w:hAnsi="Times New Roman" w:cs="Times New Roman" w:eastAsia="Times New Roman" w:hint="default"/>
          <w:w w:val="95"/>
        </w:rPr>
        <w:t>/</w:t>
      </w:r>
      <w:r>
        <w:rPr>
          <w:w w:val="95"/>
        </w:rPr>
        <w:t>其他债权投资</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808" w:space="6021"/>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958"/>
        <w:gridCol w:w="958"/>
        <w:gridCol w:w="958"/>
        <w:gridCol w:w="956"/>
        <w:gridCol w:w="958"/>
        <w:gridCol w:w="955"/>
        <w:gridCol w:w="958"/>
        <w:gridCol w:w="958"/>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华鑫信托</w:t>
            </w:r>
            <w:r>
              <w:rPr>
                <w:rFonts w:ascii="Times New Roman" w:hAnsi="Times New Roman" w:cs="Times New Roman" w:eastAsia="Times New Roman" w:hint="default"/>
                <w:sz w:val="18"/>
                <w:szCs w:val="18"/>
              </w:rPr>
              <w:t>·</w:t>
            </w:r>
            <w:r>
              <w:rPr>
                <w:rFonts w:ascii="宋体" w:hAnsi="宋体" w:cs="宋体" w:eastAsia="宋体" w:hint="default"/>
                <w:sz w:val="18"/>
                <w:szCs w:val="18"/>
              </w:rPr>
              <w:t>睿科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 一资金信托</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华鑫信托</w:t>
            </w:r>
            <w:r>
              <w:rPr>
                <w:rFonts w:ascii="Times New Roman" w:hAnsi="Times New Roman" w:cs="Times New Roman" w:eastAsia="Times New Roman" w:hint="default"/>
                <w:sz w:val="18"/>
                <w:szCs w:val="18"/>
              </w:rPr>
              <w:t>·</w:t>
            </w:r>
            <w:r>
              <w:rPr>
                <w:rFonts w:ascii="宋体" w:hAnsi="宋体" w:cs="宋体" w:eastAsia="宋体" w:hint="default"/>
                <w:sz w:val="18"/>
                <w:szCs w:val="18"/>
              </w:rPr>
              <w:t>睿科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 一资金信托</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959"/>
        <w:gridCol w:w="956"/>
        <w:gridCol w:w="958"/>
        <w:gridCol w:w="956"/>
        <w:gridCol w:w="958"/>
        <w:gridCol w:w="955"/>
        <w:gridCol w:w="958"/>
        <w:gridCol w:w="958"/>
      </w:tblGrid>
      <w:tr>
        <w:trPr>
          <w:trHeight w:val="71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400,000,000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33"/>
        <w:ind w:right="1133"/>
        <w:jc w:val="left"/>
      </w:pPr>
      <w:r>
        <w:rPr/>
        <w:t>其他说明：</w:t>
      </w:r>
    </w:p>
    <w:p>
      <w:pPr>
        <w:pStyle w:val="BodyText"/>
        <w:spacing w:line="240" w:lineRule="auto" w:before="168"/>
        <w:ind w:left="554" w:right="982"/>
        <w:jc w:val="left"/>
      </w:pPr>
      <w:r>
        <w:rPr>
          <w:spacing w:val="17"/>
        </w:rPr>
        <w:t>一年内到期</w:t>
      </w:r>
      <w:r>
        <w:rPr>
          <w:spacing w:val="-76"/>
        </w:rPr>
        <w:t> </w:t>
      </w:r>
      <w:r>
        <w:rPr>
          <w:spacing w:val="20"/>
        </w:rPr>
        <w:t>的其他债权投资系公司纳入结构化主体的信托产品，</w:t>
      </w:r>
      <w:r>
        <w:rPr>
          <w:spacing w:val="-80"/>
        </w:rPr>
        <w:t> </w:t>
      </w:r>
      <w:r>
        <w:rPr>
          <w:spacing w:val="16"/>
        </w:rPr>
        <w:t>其中本金</w:t>
      </w:r>
      <w:r>
        <w:rPr>
          <w:spacing w:val="-71"/>
        </w:rPr>
        <w:t> </w:t>
      </w:r>
      <w:r>
        <w:rPr>
          <w:rFonts w:ascii="Times New Roman" w:hAnsi="Times New Roman" w:cs="Times New Roman" w:eastAsia="Times New Roman" w:hint="default"/>
        </w:rPr>
        <w:t>400,000,000.00</w:t>
      </w:r>
      <w:r>
        <w:rPr>
          <w:rFonts w:ascii="Times New Roman" w:hAnsi="Times New Roman" w:cs="Times New Roman" w:eastAsia="Times New Roman" w:hint="default"/>
          <w:spacing w:val="-26"/>
        </w:rPr>
        <w:t> </w:t>
      </w:r>
      <w:r>
        <w:rPr>
          <w:spacing w:val="15"/>
        </w:rPr>
        <w:t>元，减值</w:t>
      </w:r>
      <w:r>
        <w:rPr>
          <w:spacing w:val="-79"/>
        </w:rPr>
        <w:t> </w:t>
      </w:r>
      <w:r>
        <w:rPr/>
      </w:r>
    </w:p>
    <w:p>
      <w:pPr>
        <w:spacing w:line="240" w:lineRule="auto" w:before="8"/>
        <w:rPr>
          <w:rFonts w:ascii="宋体" w:hAnsi="宋体" w:cs="宋体" w:eastAsia="宋体" w:hint="default"/>
          <w:sz w:val="14"/>
          <w:szCs w:val="14"/>
        </w:rPr>
      </w:pPr>
    </w:p>
    <w:p>
      <w:pPr>
        <w:pStyle w:val="BodyText"/>
        <w:spacing w:line="240" w:lineRule="auto"/>
        <w:ind w:right="1133"/>
        <w:jc w:val="left"/>
      </w:pPr>
      <w:r>
        <w:rPr>
          <w:rFonts w:ascii="Times New Roman" w:hAnsi="Times New Roman" w:cs="Times New Roman" w:eastAsia="Times New Roman" w:hint="default"/>
        </w:rPr>
        <w:t>4,000,000.00</w:t>
      </w:r>
      <w:r>
        <w:rPr/>
        <w:t>元。</w:t>
      </w:r>
    </w:p>
    <w:p>
      <w:pPr>
        <w:spacing w:line="240" w:lineRule="auto" w:before="0"/>
        <w:rPr>
          <w:rFonts w:ascii="宋体" w:hAnsi="宋体" w:cs="宋体" w:eastAsia="宋体" w:hint="default"/>
          <w:sz w:val="20"/>
          <w:szCs w:val="20"/>
        </w:rPr>
      </w:pPr>
    </w:p>
    <w:p>
      <w:pPr>
        <w:pStyle w:val="Heading3"/>
        <w:spacing w:line="240" w:lineRule="auto" w:before="145"/>
        <w:ind w:right="1133"/>
        <w:jc w:val="left"/>
        <w:rPr>
          <w:b w:val="0"/>
          <w:bCs w:val="0"/>
        </w:rPr>
      </w:pPr>
      <w:bookmarkStart w:name="9、其他流动资产" w:id="242"/>
      <w:bookmarkEnd w:id="242"/>
      <w:r>
        <w:rPr>
          <w:b w:val="0"/>
          <w:bCs w:val="0"/>
        </w:rPr>
      </w:r>
      <w:r>
        <w:rPr>
          <w:rFonts w:ascii="Times New Roman" w:hAnsi="Times New Roman" w:cs="Times New Roman" w:eastAsia="Times New Roman" w:hint="default"/>
        </w:rPr>
        <w:t>9</w:t>
      </w:r>
      <w:r>
        <w:rPr/>
        <w:t>、其他流动资产</w:t>
      </w:r>
      <w:r>
        <w:rPr>
          <w:b w:val="0"/>
          <w:bCs w:val="0"/>
        </w:rPr>
      </w:r>
    </w:p>
    <w:p>
      <w:pPr>
        <w:spacing w:line="240" w:lineRule="auto" w:before="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37"/>
        <w:ind w:right="0"/>
        <w:jc w:val="left"/>
      </w:pPr>
      <w:r>
        <w:rPr>
          <w:w w:val="95"/>
        </w:rPr>
        <w:t>是否已执行新收入准则</w:t>
      </w:r>
      <w:r>
        <w:rPr/>
      </w:r>
    </w:p>
    <w:p>
      <w:pPr>
        <w:pStyle w:val="BodyText"/>
        <w:spacing w:line="240" w:lineRule="auto" w:before="88"/>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150" w:space="6680"/>
            <w:col w:w="2100"/>
          </w:cols>
        </w:sectPr>
      </w:pP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4,258,390.24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1,325,211.90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643,107.23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11,278,321.89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信托产品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39,144,870.67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286,548,160.59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44,046,368.14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299,151,694.38</w:t>
            </w:r>
          </w:p>
        </w:tc>
      </w:tr>
    </w:tbl>
    <w:p>
      <w:pPr>
        <w:pStyle w:val="BodyText"/>
        <w:spacing w:line="240" w:lineRule="auto" w:before="33"/>
        <w:ind w:right="1133"/>
        <w:jc w:val="left"/>
      </w:pPr>
      <w:r>
        <w:rPr/>
        <w:t>其他说明：</w:t>
      </w:r>
    </w:p>
    <w:p>
      <w:pPr>
        <w:pStyle w:val="BodyText"/>
        <w:spacing w:line="240" w:lineRule="auto" w:before="170"/>
        <w:ind w:left="554" w:right="1133"/>
        <w:jc w:val="left"/>
      </w:pPr>
      <w:r>
        <w:rPr/>
        <w:t>信托产品系期限为</w:t>
      </w:r>
      <w:r>
        <w:rPr>
          <w:rFonts w:ascii="Times New Roman" w:hAnsi="Times New Roman" w:cs="Times New Roman" w:eastAsia="Times New Roman" w:hint="default"/>
        </w:rPr>
        <w:t>1</w:t>
      </w:r>
      <w:r>
        <w:rPr/>
        <w:t>年纳入结构化主体的信托产品，其中本金</w:t>
      </w:r>
      <w:r>
        <w:rPr>
          <w:rFonts w:ascii="Times New Roman" w:hAnsi="Times New Roman" w:cs="Times New Roman" w:eastAsia="Times New Roman" w:hint="default"/>
        </w:rPr>
        <w:t>70,236,366.47</w:t>
      </w:r>
      <w:r>
        <w:rPr/>
        <w:t>元，减值</w:t>
      </w:r>
      <w:r>
        <w:rPr>
          <w:rFonts w:ascii="Times New Roman" w:hAnsi="Times New Roman" w:cs="Times New Roman" w:eastAsia="Times New Roman" w:hint="default"/>
        </w:rPr>
        <w:t>31,091,495.80</w:t>
      </w:r>
      <w:r>
        <w:rPr/>
        <w:t>元。</w:t>
      </w:r>
    </w:p>
    <w:p>
      <w:pPr>
        <w:spacing w:line="240" w:lineRule="auto" w:before="0"/>
        <w:rPr>
          <w:rFonts w:ascii="宋体" w:hAnsi="宋体" w:cs="宋体" w:eastAsia="宋体" w:hint="default"/>
          <w:sz w:val="20"/>
          <w:szCs w:val="20"/>
        </w:rPr>
      </w:pPr>
    </w:p>
    <w:p>
      <w:pPr>
        <w:pStyle w:val="Heading3"/>
        <w:spacing w:line="240" w:lineRule="auto" w:before="145"/>
        <w:ind w:right="1133"/>
        <w:jc w:val="left"/>
        <w:rPr>
          <w:b w:val="0"/>
          <w:bCs w:val="0"/>
        </w:rPr>
      </w:pPr>
      <w:bookmarkStart w:name="10、债权投资" w:id="243"/>
      <w:bookmarkEnd w:id="243"/>
      <w:r>
        <w:rPr>
          <w:b w:val="0"/>
          <w:bCs w:val="0"/>
        </w:rPr>
      </w:r>
      <w:r>
        <w:rPr>
          <w:rFonts w:ascii="Times New Roman" w:hAnsi="Times New Roman" w:cs="Times New Roman" w:eastAsia="Times New Roman" w:hint="default"/>
        </w:rPr>
        <w:t>10</w:t>
      </w:r>
      <w:r>
        <w:rPr/>
        <w:t>、债权投资</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信托产品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199,980,000.00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1,999,800.00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197,980,200.00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199,980,000.00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1,999,800.00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197,980,200.00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33"/>
        <w:ind w:right="0"/>
        <w:jc w:val="left"/>
      </w:pPr>
      <w:r>
        <w:rPr>
          <w:w w:val="95"/>
        </w:rPr>
        <w:t>重要的债权投资</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550" w:space="7279"/>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958"/>
        <w:gridCol w:w="958"/>
        <w:gridCol w:w="958"/>
        <w:gridCol w:w="956"/>
        <w:gridCol w:w="958"/>
        <w:gridCol w:w="955"/>
        <w:gridCol w:w="958"/>
        <w:gridCol w:w="958"/>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四川信托</w:t>
            </w:r>
            <w:r>
              <w:rPr>
                <w:rFonts w:ascii="Times New Roman" w:hAnsi="Times New Roman" w:cs="Times New Roman" w:eastAsia="Times New Roman" w:hint="default"/>
                <w:sz w:val="18"/>
                <w:szCs w:val="18"/>
              </w:rPr>
              <w:t>-</w:t>
            </w:r>
            <w:r>
              <w:rPr>
                <w:rFonts w:ascii="宋体" w:hAnsi="宋体" w:cs="宋体" w:eastAsia="宋体" w:hint="default"/>
                <w:sz w:val="18"/>
                <w:szCs w:val="18"/>
              </w:rPr>
              <w:t>融科伟业单一 信托</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07"/>
              <w:jc w:val="left"/>
              <w:rPr>
                <w:rFonts w:ascii="宋体" w:hAnsi="宋体" w:cs="宋体" w:eastAsia="宋体" w:hint="default"/>
                <w:sz w:val="18"/>
                <w:szCs w:val="18"/>
              </w:rPr>
            </w:pPr>
            <w:r>
              <w:rPr>
                <w:rFonts w:ascii="宋体" w:hAnsi="宋体" w:cs="宋体" w:eastAsia="宋体" w:hint="default"/>
                <w:sz w:val="18"/>
                <w:szCs w:val="18"/>
              </w:rPr>
              <w:t>华鑫信托</w:t>
            </w:r>
            <w:r>
              <w:rPr>
                <w:rFonts w:ascii="Times New Roman" w:hAnsi="Times New Roman" w:cs="Times New Roman" w:eastAsia="Times New Roman" w:hint="default"/>
                <w:sz w:val="18"/>
                <w:szCs w:val="18"/>
              </w:rPr>
              <w:t>·</w:t>
            </w:r>
            <w:r>
              <w:rPr>
                <w:rFonts w:ascii="宋体" w:hAnsi="宋体" w:cs="宋体" w:eastAsia="宋体" w:hint="default"/>
                <w:sz w:val="18"/>
                <w:szCs w:val="18"/>
              </w:rPr>
              <w:t>睿科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 一资金信托</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华鑫信托</w:t>
            </w:r>
            <w:r>
              <w:rPr>
                <w:rFonts w:ascii="Times New Roman" w:hAnsi="Times New Roman" w:cs="Times New Roman" w:eastAsia="Times New Roman" w:hint="default"/>
                <w:sz w:val="18"/>
                <w:szCs w:val="18"/>
              </w:rPr>
              <w:t>·</w:t>
            </w:r>
            <w:r>
              <w:rPr>
                <w:rFonts w:ascii="宋体" w:hAnsi="宋体" w:cs="宋体" w:eastAsia="宋体" w:hint="default"/>
                <w:sz w:val="18"/>
                <w:szCs w:val="18"/>
              </w:rPr>
              <w:t>睿科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 一资金信托</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华鑫信托</w:t>
            </w:r>
            <w:r>
              <w:rPr>
                <w:rFonts w:ascii="Times New Roman" w:hAnsi="Times New Roman" w:cs="Times New Roman" w:eastAsia="Times New Roman" w:hint="default"/>
                <w:sz w:val="18"/>
                <w:szCs w:val="18"/>
              </w:rPr>
              <w:t>·</w:t>
            </w:r>
            <w:r>
              <w:rPr>
                <w:rFonts w:ascii="宋体" w:hAnsi="宋体" w:cs="宋体" w:eastAsia="宋体" w:hint="default"/>
                <w:sz w:val="18"/>
                <w:szCs w:val="18"/>
              </w:rPr>
              <w:t>睿科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18"/>
                <w:szCs w:val="18"/>
              </w:rPr>
            </w:pPr>
            <w:r>
              <w:rPr>
                <w:rFonts w:ascii="Times New Roman"/>
                <w:sz w:val="18"/>
              </w:rPr>
              <w:t>199,980,000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60" w:right="0"/>
              <w:jc w:val="left"/>
              <w:rPr>
                <w:rFonts w:ascii="Times New Roman" w:hAnsi="Times New Roman" w:cs="Times New Roman" w:eastAsia="Times New Roman" w:hint="default"/>
                <w:sz w:val="18"/>
                <w:szCs w:val="18"/>
              </w:rPr>
            </w:pPr>
            <w:r>
              <w:rPr>
                <w:rFonts w:ascii="Times New Roman"/>
                <w:sz w:val="18"/>
              </w:rPr>
              <w:t>5.49%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8" w:right="0"/>
              <w:jc w:val="left"/>
              <w:rPr>
                <w:rFonts w:ascii="Times New Roman" w:hAnsi="Times New Roman" w:cs="Times New Roman" w:eastAsia="Times New Roman" w:hint="default"/>
                <w:sz w:val="18"/>
                <w:szCs w:val="18"/>
              </w:rPr>
            </w:pPr>
            <w:r>
              <w:rPr>
                <w:rFonts w:ascii="Times New Roman"/>
                <w:sz w:val="18"/>
              </w:rPr>
              <w:t>5.49%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959"/>
        <w:gridCol w:w="956"/>
        <w:gridCol w:w="958"/>
        <w:gridCol w:w="956"/>
        <w:gridCol w:w="958"/>
        <w:gridCol w:w="955"/>
        <w:gridCol w:w="958"/>
        <w:gridCol w:w="958"/>
      </w:tblGrid>
      <w:tr>
        <w:trPr>
          <w:trHeight w:val="36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一资金信托</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7"/>
              <w:jc w:val="righ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199,980,000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33"/>
        <w:ind w:right="0"/>
        <w:jc w:val="left"/>
      </w:pPr>
      <w:r>
        <w:rPr>
          <w:w w:val="95"/>
        </w:rPr>
        <w:t>减值准备计提情况</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751" w:space="7078"/>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7"/>
        <w:gridCol w:w="1651"/>
        <w:gridCol w:w="2098"/>
        <w:gridCol w:w="2101"/>
        <w:gridCol w:w="1793"/>
      </w:tblGrid>
      <w:tr>
        <w:trPr>
          <w:trHeight w:val="403" w:hRule="exact"/>
        </w:trPr>
        <w:tc>
          <w:tcPr>
            <w:tcW w:w="19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9"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7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9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1"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48"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7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1" w:hRule="exact"/>
        </w:trPr>
        <w:tc>
          <w:tcPr>
            <w:tcW w:w="19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651"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79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2" w:hRule="exact"/>
        </w:trPr>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24" w:right="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7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17" w:type="dxa"/>
            <w:vMerge/>
            <w:tcBorders>
              <w:left w:val="single" w:sz="4" w:space="0" w:color="000000"/>
              <w:right w:val="single" w:sz="4" w:space="0" w:color="000000"/>
            </w:tcBorders>
            <w:shd w:val="clear" w:color="auto" w:fill="D2D2D2"/>
          </w:tcPr>
          <w:p>
            <w:pPr/>
          </w:p>
        </w:tc>
        <w:tc>
          <w:tcPr>
            <w:tcW w:w="16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7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917" w:type="dxa"/>
            <w:vMerge/>
            <w:tcBorders>
              <w:left w:val="single" w:sz="4" w:space="0" w:color="000000"/>
              <w:bottom w:val="single" w:sz="4" w:space="0" w:color="000000"/>
              <w:right w:val="single" w:sz="4" w:space="0" w:color="000000"/>
            </w:tcBorders>
            <w:shd w:val="clear" w:color="auto" w:fill="D2D2D2"/>
          </w:tcPr>
          <w:p>
            <w:pPr/>
          </w:p>
        </w:tc>
        <w:tc>
          <w:tcPr>
            <w:tcW w:w="1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79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1,999,800.00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1,999,800.00</w:t>
            </w:r>
          </w:p>
        </w:tc>
      </w:tr>
      <w:tr>
        <w:trPr>
          <w:trHeight w:val="40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1,999,800.00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1,999,800.00</w:t>
            </w:r>
          </w:p>
        </w:tc>
      </w:tr>
    </w:tbl>
    <w:p>
      <w:pPr>
        <w:pStyle w:val="BodyText"/>
        <w:spacing w:line="240" w:lineRule="auto" w:before="33"/>
        <w:ind w:right="1133"/>
        <w:jc w:val="left"/>
      </w:pPr>
      <w:r>
        <w:rPr/>
        <w:t>损失准备本期变动金额重大的账面余额变动情况</w:t>
      </w:r>
    </w:p>
    <w:p>
      <w:pPr>
        <w:pStyle w:val="BodyText"/>
        <w:spacing w:line="240" w:lineRule="auto" w:before="88"/>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4"/>
        <w:rPr>
          <w:rFonts w:ascii="宋体" w:hAnsi="宋体" w:cs="宋体" w:eastAsia="宋体" w:hint="default"/>
          <w:sz w:val="25"/>
          <w:szCs w:val="25"/>
        </w:rPr>
      </w:pPr>
    </w:p>
    <w:p>
      <w:pPr>
        <w:pStyle w:val="Heading3"/>
        <w:spacing w:line="240" w:lineRule="auto"/>
        <w:ind w:right="1133"/>
        <w:jc w:val="left"/>
        <w:rPr>
          <w:b w:val="0"/>
          <w:bCs w:val="0"/>
        </w:rPr>
      </w:pPr>
      <w:bookmarkStart w:name="11、长期股权投资" w:id="244"/>
      <w:bookmarkEnd w:id="244"/>
      <w:r>
        <w:rPr>
          <w:b w:val="0"/>
          <w:bCs w:val="0"/>
        </w:rPr>
      </w:r>
      <w:r>
        <w:rPr>
          <w:rFonts w:ascii="Times New Roman" w:hAnsi="Times New Roman" w:cs="Times New Roman" w:eastAsia="Times New Roman" w:hint="default"/>
        </w:rPr>
        <w:t>11</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8"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中科环嘉 电子商务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1,682,767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1,622,761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北京中关 村互联网 金融信息 服务中心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3,512,573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-776,493.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2,736,079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9"/>
              <w:ind w:left="24"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安粮期货 股份有限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 </w:t>
            </w:r>
            <w:r>
              <w:rPr>
                <w:rFonts w:ascii="Times New Roman" w:hAnsi="Times New Roman" w:cs="Times New Roman" w:eastAsia="Times New Roman" w:hint="default"/>
                <w:sz w:val="18"/>
                <w:szCs w:val="18"/>
              </w:rPr>
              <w:t>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277,507,4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23.83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11,672,00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265,180.5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-406,386.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15,240,00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273,798,2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27.94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金网络</w:t>
            </w:r>
          </w:p>
          <w:p>
            <w:pPr>
              <w:pStyle w:val="TableParagraph"/>
              <w:spacing w:line="316" w:lineRule="auto" w:before="76"/>
              <w:ind w:left="24" w:right="41"/>
              <w:jc w:val="left"/>
              <w:rPr>
                <w:rFonts w:ascii="宋体" w:hAnsi="宋体" w:cs="宋体" w:eastAsia="宋体" w:hint="default"/>
                <w:sz w:val="18"/>
                <w:szCs w:val="18"/>
              </w:rPr>
            </w:pPr>
            <w:r>
              <w:rPr>
                <w:rFonts w:ascii="宋体" w:hAnsi="宋体" w:cs="宋体" w:eastAsia="宋体" w:hint="default"/>
                <w:sz w:val="18"/>
                <w:szCs w:val="18"/>
              </w:rPr>
              <w:t>（北京） 电子商务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10,298,54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8.79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10,298,54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8.79</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r>
        <w:rPr/>
        <w:pict>
          <v:shape style="position:absolute;margin-left:90.744003pt;margin-top:514.98999pt;width:45.4pt;height:23.4pt;mso-position-horizontal-relative:page;mso-position-vertical-relative:page;z-index:-1105144" type="#_x0000_t202" filled="false" stroked="false">
            <v:textbox inset="0,0,0,0">
              <w:txbxContent>
                <w:p>
                  <w:pPr>
                    <w:spacing w:before="123"/>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67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p>
            <w:pPr>
              <w:pStyle w:val="TableParagraph"/>
              <w:spacing w:line="240" w:lineRule="auto" w:before="77"/>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49"/>
              <w:ind w:left="24"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北京国信 新网通讯 技术有限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 </w:t>
            </w:r>
            <w:r>
              <w:rPr>
                <w:rFonts w:ascii="Times New Roman" w:hAnsi="Times New Roman" w:cs="Times New Roman" w:eastAsia="Times New Roman" w:hint="default"/>
                <w:sz w:val="18"/>
                <w:szCs w:val="18"/>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8,140,447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5,055,837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-1,278,95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3.47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-1,805,65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6.21</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9"/>
              <w:ind w:left="24"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安金资产 管理有限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 </w:t>
            </w:r>
            <w:r>
              <w:rPr>
                <w:rFonts w:ascii="Times New Roman" w:hAnsi="Times New Roman" w:cs="Times New Roman" w:eastAsia="Times New Roman" w:hint="default"/>
                <w:sz w:val="18"/>
                <w:szCs w:val="18"/>
              </w:rPr>
              <w:t>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10,464,30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5.70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10,464,30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5.70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49"/>
              <w:ind w:left="24"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北京奥金 智策传媒 科技有限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 </w:t>
            </w:r>
            <w:r>
              <w:rPr>
                <w:rFonts w:ascii="Times New Roman" w:hAnsi="Times New Roman" w:cs="Times New Roman" w:eastAsia="Times New Roman" w:hint="default"/>
                <w:sz w:val="18"/>
                <w:szCs w:val="18"/>
              </w:rPr>
              <w:t>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1,648,553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1,115,825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-532,728.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深圳市金 方达信息 技术有限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2,747,291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-1,109,61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4.96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1,637,676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陕西金财 云商电子 商务有限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16,027.39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49,371.51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65,398.90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Times New Roman" w:hAnsi="Times New Roman" w:cs="Times New Roman" w:eastAsia="Times New Roman" w:hint="default"/>
                <w:sz w:val="18"/>
                <w:szCs w:val="18"/>
              </w:rPr>
            </w:pPr>
            <w:r>
              <w:rPr>
                <w:rFonts w:ascii="宋体" w:hAnsi="宋体" w:cs="宋体" w:eastAsia="宋体" w:hint="default"/>
                <w:sz w:val="18"/>
                <w:szCs w:val="18"/>
              </w:rPr>
              <w:t>大连金融 资产交易 所有限公 </w:t>
            </w:r>
            <w:r>
              <w:rPr>
                <w:rFonts w:ascii="宋体" w:hAnsi="宋体" w:cs="宋体" w:eastAsia="宋体" w:hint="default"/>
                <w:spacing w:val="-8"/>
                <w:sz w:val="18"/>
                <w:szCs w:val="18"/>
              </w:rPr>
              <w:t>司（注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39.4pt;height:23.4pt;mso-position-horizontal-relative:char;mso-position-vertical-relative:line" coordorigin="0,0" coordsize="788,468">
                  <v:group style="position:absolute;left:0;top:0;width:788;height:468" coordorigin="0,0" coordsize="788,468">
                    <v:shape style="position:absolute;left:0;top:0;width:788;height:468" coordorigin="0,0" coordsize="788,468" path="m0,468l787,468,787,0,0,0,0,468xe" filled="true" fillcolor="#ffffff" stroked="false">
                      <v:path arrowok="t"/>
                      <v:fill type="solid"/>
                    </v:shape>
                  </v:group>
                </v:group>
              </w:pict>
            </w:r>
            <w:r>
              <w:rPr>
                <w:rFonts w:ascii="宋体" w:hAnsi="宋体" w:cs="宋体" w:eastAsia="宋体" w:hint="default"/>
                <w:position w:val="-8"/>
                <w:sz w:val="20"/>
                <w:szCs w:val="20"/>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-1,228,22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4.33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94,693,71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8.18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93,465,49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3.85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大连汇智 企业管理 咨询有限 公司（注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350,310.1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-350,310.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17</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316,368,2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48.35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26,934,51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7.06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6,735,361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265,180.5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-406,386.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15,240,00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92,537,75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1.80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373,325,6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38.78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316,368,2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48.35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26,934,51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7.06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6,735,361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265,180.5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-406,386.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15,240,00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92,537,75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1.80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373,325,6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38.78</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33"/>
        <w:ind w:right="1133"/>
        <w:jc w:val="left"/>
      </w:pPr>
      <w:r>
        <w:rPr/>
        <w:t>其他说明</w:t>
      </w:r>
    </w:p>
    <w:p>
      <w:pPr>
        <w:pStyle w:val="BodyText"/>
        <w:spacing w:line="405" w:lineRule="auto" w:before="170"/>
        <w:ind w:right="1021" w:firstLine="401"/>
        <w:jc w:val="left"/>
      </w:pPr>
      <w:r>
        <w:rPr>
          <w:spacing w:val="-2"/>
        </w:rPr>
        <w:t>注</w:t>
      </w:r>
      <w:r>
        <w:rPr>
          <w:rFonts w:ascii="Times New Roman" w:hAnsi="Times New Roman" w:cs="Times New Roman" w:eastAsia="Times New Roman" w:hint="default"/>
          <w:spacing w:val="-2"/>
        </w:rPr>
        <w:t>1</w:t>
      </w:r>
      <w:r>
        <w:rPr>
          <w:spacing w:val="-2"/>
        </w:rPr>
        <w:t>：安粮期货股份有限公司</w:t>
      </w:r>
      <w:r>
        <w:rPr>
          <w:rFonts w:ascii="Times New Roman" w:hAnsi="Times New Roman" w:cs="Times New Roman" w:eastAsia="Times New Roman" w:hint="default"/>
          <w:spacing w:val="-2"/>
        </w:rPr>
        <w:t>2018</w:t>
      </w:r>
      <w:r>
        <w:rPr>
          <w:spacing w:val="-2"/>
        </w:rPr>
        <w:t>年度股东大会决议通过，对</w:t>
      </w:r>
      <w:r>
        <w:rPr>
          <w:rFonts w:ascii="Times New Roman" w:hAnsi="Times New Roman" w:cs="Times New Roman" w:eastAsia="Times New Roman" w:hint="default"/>
          <w:spacing w:val="-2"/>
        </w:rPr>
        <w:t>2018</w:t>
      </w:r>
      <w:r>
        <w:rPr>
          <w:spacing w:val="-2"/>
        </w:rPr>
        <w:t>年可供分配利润</w:t>
      </w:r>
      <w:r>
        <w:rPr>
          <w:rFonts w:ascii="Times New Roman" w:hAnsi="Times New Roman" w:cs="Times New Roman" w:eastAsia="Times New Roman" w:hint="default"/>
          <w:spacing w:val="-2"/>
        </w:rPr>
        <w:t>38,100,000.00</w:t>
      </w:r>
      <w:r>
        <w:rPr>
          <w:spacing w:val="-2"/>
        </w:rPr>
        <w:t>元进行分配，</w:t>
      </w:r>
      <w:r>
        <w:rPr>
          <w:w w:val="99"/>
        </w:rPr>
        <w:t> </w:t>
      </w:r>
      <w:r>
        <w:rPr/>
        <w:t>本公司取得现金分红</w:t>
      </w:r>
      <w:r>
        <w:rPr>
          <w:rFonts w:ascii="Times New Roman" w:hAnsi="Times New Roman" w:cs="Times New Roman" w:eastAsia="Times New Roman" w:hint="default"/>
        </w:rPr>
        <w:t>15,240,000.00</w:t>
      </w:r>
      <w:r>
        <w:rPr/>
        <w:t>元；</w:t>
      </w:r>
    </w:p>
    <w:p>
      <w:pPr>
        <w:spacing w:after="0" w:line="405"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05" w:lineRule="auto"/>
        <w:ind w:right="1133" w:firstLine="401"/>
        <w:jc w:val="left"/>
      </w:pPr>
      <w:r>
        <w:rPr/>
        <w:t>注</w:t>
      </w:r>
      <w:r>
        <w:rPr>
          <w:rFonts w:ascii="Times New Roman" w:hAnsi="Times New Roman" w:cs="Times New Roman" w:eastAsia="Times New Roman" w:hint="default"/>
        </w:rPr>
        <w:t>2</w:t>
      </w:r>
      <w:r>
        <w:rPr/>
        <w:t>：公司将持有的金网络（北京）电子商务有限公司</w:t>
      </w:r>
      <w:r>
        <w:rPr>
          <w:rFonts w:ascii="Times New Roman" w:hAnsi="Times New Roman" w:cs="Times New Roman" w:eastAsia="Times New Roman" w:hint="default"/>
        </w:rPr>
        <w:t>25%</w:t>
      </w:r>
      <w:r>
        <w:rPr/>
        <w:t>股权对外转让，</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月已收到股权转让款并</w:t>
      </w:r>
      <w:r>
        <w:rPr>
          <w:spacing w:val="2"/>
          <w:w w:val="99"/>
        </w:rPr>
        <w:t> </w:t>
      </w:r>
      <w:r>
        <w:rPr/>
        <w:t>完成工商变更；</w:t>
      </w:r>
    </w:p>
    <w:p>
      <w:pPr>
        <w:pStyle w:val="BodyText"/>
        <w:spacing w:line="405" w:lineRule="auto" w:before="68"/>
        <w:ind w:right="1133" w:firstLine="401"/>
        <w:jc w:val="left"/>
      </w:pPr>
      <w:r>
        <w:rPr>
          <w:spacing w:val="-1"/>
          <w:w w:val="95"/>
        </w:rPr>
        <w:t>注</w:t>
      </w:r>
      <w:r>
        <w:rPr>
          <w:rFonts w:ascii="Times New Roman" w:hAnsi="Times New Roman" w:cs="Times New Roman" w:eastAsia="Times New Roman" w:hint="default"/>
          <w:spacing w:val="-1"/>
          <w:w w:val="95"/>
        </w:rPr>
        <w:t>3</w:t>
      </w:r>
      <w:r>
        <w:rPr>
          <w:spacing w:val="-1"/>
          <w:w w:val="95"/>
        </w:rPr>
        <w:t>：经股东会决议通过，对北京国信新网通信技术有限公司减资，减资完成后公司对北京国信新网通信技</w:t>
      </w:r>
      <w:r>
        <w:rPr>
          <w:spacing w:val="-57"/>
          <w:w w:val="95"/>
        </w:rPr>
        <w:t> </w:t>
      </w:r>
      <w:r>
        <w:rPr>
          <w:spacing w:val="-57"/>
          <w:w w:val="95"/>
        </w:rPr>
      </w:r>
      <w:r>
        <w:rPr/>
        <w:t>术有限公司不再构成重大影响，</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月已收到减资款；</w:t>
      </w:r>
    </w:p>
    <w:p>
      <w:pPr>
        <w:pStyle w:val="BodyText"/>
        <w:spacing w:line="240" w:lineRule="auto" w:before="38"/>
        <w:ind w:left="554" w:right="982"/>
        <w:jc w:val="left"/>
      </w:pPr>
      <w:r>
        <w:rPr/>
        <w:t>注</w:t>
      </w:r>
      <w:r>
        <w:rPr>
          <w:rFonts w:ascii="Times New Roman" w:hAnsi="Times New Roman" w:cs="Times New Roman" w:eastAsia="Times New Roman" w:hint="default"/>
        </w:rPr>
        <w:t>4</w:t>
      </w:r>
      <w:r>
        <w:rPr/>
        <w:t>：公司将持有的安金资产管理有限公司</w:t>
      </w:r>
      <w:r>
        <w:rPr>
          <w:rFonts w:ascii="Times New Roman" w:hAnsi="Times New Roman" w:cs="Times New Roman" w:eastAsia="Times New Roman" w:hint="default"/>
        </w:rPr>
        <w:t>21%</w:t>
      </w:r>
      <w:r>
        <w:rPr/>
        <w:t>股权对外转让，</w:t>
      </w:r>
      <w:r>
        <w:rPr>
          <w:spacing w:val="-35"/>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月已收到股权转让款并完成工商变</w:t>
      </w:r>
    </w:p>
    <w:p>
      <w:pPr>
        <w:spacing w:line="240" w:lineRule="auto" w:before="8"/>
        <w:rPr>
          <w:rFonts w:ascii="宋体" w:hAnsi="宋体" w:cs="宋体" w:eastAsia="宋体" w:hint="default"/>
          <w:sz w:val="14"/>
          <w:szCs w:val="14"/>
        </w:rPr>
      </w:pPr>
    </w:p>
    <w:p>
      <w:pPr>
        <w:pStyle w:val="BodyText"/>
        <w:spacing w:line="240" w:lineRule="auto"/>
        <w:ind w:right="1133"/>
        <w:jc w:val="left"/>
      </w:pPr>
      <w:r>
        <w:rPr/>
        <w:t>更；</w:t>
      </w:r>
    </w:p>
    <w:p>
      <w:pPr>
        <w:spacing w:line="240" w:lineRule="auto" w:before="10"/>
        <w:rPr>
          <w:rFonts w:ascii="宋体" w:hAnsi="宋体" w:cs="宋体" w:eastAsia="宋体" w:hint="default"/>
          <w:sz w:val="15"/>
          <w:szCs w:val="15"/>
        </w:rPr>
      </w:pPr>
    </w:p>
    <w:p>
      <w:pPr>
        <w:pStyle w:val="BodyText"/>
        <w:spacing w:line="405" w:lineRule="auto"/>
        <w:ind w:right="1133" w:firstLine="401"/>
        <w:jc w:val="left"/>
      </w:pPr>
      <w:r>
        <w:rPr/>
        <w:t>注</w:t>
      </w:r>
      <w:r>
        <w:rPr>
          <w:rFonts w:ascii="Times New Roman" w:hAnsi="Times New Roman" w:cs="Times New Roman" w:eastAsia="Times New Roman" w:hint="default"/>
        </w:rPr>
        <w:t>5</w:t>
      </w:r>
      <w:r>
        <w:rPr/>
        <w:t>：公司将持有的北京奥金智策传媒科技有限公司</w:t>
      </w:r>
      <w:r>
        <w:rPr>
          <w:rFonts w:ascii="Times New Roman" w:hAnsi="Times New Roman" w:cs="Times New Roman" w:eastAsia="Times New Roman" w:hint="default"/>
        </w:rPr>
        <w:t>21%</w:t>
      </w:r>
      <w:r>
        <w:rPr/>
        <w:t>股权对外转让，</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月收到股权转让款并完成</w:t>
      </w:r>
      <w:r>
        <w:rPr>
          <w:spacing w:val="2"/>
          <w:w w:val="99"/>
        </w:rPr>
        <w:t> </w:t>
      </w:r>
      <w:r>
        <w:rPr/>
        <w:t>工商变更；</w:t>
      </w:r>
    </w:p>
    <w:p>
      <w:pPr>
        <w:pStyle w:val="BodyText"/>
        <w:spacing w:line="410" w:lineRule="auto" w:before="69"/>
        <w:ind w:right="982" w:firstLine="401"/>
        <w:jc w:val="left"/>
      </w:pPr>
      <w:r>
        <w:rPr>
          <w:spacing w:val="-3"/>
          <w:w w:val="95"/>
        </w:rPr>
        <w:t>注</w:t>
      </w:r>
      <w:r>
        <w:rPr>
          <w:rFonts w:ascii="Times New Roman" w:hAnsi="Times New Roman" w:cs="Times New Roman" w:eastAsia="Times New Roman" w:hint="default"/>
          <w:spacing w:val="-3"/>
          <w:w w:val="95"/>
        </w:rPr>
        <w:t>6</w:t>
      </w:r>
      <w:r>
        <w:rPr>
          <w:spacing w:val="-3"/>
          <w:w w:val="95"/>
        </w:rPr>
        <w:t>：</w:t>
      </w:r>
      <w:r>
        <w:rPr>
          <w:rFonts w:ascii="Times New Roman" w:hAnsi="Times New Roman" w:cs="Times New Roman" w:eastAsia="Times New Roman" w:hint="default"/>
          <w:spacing w:val="-3"/>
          <w:w w:val="95"/>
        </w:rPr>
        <w:t>2018</w:t>
      </w:r>
      <w:r>
        <w:rPr>
          <w:spacing w:val="-3"/>
          <w:w w:val="95"/>
        </w:rPr>
        <w:t>年</w:t>
      </w:r>
      <w:r>
        <w:rPr>
          <w:rFonts w:ascii="Times New Roman" w:hAnsi="Times New Roman" w:cs="Times New Roman" w:eastAsia="Times New Roman" w:hint="default"/>
          <w:spacing w:val="-3"/>
          <w:w w:val="95"/>
        </w:rPr>
        <w:t>12</w:t>
      </w:r>
      <w:r>
        <w:rPr>
          <w:spacing w:val="-3"/>
          <w:w w:val="95"/>
        </w:rPr>
        <w:t>月</w:t>
      </w:r>
      <w:r>
        <w:rPr>
          <w:rFonts w:ascii="Times New Roman" w:hAnsi="Times New Roman" w:cs="Times New Roman" w:eastAsia="Times New Roman" w:hint="default"/>
          <w:spacing w:val="-3"/>
          <w:w w:val="95"/>
        </w:rPr>
        <w:t>19</w:t>
      </w:r>
      <w:r>
        <w:rPr>
          <w:spacing w:val="-3"/>
          <w:w w:val="95"/>
        </w:rPr>
        <w:t>日，公司与大连产权交易所（有限责任公司）、大连市国有资产投资经营集团有限公司、</w:t>
      </w:r>
      <w:r>
        <w:rPr>
          <w:spacing w:val="-37"/>
          <w:w w:val="95"/>
        </w:rPr>
        <w:t> </w:t>
      </w:r>
      <w:r>
        <w:rPr>
          <w:spacing w:val="-37"/>
          <w:w w:val="95"/>
        </w:rPr>
      </w:r>
      <w:r>
        <w:rPr/>
        <w:t>三寰集团有限公司、良运集团有限公司、大连鼎金企业管理中心（有限合伙）、雪松控股集团有限公司（以下</w:t>
      </w:r>
      <w:r>
        <w:rPr>
          <w:spacing w:val="-72"/>
        </w:rPr>
        <w:t> </w:t>
      </w:r>
      <w:r>
        <w:rPr>
          <w:spacing w:val="-72"/>
        </w:rPr>
      </w:r>
      <w:r>
        <w:rPr>
          <w:spacing w:val="2"/>
        </w:rPr>
        <w:t>简称</w:t>
      </w:r>
      <w:r>
        <w:rPr>
          <w:rFonts w:ascii="Times New Roman" w:hAnsi="Times New Roman" w:cs="Times New Roman" w:eastAsia="Times New Roman" w:hint="default"/>
          <w:spacing w:val="2"/>
        </w:rPr>
        <w:t>“</w:t>
      </w:r>
      <w:r>
        <w:rPr>
          <w:spacing w:val="2"/>
        </w:rPr>
        <w:t>雪松控股</w:t>
      </w:r>
      <w:r>
        <w:rPr>
          <w:rFonts w:ascii="Times New Roman" w:hAnsi="Times New Roman" w:cs="Times New Roman" w:eastAsia="Times New Roman" w:hint="default"/>
          <w:spacing w:val="2"/>
        </w:rPr>
        <w:t>”</w:t>
      </w:r>
      <w:r>
        <w:rPr>
          <w:spacing w:val="2"/>
        </w:rPr>
        <w:t>）及公司子公司大连金融资产交易所有限公司（以下简称</w:t>
      </w:r>
      <w:r>
        <w:rPr>
          <w:rFonts w:ascii="Times New Roman" w:hAnsi="Times New Roman" w:cs="Times New Roman" w:eastAsia="Times New Roman" w:hint="default"/>
          <w:spacing w:val="2"/>
        </w:rPr>
        <w:t>“</w:t>
      </w:r>
      <w:r>
        <w:rPr>
          <w:spacing w:val="2"/>
        </w:rPr>
        <w:t>大金所</w:t>
      </w:r>
      <w:r>
        <w:rPr>
          <w:rFonts w:ascii="Times New Roman" w:hAnsi="Times New Roman" w:cs="Times New Roman" w:eastAsia="Times New Roman" w:hint="default"/>
          <w:spacing w:val="2"/>
        </w:rPr>
        <w:t>”</w:t>
      </w:r>
      <w:r>
        <w:rPr>
          <w:spacing w:val="2"/>
        </w:rPr>
        <w:t>）共同签署增资扩股协议。</w:t>
      </w:r>
      <w:r>
        <w:rPr>
          <w:spacing w:val="2"/>
          <w:w w:val="99"/>
        </w:rPr>
        <w:t> </w:t>
      </w:r>
      <w:r>
        <w:rPr/>
        <w:t>协议约定雪松控股新增注册资本</w:t>
      </w:r>
      <w:r>
        <w:rPr>
          <w:rFonts w:ascii="Times New Roman" w:hAnsi="Times New Roman" w:cs="Times New Roman" w:eastAsia="Times New Roman" w:hint="default"/>
        </w:rPr>
        <w:t>23,077.00</w:t>
      </w:r>
      <w:r>
        <w:rPr/>
        <w:t>万元，增资完成后雪松控股持有大金所</w:t>
      </w:r>
      <w:r>
        <w:rPr>
          <w:rFonts w:ascii="Times New Roman" w:hAnsi="Times New Roman" w:cs="Times New Roman" w:eastAsia="Times New Roman" w:hint="default"/>
        </w:rPr>
        <w:t>69.77%</w:t>
      </w:r>
      <w:r>
        <w:rPr/>
        <w:t>的股权，公司持有大金</w:t>
      </w:r>
      <w:r>
        <w:rPr>
          <w:spacing w:val="-88"/>
        </w:rPr>
        <w:t> </w:t>
      </w:r>
      <w:r>
        <w:rPr>
          <w:spacing w:val="-88"/>
        </w:rPr>
      </w:r>
      <w:r>
        <w:rPr/>
        <w:t>所</w:t>
      </w:r>
      <w:r>
        <w:rPr>
          <w:rFonts w:ascii="Times New Roman" w:hAnsi="Times New Roman" w:cs="Times New Roman" w:eastAsia="Times New Roman" w:hint="default"/>
        </w:rPr>
        <w:t>15.12%</w:t>
      </w:r>
      <w:r>
        <w:rPr/>
        <w:t>的股权，不再纳入合并范围；</w:t>
      </w:r>
    </w:p>
    <w:p>
      <w:pPr>
        <w:pStyle w:val="BodyText"/>
        <w:spacing w:line="405" w:lineRule="auto" w:before="34"/>
        <w:ind w:right="1133" w:firstLine="401"/>
        <w:jc w:val="left"/>
      </w:pPr>
      <w:r>
        <w:rPr>
          <w:w w:val="95"/>
        </w:rPr>
        <w:t>注</w:t>
      </w:r>
      <w:r>
        <w:rPr>
          <w:rFonts w:ascii="Times New Roman" w:hAnsi="Times New Roman" w:cs="Times New Roman" w:eastAsia="Times New Roman" w:hint="default"/>
          <w:w w:val="95"/>
        </w:rPr>
        <w:t>7</w:t>
      </w:r>
      <w:r>
        <w:rPr>
          <w:w w:val="95"/>
        </w:rPr>
        <w:t>：大连汇智企业管理咨询有限公司系原子公司大金所的联营企业，由于大金所不再纳入公司合并范围，</w:t>
      </w:r>
      <w:r>
        <w:rPr>
          <w:spacing w:val="-40"/>
          <w:w w:val="95"/>
        </w:rPr>
        <w:t> </w:t>
      </w:r>
      <w:r>
        <w:rPr>
          <w:spacing w:val="-40"/>
          <w:w w:val="95"/>
        </w:rPr>
      </w:r>
      <w:r>
        <w:rPr/>
        <w:t>故大连汇智企业管理咨询有限公司不再构成公司的联营企业。</w:t>
      </w:r>
    </w:p>
    <w:p>
      <w:pPr>
        <w:spacing w:line="240" w:lineRule="auto" w:before="10"/>
        <w:rPr>
          <w:rFonts w:ascii="宋体" w:hAnsi="宋体" w:cs="宋体" w:eastAsia="宋体" w:hint="default"/>
          <w:sz w:val="21"/>
          <w:szCs w:val="21"/>
        </w:rPr>
      </w:pPr>
    </w:p>
    <w:p>
      <w:pPr>
        <w:pStyle w:val="Heading3"/>
        <w:spacing w:line="240" w:lineRule="auto"/>
        <w:ind w:right="1133"/>
        <w:jc w:val="left"/>
        <w:rPr>
          <w:b w:val="0"/>
          <w:bCs w:val="0"/>
        </w:rPr>
      </w:pPr>
      <w:bookmarkStart w:name="12、其他非流动金融资产" w:id="245"/>
      <w:bookmarkEnd w:id="245"/>
      <w:r>
        <w:rPr>
          <w:b w:val="0"/>
          <w:bCs w:val="0"/>
        </w:rPr>
      </w:r>
      <w:r>
        <w:rPr>
          <w:rFonts w:ascii="Times New Roman" w:hAnsi="Times New Roman" w:cs="Times New Roman" w:eastAsia="Times New Roman" w:hint="default"/>
        </w:rPr>
        <w:t>12</w:t>
      </w:r>
      <w:r>
        <w:rPr/>
        <w:t>、其他非流动金融资产</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其中：权益工具投资</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15,810,830.00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18,248,400.00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15,810,830.00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18,248,400.00</w:t>
            </w:r>
          </w:p>
        </w:tc>
      </w:tr>
    </w:tbl>
    <w:p>
      <w:pPr>
        <w:pStyle w:val="BodyText"/>
        <w:spacing w:line="240" w:lineRule="auto" w:before="33"/>
        <w:ind w:right="1133"/>
        <w:jc w:val="left"/>
      </w:pPr>
      <w:r>
        <w:rPr/>
        <w:t>其他说明：</w:t>
      </w:r>
    </w:p>
    <w:p>
      <w:pPr>
        <w:pStyle w:val="BodyText"/>
        <w:spacing w:line="405" w:lineRule="auto" w:before="170"/>
        <w:ind w:right="1131" w:firstLine="401"/>
        <w:jc w:val="both"/>
      </w:pPr>
      <w:r>
        <w:rPr>
          <w:spacing w:val="2"/>
          <w:w w:val="95"/>
        </w:rPr>
        <w:t>以公允价值计量且其变动计入当期损益的金融资产中权益工具投资</w:t>
      </w:r>
      <w:r>
        <w:rPr>
          <w:rFonts w:ascii="Times New Roman" w:hAnsi="Times New Roman" w:cs="Times New Roman" w:eastAsia="Times New Roman" w:hint="default"/>
          <w:spacing w:val="2"/>
          <w:w w:val="95"/>
        </w:rPr>
        <w:t>15,810,830.00</w:t>
      </w:r>
      <w:r>
        <w:rPr>
          <w:spacing w:val="2"/>
          <w:w w:val="95"/>
        </w:rPr>
        <w:t>元系公司投资佛山南海新</w:t>
      </w:r>
      <w:r>
        <w:rPr>
          <w:spacing w:val="-73"/>
          <w:w w:val="95"/>
        </w:rPr>
        <w:t> </w:t>
      </w:r>
      <w:r>
        <w:rPr>
          <w:spacing w:val="-73"/>
          <w:w w:val="95"/>
        </w:rPr>
      </w:r>
      <w:r>
        <w:rPr>
          <w:spacing w:val="-1"/>
        </w:rPr>
        <w:t>华村镇银行股份有限公司</w:t>
      </w:r>
      <w:r>
        <w:rPr>
          <w:rFonts w:ascii="Times New Roman" w:hAnsi="Times New Roman" w:cs="Times New Roman" w:eastAsia="Times New Roman" w:hint="default"/>
          <w:spacing w:val="-1"/>
        </w:rPr>
        <w:t>4,900,000.00</w:t>
      </w:r>
      <w:r>
        <w:rPr>
          <w:spacing w:val="-1"/>
        </w:rPr>
        <w:t>元、大连鼎金企业管理中心（有限合伙）</w:t>
      </w:r>
      <w:r>
        <w:rPr>
          <w:rFonts w:ascii="Times New Roman" w:hAnsi="Times New Roman" w:cs="Times New Roman" w:eastAsia="Times New Roman" w:hint="default"/>
          <w:spacing w:val="-1"/>
        </w:rPr>
        <w:t>8,548,400.00</w:t>
      </w:r>
      <w:r>
        <w:rPr>
          <w:spacing w:val="-1"/>
        </w:rPr>
        <w:t>元、北京国信新网通</w:t>
      </w:r>
      <w:r>
        <w:rPr>
          <w:w w:val="99"/>
        </w:rPr>
        <w:t> </w:t>
      </w:r>
      <w:r>
        <w:rPr/>
        <w:t>讯技术有限公司</w:t>
      </w:r>
      <w:r>
        <w:rPr>
          <w:rFonts w:ascii="Times New Roman" w:hAnsi="Times New Roman" w:cs="Times New Roman" w:eastAsia="Times New Roman" w:hint="default"/>
        </w:rPr>
        <w:t>2,362,430.00</w:t>
      </w:r>
      <w:r>
        <w:rPr/>
        <w:t>元。</w:t>
      </w:r>
    </w:p>
    <w:p>
      <w:pPr>
        <w:spacing w:line="240" w:lineRule="auto" w:before="6"/>
        <w:rPr>
          <w:rFonts w:ascii="宋体" w:hAnsi="宋体" w:cs="宋体" w:eastAsia="宋体" w:hint="default"/>
          <w:sz w:val="19"/>
          <w:szCs w:val="19"/>
        </w:rPr>
      </w:pPr>
    </w:p>
    <w:p>
      <w:pPr>
        <w:pStyle w:val="Heading3"/>
        <w:spacing w:line="240" w:lineRule="auto"/>
        <w:ind w:right="1133"/>
        <w:jc w:val="left"/>
        <w:rPr>
          <w:b w:val="0"/>
          <w:bCs w:val="0"/>
        </w:rPr>
      </w:pPr>
      <w:bookmarkStart w:name="13、固定资产" w:id="246"/>
      <w:bookmarkEnd w:id="246"/>
      <w:r>
        <w:rPr>
          <w:b w:val="0"/>
          <w:bCs w:val="0"/>
        </w:rPr>
      </w:r>
      <w:r>
        <w:rPr>
          <w:rFonts w:ascii="Times New Roman" w:hAnsi="Times New Roman" w:cs="Times New Roman" w:eastAsia="Times New Roman" w:hint="default"/>
        </w:rPr>
        <w:t>13</w:t>
      </w:r>
      <w:r>
        <w:rPr/>
        <w:t>、固定资产</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21,481,744.79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19,093,358.06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21,481,744.79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19,093,358.06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固定资产情况" w:id="247"/>
      <w:bookmarkEnd w:id="247"/>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5"/>
        <w:gridCol w:w="1596"/>
        <w:gridCol w:w="1594"/>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2,660,086.25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57,746,199.41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16,022,755.52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73,419,219.30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149,848,260.48</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0"/>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10,560,398.69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1,807,590.81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438,044.31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12,806,033.81</w:t>
            </w:r>
          </w:p>
        </w:tc>
      </w:tr>
      <w:tr>
        <w:trPr>
          <w:trHeight w:val="404"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10,560,398.69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1,807,590.81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413,553.92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12,781,543.42</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24,490.39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24,490.39</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0"/>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605,128.21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2,828,273.07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23,093,220.78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26,526,622.06</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605,128.21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1,683,813.07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12,838,154.84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15,127,096.12</w:t>
            </w:r>
          </w:p>
        </w:tc>
      </w:tr>
      <w:tr>
        <w:trPr>
          <w:trHeight w:val="716"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w:t>
            </w:r>
          </w:p>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减少</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1,144,460.00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10,255,065.94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11,399,525.94</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13,220,484.94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57,141,071.20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15,002,073.26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50,764,042.83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136,127,672.23</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963,909.66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55,765,602.04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11,908,128.39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62,117,262.33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130,754,902.42</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0"/>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145,611.24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1,428,743.92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1,338,378.96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2,332,030.33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5,244,764.45</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145,611.24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1,428,743.92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1,338,378.96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2,325,860.69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5,238,594.81</w:t>
            </w: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6,169.64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6,169.64</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0"/>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605,128.21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2,299,145.24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18,449,465.98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21,353,739.43</w:t>
            </w:r>
          </w:p>
        </w:tc>
      </w:tr>
      <w:tr>
        <w:trPr>
          <w:trHeight w:val="716"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605,128.21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1,497,178.50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12,176,979.23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14,279,285.94</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减少</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801,966.74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6,272,486.75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7,074,453.49</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1,109,520.90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56,589,217.75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10,947,362.11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45,999,826.68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114,645,927.44</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0"/>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12,110,964.04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551,853.45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4,054,711.15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4,764,216.15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21,481,744.79</w:t>
            </w:r>
          </w:p>
        </w:tc>
      </w:tr>
      <w:tr>
        <w:trPr>
          <w:trHeight w:val="40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1,696,176.59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1,980,597.37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4,114,627.13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11,301,956.97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19,093,358.06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4、无形资产" w:id="248"/>
      <w:bookmarkEnd w:id="248"/>
      <w:r>
        <w:rPr>
          <w:b w:val="0"/>
          <w:bCs w:val="0"/>
        </w:rPr>
      </w:r>
      <w:r>
        <w:rPr>
          <w:rFonts w:ascii="Times New Roman" w:hAnsi="Times New Roman" w:cs="Times New Roman" w:eastAsia="Times New Roman" w:hint="default"/>
        </w:rPr>
        <w:t>14</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无形资产情况" w:id="249"/>
      <w:bookmarkEnd w:id="249"/>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5"/>
        <w:gridCol w:w="1596"/>
        <w:gridCol w:w="1594"/>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178,013,696.51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178,013,696.51</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83,252,028.61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83,252,028.61</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169,714.54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169,714.54</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74,558,540.51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74,558,540.51</w:t>
            </w: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8,523,773.56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8,523,773.56</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0"/>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57,495,572.67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57,495,572.67</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49,685,538.74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49,685,538.74</w:t>
            </w:r>
          </w:p>
        </w:tc>
      </w:tr>
      <w:tr>
        <w:trPr>
          <w:trHeight w:val="716"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并减少</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7,810,033.93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7,810,033.93</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203,770,152.45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203,770,152.45</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133,951,933.93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133,951,933.93</w:t>
            </w: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31,538,079.08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31,538,079.08</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31,113,619.97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31,113,619.97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424,459.11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424,459.11</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54,260,949.65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54,260,949.65</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49,685,538.74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49,685,538.74</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并减少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4,575,410.91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4,575,410.91</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111,229,063.36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111,229,063.36</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92,541,089.09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92,541,089.09</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44,061,762.58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44,061,762.58</w:t>
            </w:r>
          </w:p>
        </w:tc>
      </w:tr>
    </w:tbl>
    <w:p>
      <w:pPr>
        <w:pStyle w:val="BodyText"/>
        <w:spacing w:line="240" w:lineRule="auto" w:before="33"/>
        <w:ind w:right="1133"/>
        <w:jc w:val="left"/>
      </w:pPr>
      <w:r>
        <w:rPr/>
        <w:t>本期末通过公司内部研发形成的无形资产占无形资产余额的比例</w:t>
      </w:r>
      <w:r>
        <w:rPr>
          <w:spacing w:val="-53"/>
        </w:rPr>
        <w:t> </w:t>
      </w:r>
      <w:r>
        <w:rPr>
          <w:rFonts w:ascii="Times New Roman" w:hAnsi="Times New Roman" w:cs="Times New Roman" w:eastAsia="Times New Roman" w:hint="default"/>
        </w:rPr>
        <w:t>90.43%</w:t>
      </w:r>
      <w:r>
        <w:rPr/>
        <w:t>。</w:t>
      </w:r>
    </w:p>
    <w:p>
      <w:pPr>
        <w:spacing w:line="240" w:lineRule="auto" w:before="1"/>
        <w:rPr>
          <w:rFonts w:ascii="宋体" w:hAnsi="宋体" w:cs="宋体" w:eastAsia="宋体" w:hint="default"/>
          <w:sz w:val="25"/>
          <w:szCs w:val="25"/>
        </w:rPr>
      </w:pPr>
    </w:p>
    <w:p>
      <w:pPr>
        <w:pStyle w:val="Heading3"/>
        <w:spacing w:line="240" w:lineRule="auto"/>
        <w:ind w:right="1133"/>
        <w:jc w:val="left"/>
        <w:rPr>
          <w:b w:val="0"/>
          <w:bCs w:val="0"/>
        </w:rPr>
      </w:pPr>
      <w:bookmarkStart w:name="15、开发支出" w:id="250"/>
      <w:bookmarkEnd w:id="250"/>
      <w:r>
        <w:rPr>
          <w:b w:val="0"/>
          <w:bCs w:val="0"/>
        </w:rPr>
      </w:r>
      <w:r>
        <w:rPr>
          <w:rFonts w:ascii="Times New Roman" w:hAnsi="Times New Roman" w:cs="Times New Roman" w:eastAsia="Times New Roman" w:hint="default"/>
        </w:rPr>
        <w:t>15</w:t>
      </w:r>
      <w:r>
        <w:rPr/>
        <w:t>、开发支出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41"/>
        <w:gridCol w:w="1074"/>
        <w:gridCol w:w="1064"/>
        <w:gridCol w:w="1063"/>
        <w:gridCol w:w="1064"/>
        <w:gridCol w:w="1063"/>
        <w:gridCol w:w="1061"/>
        <w:gridCol w:w="1064"/>
        <w:gridCol w:w="1063"/>
      </w:tblGrid>
      <w:tr>
        <w:trPr>
          <w:trHeight w:val="401" w:hRule="exact"/>
        </w:trPr>
        <w:tc>
          <w:tcPr>
            <w:tcW w:w="1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4"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0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3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7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47" w:right="74" w:hanging="272"/>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36" w:right="72"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041" w:type="dxa"/>
            <w:vMerge/>
            <w:tcBorders>
              <w:left w:val="single" w:sz="4" w:space="0" w:color="000000"/>
              <w:bottom w:val="nil" w:sz="6" w:space="0" w:color="auto"/>
              <w:right w:val="single" w:sz="4" w:space="0" w:color="000000"/>
            </w:tcBorders>
            <w:shd w:val="clear" w:color="auto" w:fill="D2D2D2"/>
          </w:tcPr>
          <w:p>
            <w:pPr/>
          </w:p>
        </w:tc>
        <w:tc>
          <w:tcPr>
            <w:tcW w:w="107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41" w:type="dxa"/>
            <w:vMerge w:val="restart"/>
            <w:tcBorders>
              <w:top w:val="nil" w:sz="6" w:space="0" w:color="auto"/>
              <w:left w:val="single" w:sz="4" w:space="0" w:color="000000"/>
              <w:right w:val="single" w:sz="4" w:space="0" w:color="000000"/>
            </w:tcBorders>
            <w:shd w:val="clear" w:color="auto" w:fill="D2D2D2"/>
          </w:tcPr>
          <w:p>
            <w:pPr/>
          </w:p>
        </w:tc>
        <w:tc>
          <w:tcPr>
            <w:tcW w:w="1074" w:type="dxa"/>
            <w:vMerge w:val="restart"/>
            <w:tcBorders>
              <w:top w:val="nil" w:sz="6" w:space="0" w:color="auto"/>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041" w:type="dxa"/>
            <w:vMerge/>
            <w:tcBorders>
              <w:left w:val="single" w:sz="4" w:space="0" w:color="000000"/>
              <w:bottom w:val="single" w:sz="4" w:space="0" w:color="000000"/>
              <w:right w:val="single" w:sz="4" w:space="0" w:color="000000"/>
            </w:tcBorders>
            <w:shd w:val="clear" w:color="auto" w:fill="D2D2D2"/>
          </w:tcPr>
          <w:p>
            <w:pPr/>
          </w:p>
        </w:tc>
        <w:tc>
          <w:tcPr>
            <w:tcW w:w="1074"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17"/>
              <w:jc w:val="left"/>
              <w:rPr>
                <w:rFonts w:ascii="宋体" w:hAnsi="宋体" w:cs="宋体" w:eastAsia="宋体" w:hint="default"/>
                <w:sz w:val="18"/>
                <w:szCs w:val="18"/>
              </w:rPr>
            </w:pPr>
            <w:r>
              <w:rPr>
                <w:rFonts w:ascii="宋体" w:hAnsi="宋体" w:cs="宋体" w:eastAsia="宋体" w:hint="default"/>
                <w:sz w:val="18"/>
                <w:szCs w:val="18"/>
              </w:rPr>
              <w:t>互联网金融 云中心</w:t>
            </w:r>
          </w:p>
        </w:tc>
        <w:tc>
          <w:tcPr>
            <w:tcW w:w="10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67,203,242.8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1,952,463.21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69,155,706.0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7"/>
              <w:jc w:val="left"/>
              <w:rPr>
                <w:rFonts w:ascii="宋体" w:hAnsi="宋体" w:cs="宋体" w:eastAsia="宋体" w:hint="default"/>
                <w:sz w:val="18"/>
                <w:szCs w:val="18"/>
              </w:rPr>
            </w:pPr>
            <w:r>
              <w:rPr>
                <w:rFonts w:ascii="宋体" w:hAnsi="宋体" w:cs="宋体" w:eastAsia="宋体" w:hint="default"/>
                <w:sz w:val="18"/>
                <w:szCs w:val="18"/>
              </w:rPr>
              <w:t>数据实时处 理云平台</w:t>
            </w:r>
          </w:p>
        </w:tc>
        <w:tc>
          <w:tcPr>
            <w:tcW w:w="10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895,045.74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4,507,788.70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5,402,834.44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63" w:hRule="exact"/>
        </w:trPr>
        <w:tc>
          <w:tcPr>
            <w:tcW w:w="1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4" w:type="dxa"/>
            <w:vMerge w:val="restart"/>
            <w:tcBorders>
              <w:top w:val="single" w:sz="4" w:space="0" w:color="000000"/>
              <w:left w:val="single" w:sz="9"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68,098,288.6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6,460,251.91</w:t>
            </w:r>
          </w:p>
        </w:tc>
        <w:tc>
          <w:tcPr>
            <w:tcW w:w="1063" w:type="dxa"/>
            <w:vMerge w:val="restart"/>
            <w:tcBorders>
              <w:top w:val="single" w:sz="4" w:space="0" w:color="000000"/>
              <w:left w:val="single" w:sz="4" w:space="0" w:color="000000"/>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74,558,540.5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61" w:type="dxa"/>
            <w:vMerge w:val="restart"/>
            <w:tcBorders>
              <w:top w:val="single" w:sz="4" w:space="0" w:color="000000"/>
              <w:left w:val="single" w:sz="4" w:space="0" w:color="000000"/>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1" w:hRule="exact"/>
        </w:trPr>
        <w:tc>
          <w:tcPr>
            <w:tcW w:w="1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7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161" w:hRule="exact"/>
        </w:trPr>
        <w:tc>
          <w:tcPr>
            <w:tcW w:w="1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宋体" w:hAnsi="宋体" w:cs="宋体" w:eastAsia="宋体" w:hint="default"/>
          <w:sz w:val="25"/>
          <w:szCs w:val="25"/>
        </w:rPr>
      </w:pPr>
    </w:p>
    <w:p>
      <w:pPr>
        <w:pStyle w:val="BodyText"/>
        <w:spacing w:line="240" w:lineRule="auto" w:before="37"/>
        <w:ind w:right="1133"/>
        <w:jc w:val="left"/>
      </w:pPr>
      <w:r>
        <w:rPr/>
        <w:t>其他说明</w:t>
      </w:r>
    </w:p>
    <w:p>
      <w:pPr>
        <w:spacing w:line="240" w:lineRule="auto" w:before="8"/>
        <w:rPr>
          <w:rFonts w:ascii="宋体" w:hAnsi="宋体" w:cs="宋体" w:eastAsia="宋体" w:hint="default"/>
          <w:sz w:val="7"/>
          <w:szCs w:val="7"/>
        </w:rPr>
      </w:pPr>
    </w:p>
    <w:tbl>
      <w:tblPr>
        <w:tblW w:w="0" w:type="auto"/>
        <w:jc w:val="left"/>
        <w:tblInd w:w="837" w:type="dxa"/>
        <w:tblLayout w:type="fixed"/>
        <w:tblCellMar>
          <w:top w:w="0" w:type="dxa"/>
          <w:left w:w="0" w:type="dxa"/>
          <w:bottom w:w="0" w:type="dxa"/>
          <w:right w:w="0" w:type="dxa"/>
        </w:tblCellMar>
        <w:tblLook w:val="01E0"/>
      </w:tblPr>
      <w:tblGrid>
        <w:gridCol w:w="2319"/>
        <w:gridCol w:w="1510"/>
        <w:gridCol w:w="3224"/>
        <w:gridCol w:w="1210"/>
      </w:tblGrid>
      <w:tr>
        <w:trPr>
          <w:trHeight w:val="341" w:hRule="exact"/>
        </w:trPr>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资本化开始时点</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资本化具体依据</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9" w:right="0"/>
              <w:jc w:val="left"/>
              <w:rPr>
                <w:rFonts w:ascii="宋体" w:hAnsi="宋体" w:cs="宋体" w:eastAsia="宋体" w:hint="default"/>
                <w:sz w:val="18"/>
                <w:szCs w:val="18"/>
              </w:rPr>
            </w:pPr>
            <w:r>
              <w:rPr>
                <w:rFonts w:ascii="宋体" w:hAnsi="宋体" w:cs="宋体" w:eastAsia="宋体" w:hint="default"/>
                <w:sz w:val="18"/>
                <w:szCs w:val="18"/>
              </w:rPr>
              <w:t>期末研发进度</w:t>
            </w:r>
          </w:p>
        </w:tc>
      </w:tr>
      <w:tr>
        <w:trPr>
          <w:trHeight w:val="343" w:hRule="exact"/>
        </w:trPr>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互联网金融云中心</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83"/>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本节五、重要会计政策及会计估计</w:t>
            </w:r>
            <w:r>
              <w:rPr>
                <w:rFonts w:ascii="Times New Roman" w:hAnsi="Times New Roman" w:cs="Times New Roman" w:eastAsia="Times New Roman" w:hint="default"/>
                <w:spacing w:val="-2"/>
                <w:sz w:val="18"/>
                <w:szCs w:val="18"/>
              </w:rPr>
              <w:t>21</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tabs>
                <w:tab w:pos="391" w:val="left" w:leader="none"/>
              </w:tabs>
              <w:spacing w:line="240" w:lineRule="auto" w:before="17"/>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100%</w:t>
            </w:r>
          </w:p>
        </w:tc>
      </w:tr>
      <w:tr>
        <w:trPr>
          <w:trHeight w:val="341" w:hRule="exact"/>
        </w:trPr>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数据实时处理云平台</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83"/>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本节五、重要会计政策及会计估计</w:t>
            </w:r>
            <w:r>
              <w:rPr>
                <w:rFonts w:ascii="Times New Roman" w:hAnsi="Times New Roman" w:cs="Times New Roman" w:eastAsia="Times New Roman" w:hint="default"/>
                <w:spacing w:val="-2"/>
                <w:sz w:val="18"/>
                <w:szCs w:val="18"/>
              </w:rPr>
              <w:t>21</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tabs>
                <w:tab w:pos="391" w:val="left" w:leader="none"/>
              </w:tabs>
              <w:spacing w:line="240" w:lineRule="auto" w:before="17"/>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100%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6、商誉" w:id="251"/>
      <w:bookmarkEnd w:id="251"/>
      <w:r>
        <w:rPr>
          <w:b w:val="0"/>
          <w:bCs w:val="0"/>
        </w:rPr>
      </w:r>
      <w:r>
        <w:rPr>
          <w:rFonts w:ascii="Times New Roman" w:hAnsi="Times New Roman" w:cs="Times New Roman" w:eastAsia="Times New Roman" w:hint="default"/>
        </w:rPr>
        <w:t>16</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商誉账面原值" w:id="252"/>
      <w:bookmarkEnd w:id="252"/>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2"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3"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227" w:right="0"/>
              <w:jc w:val="left"/>
              <w:rPr>
                <w:rFonts w:ascii="宋体" w:hAnsi="宋体" w:cs="宋体" w:eastAsia="宋体" w:hint="default"/>
                <w:sz w:val="18"/>
                <w:szCs w:val="18"/>
              </w:rPr>
            </w:pPr>
            <w:r>
              <w:rPr>
                <w:rFonts w:ascii="宋体" w:hAnsi="宋体" w:cs="宋体" w:eastAsia="宋体" w:hint="default"/>
                <w:sz w:val="18"/>
                <w:szCs w:val="18"/>
              </w:rPr>
              <w:t>不纳入合并</w:t>
            </w: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天津中科金财科 技有限公司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624,031,391.94</w:t>
            </w:r>
          </w:p>
        </w:tc>
        <w:tc>
          <w:tcPr>
            <w:tcW w:w="1368" w:type="dxa"/>
            <w:tcBorders>
              <w:top w:val="single" w:sz="45" w:space="0" w:color="D2D2D2"/>
              <w:left w:val="single" w:sz="4" w:space="0" w:color="000000"/>
              <w:bottom w:val="single" w:sz="4" w:space="0" w:color="000000"/>
              <w:right w:val="single" w:sz="4" w:space="0" w:color="000000"/>
            </w:tcBorders>
          </w:tcPr>
          <w:p>
            <w:pPr/>
          </w:p>
        </w:tc>
        <w:tc>
          <w:tcPr>
            <w:tcW w:w="1366" w:type="dxa"/>
            <w:tcBorders>
              <w:top w:val="single" w:sz="45" w:space="0" w:color="D2D2D2"/>
              <w:left w:val="single" w:sz="4" w:space="0" w:color="000000"/>
              <w:bottom w:val="single" w:sz="4" w:space="0" w:color="000000"/>
              <w:right w:val="single" w:sz="4" w:space="0" w:color="000000"/>
            </w:tcBorders>
          </w:tcPr>
          <w:p>
            <w:pPr/>
          </w:p>
        </w:tc>
        <w:tc>
          <w:tcPr>
            <w:tcW w:w="1368" w:type="dxa"/>
            <w:tcBorders>
              <w:top w:val="single" w:sz="45" w:space="0" w:color="D2D2D2"/>
              <w:left w:val="single" w:sz="4" w:space="0" w:color="000000"/>
              <w:bottom w:val="single" w:sz="4" w:space="0" w:color="000000"/>
              <w:right w:val="single" w:sz="4" w:space="0" w:color="000000"/>
            </w:tcBorders>
          </w:tcPr>
          <w:p>
            <w:pPr/>
          </w:p>
        </w:tc>
        <w:tc>
          <w:tcPr>
            <w:tcW w:w="1369" w:type="dxa"/>
            <w:tcBorders>
              <w:top w:val="single" w:sz="45"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624,031,391.94</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大连金融资产交 易所有限公司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72,959,752.01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72,959,752.01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深圳中金财富科 技有限公司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4,278,710.43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4,278,710.43</w:t>
            </w:r>
          </w:p>
        </w:tc>
      </w:tr>
      <w:tr>
        <w:trPr>
          <w:trHeight w:val="1027"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华缔资产管理</w:t>
            </w:r>
          </w:p>
          <w:p>
            <w:pPr>
              <w:pStyle w:val="TableParagraph"/>
              <w:spacing w:line="316" w:lineRule="auto" w:before="76"/>
              <w:ind w:left="12" w:right="60"/>
              <w:jc w:val="left"/>
              <w:rPr>
                <w:rFonts w:ascii="宋体" w:hAnsi="宋体" w:cs="宋体" w:eastAsia="宋体" w:hint="default"/>
                <w:sz w:val="18"/>
                <w:szCs w:val="18"/>
              </w:rPr>
            </w:pPr>
            <w:r>
              <w:rPr>
                <w:rFonts w:ascii="宋体" w:hAnsi="宋体" w:cs="宋体" w:eastAsia="宋体" w:hint="default"/>
                <w:sz w:val="18"/>
                <w:szCs w:val="18"/>
              </w:rPr>
              <w:t>（北京）有限公 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120,690.97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120,690.97</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北京志东方科技 有限责任公司</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193,578,999.56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193,578,999.56</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701,390,545.35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193,578,999.56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72,959,752.01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822,009,792.90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商誉减值准备" w:id="253"/>
      <w:bookmarkEnd w:id="253"/>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hanging="1"/>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0"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1"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227" w:right="0"/>
              <w:jc w:val="left"/>
              <w:rPr>
                <w:rFonts w:ascii="宋体" w:hAnsi="宋体" w:cs="宋体" w:eastAsia="宋体" w:hint="default"/>
                <w:sz w:val="18"/>
                <w:szCs w:val="18"/>
              </w:rPr>
            </w:pPr>
            <w:r>
              <w:rPr>
                <w:rFonts w:ascii="宋体" w:hAnsi="宋体" w:cs="宋体" w:eastAsia="宋体" w:hint="default"/>
                <w:sz w:val="18"/>
                <w:szCs w:val="18"/>
              </w:rPr>
              <w:t>不纳入合并</w:t>
            </w: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6"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 w:right="60"/>
              <w:jc w:val="left"/>
              <w:rPr>
                <w:rFonts w:ascii="宋体" w:hAnsi="宋体" w:cs="宋体" w:eastAsia="宋体" w:hint="default"/>
                <w:sz w:val="18"/>
                <w:szCs w:val="18"/>
              </w:rPr>
            </w:pPr>
            <w:r>
              <w:rPr>
                <w:rFonts w:ascii="宋体" w:hAnsi="宋体" w:cs="宋体" w:eastAsia="宋体" w:hint="default"/>
                <w:sz w:val="18"/>
                <w:szCs w:val="18"/>
              </w:rPr>
              <w:t>天津中科金财科 技有限公司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343,408,123.29</w:t>
            </w:r>
          </w:p>
        </w:tc>
        <w:tc>
          <w:tcPr>
            <w:tcW w:w="1368"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280,623,268.65</w:t>
            </w:r>
          </w:p>
        </w:tc>
        <w:tc>
          <w:tcPr>
            <w:tcW w:w="1366" w:type="dxa"/>
            <w:tcBorders>
              <w:top w:val="single" w:sz="44" w:space="0" w:color="D2D2D2"/>
              <w:left w:val="single" w:sz="4" w:space="0" w:color="000000"/>
              <w:bottom w:val="single" w:sz="4" w:space="0" w:color="000000"/>
              <w:right w:val="single" w:sz="4" w:space="0" w:color="000000"/>
            </w:tcBorders>
          </w:tcPr>
          <w:p>
            <w:pPr/>
          </w:p>
        </w:tc>
        <w:tc>
          <w:tcPr>
            <w:tcW w:w="1368" w:type="dxa"/>
            <w:tcBorders>
              <w:top w:val="single" w:sz="44" w:space="0" w:color="D2D2D2"/>
              <w:left w:val="single" w:sz="4" w:space="0" w:color="000000"/>
              <w:bottom w:val="single" w:sz="4" w:space="0" w:color="000000"/>
              <w:right w:val="single" w:sz="4" w:space="0" w:color="000000"/>
            </w:tcBorders>
          </w:tcPr>
          <w:p>
            <w:pPr/>
          </w:p>
        </w:tc>
        <w:tc>
          <w:tcPr>
            <w:tcW w:w="1369" w:type="dxa"/>
            <w:tcBorders>
              <w:top w:val="single" w:sz="44"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624,031,391.94</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大连金融资产交 易所有限公司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72,959,752.01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72,959,752.01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60"/>
              <w:jc w:val="left"/>
              <w:rPr>
                <w:rFonts w:ascii="宋体" w:hAnsi="宋体" w:cs="宋体" w:eastAsia="宋体" w:hint="default"/>
                <w:sz w:val="18"/>
                <w:szCs w:val="18"/>
              </w:rPr>
            </w:pPr>
            <w:r>
              <w:rPr>
                <w:rFonts w:ascii="宋体" w:hAnsi="宋体" w:cs="宋体" w:eastAsia="宋体" w:hint="default"/>
                <w:sz w:val="18"/>
                <w:szCs w:val="18"/>
              </w:rPr>
              <w:t>深圳中金财富科 技有限公司</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4,278,710.43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4,278,710.43</w:t>
            </w:r>
          </w:p>
        </w:tc>
      </w:tr>
      <w:tr>
        <w:trPr>
          <w:trHeight w:val="67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华缔资产管理</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（北京）有限公</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120,690.97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120,690.97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36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416,367,875.30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285,022,670.05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72,959,752.01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628,430,793.34</w:t>
            </w:r>
          </w:p>
        </w:tc>
      </w:tr>
    </w:tbl>
    <w:p>
      <w:pPr>
        <w:pStyle w:val="BodyText"/>
        <w:spacing w:line="396" w:lineRule="auto" w:before="33"/>
        <w:ind w:left="554" w:right="1133" w:hanging="402"/>
        <w:jc w:val="left"/>
      </w:pPr>
      <w:r>
        <w:rPr/>
        <w:t>商誉所在资产组或资产组组合的相关信息</w:t>
      </w:r>
      <w:r>
        <w:rPr>
          <w:w w:val="99"/>
        </w:rPr>
        <w:t> </w:t>
      </w:r>
      <w:r>
        <w:rPr>
          <w:spacing w:val="-1"/>
          <w:w w:val="95"/>
        </w:rPr>
        <w:t>上述公司商誉减值测试的资产组的构成为形成商誉的资产组涉及的资产。组成资产组的资产包括固定资产、</w:t>
      </w:r>
      <w:r>
        <w:rPr>
          <w:spacing w:val="-1"/>
        </w:rPr>
      </w:r>
    </w:p>
    <w:p>
      <w:pPr>
        <w:pStyle w:val="BodyText"/>
        <w:spacing w:line="240" w:lineRule="auto" w:before="76"/>
        <w:ind w:right="1133"/>
        <w:jc w:val="left"/>
      </w:pPr>
      <w:r>
        <w:rPr/>
        <w:t>无形资产等。</w:t>
      </w:r>
    </w:p>
    <w:p>
      <w:pPr>
        <w:pStyle w:val="BodyText"/>
        <w:spacing w:line="283" w:lineRule="auto" w:before="168"/>
        <w:ind w:right="1133"/>
        <w:jc w:val="left"/>
      </w:pPr>
      <w:r>
        <w:rPr>
          <w:w w:val="95"/>
        </w:rPr>
        <w:t>说明商誉减值测试过程、关键参数（如预计未来现金流量现值时的预测期增长率、稳定期增长率、利润率、折</w:t>
      </w:r>
      <w:r>
        <w:rPr>
          <w:spacing w:val="91"/>
          <w:w w:val="95"/>
        </w:rPr>
        <w:t> </w:t>
      </w:r>
      <w:r>
        <w:rPr>
          <w:spacing w:val="91"/>
          <w:w w:val="95"/>
        </w:rPr>
      </w:r>
      <w:r>
        <w:rPr/>
        <w:t>现率、预测期等）及商誉减值损失的确认方法：</w:t>
      </w:r>
    </w:p>
    <w:p>
      <w:pPr>
        <w:pStyle w:val="BodyText"/>
        <w:spacing w:line="429" w:lineRule="auto" w:before="134"/>
        <w:ind w:right="1133" w:firstLine="401"/>
        <w:jc w:val="both"/>
      </w:pPr>
      <w:r>
        <w:rPr>
          <w:spacing w:val="-1"/>
          <w:w w:val="95"/>
        </w:rPr>
        <w:t>包含商誉的资产组可收回金额按照预计未来现金流量的现值计算，其预计现金流量根据公司批准的</w:t>
      </w:r>
      <w:r>
        <w:rPr>
          <w:rFonts w:ascii="宋体" w:hAnsi="宋体" w:cs="宋体" w:eastAsia="宋体" w:hint="default"/>
          <w:spacing w:val="-1"/>
          <w:w w:val="95"/>
        </w:rPr>
        <w:t>5</w:t>
      </w:r>
      <w:r>
        <w:rPr>
          <w:spacing w:val="-1"/>
          <w:w w:val="95"/>
        </w:rPr>
        <w:t>年期现</w:t>
      </w:r>
      <w:r>
        <w:rPr>
          <w:spacing w:val="-52"/>
          <w:w w:val="95"/>
        </w:rPr>
        <w:t> </w:t>
      </w:r>
      <w:r>
        <w:rPr>
          <w:spacing w:val="-52"/>
          <w:w w:val="95"/>
        </w:rPr>
      </w:r>
      <w:r>
        <w:rPr/>
        <w:t>金流量预测为基础，公司根据历史实际经营数据、行业发展趋势、预期收入增长率、毛利率等指标编制预测未</w:t>
      </w:r>
      <w:r>
        <w:rPr>
          <w:spacing w:val="-75"/>
        </w:rPr>
        <w:t> </w:t>
      </w:r>
      <w:r>
        <w:rPr>
          <w:spacing w:val="-75"/>
        </w:rPr>
      </w:r>
      <w:r>
        <w:rPr/>
        <w:t>来</w:t>
      </w:r>
      <w:r>
        <w:rPr>
          <w:rFonts w:ascii="宋体" w:hAnsi="宋体" w:cs="宋体" w:eastAsia="宋体" w:hint="default"/>
        </w:rPr>
        <w:t>5</w:t>
      </w:r>
      <w:r>
        <w:rPr/>
        <w:t>年现金流量，预测期以后的现金流量维持不变。</w:t>
      </w:r>
    </w:p>
    <w:p>
      <w:pPr>
        <w:pStyle w:val="BodyText"/>
        <w:spacing w:line="429" w:lineRule="auto" w:before="48"/>
        <w:ind w:right="1141" w:firstLine="401"/>
        <w:jc w:val="both"/>
      </w:pPr>
      <w:r>
        <w:rPr/>
        <w:t>减值测试中采用的其他关键数据包括：产品预计售价、成本及其他相关费用。公司根据历史经验及对市场</w:t>
      </w:r>
      <w:r>
        <w:rPr>
          <w:w w:val="99"/>
        </w:rPr>
        <w:t> </w:t>
      </w:r>
      <w:r>
        <w:rPr/>
        <w:t>发展的预测确定上述关键数据。公司采用合理的折现率作为计算未来现金流量现值的税前折现率，采用的折现</w:t>
      </w:r>
      <w:r>
        <w:rPr>
          <w:spacing w:val="-77"/>
        </w:rPr>
        <w:t> </w:t>
      </w:r>
      <w:r>
        <w:rPr>
          <w:spacing w:val="-77"/>
        </w:rPr>
      </w:r>
      <w:r>
        <w:rPr/>
        <w:t>率已考虑了公司的资本成本、市场预期报酬率等因素，反映了各资产组的特定风险。</w:t>
      </w:r>
    </w:p>
    <w:p>
      <w:pPr>
        <w:pStyle w:val="BodyText"/>
        <w:spacing w:line="393" w:lineRule="auto" w:before="10"/>
        <w:ind w:left="554" w:right="1129" w:hanging="402"/>
        <w:jc w:val="left"/>
      </w:pPr>
      <w:r>
        <w:rPr/>
        <w:t>商誉减值测试的影响</w:t>
      </w:r>
      <w:r>
        <w:rPr>
          <w:w w:val="99"/>
        </w:rPr>
        <w:t> </w:t>
      </w:r>
      <w:r>
        <w:rPr/>
        <w:t>经测试后</w:t>
      </w:r>
      <w:r>
        <w:rPr>
          <w:rFonts w:ascii="宋体" w:hAnsi="宋体" w:cs="宋体" w:eastAsia="宋体" w:hint="default"/>
        </w:rPr>
        <w:t>2019</w:t>
      </w:r>
      <w:r>
        <w:rPr/>
        <w:t>年度需对天津中科金财科技有限公司计提商誉减值准备</w:t>
      </w:r>
      <w:r>
        <w:rPr>
          <w:rFonts w:ascii="宋体" w:hAnsi="宋体" w:cs="宋体" w:eastAsia="宋体" w:hint="default"/>
        </w:rPr>
        <w:t>280,623,268.65</w:t>
      </w:r>
      <w:r>
        <w:rPr/>
        <w:t>元，对深圳中金财富</w:t>
      </w:r>
    </w:p>
    <w:p>
      <w:pPr>
        <w:pStyle w:val="BodyText"/>
        <w:spacing w:line="429" w:lineRule="auto" w:before="78"/>
        <w:ind w:right="1125"/>
        <w:jc w:val="left"/>
      </w:pPr>
      <w:r>
        <w:rPr>
          <w:spacing w:val="9"/>
        </w:rPr>
        <w:t>科技有限公司计提商誉减值准备</w:t>
      </w:r>
      <w:r>
        <w:rPr>
          <w:rFonts w:ascii="宋体" w:hAnsi="宋体" w:cs="宋体" w:eastAsia="宋体" w:hint="default"/>
          <w:spacing w:val="9"/>
        </w:rPr>
        <w:t>4,278,710.43</w:t>
      </w:r>
      <w:r>
        <w:rPr>
          <w:rFonts w:ascii="宋体" w:hAnsi="宋体" w:cs="宋体" w:eastAsia="宋体" w:hint="default"/>
          <w:spacing w:val="-90"/>
        </w:rPr>
        <w:t> </w:t>
      </w:r>
      <w:r>
        <w:rPr>
          <w:spacing w:val="15"/>
        </w:rPr>
        <w:t>元，对华缔资产管理（北京）</w:t>
      </w:r>
      <w:r>
        <w:rPr>
          <w:spacing w:val="-90"/>
        </w:rPr>
        <w:t> </w:t>
      </w:r>
      <w:r>
        <w:rPr>
          <w:spacing w:val="15"/>
        </w:rPr>
        <w:t>有限公司计提商誉减值准备</w:t>
      </w:r>
      <w:r>
        <w:rPr>
          <w:w w:val="99"/>
        </w:rPr>
        <w:t> </w:t>
      </w:r>
      <w:r>
        <w:rPr>
          <w:rFonts w:ascii="宋体" w:hAnsi="宋体" w:cs="宋体" w:eastAsia="宋体" w:hint="default"/>
        </w:rPr>
        <w:t>120,690.97</w:t>
      </w:r>
      <w:r>
        <w:rPr/>
        <w:t>元。</w:t>
      </w:r>
    </w:p>
    <w:p>
      <w:pPr>
        <w:pStyle w:val="BodyText"/>
        <w:spacing w:line="429" w:lineRule="auto" w:before="48"/>
        <w:ind w:right="1030" w:firstLine="401"/>
        <w:jc w:val="left"/>
      </w:pPr>
      <w:r>
        <w:rPr>
          <w:spacing w:val="-1"/>
          <w:w w:val="95"/>
        </w:rPr>
        <w:t>北京志东方科技有限责任公司系公司</w:t>
      </w:r>
      <w:r>
        <w:rPr>
          <w:rFonts w:ascii="宋体" w:hAnsi="宋体" w:cs="宋体" w:eastAsia="宋体" w:hint="default"/>
          <w:spacing w:val="-1"/>
          <w:w w:val="95"/>
        </w:rPr>
        <w:t>2019</w:t>
      </w:r>
      <w:r>
        <w:rPr>
          <w:spacing w:val="-1"/>
          <w:w w:val="95"/>
        </w:rPr>
        <w:t>年新纳入合并范围的子公司，本年度确认商誉</w:t>
      </w:r>
      <w:r>
        <w:rPr>
          <w:rFonts w:ascii="宋体" w:hAnsi="宋体" w:cs="宋体" w:eastAsia="宋体" w:hint="default"/>
          <w:spacing w:val="-1"/>
          <w:w w:val="95"/>
        </w:rPr>
        <w:t>193,578,999.56</w:t>
      </w:r>
      <w:r>
        <w:rPr>
          <w:spacing w:val="-1"/>
          <w:w w:val="95"/>
        </w:rPr>
        <w:t>元，</w:t>
      </w:r>
      <w:r>
        <w:rPr>
          <w:spacing w:val="-37"/>
          <w:w w:val="95"/>
        </w:rPr>
        <w:t> </w:t>
      </w:r>
      <w:r>
        <w:rPr/>
        <w:t>其原股东承诺</w:t>
      </w:r>
      <w:r>
        <w:rPr>
          <w:rFonts w:ascii="宋体" w:hAnsi="宋体" w:cs="宋体" w:eastAsia="宋体" w:hint="default"/>
        </w:rPr>
        <w:t>2019</w:t>
      </w:r>
      <w:r>
        <w:rPr/>
        <w:t>年扣除非经常性损益及</w:t>
      </w:r>
      <w:r>
        <w:rPr>
          <w:rFonts w:ascii="宋体" w:hAnsi="宋体" w:cs="宋体" w:eastAsia="宋体" w:hint="default"/>
        </w:rPr>
        <w:t>2019</w:t>
      </w:r>
      <w:r>
        <w:rPr/>
        <w:t>年</w:t>
      </w:r>
      <w:r>
        <w:rPr>
          <w:rFonts w:ascii="宋体" w:hAnsi="宋体" w:cs="宋体" w:eastAsia="宋体" w:hint="default"/>
        </w:rPr>
        <w:t>1-9</w:t>
      </w:r>
      <w:r>
        <w:rPr/>
        <w:t>月的“资产减值损失（损失以“</w:t>
      </w:r>
      <w:r>
        <w:rPr>
          <w:rFonts w:ascii="宋体" w:hAnsi="宋体" w:cs="宋体" w:eastAsia="宋体" w:hint="default"/>
        </w:rPr>
        <w:t>-</w:t>
      </w:r>
      <w:r>
        <w:rPr/>
        <w:t>”号填列）”</w:t>
      </w:r>
      <w:r>
        <w:rPr>
          <w:rFonts w:ascii="宋体" w:hAnsi="宋体" w:cs="宋体" w:eastAsia="宋体" w:hint="default"/>
        </w:rPr>
        <w:t>378.71</w:t>
      </w:r>
      <w:r>
        <w:rPr/>
        <w:t>万元</w:t>
      </w:r>
      <w:r>
        <w:rPr>
          <w:spacing w:val="-72"/>
        </w:rPr>
        <w:t> </w:t>
      </w:r>
      <w:r>
        <w:rPr/>
        <w:t>后实现</w:t>
      </w:r>
      <w:r>
        <w:rPr>
          <w:rFonts w:ascii="宋体" w:hAnsi="宋体" w:cs="宋体" w:eastAsia="宋体" w:hint="default"/>
        </w:rPr>
        <w:t>1800</w:t>
      </w:r>
      <w:r>
        <w:rPr/>
        <w:t>万元，北京志东方科技有限责任公司扣除上述事项后</w:t>
      </w:r>
      <w:r>
        <w:rPr>
          <w:rFonts w:ascii="宋体" w:hAnsi="宋体" w:cs="宋体" w:eastAsia="宋体" w:hint="default"/>
        </w:rPr>
        <w:t>2019</w:t>
      </w:r>
      <w:r>
        <w:rPr/>
        <w:t>年实际实现净利润</w:t>
      </w:r>
      <w:r>
        <w:rPr>
          <w:rFonts w:ascii="宋体" w:hAnsi="宋体" w:cs="宋体" w:eastAsia="宋体" w:hint="default"/>
        </w:rPr>
        <w:t>1,865.54</w:t>
      </w:r>
      <w:r>
        <w:rPr/>
        <w:t>万元。</w:t>
      </w:r>
    </w:p>
    <w:p>
      <w:pPr>
        <w:spacing w:line="240" w:lineRule="auto" w:before="3"/>
        <w:rPr>
          <w:rFonts w:ascii="宋体" w:hAnsi="宋体" w:cs="宋体" w:eastAsia="宋体" w:hint="default"/>
          <w:sz w:val="20"/>
          <w:szCs w:val="20"/>
        </w:rPr>
      </w:pPr>
    </w:p>
    <w:p>
      <w:pPr>
        <w:pStyle w:val="Heading3"/>
        <w:spacing w:line="240" w:lineRule="auto"/>
        <w:ind w:right="1133"/>
        <w:jc w:val="left"/>
        <w:rPr>
          <w:b w:val="0"/>
          <w:bCs w:val="0"/>
        </w:rPr>
      </w:pPr>
      <w:bookmarkStart w:name="17、长期待摊费用" w:id="254"/>
      <w:bookmarkEnd w:id="254"/>
      <w:r>
        <w:rPr>
          <w:b w:val="0"/>
          <w:bCs w:val="0"/>
        </w:rPr>
      </w:r>
      <w:r>
        <w:rPr>
          <w:rFonts w:ascii="Times New Roman" w:hAnsi="Times New Roman" w:cs="Times New Roman" w:eastAsia="Times New Roman" w:hint="default"/>
        </w:rPr>
        <w:t>17</w:t>
      </w:r>
      <w:r>
        <w:rPr/>
        <w:t>、长期待摊费用</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658,393.79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189,276.00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392,836.66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76,281.13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658,393.79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189,276.00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392,836.66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76,281.13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8、递延所得税资产/递延所得税负债" w:id="255"/>
      <w:bookmarkEnd w:id="255"/>
      <w:r>
        <w:rPr>
          <w:b w:val="0"/>
          <w:bCs w:val="0"/>
        </w:rPr>
      </w: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未经抵销的递延所得税资产" w:id="256"/>
      <w:bookmarkEnd w:id="256"/>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3831"/>
        <w:gridCol w:w="38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84,183,584.64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13,782,192.88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27,216,218.08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4,280,963.60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1,745,711.37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261,856.71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无形资产摊销差异</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86,127,700.40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12,921,132.93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85,064,838.58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12,797,426.95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170,311,285.04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26,703,325.81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114,026,768.03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17,340,247.26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未经抵销的递延所得税负债" w:id="257"/>
      <w:bookmarkEnd w:id="257"/>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7"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8,697,683.24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1,304,652.49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交易性金融资产公允价 值变动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2,245,168.51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351,453.80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4,814,277.07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757,445.08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10,942,851.75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1,656,106.29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4,814,277.07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757,445.08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未确认递延所得税资产明细" w:id="258"/>
      <w:bookmarkEnd w:id="258"/>
      <w:r>
        <w:rPr>
          <w:b w:val="0"/>
          <w:bCs w:val="0"/>
        </w:rPr>
      </w: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37,866,230.44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39,787,785.89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103,301,101.12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83,893,534.19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商誉减值准备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628,430,793.34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416,367,875.30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769,598,124.90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540,049,195.38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未确认递延所得税资产的可抵扣亏损将于以下年度到期" w:id="259"/>
      <w:bookmarkEnd w:id="259"/>
      <w:r>
        <w:rPr>
          <w:b w:val="0"/>
          <w:bCs w:val="0"/>
        </w:rPr>
      </w: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67,623.10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261,213.70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3,785,128.77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224,691.50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224,691.50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1,335,966.30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29,829,213.62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31,657,946.83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49,986,877.20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13,110,434.02</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56,710,848.77</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高新技术企业未弥补亏损可</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363" w:hRule="exact"/>
        </w:trPr>
        <w:tc>
          <w:tcPr>
            <w:tcW w:w="2388"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在未来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年内弥补</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1" w:right="0"/>
              <w:jc w:val="left"/>
              <w:rPr>
                <w:rFonts w:ascii="Times New Roman" w:hAnsi="Times New Roman" w:cs="Times New Roman" w:eastAsia="Times New Roman" w:hint="default"/>
                <w:sz w:val="18"/>
                <w:szCs w:val="18"/>
              </w:rPr>
            </w:pPr>
            <w:r>
              <w:rPr>
                <w:rFonts w:ascii="Times New Roman"/>
                <w:sz w:val="18"/>
              </w:rPr>
              <w:t>103,301,101.12</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83,893,534.19</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9、其他非流动资产" w:id="260"/>
      <w:bookmarkEnd w:id="260"/>
      <w:r>
        <w:rPr>
          <w:b w:val="0"/>
          <w:bCs w:val="0"/>
        </w:rPr>
      </w:r>
      <w:r>
        <w:rPr>
          <w:rFonts w:ascii="Times New Roman" w:hAnsi="Times New Roman" w:cs="Times New Roman" w:eastAsia="Times New Roman" w:hint="default"/>
        </w:rPr>
        <w:t>19</w:t>
      </w:r>
      <w:r>
        <w:rPr/>
        <w:t>、其他非流动资产</w:t>
      </w:r>
      <w:r>
        <w:rPr>
          <w:b w:val="0"/>
          <w:bCs w:val="0"/>
        </w:rPr>
      </w:r>
    </w:p>
    <w:p>
      <w:pPr>
        <w:spacing w:line="240" w:lineRule="auto" w:before="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37"/>
        <w:ind w:right="0"/>
        <w:jc w:val="left"/>
      </w:pPr>
      <w:r>
        <w:rPr>
          <w:w w:val="95"/>
        </w:rPr>
        <w:t>是否已执行新收入准则</w:t>
      </w:r>
      <w:r>
        <w:rPr/>
      </w:r>
    </w:p>
    <w:p>
      <w:pPr>
        <w:pStyle w:val="BodyText"/>
        <w:spacing w:line="240" w:lineRule="auto" w:before="9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150" w:space="6680"/>
            <w:col w:w="210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年后到期的融资保证金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预付购房款及装修费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10,661,940.00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将于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年以后到期的履约保证金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16,421,638.18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10,421,310.11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16,421,638.18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22,523,250.11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0、短期借款" w:id="261"/>
      <w:bookmarkEnd w:id="261"/>
      <w:r>
        <w:rPr>
          <w:b w:val="0"/>
          <w:bCs w:val="0"/>
        </w:rPr>
      </w:r>
      <w:r>
        <w:rPr>
          <w:rFonts w:ascii="Times New Roman" w:hAnsi="Times New Roman" w:cs="Times New Roman" w:eastAsia="Times New Roman" w:hint="default"/>
        </w:rPr>
        <w:t>20</w:t>
      </w:r>
      <w:r>
        <w:rPr/>
        <w:t>、短期借款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短期借款分类" w:id="262"/>
      <w:bookmarkEnd w:id="262"/>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126,157,746.00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197,875,718.84</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126,157,746.00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317,875,718.84</w:t>
            </w:r>
          </w:p>
        </w:tc>
      </w:tr>
    </w:tbl>
    <w:p>
      <w:pPr>
        <w:pStyle w:val="BodyText"/>
        <w:spacing w:line="393" w:lineRule="auto" w:before="33"/>
        <w:ind w:left="554" w:right="1133" w:hanging="402"/>
        <w:jc w:val="left"/>
      </w:pPr>
      <w:r>
        <w:rPr/>
        <w:t>短期借款分类的说明：</w:t>
      </w:r>
      <w:r>
        <w:rPr>
          <w:w w:val="99"/>
        </w:rPr>
        <w:t> </w:t>
      </w:r>
      <w:r>
        <w:rPr/>
        <w:t>本公司实际控制人朱烨东、沈飒以及天津中科金财科技有限公司同北京银行中关村科技园支行签订《最高</w:t>
      </w:r>
    </w:p>
    <w:p>
      <w:pPr>
        <w:pStyle w:val="BodyText"/>
        <w:spacing w:line="429" w:lineRule="auto" w:before="78"/>
        <w:ind w:right="1140"/>
        <w:jc w:val="both"/>
      </w:pPr>
      <w:r>
        <w:rPr/>
        <w:t>额保证合同》，为公司借款提供保证担保；本公司实际控制人朱烨东、沈飒同厦门国际银行股份有限公司北京</w:t>
      </w:r>
      <w:r>
        <w:rPr>
          <w:spacing w:val="-76"/>
        </w:rPr>
        <w:t> </w:t>
      </w:r>
      <w:r>
        <w:rPr>
          <w:spacing w:val="-76"/>
        </w:rPr>
      </w:r>
      <w:r>
        <w:rPr/>
        <w:t>分行签订《保证合同》，为公司借款提供保证担保；本公司实际控制人朱烨东、沈飒同招商银行股份有限公司</w:t>
      </w:r>
      <w:r>
        <w:rPr>
          <w:spacing w:val="-77"/>
        </w:rPr>
        <w:t> </w:t>
      </w:r>
      <w:r>
        <w:rPr>
          <w:spacing w:val="-77"/>
        </w:rPr>
      </w:r>
      <w:r>
        <w:rPr/>
        <w:t>大运村支行签订《最高额不可撤销担保书》，为公司借款提供保证担保；本公司实际控制人朱烨东、沈飒同华</w:t>
      </w:r>
      <w:r>
        <w:rPr>
          <w:spacing w:val="-77"/>
        </w:rPr>
        <w:t> </w:t>
      </w:r>
      <w:r>
        <w:rPr>
          <w:spacing w:val="-77"/>
        </w:rPr>
      </w:r>
      <w:r>
        <w:rPr/>
        <w:t>夏银行股份有限公司北京中轴路支行签订《个人最高额保证合同》，为公司借款提供保证担保；本公司实际控</w:t>
      </w:r>
      <w:r>
        <w:rPr>
          <w:spacing w:val="-77"/>
        </w:rPr>
        <w:t> </w:t>
      </w:r>
      <w:r>
        <w:rPr>
          <w:spacing w:val="-77"/>
        </w:rPr>
      </w:r>
      <w:r>
        <w:rPr/>
        <w:t>制人朱烨东、沈飒同中信银行股份有限公司北京分行签订《最高额保证合同》，为公司借款提供保证担保；截</w:t>
      </w:r>
      <w:r>
        <w:rPr>
          <w:spacing w:val="-77"/>
        </w:rPr>
        <w:t> </w:t>
      </w:r>
      <w:r>
        <w:rPr>
          <w:spacing w:val="-77"/>
        </w:rPr>
      </w:r>
      <w:r>
        <w:rPr/>
        <w:t>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日，公司累计保证借款金额合计为</w:t>
      </w:r>
      <w:r>
        <w:rPr>
          <w:rFonts w:ascii="Times New Roman" w:hAnsi="Times New Roman" w:cs="Times New Roman" w:eastAsia="Times New Roman" w:hint="default"/>
        </w:rPr>
        <w:t>126,157,746.00</w:t>
      </w:r>
      <w:r>
        <w:rPr/>
        <w:t>元</w:t>
      </w:r>
      <w:r>
        <w:rPr>
          <w:spacing w:val="-25"/>
        </w:rPr>
        <w:t> </w:t>
      </w:r>
      <w:r>
        <w:rPr/>
        <w:t>。</w:t>
      </w:r>
    </w:p>
    <w:p>
      <w:pPr>
        <w:spacing w:line="240" w:lineRule="auto" w:before="10"/>
        <w:rPr>
          <w:rFonts w:ascii="宋体" w:hAnsi="宋体" w:cs="宋体" w:eastAsia="宋体" w:hint="default"/>
          <w:sz w:val="17"/>
          <w:szCs w:val="17"/>
        </w:rPr>
      </w:pPr>
    </w:p>
    <w:p>
      <w:pPr>
        <w:pStyle w:val="Heading3"/>
        <w:spacing w:line="240" w:lineRule="auto"/>
        <w:ind w:right="0"/>
        <w:jc w:val="both"/>
        <w:rPr>
          <w:b w:val="0"/>
          <w:bCs w:val="0"/>
        </w:rPr>
      </w:pPr>
      <w:bookmarkStart w:name="21、应付票据" w:id="263"/>
      <w:bookmarkEnd w:id="263"/>
      <w:r>
        <w:rPr>
          <w:b w:val="0"/>
          <w:bCs w:val="0"/>
        </w:rPr>
      </w:r>
      <w:r>
        <w:rPr>
          <w:rFonts w:ascii="Times New Roman" w:hAnsi="Times New Roman" w:cs="Times New Roman" w:eastAsia="Times New Roman" w:hint="default"/>
        </w:rPr>
        <w:t>21</w:t>
      </w:r>
      <w:r>
        <w:rPr/>
        <w:t>、应付票据</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426,324.80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426,324.80</w:t>
            </w:r>
          </w:p>
        </w:tc>
      </w:tr>
    </w:tbl>
    <w:p>
      <w:pPr>
        <w:pStyle w:val="BodyText"/>
        <w:spacing w:line="240" w:lineRule="auto" w:before="33"/>
        <w:ind w:right="1133"/>
        <w:jc w:val="left"/>
      </w:pPr>
      <w:r>
        <w:rPr/>
        <w:t>本期末已到期未支付的应付票据总额为</w:t>
      </w:r>
      <w:r>
        <w:rPr>
          <w:spacing w:val="-51"/>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
        <w:rPr>
          <w:rFonts w:ascii="宋体" w:hAnsi="宋体" w:cs="宋体" w:eastAsia="宋体" w:hint="default"/>
          <w:sz w:val="25"/>
          <w:szCs w:val="25"/>
        </w:rPr>
      </w:pPr>
    </w:p>
    <w:p>
      <w:pPr>
        <w:pStyle w:val="Heading3"/>
        <w:spacing w:line="240" w:lineRule="auto"/>
        <w:ind w:right="1133"/>
        <w:jc w:val="left"/>
        <w:rPr>
          <w:b w:val="0"/>
          <w:bCs w:val="0"/>
        </w:rPr>
      </w:pPr>
      <w:bookmarkStart w:name="22、应付账款" w:id="264"/>
      <w:bookmarkEnd w:id="264"/>
      <w:r>
        <w:rPr>
          <w:b w:val="0"/>
          <w:bCs w:val="0"/>
        </w:rPr>
      </w:r>
      <w:r>
        <w:rPr>
          <w:rFonts w:ascii="Times New Roman" w:hAnsi="Times New Roman" w:cs="Times New Roman" w:eastAsia="Times New Roman" w:hint="default"/>
        </w:rPr>
        <w:t>22</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应付账款列示" w:id="265"/>
      <w:bookmarkEnd w:id="265"/>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309,774,925.53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271,700,394.92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 </w:t>
            </w:r>
            <w:r>
              <w:rPr>
                <w:rFonts w:ascii="Times New Roman" w:hAnsi="Times New Roman" w:cs="Times New Roman" w:eastAsia="Times New Roman" w:hint="default"/>
                <w:sz w:val="18"/>
                <w:szCs w:val="18"/>
              </w:rPr>
              <w:t>2  </w:t>
            </w:r>
            <w:r>
              <w:rPr>
                <w:rFonts w:ascii="宋体" w:hAnsi="宋体" w:cs="宋体" w:eastAsia="宋体" w:hint="default"/>
                <w:sz w:val="18"/>
                <w:szCs w:val="18"/>
              </w:rPr>
              <w:t>年（含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24,042,911.92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27,355,538.06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 </w:t>
            </w:r>
            <w:r>
              <w:rPr>
                <w:rFonts w:ascii="Times New Roman" w:hAnsi="Times New Roman" w:cs="Times New Roman" w:eastAsia="Times New Roman" w:hint="default"/>
                <w:sz w:val="18"/>
                <w:szCs w:val="18"/>
              </w:rPr>
              <w:t>3  </w:t>
            </w:r>
            <w:r>
              <w:rPr>
                <w:rFonts w:ascii="宋体" w:hAnsi="宋体" w:cs="宋体" w:eastAsia="宋体" w:hint="default"/>
                <w:sz w:val="18"/>
                <w:szCs w:val="18"/>
              </w:rPr>
              <w:t>年（含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13,522,471.16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3,619,634.90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11,155,241.13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11,321,071.02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358,495,549.74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313,996,638.90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账龄超过1年的重要应付账款" w:id="266"/>
      <w:bookmarkEnd w:id="266"/>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3,500,174.66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3,193,682.68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2,905,593.45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2,149,850.00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1,938,829.06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13,688,129.85</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3、预收款项" w:id="267"/>
      <w:bookmarkEnd w:id="267"/>
      <w:r>
        <w:rPr>
          <w:b w:val="0"/>
          <w:bCs w:val="0"/>
        </w:rPr>
      </w:r>
      <w:r>
        <w:rPr>
          <w:rFonts w:ascii="Times New Roman" w:hAnsi="Times New Roman" w:cs="Times New Roman" w:eastAsia="Times New Roman" w:hint="default"/>
        </w:rPr>
        <w:t>23</w:t>
      </w:r>
      <w:r>
        <w:rPr/>
        <w:t>、预收款项</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133"/>
        <w:jc w:val="left"/>
      </w:pPr>
      <w:r>
        <w:rPr/>
        <w:t>是否已执行新收入准则</w:t>
      </w:r>
    </w:p>
    <w:p>
      <w:pPr>
        <w:pStyle w:val="BodyText"/>
        <w:spacing w:line="240" w:lineRule="auto" w:before="91"/>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否</w:t>
      </w:r>
    </w:p>
    <w:p>
      <w:pPr>
        <w:spacing w:line="240" w:lineRule="auto" w:before="1"/>
        <w:rPr>
          <w:rFonts w:ascii="宋体" w:hAnsi="宋体" w:cs="宋体" w:eastAsia="宋体" w:hint="default"/>
          <w:sz w:val="25"/>
          <w:szCs w:val="25"/>
        </w:rPr>
      </w:pPr>
    </w:p>
    <w:p>
      <w:pPr>
        <w:pStyle w:val="Heading3"/>
        <w:spacing w:line="240" w:lineRule="auto"/>
        <w:ind w:right="1133"/>
        <w:jc w:val="left"/>
        <w:rPr>
          <w:b w:val="0"/>
          <w:bCs w:val="0"/>
        </w:rPr>
      </w:pPr>
      <w:bookmarkStart w:name="（1）预收款项列示" w:id="268"/>
      <w:bookmarkEnd w:id="268"/>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269,004,511.05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366,882,652.46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38,483,492.51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21,638,614.69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3,793,775.98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12,306,101.28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7,779,243.30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2,240,853.13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319,061,022.84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403,068,221.56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账龄超过1年的重要预收款项" w:id="269"/>
      <w:bookmarkEnd w:id="269"/>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8,929,722.23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7,547,983.56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6,563,793.34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6,186,206.94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2,867,534.16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32,095,240.23</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4、应付职工薪酬" w:id="270"/>
      <w:bookmarkEnd w:id="270"/>
      <w:r>
        <w:rPr>
          <w:b w:val="0"/>
          <w:bCs w:val="0"/>
        </w:rPr>
      </w:r>
      <w:r>
        <w:rPr>
          <w:rFonts w:ascii="Times New Roman" w:hAnsi="Times New Roman" w:cs="Times New Roman" w:eastAsia="Times New Roman" w:hint="default"/>
        </w:rPr>
        <w:t>24</w:t>
      </w:r>
      <w:r>
        <w:rPr/>
        <w:t>、应付职工薪酬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应付职工薪酬列示" w:id="271"/>
      <w:bookmarkEnd w:id="271"/>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17,805,379.13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162,853,690.15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163,435,040.42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17,224,028.86</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16,693,804.24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16,657,847.38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35,956.86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2,223,979.72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2,223,979.72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17,805,379.13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181,771,474.11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182,316,867.52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17,259,985.72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短期薪酬列示" w:id="272"/>
      <w:bookmarkEnd w:id="272"/>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1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0" w:right="0"/>
              <w:jc w:val="left"/>
              <w:rPr>
                <w:rFonts w:ascii="Times New Roman" w:hAnsi="Times New Roman" w:cs="Times New Roman" w:eastAsia="Times New Roman" w:hint="default"/>
                <w:sz w:val="18"/>
                <w:szCs w:val="18"/>
              </w:rPr>
            </w:pPr>
            <w:r>
              <w:rPr>
                <w:rFonts w:ascii="Times New Roman"/>
                <w:sz w:val="18"/>
              </w:rPr>
              <w:t>17,067,456.50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134,269,461.34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134,955,989.48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16,380,928.36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3,812,113.89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3,812,113.89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10,610,784.37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10,581,504.29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29,280.08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9,535,264.08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9,508,996.28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26,267.80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322,166.73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321,256.05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910.68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753,353.56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751,251.96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2,101.60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10,767,927.49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10,767,927.49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737,922.63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3,393,403.06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3,317,505.27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813,820.42</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17,805,379.13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162,853,690.15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163,435,040.42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17,224,028.86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设定提存计划列示" w:id="273"/>
      <w:bookmarkEnd w:id="273"/>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15,989,870.15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15,955,625.51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34,244.64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703,934.09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702,221.87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1,712.22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16,693,804.24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16,657,847.38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35,956.86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5、应交税费" w:id="274"/>
      <w:bookmarkEnd w:id="274"/>
      <w:r>
        <w:rPr>
          <w:b w:val="0"/>
          <w:bCs w:val="0"/>
        </w:rPr>
      </w:r>
      <w:r>
        <w:rPr>
          <w:rFonts w:ascii="Times New Roman" w:hAnsi="Times New Roman" w:cs="Times New Roman" w:eastAsia="Times New Roman" w:hint="default"/>
        </w:rPr>
        <w:t>25</w:t>
      </w:r>
      <w:r>
        <w:rPr/>
        <w:t>、应交税费</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1,455,319.57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19,023,641.57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1,445,743.12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2,908,785.73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377,959.07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474,253.87</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103,814.91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1,199,146.92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74,153.22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856,533.52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10,300.43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2,160.96</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3,467,290.32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24,464,522.57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6、其他应付款" w:id="275"/>
      <w:bookmarkEnd w:id="275"/>
      <w:r>
        <w:rPr>
          <w:b w:val="0"/>
          <w:bCs w:val="0"/>
        </w:rPr>
      </w:r>
      <w:r>
        <w:rPr>
          <w:rFonts w:ascii="Times New Roman" w:hAnsi="Times New Roman" w:cs="Times New Roman" w:eastAsia="Times New Roman" w:hint="default"/>
        </w:rPr>
        <w:t>26</w:t>
      </w:r>
      <w:r>
        <w:rPr/>
        <w:t>、其他应付款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22,783,207.29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83,721,184.10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22,783,207.29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83,721,184.10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其他应付款" w:id="276"/>
      <w:bookmarkEnd w:id="276"/>
      <w:r>
        <w:rPr>
          <w:b w:val="0"/>
          <w:bCs w:val="0"/>
        </w:rPr>
      </w:r>
      <w:r>
        <w:rPr/>
        <w:t>（</w:t>
      </w:r>
      <w:r>
        <w:rPr>
          <w:rFonts w:ascii="Times New Roman" w:hAnsi="Times New Roman" w:cs="Times New Roman" w:eastAsia="Times New Roman" w:hint="default"/>
        </w:rPr>
        <w:t>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按款项性质列示其他应付款" w:id="277"/>
      <w:bookmarkEnd w:id="277"/>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16,099,918.18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68,726,983.72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6,683,289.11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14,994,200.38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22,783,207.29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83,721,184.10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账龄超过1年的重要其他应付款" w:id="278"/>
      <w:bookmarkEnd w:id="278"/>
      <w:r>
        <w:rPr>
          <w:b w:val="0"/>
          <w:bCs w:val="0"/>
        </w:rPr>
      </w:r>
      <w:r>
        <w:rPr>
          <w:rFonts w:ascii="Times New Roman" w:hAnsi="Times New Roman" w:cs="Times New Roman" w:eastAsia="Times New Roman" w:hint="default"/>
        </w:rPr>
        <w:t>2</w:t>
      </w: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北京华圆东泰科技有限公司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2,134,328.10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履约期内</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北京润雨嘉科技发展有限公司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2,096,952.00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履约期内</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中国自控系统工程有限公司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2,094,000.00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履约期内</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新华三技术有限公司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履约期内</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郑州华路天成信息技术有限公司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履约期内</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9,475,280.10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7、一年内到期的非流动负债" w:id="279"/>
      <w:bookmarkEnd w:id="279"/>
      <w:r>
        <w:rPr>
          <w:b w:val="0"/>
          <w:bCs w:val="0"/>
        </w:rPr>
      </w:r>
      <w:r>
        <w:rPr>
          <w:rFonts w:ascii="Times New Roman" w:hAnsi="Times New Roman" w:cs="Times New Roman" w:eastAsia="Times New Roman" w:hint="default"/>
        </w:rPr>
        <w:t>27</w:t>
      </w:r>
      <w:r>
        <w:rPr/>
        <w:t>、一年内到期的非流动负债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54,485,675.11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54,070,484.20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54,485,675.11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54,070,484.20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8、长期应付款" w:id="280"/>
      <w:bookmarkEnd w:id="280"/>
      <w:r>
        <w:rPr>
          <w:b w:val="0"/>
          <w:bCs w:val="0"/>
        </w:rPr>
      </w:r>
      <w:r>
        <w:rPr>
          <w:rFonts w:ascii="Times New Roman" w:hAnsi="Times New Roman" w:cs="Times New Roman" w:eastAsia="Times New Roman" w:hint="default"/>
        </w:rPr>
        <w:t>28</w:t>
      </w:r>
      <w:r>
        <w:rPr/>
        <w:t>、长期应付款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51,410,035.67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51,410,035.67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按款项性质列示长期应付款" w:id="281"/>
      <w:bookmarkEnd w:id="281"/>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融资租赁借款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51,410,035.67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9、递延收益" w:id="282"/>
      <w:bookmarkEnd w:id="282"/>
      <w:r>
        <w:rPr>
          <w:b w:val="0"/>
          <w:bCs w:val="0"/>
        </w:rPr>
      </w:r>
      <w:r>
        <w:rPr>
          <w:rFonts w:ascii="Times New Roman" w:hAnsi="Times New Roman" w:cs="Times New Roman" w:eastAsia="Times New Roman" w:hint="default"/>
        </w:rPr>
        <w:t>29</w:t>
      </w:r>
      <w:r>
        <w:rPr/>
        <w:t>、递延收益</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1,745,711.37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1,745,711.37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1,745,711.37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1,745,711.37</w:t>
            </w:r>
          </w:p>
        </w:tc>
        <w:tc>
          <w:tcPr>
            <w:tcW w:w="1594" w:type="dxa"/>
            <w:tcBorders>
              <w:top w:val="single" w:sz="4" w:space="0" w:color="000000"/>
              <w:left w:val="single" w:sz="4" w:space="0" w:color="000000"/>
              <w:bottom w:val="single" w:sz="4" w:space="0" w:color="000000"/>
              <w:right w:val="single" w:sz="13" w:space="0" w:color="D2D2D2"/>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33"/>
        <w:ind w:right="0"/>
        <w:jc w:val="left"/>
      </w:pPr>
      <w:r>
        <w:rPr>
          <w:w w:val="95"/>
        </w:rPr>
        <w:t>涉及政府补助的项目：</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150" w:space="6680"/>
            <w:col w:w="210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13"/>
        <w:gridCol w:w="236"/>
        <w:gridCol w:w="1012"/>
        <w:gridCol w:w="1011"/>
        <w:gridCol w:w="1010"/>
        <w:gridCol w:w="1011"/>
        <w:gridCol w:w="1008"/>
        <w:gridCol w:w="1010"/>
        <w:gridCol w:w="1249"/>
        <w:gridCol w:w="1010"/>
      </w:tblGrid>
      <w:tr>
        <w:trPr>
          <w:trHeight w:val="1025"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4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50" w:right="4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4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金融行业海 量数据处理 北京市工程 实验室</w:t>
            </w:r>
          </w:p>
        </w:tc>
        <w:tc>
          <w:tcPr>
            <w:tcW w:w="12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1,390,833.33</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1,390,833.33</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年现代 服务业试点 项目</w:t>
            </w:r>
          </w:p>
        </w:tc>
        <w:tc>
          <w:tcPr>
            <w:tcW w:w="236" w:type="dxa"/>
            <w:tcBorders>
              <w:top w:val="single" w:sz="4" w:space="0" w:color="000000"/>
              <w:left w:val="single" w:sz="4" w:space="0" w:color="000000"/>
              <w:bottom w:val="single" w:sz="4" w:space="0" w:color="000000"/>
              <w:right w:val="nil" w:sz="6" w:space="0" w:color="auto"/>
            </w:tcBorders>
          </w:tcPr>
          <w:p>
            <w:pPr/>
          </w:p>
        </w:tc>
        <w:tc>
          <w:tcPr>
            <w:tcW w:w="101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4" w:right="0"/>
              <w:jc w:val="left"/>
              <w:rPr>
                <w:rFonts w:ascii="Times New Roman" w:hAnsi="Times New Roman" w:cs="Times New Roman" w:eastAsia="Times New Roman" w:hint="default"/>
                <w:sz w:val="18"/>
                <w:szCs w:val="18"/>
              </w:rPr>
            </w:pPr>
            <w:r>
              <w:rPr>
                <w:rFonts w:ascii="Times New Roman"/>
                <w:sz w:val="18"/>
              </w:rPr>
              <w:t>354,878.04</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1" w:right="0"/>
              <w:jc w:val="center"/>
              <w:rPr>
                <w:rFonts w:ascii="Times New Roman" w:hAnsi="Times New Roman" w:cs="Times New Roman" w:eastAsia="Times New Roman" w:hint="default"/>
                <w:sz w:val="18"/>
                <w:szCs w:val="18"/>
              </w:rPr>
            </w:pPr>
            <w:r>
              <w:rPr>
                <w:rFonts w:ascii="Times New Roman"/>
                <w:sz w:val="18"/>
              </w:rPr>
              <w:t>354,878.04</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8" w:right="0"/>
              <w:jc w:val="left"/>
              <w:rPr>
                <w:rFonts w:ascii="Times New Roman" w:hAnsi="Times New Roman" w:cs="Times New Roman" w:eastAsia="Times New Roman" w:hint="default"/>
                <w:sz w:val="18"/>
                <w:szCs w:val="18"/>
              </w:rPr>
            </w:pPr>
            <w:r>
              <w:rPr>
                <w:rFonts w:ascii="Times New Roman"/>
                <w:sz w:val="18"/>
              </w:rPr>
              <w:t>1,745,711.37</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1,745,711.37</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pict>
          <v:shape style="position:absolute;margin-left:74.397003pt;margin-top:-48.816341pt;width:95.2pt;height:15.6pt;mso-position-horizontal-relative:page;mso-position-vertical-relative:paragraph;z-index:-1105120"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（基金）</w:t>
                  </w:r>
                </w:p>
              </w:txbxContent>
            </v:textbox>
            <w10:wrap type="none"/>
          </v:shape>
        </w:pict>
      </w:r>
      <w:r>
        <w:rPr/>
        <w:pict>
          <v:group style="position:absolute;margin-left:107.540001pt;margin-top:-48.816341pt;width:62.05pt;height:15.6pt;mso-position-horizontal-relative:page;mso-position-vertical-relative:paragraph;z-index:-1105096" coordorigin="2151,-976" coordsize="1241,312">
            <v:shape style="position:absolute;left:2151;top:-976;width:1241;height:312" coordorigin="2151,-976" coordsize="1241,312" path="m2151,-664l3392,-664,3392,-976,2151,-976,2151,-664xe" filled="true" fillcolor="#ffffff" stroked="false">
              <v:path arrowok="t"/>
              <v:fill type="solid"/>
            </v:shape>
            <w10:wrap type="none"/>
          </v:group>
        </w:pict>
      </w:r>
      <w:bookmarkStart w:name="30、股本" w:id="283"/>
      <w:bookmarkEnd w:id="283"/>
      <w:r>
        <w:rPr>
          <w:b w:val="0"/>
          <w:bCs w:val="0"/>
        </w:rPr>
      </w:r>
      <w:r>
        <w:rPr>
          <w:rFonts w:ascii="Times New Roman" w:hAnsi="Times New Roman" w:cs="Times New Roman" w:eastAsia="Times New Roman" w:hint="default"/>
        </w:rPr>
        <w:t>30</w:t>
      </w:r>
      <w:r>
        <w:rPr/>
        <w:t>、股本</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10"/>
        <w:gridCol w:w="1184"/>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7"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2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337,576,686.00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337,576,686.00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1、资本公积" w:id="284"/>
      <w:bookmarkEnd w:id="284"/>
      <w:r>
        <w:rPr>
          <w:b w:val="0"/>
          <w:bCs w:val="0"/>
        </w:rPr>
      </w:r>
      <w:r>
        <w:rPr>
          <w:rFonts w:ascii="Times New Roman" w:hAnsi="Times New Roman" w:cs="Times New Roman" w:eastAsia="Times New Roman" w:hint="default"/>
        </w:rPr>
        <w:t>31</w:t>
      </w:r>
      <w:r>
        <w:rPr/>
        <w:t>、资本公积</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631" w:right="0"/>
              <w:jc w:val="left"/>
              <w:rPr>
                <w:rFonts w:ascii="Times New Roman" w:hAnsi="Times New Roman" w:cs="Times New Roman" w:eastAsia="Times New Roman" w:hint="default"/>
                <w:sz w:val="18"/>
                <w:szCs w:val="18"/>
              </w:rPr>
            </w:pPr>
            <w:r>
              <w:rPr>
                <w:rFonts w:ascii="Times New Roman"/>
                <w:sz w:val="18"/>
              </w:rPr>
              <w:t>1,773,201,926.11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1,773,201,926.11</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406,386.12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-406,386.12</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631" w:right="0"/>
              <w:jc w:val="left"/>
              <w:rPr>
                <w:rFonts w:ascii="Times New Roman" w:hAnsi="Times New Roman" w:cs="Times New Roman" w:eastAsia="Times New Roman" w:hint="default"/>
                <w:sz w:val="18"/>
                <w:szCs w:val="18"/>
              </w:rPr>
            </w:pPr>
            <w:r>
              <w:rPr>
                <w:rFonts w:ascii="Times New Roman"/>
                <w:sz w:val="18"/>
              </w:rPr>
              <w:t>1,773,201,926.11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406,386.12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1,772,795,539.99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2、其他综合收益" w:id="285"/>
      <w:bookmarkEnd w:id="285"/>
      <w:r>
        <w:rPr>
          <w:b w:val="0"/>
          <w:bCs w:val="0"/>
        </w:rPr>
      </w:r>
      <w:r>
        <w:rPr>
          <w:rFonts w:ascii="Times New Roman" w:hAnsi="Times New Roman" w:cs="Times New Roman" w:eastAsia="Times New Roman" w:hint="default"/>
        </w:rPr>
        <w:t>32</w:t>
      </w:r>
      <w:r>
        <w:rPr/>
        <w:t>、其他综合收益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55"/>
        <w:gridCol w:w="975"/>
        <w:gridCol w:w="852"/>
        <w:gridCol w:w="1052"/>
        <w:gridCol w:w="852"/>
        <w:gridCol w:w="852"/>
        <w:gridCol w:w="853"/>
        <w:gridCol w:w="852"/>
        <w:gridCol w:w="727"/>
      </w:tblGrid>
      <w:tr>
        <w:trPr>
          <w:trHeight w:val="403" w:hRule="exact"/>
        </w:trPr>
        <w:tc>
          <w:tcPr>
            <w:tcW w:w="25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1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68" w:right="86"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1025" w:hRule="exact"/>
        </w:trPr>
        <w:tc>
          <w:tcPr>
            <w:tcW w:w="2555"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9"/>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69" w:right="22" w:hanging="46"/>
              <w:jc w:val="both"/>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其他综合收 益当期转入</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62"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1" w:right="59"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5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7"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34"/>
        <w:gridCol w:w="986"/>
        <w:gridCol w:w="852"/>
        <w:gridCol w:w="1052"/>
        <w:gridCol w:w="852"/>
        <w:gridCol w:w="852"/>
        <w:gridCol w:w="853"/>
        <w:gridCol w:w="852"/>
        <w:gridCol w:w="727"/>
      </w:tblGrid>
      <w:tr>
        <w:trPr>
          <w:trHeight w:val="358" w:hRule="exact"/>
        </w:trPr>
        <w:tc>
          <w:tcPr>
            <w:tcW w:w="2534" w:type="dxa"/>
            <w:vMerge w:val="restart"/>
            <w:tcBorders>
              <w:top w:val="single" w:sz="4" w:space="0" w:color="000000"/>
              <w:left w:val="single" w:sz="4" w:space="0" w:color="000000"/>
              <w:right w:val="single" w:sz="4" w:space="0" w:color="000000"/>
            </w:tcBorders>
            <w:shd w:val="clear" w:color="auto" w:fill="D2D2D2"/>
          </w:tcPr>
          <w:p>
            <w:pPr/>
          </w:p>
        </w:tc>
        <w:tc>
          <w:tcPr>
            <w:tcW w:w="986" w:type="dxa"/>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8"/>
              <w:ind w:left="340" w:right="0"/>
              <w:jc w:val="left"/>
              <w:rPr>
                <w:rFonts w:ascii="宋体" w:hAnsi="宋体" w:cs="宋体" w:eastAsia="宋体" w:hint="default"/>
                <w:sz w:val="18"/>
                <w:szCs w:val="18"/>
              </w:rPr>
            </w:pPr>
            <w:r>
              <w:rPr>
                <w:rFonts w:ascii="宋体" w:hAnsi="宋体" w:cs="宋体" w:eastAsia="宋体" w:hint="default"/>
                <w:sz w:val="18"/>
                <w:szCs w:val="18"/>
              </w:rPr>
              <w:t>损益</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
              <w:ind w:left="62" w:right="59"/>
              <w:jc w:val="left"/>
              <w:rPr>
                <w:rFonts w:ascii="宋体" w:hAnsi="宋体" w:cs="宋体" w:eastAsia="宋体" w:hint="default"/>
                <w:sz w:val="18"/>
                <w:szCs w:val="18"/>
              </w:rPr>
            </w:pPr>
            <w:r>
              <w:rPr>
                <w:rFonts w:ascii="宋体" w:hAnsi="宋体" w:cs="宋体" w:eastAsia="宋体" w:hint="default"/>
                <w:sz w:val="18"/>
                <w:szCs w:val="18"/>
              </w:rPr>
              <w:t>当期转入 留存收益</w:t>
            </w: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853" w:type="dxa"/>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727" w:type="dxa"/>
            <w:vMerge w:val="restart"/>
            <w:tcBorders>
              <w:top w:val="single" w:sz="4" w:space="0" w:color="000000"/>
              <w:left w:val="single" w:sz="4" w:space="0" w:color="000000"/>
              <w:right w:val="single" w:sz="4" w:space="0" w:color="000000"/>
            </w:tcBorders>
            <w:shd w:val="clear" w:color="auto" w:fill="D2D2D2"/>
          </w:tcPr>
          <w:p>
            <w:pPr/>
          </w:p>
        </w:tc>
      </w:tr>
      <w:tr>
        <w:trPr>
          <w:trHeight w:val="317" w:hRule="exact"/>
        </w:trPr>
        <w:tc>
          <w:tcPr>
            <w:tcW w:w="2534" w:type="dxa"/>
            <w:vMerge/>
            <w:tcBorders>
              <w:left w:val="single" w:sz="4" w:space="0" w:color="000000"/>
              <w:bottom w:val="single" w:sz="4" w:space="0" w:color="000000"/>
              <w:right w:val="single" w:sz="4" w:space="0" w:color="000000"/>
            </w:tcBorders>
            <w:shd w:val="clear" w:color="auto" w:fill="D2D2D2"/>
          </w:tcPr>
          <w:p>
            <w:pPr/>
          </w:p>
        </w:tc>
        <w:tc>
          <w:tcPr>
            <w:tcW w:w="986"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收益</w:t>
            </w:r>
          </w:p>
        </w:tc>
        <w:tc>
          <w:tcPr>
            <w:tcW w:w="9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2,451.07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265,844.6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265,844.6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268,295.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r>
      <w:tr>
        <w:trPr>
          <w:trHeight w:val="715" w:hRule="exact"/>
        </w:trPr>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其中：权益法下可转损益的其他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综合收益</w:t>
            </w:r>
          </w:p>
        </w:tc>
        <w:tc>
          <w:tcPr>
            <w:tcW w:w="986" w:type="dxa"/>
            <w:tcBorders>
              <w:top w:val="single" w:sz="4" w:space="0" w:color="000000"/>
              <w:left w:val="single" w:sz="10" w:space="0" w:color="D2D2D2"/>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265,180.5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265,180.5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265,180.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r>
      <w:tr>
        <w:trPr>
          <w:trHeight w:val="401" w:hRule="exact"/>
        </w:trPr>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2,451.07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664.09</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664.09</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3,115.16</w:t>
            </w:r>
          </w:p>
        </w:tc>
      </w:tr>
      <w:tr>
        <w:trPr>
          <w:trHeight w:val="161" w:hRule="exact"/>
        </w:trPr>
        <w:tc>
          <w:tcPr>
            <w:tcW w:w="25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8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2,451.07</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265,844.6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265,844.6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52"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268,295.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r>
      <w:tr>
        <w:trPr>
          <w:trHeight w:val="394" w:hRule="exact"/>
        </w:trPr>
        <w:tc>
          <w:tcPr>
            <w:tcW w:w="25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86" w:type="dxa"/>
            <w:vMerge/>
            <w:tcBorders>
              <w:left w:val="single" w:sz="10"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1" w:hRule="exact"/>
        </w:trPr>
        <w:tc>
          <w:tcPr>
            <w:tcW w:w="25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86" w:type="dxa"/>
            <w:vMerge/>
            <w:tcBorders>
              <w:left w:val="single" w:sz="10"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3、盈余公积" w:id="286"/>
      <w:bookmarkEnd w:id="286"/>
      <w:r>
        <w:rPr>
          <w:b w:val="0"/>
          <w:bCs w:val="0"/>
        </w:rPr>
      </w:r>
      <w:r>
        <w:rPr>
          <w:rFonts w:ascii="Times New Roman" w:hAnsi="Times New Roman" w:cs="Times New Roman" w:eastAsia="Times New Roman" w:hint="default"/>
        </w:rPr>
        <w:t>33</w:t>
      </w:r>
      <w:r>
        <w:rPr/>
        <w:t>、盈余公积</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68,984,576.56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1,967,035.34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1,289,502.49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69,662,109.41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68,984,576.56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1,967,035.34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1,289,502.49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69,662,109.41</w:t>
            </w:r>
          </w:p>
        </w:tc>
      </w:tr>
    </w:tbl>
    <w:p>
      <w:pPr>
        <w:pStyle w:val="BodyText"/>
        <w:spacing w:line="400" w:lineRule="auto" w:before="33"/>
        <w:ind w:left="554" w:right="1133" w:hanging="402"/>
        <w:jc w:val="left"/>
      </w:pPr>
      <w:r>
        <w:rPr/>
        <w:t>盈余公积说明，包括本期增减变动情况、变动原因说明：</w:t>
      </w:r>
      <w:r>
        <w:rPr>
          <w:w w:val="99"/>
        </w:rPr>
        <w:t> </w:t>
      </w:r>
      <w:r>
        <w:rPr/>
        <w:t>公司执行新金融工具准则，调增期初盈余公积</w:t>
      </w:r>
      <w:r>
        <w:rPr>
          <w:rFonts w:ascii="Times New Roman" w:hAnsi="Times New Roman" w:cs="Times New Roman" w:eastAsia="Times New Roman" w:hint="default"/>
        </w:rPr>
        <w:t>254,777.02</w:t>
      </w:r>
      <w:r>
        <w:rPr/>
        <w:t>元，期初余额中已包含该金额。</w:t>
      </w:r>
      <w:r>
        <w:rPr>
          <w:w w:val="99"/>
        </w:rPr>
        <w:t> </w:t>
      </w:r>
      <w:r>
        <w:rPr>
          <w:spacing w:val="9"/>
        </w:rPr>
        <w:t>公司持有大连金融资产交易所有限公司的股权被动稀释由成本法改为权益法核算，调减期初盈余公积</w:t>
      </w:r>
    </w:p>
    <w:p>
      <w:pPr>
        <w:pStyle w:val="BodyText"/>
        <w:spacing w:line="240" w:lineRule="auto" w:before="72"/>
        <w:ind w:right="1133"/>
        <w:jc w:val="left"/>
      </w:pPr>
      <w:r>
        <w:rPr>
          <w:rFonts w:ascii="Times New Roman" w:hAnsi="Times New Roman" w:cs="Times New Roman" w:eastAsia="Times New Roman" w:hint="default"/>
        </w:rPr>
        <w:t>1,289,502.49</w:t>
      </w:r>
      <w:r>
        <w:rPr/>
        <w:t>元，在</w:t>
      </w:r>
      <w:r>
        <w:rPr>
          <w:rFonts w:ascii="Times New Roman" w:hAnsi="Times New Roman" w:cs="Times New Roman" w:eastAsia="Times New Roman" w:hint="default"/>
        </w:rPr>
        <w:t>“</w:t>
      </w:r>
      <w:r>
        <w:rPr/>
        <w:t>本期减少</w:t>
      </w:r>
      <w:r>
        <w:rPr>
          <w:rFonts w:ascii="Times New Roman" w:hAnsi="Times New Roman" w:cs="Times New Roman" w:eastAsia="Times New Roman" w:hint="default"/>
        </w:rPr>
        <w:t>”</w:t>
      </w:r>
      <w:r>
        <w:rPr/>
        <w:t>中列示。</w:t>
      </w:r>
    </w:p>
    <w:p>
      <w:pPr>
        <w:spacing w:line="240" w:lineRule="auto" w:before="0"/>
        <w:rPr>
          <w:rFonts w:ascii="宋体" w:hAnsi="宋体" w:cs="宋体" w:eastAsia="宋体" w:hint="default"/>
          <w:sz w:val="20"/>
          <w:szCs w:val="20"/>
        </w:rPr>
      </w:pPr>
    </w:p>
    <w:p>
      <w:pPr>
        <w:pStyle w:val="Heading3"/>
        <w:spacing w:line="240" w:lineRule="auto" w:before="146"/>
        <w:ind w:right="1133"/>
        <w:jc w:val="left"/>
        <w:rPr>
          <w:b w:val="0"/>
          <w:bCs w:val="0"/>
        </w:rPr>
      </w:pPr>
      <w:bookmarkStart w:name="34、未分配利润" w:id="287"/>
      <w:bookmarkEnd w:id="287"/>
      <w:r>
        <w:rPr>
          <w:b w:val="0"/>
          <w:bCs w:val="0"/>
        </w:rPr>
      </w:r>
      <w:r>
        <w:rPr>
          <w:rFonts w:ascii="Times New Roman" w:hAnsi="Times New Roman" w:cs="Times New Roman" w:eastAsia="Times New Roman" w:hint="default"/>
        </w:rPr>
        <w:t>34</w:t>
      </w:r>
      <w:r>
        <w:rPr/>
        <w:t>、未分配利润</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346,231,552.50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343,508,039.25</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5,091,557.46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350,033,607.47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343,508,039.25</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-281,841,963.94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8,209,514.73</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1,967,035.34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5,486,001.48</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1,687,883.43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65,826,227.25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346,231,552.50</w:t>
            </w:r>
          </w:p>
        </w:tc>
      </w:tr>
    </w:tbl>
    <w:p>
      <w:pPr>
        <w:pStyle w:val="BodyText"/>
        <w:spacing w:line="240" w:lineRule="auto" w:before="33"/>
        <w:ind w:right="1133"/>
        <w:jc w:val="left"/>
      </w:pPr>
      <w:r>
        <w:rPr/>
        <w:t>调整期初未分配利润明细：</w:t>
      </w:r>
    </w:p>
    <w:p>
      <w:pPr>
        <w:pStyle w:val="BodyText"/>
        <w:spacing w:line="240" w:lineRule="auto" w:before="88"/>
        <w:ind w:right="1133"/>
        <w:jc w:val="left"/>
      </w:pPr>
      <w:r>
        <w:rPr>
          <w:rFonts w:ascii="Times New Roman" w:hAnsi="Times New Roman" w:cs="Times New Roman" w:eastAsia="Times New Roman" w:hint="default"/>
        </w:rPr>
        <w:t>1)</w:t>
      </w:r>
      <w:r>
        <w:rPr/>
        <w:t>、由于《企业会计准则》及其相关新规定进行追溯调整，影响期初未分配利润</w:t>
      </w:r>
      <w:r>
        <w:rPr>
          <w:spacing w:val="-52"/>
        </w:rPr>
        <w:t> </w:t>
      </w:r>
      <w:r>
        <w:rPr>
          <w:rFonts w:ascii="Times New Roman" w:hAnsi="Times New Roman" w:cs="Times New Roman" w:eastAsia="Times New Roman" w:hint="default"/>
        </w:rPr>
        <w:t>3,802,054.97</w:t>
      </w:r>
      <w:r>
        <w:rPr>
          <w:rFonts w:ascii="Times New Roman" w:hAnsi="Times New Roman" w:cs="Times New Roman" w:eastAsia="Times New Roman" w:hint="default"/>
          <w:spacing w:val="-1"/>
        </w:rPr>
        <w:t> </w:t>
      </w:r>
      <w:r>
        <w:rPr/>
        <w:t>元。</w:t>
      </w:r>
    </w:p>
    <w:p>
      <w:pPr>
        <w:pStyle w:val="BodyText"/>
        <w:spacing w:line="240" w:lineRule="auto" w:before="76"/>
        <w:ind w:right="1133"/>
        <w:jc w:val="left"/>
      </w:pPr>
      <w:r>
        <w:rPr>
          <w:rFonts w:ascii="Times New Roman" w:hAnsi="Times New Roman" w:cs="Times New Roman" w:eastAsia="Times New Roman" w:hint="default"/>
        </w:rPr>
        <w:t>2)</w:t>
      </w:r>
      <w:r>
        <w:rPr/>
        <w:t>、由于会计政策变更，影响期初未分配利润</w:t>
      </w:r>
      <w:r>
        <w:rPr>
          <w:spacing w:val="-52"/>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73"/>
        <w:ind w:right="1133"/>
        <w:jc w:val="left"/>
      </w:pPr>
      <w:r>
        <w:rPr>
          <w:rFonts w:ascii="Times New Roman" w:hAnsi="Times New Roman" w:cs="Times New Roman" w:eastAsia="Times New Roman" w:hint="default"/>
        </w:rPr>
        <w:t>3)</w:t>
      </w:r>
      <w:r>
        <w:rPr/>
        <w:t>、由于重大会计差错更正，影响期初未分配利润</w:t>
      </w:r>
      <w:r>
        <w:rPr>
          <w:spacing w:val="-53"/>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76"/>
        <w:ind w:right="1133"/>
        <w:jc w:val="left"/>
      </w:pPr>
      <w:r>
        <w:rPr>
          <w:rFonts w:ascii="Times New Roman" w:hAnsi="Times New Roman" w:cs="Times New Roman" w:eastAsia="Times New Roman" w:hint="default"/>
        </w:rPr>
        <w:t>4)</w:t>
      </w:r>
      <w:r>
        <w:rPr/>
        <w:t>、由于同一控制导致的合并范围变更，影响期初未分配利润</w:t>
      </w:r>
      <w:r>
        <w:rPr>
          <w:spacing w:val="-52"/>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5"/>
          <w:szCs w:val="25"/>
        </w:rPr>
      </w:pPr>
    </w:p>
    <w:p>
      <w:pPr>
        <w:pStyle w:val="BodyText"/>
        <w:spacing w:line="240" w:lineRule="auto" w:before="37"/>
        <w:ind w:right="1133"/>
        <w:jc w:val="left"/>
      </w:pPr>
      <w:r>
        <w:rPr>
          <w:rFonts w:ascii="Times New Roman" w:hAnsi="Times New Roman" w:cs="Times New Roman" w:eastAsia="Times New Roman" w:hint="default"/>
        </w:rPr>
        <w:t>5)</w:t>
      </w:r>
      <w:r>
        <w:rPr/>
        <w:t>、其他调整合计影响期初未分配利润</w:t>
      </w:r>
      <w:r>
        <w:rPr>
          <w:spacing w:val="-53"/>
        </w:rPr>
        <w:t> </w:t>
      </w:r>
      <w:r>
        <w:rPr>
          <w:rFonts w:ascii="Times New Roman" w:hAnsi="Times New Roman" w:cs="Times New Roman" w:eastAsia="Times New Roman" w:hint="default"/>
        </w:rPr>
        <w:t>1,289,502.49</w:t>
      </w:r>
      <w:r>
        <w:rPr>
          <w:rFonts w:ascii="Times New Roman" w:hAnsi="Times New Roman" w:cs="Times New Roman" w:eastAsia="Times New Roman" w:hint="default"/>
          <w:spacing w:val="-1"/>
        </w:rPr>
        <w:t> </w:t>
      </w:r>
      <w:r>
        <w:rPr>
          <w:spacing w:val="-3"/>
        </w:rPr>
        <w:t>元。</w:t>
      </w:r>
      <w:r>
        <w:rPr/>
      </w:r>
    </w:p>
    <w:p>
      <w:pPr>
        <w:spacing w:line="240" w:lineRule="auto" w:before="4"/>
        <w:rPr>
          <w:rFonts w:ascii="宋体" w:hAnsi="宋体" w:cs="宋体" w:eastAsia="宋体" w:hint="default"/>
          <w:sz w:val="25"/>
          <w:szCs w:val="25"/>
        </w:rPr>
      </w:pPr>
    </w:p>
    <w:p>
      <w:pPr>
        <w:pStyle w:val="Heading3"/>
        <w:spacing w:line="240" w:lineRule="auto"/>
        <w:ind w:right="1133"/>
        <w:jc w:val="left"/>
        <w:rPr>
          <w:b w:val="0"/>
          <w:bCs w:val="0"/>
        </w:rPr>
      </w:pPr>
      <w:bookmarkStart w:name="35、营业收入和营业成本" w:id="288"/>
      <w:bookmarkEnd w:id="288"/>
      <w:r>
        <w:rPr>
          <w:b w:val="0"/>
          <w:bCs w:val="0"/>
        </w:rPr>
      </w:r>
      <w:r>
        <w:rPr>
          <w:rFonts w:ascii="Times New Roman" w:hAnsi="Times New Roman" w:cs="Times New Roman" w:eastAsia="Times New Roman" w:hint="default"/>
        </w:rPr>
        <w:t>35</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1,625,763,433.02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1,386,493,175.29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1,481,346,646.09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1,189,805,310.22</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46,630,983.41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48,877,417.57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4,278,647.72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3,899,690.37</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1,672,394,416.43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1,435,370,592.86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1,485,625,293.81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1,193,705,000.59</w:t>
            </w:r>
          </w:p>
        </w:tc>
      </w:tr>
    </w:tbl>
    <w:p>
      <w:pPr>
        <w:pStyle w:val="BodyText"/>
        <w:spacing w:line="240" w:lineRule="auto" w:before="33"/>
        <w:ind w:right="1133"/>
        <w:jc w:val="left"/>
      </w:pPr>
      <w:r>
        <w:rPr/>
        <w:t>是否已执行新收入准则</w:t>
      </w:r>
    </w:p>
    <w:p>
      <w:pPr>
        <w:pStyle w:val="BodyText"/>
        <w:spacing w:line="240" w:lineRule="auto" w:before="89"/>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否</w:t>
      </w:r>
    </w:p>
    <w:p>
      <w:pPr>
        <w:spacing w:line="240" w:lineRule="auto" w:before="4"/>
        <w:rPr>
          <w:rFonts w:ascii="宋体" w:hAnsi="宋体" w:cs="宋体" w:eastAsia="宋体" w:hint="default"/>
          <w:sz w:val="25"/>
          <w:szCs w:val="25"/>
        </w:rPr>
      </w:pPr>
    </w:p>
    <w:p>
      <w:pPr>
        <w:pStyle w:val="Heading3"/>
        <w:spacing w:line="240" w:lineRule="auto"/>
        <w:ind w:right="1133"/>
        <w:jc w:val="left"/>
        <w:rPr>
          <w:b w:val="0"/>
          <w:bCs w:val="0"/>
        </w:rPr>
      </w:pPr>
      <w:bookmarkStart w:name="36、税金及附加" w:id="289"/>
      <w:bookmarkEnd w:id="289"/>
      <w:r>
        <w:rPr>
          <w:b w:val="0"/>
          <w:bCs w:val="0"/>
        </w:rPr>
      </w:r>
      <w:r>
        <w:rPr>
          <w:rFonts w:ascii="Times New Roman" w:hAnsi="Times New Roman" w:cs="Times New Roman" w:eastAsia="Times New Roman" w:hint="default"/>
        </w:rPr>
        <w:t>36</w:t>
      </w:r>
      <w:r>
        <w:rPr/>
        <w:t>、税金及附加</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457,393.93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2,831,043.80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328,623.54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2,021,896.35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11,790.94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11,790.94</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464.00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13,768.33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16,585.00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1,070,692.00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964,498.32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水利行政事业性收费</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52,274.42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1,882,733.46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5,898,552.83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7、销售费用" w:id="290"/>
      <w:bookmarkEnd w:id="290"/>
      <w:r>
        <w:rPr>
          <w:b w:val="0"/>
          <w:bCs w:val="0"/>
        </w:rPr>
      </w:r>
      <w:r>
        <w:rPr>
          <w:rFonts w:ascii="Times New Roman" w:hAnsi="Times New Roman" w:cs="Times New Roman" w:eastAsia="Times New Roman" w:hint="default"/>
        </w:rPr>
        <w:t>37</w:t>
      </w:r>
      <w:r>
        <w:rPr/>
        <w:t>、销售费用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34,195,488.96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29,811,186.96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70,657.50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1,688,800.80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3,241,185.42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3,722,358.39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1,520,848.06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1,398,986.57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1,526,610.73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1,967,371.00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9,450,966.50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8,365,088.23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实施费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4,901,403.08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3,517,103.18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周转材料摊销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1,692,380.17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623,614.75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207,478.44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6,332,443.74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18,448.77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706,590.09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56,825,467.63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58,133,543.71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8、管理费用" w:id="291"/>
      <w:bookmarkEnd w:id="291"/>
      <w:r>
        <w:rPr>
          <w:b w:val="0"/>
          <w:bCs w:val="0"/>
        </w:rPr>
      </w:r>
      <w:r>
        <w:rPr>
          <w:rFonts w:ascii="Times New Roman" w:hAnsi="Times New Roman" w:cs="Times New Roman" w:eastAsia="Times New Roman" w:hint="default"/>
        </w:rPr>
        <w:t>38</w:t>
      </w:r>
      <w:r>
        <w:rPr/>
        <w:t>、管理费用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60,563,336.42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55,844,836.15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16,340,066.91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10,919,772.12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3,649,613.22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7,434,205.71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4,985,995.57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6,432,030.65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687,996.65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6,183,255.07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5,190,366.95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3,407,219.29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5,342,933.11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3,950,644.15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7,585,232.24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4,252,158.43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367,438.81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2,785,416.66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1,417,582.73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1,482,338.64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1,780,332.55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1,242,439.36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1,646,115.67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3,640,668.38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109,557,010.83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107,574,984.61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9、研发费用" w:id="292"/>
      <w:bookmarkEnd w:id="292"/>
      <w:r>
        <w:rPr>
          <w:b w:val="0"/>
          <w:bCs w:val="0"/>
        </w:rPr>
      </w:r>
      <w:r>
        <w:rPr>
          <w:rFonts w:ascii="Times New Roman" w:hAnsi="Times New Roman" w:cs="Times New Roman" w:eastAsia="Times New Roman" w:hint="default"/>
        </w:rPr>
        <w:t>39</w:t>
      </w:r>
      <w:r>
        <w:rPr/>
        <w:t>、研发费用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81,280,738.26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82,857,453.55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30,409,113.89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31,667,323.42</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6,155,316.61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7,202,180.93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4,557,744.67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6,565,408.73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2,646,130.31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4,246,699.94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18,849.00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2,313,100.43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1,559,864.55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1,264,436.00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692,021.25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963,198.09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160,237.67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318,462.72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259,404.50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407,701.72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127,739,420.71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137,805,965.53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0、财务费用" w:id="293"/>
      <w:bookmarkEnd w:id="293"/>
      <w:r>
        <w:rPr>
          <w:b w:val="0"/>
          <w:bCs w:val="0"/>
        </w:rPr>
      </w:r>
      <w:r>
        <w:rPr>
          <w:rFonts w:ascii="Times New Roman" w:hAnsi="Times New Roman" w:cs="Times New Roman" w:eastAsia="Times New Roman" w:hint="default"/>
        </w:rPr>
        <w:t>40</w:t>
      </w:r>
      <w:r>
        <w:rPr/>
        <w:t>、财务费用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19,280,618.82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25,393,816.52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2,521,262.22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3,738,250.61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392,042.39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111,044.96</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3,175,470.89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3,383,727.85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20,326,869.88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25,150,338.72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1、其他收益" w:id="294"/>
      <w:bookmarkEnd w:id="294"/>
      <w:r>
        <w:rPr>
          <w:b w:val="0"/>
          <w:bCs w:val="0"/>
        </w:rPr>
      </w:r>
      <w:r>
        <w:rPr>
          <w:rFonts w:ascii="Times New Roman" w:hAnsi="Times New Roman" w:cs="Times New Roman" w:eastAsia="Times New Roman" w:hint="default"/>
        </w:rPr>
        <w:t>41</w:t>
      </w:r>
      <w:r>
        <w:rPr/>
        <w:t>、其他收益</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软件增值税退税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167,189.75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2,959,500.56</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金融行业海量数据处理北京市工程实验 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1,390,833.33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3,338,000.00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移动金融云安全服务项目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1,466,666.67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年北京市科技计划项目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182,300.00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C </w:t>
            </w:r>
            <w:r>
              <w:rPr>
                <w:rFonts w:ascii="宋体" w:hAnsi="宋体" w:cs="宋体" w:eastAsia="宋体" w:hint="default"/>
                <w:sz w:val="18"/>
                <w:szCs w:val="18"/>
              </w:rPr>
              <w:t>语言的移动应用软件开发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729,200.00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电子发展基金</w:t>
            </w:r>
            <w:r>
              <w:rPr>
                <w:rFonts w:ascii="Times New Roman" w:hAnsi="Times New Roman" w:cs="Times New Roman" w:eastAsia="Times New Roman" w:hint="default"/>
                <w:sz w:val="18"/>
                <w:szCs w:val="18"/>
              </w:rPr>
              <w:t>-</w:t>
            </w:r>
            <w:r>
              <w:rPr>
                <w:rFonts w:ascii="宋体" w:hAnsi="宋体" w:cs="宋体" w:eastAsia="宋体" w:hint="default"/>
                <w:sz w:val="18"/>
                <w:szCs w:val="18"/>
              </w:rPr>
              <w:t>移动支付清算平台</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49,860.00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年现代服务业试点项目（基金）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354,878.04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851,707.32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海淀区企业专业商用化专项资金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政府中介服务支持资金补贴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12,044.10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191,894.86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金融科技应用技术项目支持资金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年企业研发投入补助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96,683.00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年高新企业补助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附加税免税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1,924.88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购买信用报告专项补贴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个税返还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35,324.42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进项税加计抵减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152,620.63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42、投资收益" w:id="295"/>
      <w:bookmarkEnd w:id="295"/>
      <w:r>
        <w:rPr>
          <w:b w:val="0"/>
          <w:bCs w:val="0"/>
        </w:rPr>
      </w:r>
      <w:r>
        <w:rPr>
          <w:rFonts w:ascii="Times New Roman" w:hAnsi="Times New Roman" w:cs="Times New Roman" w:eastAsia="Times New Roman" w:hint="default"/>
        </w:rPr>
        <w:t>42</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6,771,276.45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11,618,562.08</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1,686,099.73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41,301,087.79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-28,034.11</w:t>
            </w:r>
          </w:p>
        </w:tc>
      </w:tr>
      <w:tr>
        <w:trPr>
          <w:trHeight w:val="71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
              <w:jc w:val="left"/>
              <w:rPr>
                <w:rFonts w:ascii="宋体" w:hAnsi="宋体" w:cs="宋体" w:eastAsia="宋体" w:hint="default"/>
                <w:sz w:val="18"/>
                <w:szCs w:val="18"/>
              </w:rPr>
            </w:pPr>
            <w:r>
              <w:rPr>
                <w:rFonts w:ascii="宋体" w:hAnsi="宋体" w:cs="宋体" w:eastAsia="宋体" w:hint="default"/>
                <w:spacing w:val="-1"/>
                <w:sz w:val="18"/>
                <w:szCs w:val="18"/>
              </w:rPr>
              <w:t>丧失控制权后，剩余股权按公允价值重新计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量产生的利得</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81,553,115.71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债权投资在持有期间取得的利息收入</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31,515,251.88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处置其他非流动金融资产取得的投资收益</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470,000.00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2,643,668.63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52,515,836.43</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信托收益</w:t>
            </w:r>
          </w:p>
        </w:tc>
        <w:tc>
          <w:tcPr>
            <w:tcW w:w="3202"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45,564,598.77</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165,940,500.19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109,670,963.17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3、公允价值变动收益" w:id="296"/>
      <w:bookmarkEnd w:id="296"/>
      <w:r>
        <w:rPr>
          <w:b w:val="0"/>
          <w:bCs w:val="0"/>
        </w:rPr>
      </w:r>
      <w:r>
        <w:rPr>
          <w:rFonts w:ascii="Times New Roman" w:hAnsi="Times New Roman" w:cs="Times New Roman" w:eastAsia="Times New Roman" w:hint="default"/>
        </w:rPr>
        <w:t>43</w:t>
      </w:r>
      <w:r>
        <w:rPr/>
        <w:t>、公允价值变动收益</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-2,572,094.86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-2,572,094.86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4、信用减值损失" w:id="297"/>
      <w:bookmarkEnd w:id="297"/>
      <w:r>
        <w:rPr>
          <w:b w:val="0"/>
          <w:bCs w:val="0"/>
        </w:rPr>
      </w:r>
      <w:r>
        <w:rPr>
          <w:rFonts w:ascii="Times New Roman" w:hAnsi="Times New Roman" w:cs="Times New Roman" w:eastAsia="Times New Roman" w:hint="default"/>
        </w:rPr>
        <w:t>44</w:t>
      </w:r>
      <w:r>
        <w:rPr/>
        <w:t>、信用减值损失</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-2,461,329.84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债权投资减值损失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-36,509,604.19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-6,128,060.14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-45,098,994.17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5、资产减值损失" w:id="298"/>
      <w:bookmarkEnd w:id="298"/>
      <w:r>
        <w:rPr>
          <w:b w:val="0"/>
          <w:bCs w:val="0"/>
        </w:rPr>
      </w:r>
      <w:r>
        <w:rPr>
          <w:rFonts w:ascii="Times New Roman" w:hAnsi="Times New Roman" w:cs="Times New Roman" w:eastAsia="Times New Roman" w:hint="default"/>
        </w:rPr>
        <w:t>45</w:t>
      </w:r>
      <w:r>
        <w:rPr/>
        <w:t>、资产减值损失</w:t>
      </w:r>
      <w:r>
        <w:rPr>
          <w:b w:val="0"/>
          <w:bCs w:val="0"/>
        </w:rPr>
      </w:r>
    </w:p>
    <w:p>
      <w:pPr>
        <w:spacing w:line="240" w:lineRule="auto" w:before="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37"/>
        <w:ind w:right="0"/>
        <w:jc w:val="left"/>
      </w:pPr>
      <w:r>
        <w:rPr>
          <w:w w:val="95"/>
        </w:rPr>
        <w:t>是否已执行新收入准则</w:t>
      </w:r>
      <w:r>
        <w:rPr/>
      </w:r>
    </w:p>
    <w:p>
      <w:pPr>
        <w:pStyle w:val="BodyText"/>
        <w:spacing w:line="240" w:lineRule="auto" w:before="9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150" w:space="6680"/>
            <w:col w:w="210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-31,151,660.87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-49,467,642.81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-3,769,358.58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-285,022,670.05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-43,593,234.04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-334,490,312.86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-78,514,253.49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6、资产处置收益" w:id="299"/>
      <w:bookmarkEnd w:id="299"/>
      <w:r>
        <w:rPr>
          <w:b w:val="0"/>
          <w:bCs w:val="0"/>
        </w:rPr>
      </w:r>
      <w:r>
        <w:rPr>
          <w:rFonts w:ascii="Times New Roman" w:hAnsi="Times New Roman" w:cs="Times New Roman" w:eastAsia="Times New Roman" w:hint="default"/>
        </w:rPr>
        <w:t>46</w:t>
      </w:r>
      <w:r>
        <w:rPr/>
        <w:t>、资产处置收益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-377,633.40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-1,071,335.81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7、营业外收入" w:id="300"/>
      <w:bookmarkEnd w:id="300"/>
      <w:r>
        <w:rPr>
          <w:b w:val="0"/>
          <w:bCs w:val="0"/>
        </w:rPr>
      </w:r>
      <w:r>
        <w:rPr>
          <w:rFonts w:ascii="Times New Roman" w:hAnsi="Times New Roman" w:cs="Times New Roman" w:eastAsia="Times New Roman" w:hint="default"/>
        </w:rPr>
        <w:t>47</w:t>
      </w:r>
      <w:r>
        <w:rPr/>
        <w:t>、营业外收入</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161,070.55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3,668,758.95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161,070.55</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161,070.55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3,668,758.95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161,070.55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8、营业外支出" w:id="301"/>
      <w:bookmarkEnd w:id="301"/>
      <w:r>
        <w:rPr>
          <w:b w:val="0"/>
          <w:bCs w:val="0"/>
        </w:rPr>
      </w:r>
      <w:r>
        <w:rPr>
          <w:rFonts w:ascii="Times New Roman" w:hAnsi="Times New Roman" w:cs="Times New Roman" w:eastAsia="Times New Roman" w:hint="default"/>
        </w:rPr>
        <w:t>48</w:t>
      </w:r>
      <w:r>
        <w:rPr/>
        <w:t>、营业外支出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117,154.68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9,725,936.93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117,154.68</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3,117,154.68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10,725,936.93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3,117,154.68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9、所得税费用" w:id="302"/>
      <w:bookmarkEnd w:id="302"/>
      <w:r>
        <w:rPr>
          <w:b w:val="0"/>
          <w:bCs w:val="0"/>
        </w:rPr>
      </w:r>
      <w:r>
        <w:rPr>
          <w:rFonts w:ascii="Times New Roman" w:hAnsi="Times New Roman" w:cs="Times New Roman" w:eastAsia="Times New Roman" w:hint="default"/>
        </w:rPr>
        <w:t>49</w:t>
      </w:r>
      <w:r>
        <w:rPr/>
        <w:t>、所得税费用</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所得税费用表" w:id="303"/>
      <w:bookmarkEnd w:id="303"/>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1,536,406.80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4,816,142.39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-9,702,009.08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-1,813,418.80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-8,165,602.28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3,002,723.59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2）会计利润与所得税费用调整过程" w:id="304"/>
      <w:bookmarkEnd w:id="304"/>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-291,188,014.72</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-43,678,202.21</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-2,408,332.41</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-316,688.15</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-11,851,847.34</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-2,073,201.74</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-903,448.10</w:t>
            </w:r>
          </w:p>
        </w:tc>
      </w:tr>
      <w:tr>
        <w:trPr>
          <w:trHeight w:val="715"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62,520,552.56</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子公司不纳入合并影响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628,683.66</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与上年税率不一致递延所得税影响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-433,719.68</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研发加计扣除影响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-9,649,398.87</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-8,165,602.28</w:t>
            </w:r>
          </w:p>
        </w:tc>
      </w:tr>
    </w:tbl>
    <w:p>
      <w:pPr>
        <w:spacing w:line="240" w:lineRule="auto" w:before="3"/>
        <w:rPr>
          <w:rFonts w:ascii="宋体" w:hAnsi="宋体" w:cs="宋体" w:eastAsia="宋体" w:hint="default"/>
          <w:sz w:val="19"/>
          <w:szCs w:val="19"/>
        </w:rPr>
      </w:pPr>
    </w:p>
    <w:p>
      <w:pPr>
        <w:spacing w:line="518" w:lineRule="auto" w:before="36"/>
        <w:ind w:left="152" w:right="8857" w:firstLine="0"/>
        <w:jc w:val="left"/>
        <w:rPr>
          <w:rFonts w:ascii="宋体" w:hAnsi="宋体" w:cs="宋体" w:eastAsia="宋体" w:hint="default"/>
          <w:sz w:val="21"/>
          <w:szCs w:val="21"/>
        </w:rPr>
      </w:pPr>
      <w:bookmarkStart w:name="50、其他综合收益" w:id="305"/>
      <w:bookmarkEnd w:id="305"/>
      <w:r>
        <w:rPr/>
      </w: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20"/>
          <w:szCs w:val="20"/>
        </w:rPr>
        <w:t>详见附注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32</w:t>
      </w:r>
      <w:r>
        <w:rPr>
          <w:rFonts w:ascii="宋体" w:hAnsi="宋体" w:cs="宋体" w:eastAsia="宋体" w:hint="default"/>
          <w:sz w:val="20"/>
          <w:szCs w:val="20"/>
        </w:rPr>
        <w:t>。</w:t>
      </w:r>
      <w:r>
        <w:rPr>
          <w:rFonts w:ascii="宋体" w:hAnsi="宋体" w:cs="宋体" w:eastAsia="宋体" w:hint="default"/>
          <w:w w:val="99"/>
          <w:sz w:val="20"/>
          <w:szCs w:val="20"/>
        </w:rPr>
        <w:t> </w:t>
      </w:r>
      <w:bookmarkStart w:name="51、现金流量表项目" w:id="306"/>
      <w:bookmarkEnd w:id="306"/>
      <w:r>
        <w:rPr>
          <w:rFonts w:ascii="宋体" w:hAnsi="宋体" w:cs="宋体" w:eastAsia="宋体" w:hint="default"/>
          <w:w w:val="99"/>
          <w:sz w:val="20"/>
          <w:szCs w:val="20"/>
        </w:rPr>
      </w: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54"/>
        <w:ind w:right="1133"/>
        <w:jc w:val="left"/>
        <w:rPr>
          <w:b w:val="0"/>
          <w:bCs w:val="0"/>
        </w:rPr>
      </w:pPr>
      <w:bookmarkStart w:name="（1）收到的其他与经营活动有关的现金" w:id="307"/>
      <w:bookmarkEnd w:id="307"/>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政府及其他奖励资金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5,573,427.10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817,594.86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197,443,529.08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249,780,247.01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6,241,427.00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2,380,886.44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2,286,665.77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3,646,460.71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896,570.22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3,503,418.39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212,441,619.17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260,128,607.41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支付的其他与经营活动有关的现金" w:id="308"/>
      <w:bookmarkEnd w:id="308"/>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223,071,525.26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291,997,120.42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51,082,508.58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6,020,738.36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4,494,599.60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12,065,955.58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15,354,612.80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25,694,580.92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21,016,194.49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12,996,243.97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13,689,939.91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1,418,708.10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5,484,239.87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其他付现费用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22,940,875.29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33,352,375.62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307,208,627.48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437,471,591.29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支付的其他与投资活动有关的现金" w:id="309"/>
      <w:bookmarkEnd w:id="309"/>
      <w:r>
        <w:rPr>
          <w:b w:val="0"/>
          <w:bCs w:val="0"/>
        </w:rPr>
      </w:r>
      <w:r>
        <w:rPr/>
        <w:t>（</w:t>
      </w:r>
      <w:r>
        <w:rPr>
          <w:rFonts w:ascii="Times New Roman" w:hAnsi="Times New Roman" w:cs="Times New Roman" w:eastAsia="Times New Roman" w:hint="default"/>
        </w:rPr>
        <w:t>3</w:t>
      </w:r>
      <w:r>
        <w:rPr/>
        <w:t>）支付的其他与投资活动有关的现金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丧失控制权日大金所持有的现金及现金 等价物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5,205,269.58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5,205,269.58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收到的其他与筹资活动有关的现金" w:id="310"/>
      <w:bookmarkEnd w:id="310"/>
      <w:r>
        <w:rPr>
          <w:b w:val="0"/>
          <w:bCs w:val="0"/>
        </w:rPr>
      </w:r>
      <w:r>
        <w:rPr/>
        <w:t>（</w:t>
      </w:r>
      <w:r>
        <w:rPr>
          <w:rFonts w:ascii="Times New Roman" w:hAnsi="Times New Roman" w:cs="Times New Roman" w:eastAsia="Times New Roman" w:hint="default"/>
        </w:rPr>
        <w:t>4</w:t>
      </w:r>
      <w:r>
        <w:rPr/>
        <w:t>）收到的其他与筹资活动有关的现金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234,596.45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91,789.90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融资租赁贴息及补助</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4,678,400.00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234,596.45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4,770,189.90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支付的其他与筹资活动有关的现金" w:id="311"/>
      <w:bookmarkEnd w:id="311"/>
      <w:r>
        <w:rPr>
          <w:b w:val="0"/>
          <w:bCs w:val="0"/>
        </w:rPr>
      </w:r>
      <w:r>
        <w:rPr/>
        <w:t>（</w:t>
      </w:r>
      <w:r>
        <w:rPr>
          <w:rFonts w:ascii="Times New Roman" w:hAnsi="Times New Roman" w:cs="Times New Roman" w:eastAsia="Times New Roman" w:hint="default"/>
        </w:rPr>
        <w:t>5</w:t>
      </w:r>
      <w:r>
        <w:rPr/>
        <w:t>）支付的其他与筹资活动有关的现金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债券相关费用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11,810.73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分红银行手续费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1,321.57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少数股权股东退股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1,155.54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2,477.11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11,810.73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r>
        <w:rPr/>
        <w:pict>
          <v:group style="position:absolute;margin-left:223.369995pt;margin-top:490.209991pt;width:151.25pt;height:20.8pt;mso-position-horizontal-relative:page;mso-position-vertical-relative:page;z-index:-1105072" coordorigin="4467,9804" coordsize="3025,416">
            <v:group style="position:absolute;left:4478;top:9815;width:2;height:394" coordorigin="4478,9815" coordsize="2,394">
              <v:shape style="position:absolute;left:4478;top:9815;width:2;height:394" coordorigin="4478,9815" coordsize="0,394" path="m4478,9815l4478,10209e" filled="false" stroked="true" strokeweight="1.08pt" strokecolor="#ffffff">
                <v:path arrowok="t"/>
              </v:shape>
            </v:group>
            <v:group style="position:absolute;left:4489;top:9815;width:3003;height:394" coordorigin="4489,9815" coordsize="3003,394">
              <v:shape style="position:absolute;left:4489;top:9815;width:3003;height:394" coordorigin="4489,9815" coordsize="3003,394" path="m4489,10209l7492,10209,7492,9815,4489,9815,4489,10209xe" filled="true" fillcolor="#ffffff" stroked="false">
                <v:path arrowok="t"/>
                <v:fill type="solid"/>
              </v:shape>
            </v:group>
            <w10:wrap type="none"/>
          </v:group>
        </w:pict>
      </w:r>
    </w:p>
    <w:p>
      <w:pPr>
        <w:pStyle w:val="Heading3"/>
        <w:spacing w:line="240" w:lineRule="auto" w:before="36"/>
        <w:ind w:right="1133"/>
        <w:jc w:val="left"/>
        <w:rPr>
          <w:b w:val="0"/>
          <w:bCs w:val="0"/>
        </w:rPr>
      </w:pPr>
      <w:bookmarkStart w:name="52、现金流量表补充资料" w:id="312"/>
      <w:bookmarkEnd w:id="312"/>
      <w:r>
        <w:rPr>
          <w:b w:val="0"/>
          <w:bCs w:val="0"/>
        </w:rPr>
      </w:r>
      <w:r>
        <w:rPr>
          <w:rFonts w:ascii="Times New Roman" w:hAnsi="Times New Roman" w:cs="Times New Roman" w:eastAsia="Times New Roman" w:hint="default"/>
        </w:rPr>
        <w:t>52</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现金流量表补充资料" w:id="313"/>
      <w:bookmarkEnd w:id="313"/>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1009"/>
        <w:gridCol w:w="205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842" w:right="0"/>
              <w:jc w:val="left"/>
              <w:rPr>
                <w:rFonts w:ascii="Times New Roman" w:hAnsi="Times New Roman" w:cs="Times New Roman" w:eastAsia="Times New Roman" w:hint="default"/>
                <w:sz w:val="18"/>
                <w:szCs w:val="18"/>
              </w:rPr>
            </w:pPr>
            <w:r>
              <w:rPr>
                <w:rFonts w:ascii="Times New Roman"/>
                <w:sz w:val="18"/>
              </w:rPr>
              <w:t>-283,022,412.44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-12,950,065.59</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379,589,307.03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78,514,253.49</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5,238,594.81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10,055,575.85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8" w:right="0"/>
              <w:jc w:val="left"/>
              <w:rPr>
                <w:rFonts w:ascii="Times New Roman" w:hAnsi="Times New Roman" w:cs="Times New Roman" w:eastAsia="Times New Roman" w:hint="default"/>
                <w:sz w:val="18"/>
                <w:szCs w:val="18"/>
              </w:rPr>
            </w:pPr>
            <w:r>
              <w:rPr>
                <w:rFonts w:ascii="Times New Roman"/>
                <w:sz w:val="18"/>
              </w:rPr>
              <w:t>31,097,110.54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37,850,578.49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189,276.00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1,176,858.89</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377,633.40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1,071,335.81</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2,572,094.86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pacing w:val="-1"/>
                <w:sz w:val="18"/>
                <w:szCs w:val="18"/>
              </w:rPr>
              <w:t>财务费用（收益以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21,696,464.73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27,801,322.30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pacing w:val="-1"/>
                <w:sz w:val="18"/>
                <w:szCs w:val="18"/>
              </w:rPr>
              <w:t>投资损失（收益以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842" w:right="0"/>
              <w:jc w:val="left"/>
              <w:rPr>
                <w:rFonts w:ascii="Times New Roman" w:hAnsi="Times New Roman" w:cs="Times New Roman" w:eastAsia="Times New Roman" w:hint="default"/>
                <w:sz w:val="18"/>
                <w:szCs w:val="18"/>
              </w:rPr>
            </w:pPr>
            <w:r>
              <w:rPr>
                <w:rFonts w:ascii="Times New Roman"/>
                <w:sz w:val="18"/>
              </w:rPr>
              <w:t>-165,904,585.01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-109,590,145.25</w:t>
            </w:r>
          </w:p>
        </w:tc>
      </w:tr>
      <w:tr>
        <w:trPr>
          <w:trHeight w:val="71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7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22" w:right="0"/>
              <w:jc w:val="left"/>
              <w:rPr>
                <w:rFonts w:ascii="Times New Roman" w:hAnsi="Times New Roman" w:cs="Times New Roman" w:eastAsia="Times New Roman" w:hint="default"/>
                <w:sz w:val="18"/>
                <w:szCs w:val="18"/>
              </w:rPr>
            </w:pPr>
            <w:r>
              <w:rPr>
                <w:rFonts w:ascii="Times New Roman"/>
                <w:sz w:val="18"/>
              </w:rPr>
              <w:t>-9,295,569.85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-1,813,418.80</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-406,439.23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1"/>
              <w:jc w:val="righ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09"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2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-37,455,428.52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-36,136,647.64</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31,477,152.45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-93,299,488.87</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9" w:right="0"/>
              <w:jc w:val="left"/>
              <w:rPr>
                <w:rFonts w:ascii="Times New Roman" w:hAnsi="Times New Roman" w:cs="Times New Roman" w:eastAsia="Times New Roman" w:hint="default"/>
                <w:sz w:val="18"/>
                <w:szCs w:val="18"/>
              </w:rPr>
            </w:pPr>
            <w:r>
              <w:rPr>
                <w:rFonts w:ascii="Times New Roman"/>
                <w:sz w:val="18"/>
              </w:rPr>
              <w:t>-112,715,761.63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69,068,232.62</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20"/>
              <w:jc w:val="righ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842" w:right="0"/>
              <w:jc w:val="left"/>
              <w:rPr>
                <w:rFonts w:ascii="Times New Roman" w:hAnsi="Times New Roman" w:cs="Times New Roman" w:eastAsia="Times New Roman" w:hint="default"/>
                <w:sz w:val="18"/>
                <w:szCs w:val="18"/>
              </w:rPr>
            </w:pPr>
            <w:r>
              <w:rPr>
                <w:rFonts w:ascii="Times New Roman"/>
                <w:sz w:val="18"/>
              </w:rPr>
              <w:t>-136,562,562.86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-28,251,608.70</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593,840,074.89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328,634,428.60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328,634,428.60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546,659,633.63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265,205,646.29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-218,025,205.03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2）本期支付的取得子公司的现金净额" w:id="314"/>
      <w:bookmarkEnd w:id="314"/>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250,000,000.00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北京志东方科技有限责任公司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250,000,000.00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23,369,257.10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北京志东方科技有限责任公司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23,369,257.10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226,630,742.90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现金和现金等价物的构成" w:id="315"/>
      <w:bookmarkEnd w:id="315"/>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593,840,074.89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328,634,428.60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178,063.00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161,140.39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593,477,555.77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328,306,493.38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184,456.12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166,794.83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593,840,074.89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328,634,428.60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3、所有权或使用权受到限制的资产" w:id="316"/>
      <w:bookmarkEnd w:id="316"/>
      <w:r>
        <w:rPr>
          <w:b w:val="0"/>
          <w:bCs w:val="0"/>
        </w:rPr>
      </w:r>
      <w:r>
        <w:rPr>
          <w:rFonts w:ascii="Times New Roman" w:hAnsi="Times New Roman" w:cs="Times New Roman" w:eastAsia="Times New Roman" w:hint="default"/>
        </w:rPr>
        <w:t>53</w:t>
      </w:r>
      <w:r>
        <w:rPr/>
        <w:t>、所有权或使用权受到限制的资产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31,337,406.83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保证金、代管资金</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31,337,406.83</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4、外币货币性项目" w:id="317"/>
      <w:bookmarkEnd w:id="317"/>
      <w:r>
        <w:rPr>
          <w:b w:val="0"/>
          <w:bCs w:val="0"/>
        </w:rPr>
      </w:r>
      <w:r>
        <w:rPr>
          <w:rFonts w:ascii="Times New Roman" w:hAnsi="Times New Roman" w:cs="Times New Roman" w:eastAsia="Times New Roman" w:hint="default"/>
        </w:rPr>
        <w:t>54</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外币货币性项目" w:id="318"/>
      <w:bookmarkEnd w:id="318"/>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79"/>
        <w:gridCol w:w="2402"/>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w:t>
            </w:r>
          </w:p>
        </w:tc>
        <w:tc>
          <w:tcPr>
            <w:tcW w:w="2402"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4,846.87</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6.9762</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33,812.73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2,910.85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0.89578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2,607.50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83"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128"/>
              <w:jc w:val="righ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83"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28"/>
              <w:jc w:val="righ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56" w:lineRule="auto" w:before="36"/>
        <w:ind w:right="1133"/>
        <w:jc w:val="left"/>
        <w:rPr>
          <w:b w:val="0"/>
          <w:bCs w:val="0"/>
        </w:rPr>
      </w:pPr>
      <w:bookmarkStart w:name="（2）境外经营实体说明，包括对于重要的境外经营实体，应披露其境外主要经营地、记账" w:id="319"/>
      <w:bookmarkEnd w:id="319"/>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1"/>
        <w:rPr>
          <w:rFonts w:ascii="宋体" w:hAnsi="宋体" w:cs="宋体" w:eastAsia="宋体" w:hint="default"/>
          <w:sz w:val="25"/>
          <w:szCs w:val="25"/>
        </w:rPr>
      </w:pPr>
    </w:p>
    <w:p>
      <w:pPr>
        <w:pStyle w:val="Heading3"/>
        <w:spacing w:line="240" w:lineRule="auto"/>
        <w:ind w:right="1133"/>
        <w:jc w:val="left"/>
        <w:rPr>
          <w:b w:val="0"/>
          <w:bCs w:val="0"/>
        </w:rPr>
      </w:pPr>
      <w:bookmarkStart w:name="55、政府补助" w:id="320"/>
      <w:bookmarkEnd w:id="320"/>
      <w:r>
        <w:rPr>
          <w:b w:val="0"/>
          <w:bCs w:val="0"/>
        </w:rPr>
      </w:r>
      <w:r>
        <w:rPr>
          <w:rFonts w:ascii="Times New Roman" w:hAnsi="Times New Roman" w:cs="Times New Roman" w:eastAsia="Times New Roman" w:hint="default"/>
        </w:rPr>
        <w:t>55</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政府补助基本情况" w:id="321"/>
      <w:bookmarkEnd w:id="321"/>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金融科技应用技术项目支持 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4,580,000.00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4,580,000.00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语言的移动应用软件开 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729,200.00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729,200.00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软件增值税退税</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167,189.75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167,189.75</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年高新企业补助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年企业研发投入补助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96,683.00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96,683.00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12,044.10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12,044.10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购买信用报告专项补贴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专利补贴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八、合并范围的变更" w:id="322"/>
      <w:bookmarkEnd w:id="322"/>
      <w:r>
        <w:rPr>
          <w:b w:val="0"/>
          <w:bCs w:val="0"/>
        </w:rPr>
      </w: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非同一控制下企业合并" w:id="323"/>
      <w:bookmarkEnd w:id="323"/>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本期发生的非同一控制下企业合并" w:id="324"/>
      <w:bookmarkEnd w:id="324"/>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6"/>
        <w:gridCol w:w="1063"/>
        <w:gridCol w:w="1064"/>
        <w:gridCol w:w="1066"/>
        <w:gridCol w:w="1061"/>
        <w:gridCol w:w="1064"/>
        <w:gridCol w:w="1061"/>
      </w:tblGrid>
      <w:tr>
        <w:trPr>
          <w:trHeight w:val="1027"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96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29"/>
              <w:jc w:val="both"/>
              <w:rPr>
                <w:rFonts w:ascii="宋体" w:hAnsi="宋体" w:cs="宋体" w:eastAsia="宋体" w:hint="default"/>
                <w:sz w:val="18"/>
                <w:szCs w:val="18"/>
              </w:rPr>
            </w:pPr>
            <w:r>
              <w:rPr>
                <w:rFonts w:ascii="宋体" w:hAnsi="宋体" w:cs="宋体" w:eastAsia="宋体" w:hint="default"/>
                <w:sz w:val="18"/>
                <w:szCs w:val="18"/>
              </w:rPr>
              <w:t>北京志东方 科技有限责 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现金收购</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5"/>
              <w:jc w:val="both"/>
              <w:rPr>
                <w:rFonts w:ascii="宋体" w:hAnsi="宋体" w:cs="宋体" w:eastAsia="宋体" w:hint="default"/>
                <w:sz w:val="18"/>
                <w:szCs w:val="18"/>
              </w:rPr>
            </w:pPr>
            <w:r>
              <w:rPr>
                <w:rFonts w:ascii="宋体" w:hAnsi="宋体" w:cs="宋体" w:eastAsia="宋体" w:hint="default"/>
                <w:sz w:val="18"/>
                <w:szCs w:val="18"/>
              </w:rPr>
              <w:t>股权对价款 已支付工商 变更已完成 且办理了必 要的财产权 交接手续。</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合并成本及商誉" w:id="325"/>
      <w:bookmarkEnd w:id="325"/>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250,000,000.00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250,000,000.00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56,421,000.44</w:t>
            </w:r>
          </w:p>
        </w:tc>
      </w:tr>
      <w:tr>
        <w:trPr>
          <w:trHeight w:val="71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186"/>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193,578,999.56</w:t>
            </w:r>
          </w:p>
        </w:tc>
      </w:tr>
    </w:tbl>
    <w:p>
      <w:pPr>
        <w:pStyle w:val="BodyText"/>
        <w:spacing w:line="396" w:lineRule="auto" w:before="33"/>
        <w:ind w:left="554" w:right="1133" w:hanging="402"/>
        <w:jc w:val="left"/>
      </w:pPr>
      <w:r>
        <w:rPr/>
        <w:t>合并成本公允价值的确定方法、或有对价及其变动的说明：</w:t>
      </w:r>
      <w:r>
        <w:rPr>
          <w:w w:val="99"/>
        </w:rPr>
        <w:t> </w:t>
      </w:r>
      <w:r>
        <w:rPr>
          <w:spacing w:val="-2"/>
          <w:w w:val="99"/>
        </w:rPr>
        <w:t>合并成本公允价值的确定方法：以中联评报字</w:t>
      </w:r>
      <w:r>
        <w:rPr>
          <w:rFonts w:ascii="Times New Roman" w:hAnsi="Times New Roman" w:cs="Times New Roman" w:eastAsia="Times New Roman" w:hint="default"/>
          <w:spacing w:val="-2"/>
          <w:w w:val="99"/>
        </w:rPr>
        <w:t>[2019]</w:t>
      </w:r>
      <w:r>
        <w:rPr>
          <w:spacing w:val="-2"/>
          <w:w w:val="99"/>
        </w:rPr>
        <w:t>第</w:t>
      </w:r>
      <w:r>
        <w:rPr>
          <w:rFonts w:ascii="Times New Roman" w:hAnsi="Times New Roman" w:cs="Times New Roman" w:eastAsia="Times New Roman" w:hint="default"/>
          <w:spacing w:val="-2"/>
          <w:w w:val="99"/>
        </w:rPr>
        <w:t>1907</w:t>
      </w:r>
      <w:r>
        <w:rPr>
          <w:spacing w:val="-2"/>
          <w:w w:val="99"/>
        </w:rPr>
        <w:t>号资产评估报告采用现金流量折现法确定的股东</w:t>
      </w:r>
      <w:r>
        <w:rPr>
          <w:spacing w:val="-2"/>
        </w:rPr>
      </w:r>
    </w:p>
    <w:p>
      <w:pPr>
        <w:pStyle w:val="BodyText"/>
        <w:spacing w:line="393" w:lineRule="auto" w:before="47"/>
        <w:ind w:right="7554"/>
        <w:jc w:val="left"/>
      </w:pPr>
      <w:r>
        <w:rPr/>
        <w:t>全部权益资本价值为参考依据确定。</w:t>
      </w:r>
      <w:r>
        <w:rPr>
          <w:w w:val="99"/>
        </w:rPr>
        <w:t> </w:t>
      </w:r>
      <w:r>
        <w:rPr/>
        <w:t>大额商誉形成的主要原因：</w:t>
      </w:r>
    </w:p>
    <w:p>
      <w:pPr>
        <w:pStyle w:val="BodyText"/>
        <w:spacing w:line="240" w:lineRule="auto" w:before="40"/>
        <w:ind w:left="554" w:right="1133"/>
        <w:jc w:val="left"/>
      </w:pPr>
      <w:r>
        <w:rPr/>
        <w:t>系本期并购北京志东方科技有限责任公司，取得的可辨认净资产公允价值小于支付的对价所致。</w:t>
      </w:r>
    </w:p>
    <w:p>
      <w:pPr>
        <w:spacing w:line="240" w:lineRule="auto" w:before="0"/>
        <w:rPr>
          <w:rFonts w:ascii="宋体" w:hAnsi="宋体" w:cs="宋体" w:eastAsia="宋体" w:hint="default"/>
          <w:sz w:val="20"/>
          <w:szCs w:val="20"/>
        </w:rPr>
      </w:pPr>
    </w:p>
    <w:p>
      <w:pPr>
        <w:pStyle w:val="Heading3"/>
        <w:spacing w:line="240" w:lineRule="auto" w:before="161"/>
        <w:ind w:right="1133"/>
        <w:jc w:val="left"/>
        <w:rPr>
          <w:b w:val="0"/>
          <w:bCs w:val="0"/>
        </w:rPr>
      </w:pPr>
      <w:bookmarkStart w:name="（3）被购买方于购买日可辨认资产、负债" w:id="326"/>
      <w:bookmarkEnd w:id="326"/>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3"/>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7" w:right="0"/>
              <w:jc w:val="left"/>
              <w:rPr>
                <w:rFonts w:ascii="宋体" w:hAnsi="宋体" w:cs="宋体" w:eastAsia="宋体" w:hint="default"/>
                <w:sz w:val="18"/>
                <w:szCs w:val="18"/>
              </w:rPr>
            </w:pPr>
            <w:r>
              <w:rPr>
                <w:rFonts w:ascii="宋体" w:hAnsi="宋体" w:cs="宋体" w:eastAsia="宋体" w:hint="default"/>
                <w:sz w:val="18"/>
                <w:szCs w:val="18"/>
              </w:rPr>
              <w:t>北京志东方科技有限责任公司</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7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81,795,861.12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73,098,177.88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23,946,977.10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23,946,977.10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5,192,628.97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5,192,628.97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14,468,124.85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13,771,379.33</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18,320.75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16,383.04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8,099,314.45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100,314.44</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30,002,986.30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30,002,986.30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67,508.70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67,508.70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25,374,860.68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24,070,208.19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24,069,760.24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24,069,760.24</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1,305,100.44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447.95</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56,421,000.44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49,027,969.69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56,421,000.44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49,027,969.69</w:t>
            </w:r>
          </w:p>
        </w:tc>
      </w:tr>
    </w:tbl>
    <w:p>
      <w:pPr>
        <w:pStyle w:val="BodyText"/>
        <w:spacing w:line="393" w:lineRule="auto" w:before="33"/>
        <w:ind w:left="554" w:right="1133" w:hanging="402"/>
        <w:jc w:val="left"/>
      </w:pPr>
      <w:r>
        <w:rPr/>
        <w:t>可辨认资产、负债公允价值的确定方法：</w:t>
      </w:r>
      <w:r>
        <w:rPr>
          <w:w w:val="99"/>
        </w:rPr>
        <w:t> </w:t>
      </w:r>
      <w:r>
        <w:rPr/>
        <w:t>被购买方与购买日可辨认资产、负债公允价值的确定方法为资产基础法。资产基础法，是以在评估基准日</w:t>
      </w:r>
    </w:p>
    <w:p>
      <w:pPr>
        <w:pStyle w:val="BodyText"/>
        <w:spacing w:line="429" w:lineRule="auto" w:before="78"/>
        <w:ind w:right="1133"/>
        <w:jc w:val="left"/>
      </w:pPr>
      <w:r>
        <w:rPr/>
        <w:t>重新建造一个与评估对象相同的企业或独立获利实体所需的投资额作为判断整体资产价值的依据，具体是指将</w:t>
      </w:r>
      <w:r>
        <w:rPr>
          <w:spacing w:val="-74"/>
        </w:rPr>
        <w:t> </w:t>
      </w:r>
      <w:r>
        <w:rPr>
          <w:spacing w:val="-74"/>
        </w:rPr>
      </w:r>
      <w:r>
        <w:rPr/>
        <w:t>构成企业的各种要素资产的评估值加总减去负债评估值求得企业价值的方法。</w:t>
      </w:r>
    </w:p>
    <w:p>
      <w:pPr>
        <w:spacing w:line="240" w:lineRule="auto" w:before="3"/>
        <w:rPr>
          <w:rFonts w:ascii="宋体" w:hAnsi="宋体" w:cs="宋体" w:eastAsia="宋体" w:hint="default"/>
          <w:sz w:val="20"/>
          <w:szCs w:val="20"/>
        </w:rPr>
      </w:pPr>
    </w:p>
    <w:p>
      <w:pPr>
        <w:pStyle w:val="Heading3"/>
        <w:spacing w:line="240" w:lineRule="auto"/>
        <w:ind w:right="1133"/>
        <w:jc w:val="left"/>
        <w:rPr>
          <w:b w:val="0"/>
          <w:bCs w:val="0"/>
        </w:rPr>
      </w:pPr>
      <w:bookmarkStart w:name="（4）购买日之前持有的股权按照公允价值重新计量产生的利得或损失" w:id="327"/>
      <w:bookmarkEnd w:id="327"/>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t>是否存在通过多次交易分步实现企业合并且在报告期内取得控制权的交易</w:t>
      </w:r>
    </w:p>
    <w:p>
      <w:pPr>
        <w:pStyle w:val="BodyText"/>
        <w:spacing w:line="240" w:lineRule="auto" w:before="89"/>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否</w:t>
      </w:r>
    </w:p>
    <w:p>
      <w:pPr>
        <w:spacing w:line="240" w:lineRule="auto" w:before="4"/>
        <w:rPr>
          <w:rFonts w:ascii="宋体" w:hAnsi="宋体" w:cs="宋体" w:eastAsia="宋体" w:hint="default"/>
          <w:sz w:val="25"/>
          <w:szCs w:val="25"/>
        </w:rPr>
      </w:pPr>
    </w:p>
    <w:p>
      <w:pPr>
        <w:pStyle w:val="Heading3"/>
        <w:spacing w:line="240" w:lineRule="auto"/>
        <w:ind w:right="1133"/>
        <w:jc w:val="left"/>
        <w:rPr>
          <w:b w:val="0"/>
          <w:bCs w:val="0"/>
        </w:rPr>
      </w:pPr>
      <w:bookmarkStart w:name="2、处置子公司" w:id="328"/>
      <w:bookmarkEnd w:id="328"/>
      <w:r>
        <w:rPr>
          <w:b w:val="0"/>
          <w:bCs w:val="0"/>
        </w:rPr>
      </w:r>
      <w:r>
        <w:rPr>
          <w:rFonts w:ascii="Times New Roman" w:hAnsi="Times New Roman" w:cs="Times New Roman" w:eastAsia="Times New Roman" w:hint="default"/>
        </w:rPr>
        <w:t>2</w:t>
      </w:r>
      <w:r>
        <w:rPr/>
        <w:t>、处置子公司</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t>是否存在单次处置对子公司投资即丧失控制权的情形</w:t>
      </w:r>
    </w:p>
    <w:p>
      <w:pPr>
        <w:pStyle w:val="BodyText"/>
        <w:spacing w:line="304" w:lineRule="auto" w:before="88"/>
        <w:ind w:right="43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r>
        <w:rPr>
          <w:w w:val="99"/>
        </w:rPr>
        <w:t> </w:t>
      </w:r>
      <w:r>
        <w:rPr/>
        <w:t>是否存在通过多次交易分步处置对子公司投资且在本期丧失控制权的情形</w:t>
      </w:r>
    </w:p>
    <w:p>
      <w:pPr>
        <w:pStyle w:val="BodyText"/>
        <w:spacing w:line="240" w:lineRule="auto" w:before="3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否</w:t>
      </w:r>
    </w:p>
    <w:p>
      <w:pPr>
        <w:spacing w:line="240" w:lineRule="auto" w:before="1"/>
        <w:rPr>
          <w:rFonts w:ascii="宋体" w:hAnsi="宋体" w:cs="宋体" w:eastAsia="宋体" w:hint="default"/>
          <w:sz w:val="25"/>
          <w:szCs w:val="25"/>
        </w:rPr>
      </w:pPr>
    </w:p>
    <w:p>
      <w:pPr>
        <w:pStyle w:val="Heading3"/>
        <w:spacing w:line="240" w:lineRule="auto"/>
        <w:ind w:right="1133"/>
        <w:jc w:val="left"/>
        <w:rPr>
          <w:b w:val="0"/>
          <w:bCs w:val="0"/>
        </w:rPr>
      </w:pPr>
      <w:bookmarkStart w:name="3、其他原因的合并范围变动" w:id="329"/>
      <w:bookmarkEnd w:id="329"/>
      <w:r>
        <w:rPr>
          <w:b w:val="0"/>
          <w:bCs w:val="0"/>
        </w:rPr>
      </w:r>
      <w:r>
        <w:rPr>
          <w:rFonts w:ascii="Times New Roman" w:hAnsi="Times New Roman" w:cs="Times New Roman" w:eastAsia="Times New Roman" w:hint="default"/>
        </w:rPr>
        <w:t>3</w:t>
      </w:r>
      <w:r>
        <w:rPr/>
        <w:t>、其他原因的合并范围变动</w:t>
      </w:r>
      <w:r>
        <w:rPr>
          <w:b w:val="0"/>
          <w:bCs w:val="0"/>
        </w:rPr>
      </w:r>
    </w:p>
    <w:p>
      <w:pPr>
        <w:spacing w:line="240" w:lineRule="auto" w:before="2"/>
        <w:rPr>
          <w:rFonts w:ascii="宋体" w:hAnsi="宋体" w:cs="宋体" w:eastAsia="宋体" w:hint="default"/>
          <w:b/>
          <w:bCs/>
          <w:sz w:val="25"/>
          <w:szCs w:val="25"/>
        </w:rPr>
      </w:pPr>
    </w:p>
    <w:p>
      <w:pPr>
        <w:pStyle w:val="BodyText"/>
        <w:spacing w:line="396" w:lineRule="auto"/>
        <w:ind w:left="554" w:right="1133" w:hanging="402"/>
        <w:jc w:val="left"/>
      </w:pPr>
      <w:r>
        <w:rPr/>
        <w:t>说明其他原因导致的合并范围变动（如，新设子公司、清算子公司等）及其相关情况：</w:t>
      </w:r>
      <w:r>
        <w:rPr>
          <w:w w:val="99"/>
        </w:rPr>
        <w:t> </w:t>
      </w:r>
      <w:r>
        <w:rPr/>
        <w:t>本年与上年比较减少合并单位</w:t>
      </w:r>
      <w:r>
        <w:rPr>
          <w:rFonts w:ascii="Times New Roman" w:hAnsi="Times New Roman" w:cs="Times New Roman" w:eastAsia="Times New Roman" w:hint="default"/>
        </w:rPr>
        <w:t>4</w:t>
      </w:r>
      <w:r>
        <w:rPr/>
        <w:t>家，增加</w:t>
      </w:r>
      <w:r>
        <w:rPr>
          <w:rFonts w:ascii="Times New Roman" w:hAnsi="Times New Roman" w:cs="Times New Roman" w:eastAsia="Times New Roman" w:hint="default"/>
        </w:rPr>
        <w:t>1</w:t>
      </w:r>
      <w:r>
        <w:rPr/>
        <w:t>家。报告期内因注销减少霍尔果斯滨河创新软件技术有限公司、</w:t>
      </w:r>
    </w:p>
    <w:p>
      <w:pPr>
        <w:pStyle w:val="BodyText"/>
        <w:spacing w:line="429" w:lineRule="auto" w:before="47"/>
        <w:ind w:right="1142"/>
        <w:jc w:val="both"/>
      </w:pPr>
      <w:r>
        <w:rPr/>
        <w:t>霍尔果斯金财科技服务有限公司、上海中科金财资产管理中心（有限合伙）。报告期内因股权被动稀释，核算</w:t>
      </w:r>
      <w:r>
        <w:rPr>
          <w:spacing w:val="-77"/>
        </w:rPr>
        <w:t> </w:t>
      </w:r>
      <w:r>
        <w:rPr>
          <w:spacing w:val="-77"/>
        </w:rPr>
      </w:r>
      <w:r>
        <w:rPr/>
        <w:t>方法由长期股权投资成本法改为权益法减少大连金融资产交易所有限公司。报告期内因投资设立增加北京中科</w:t>
      </w:r>
      <w:r>
        <w:rPr>
          <w:spacing w:val="-77"/>
        </w:rPr>
        <w:t> </w:t>
      </w:r>
      <w:r>
        <w:rPr>
          <w:spacing w:val="-77"/>
        </w:rPr>
      </w:r>
      <w:r>
        <w:rPr/>
        <w:t>金财智能技术有限公司。</w:t>
      </w:r>
    </w:p>
    <w:p>
      <w:pPr>
        <w:spacing w:after="0" w:line="429" w:lineRule="auto"/>
        <w:jc w:val="both"/>
        <w:sectPr>
          <w:pgSz w:w="11910" w:h="16840"/>
          <w:pgMar w:header="745" w:footer="980" w:top="1060" w:bottom="1160" w:left="980" w:right="0"/>
        </w:sectPr>
      </w:pPr>
    </w:p>
    <w:p>
      <w:pPr>
        <w:spacing w:line="240" w:lineRule="auto" w:before="8"/>
        <w:rPr>
          <w:rFonts w:ascii="宋体" w:hAnsi="宋体" w:cs="宋体" w:eastAsia="宋体" w:hint="default"/>
          <w:sz w:val="23"/>
          <w:szCs w:val="23"/>
        </w:rPr>
      </w:pPr>
      <w:r>
        <w:rPr/>
        <w:pict>
          <v:shape style="position:absolute;margin-left:288.53299pt;margin-top:343.009979pt;width:109.95pt;height:31.2pt;mso-position-horizontal-relative:page;mso-position-vertical-relative:page;z-index:-1104976" type="#_x0000_t202" filled="false" stroked="false">
            <v:textbox inset="0,0,0,0">
              <w:txbxContent>
                <w:p>
                  <w:pPr>
                    <w:spacing w:line="240" w:lineRule="auto" w:before="0"/>
                    <w:rPr>
                      <w:rFonts w:ascii="宋体" w:hAnsi="宋体" w:cs="宋体" w:eastAsia="宋体" w:hint="default"/>
                      <w:b/>
                      <w:bCs/>
                      <w:sz w:val="18"/>
                      <w:szCs w:val="18"/>
                    </w:rPr>
                  </w:pPr>
                </w:p>
                <w:p>
                  <w:pPr>
                    <w:spacing w:before="125"/>
                    <w:ind w:left="0" w:right="0" w:firstLine="0"/>
                    <w:jc w:val="left"/>
                    <w:rPr>
                      <w:rFonts w:ascii="宋体" w:hAnsi="宋体" w:cs="宋体" w:eastAsia="宋体" w:hint="default"/>
                      <w:sz w:val="18"/>
                      <w:szCs w:val="18"/>
                    </w:rPr>
                  </w:pPr>
                  <w:r>
                    <w:rPr>
                      <w:rFonts w:ascii="宋体" w:hAnsi="宋体" w:cs="宋体" w:eastAsia="宋体" w:hint="default"/>
                      <w:sz w:val="18"/>
                      <w:szCs w:val="18"/>
                    </w:rPr>
                    <w:t>项目投资；</w:t>
                  </w:r>
                </w:p>
              </w:txbxContent>
            </v:textbox>
            <w10:wrap type="none"/>
          </v:shape>
        </w:pict>
      </w:r>
      <w:r>
        <w:rPr/>
        <w:pict>
          <v:shape style="position:absolute;margin-left:288.53299pt;margin-top:393.889984pt;width:109.95pt;height:31.2pt;mso-position-horizontal-relative:page;mso-position-vertical-relative:page;z-index:-1104952"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技术咨询；</w:t>
                  </w:r>
                </w:p>
              </w:txbxContent>
            </v:textbox>
            <w10:wrap type="none"/>
          </v:shape>
        </w:pict>
      </w:r>
      <w:r>
        <w:rPr/>
        <w:pict>
          <v:shape style="position:absolute;margin-left:92.279999pt;margin-top:496.98999pt;width:101.1pt;height:15.6pt;mso-position-horizontal-relative:page;mso-position-vertical-relative:page;z-index:-110492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（上海）</w:t>
                  </w:r>
                </w:p>
              </w:txbxContent>
            </v:textbox>
            <w10:wrap type="none"/>
          </v:shape>
        </w:pict>
      </w:r>
    </w:p>
    <w:p>
      <w:pPr>
        <w:pStyle w:val="Heading2"/>
        <w:spacing w:line="240" w:lineRule="auto" w:before="26"/>
        <w:ind w:right="1133"/>
        <w:jc w:val="left"/>
        <w:rPr>
          <w:b w:val="0"/>
          <w:bCs w:val="0"/>
        </w:rPr>
      </w:pPr>
      <w:bookmarkStart w:name="九、在其他主体中的权益" w:id="330"/>
      <w:bookmarkEnd w:id="330"/>
      <w:r>
        <w:rPr>
          <w:b w:val="0"/>
          <w:bCs w:val="0"/>
        </w:rPr>
      </w: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在子公司中的权益" w:id="331"/>
      <w:bookmarkEnd w:id="331"/>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企业集团的构成" w:id="332"/>
      <w:bookmarkEnd w:id="332"/>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天津中科金财科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技术开发服务、 电子产品销售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非同一控制合并</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北京中科金财信 息科技有限公司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移动支付、移动 电子商务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非同一控制合并</w:t>
            </w:r>
          </w:p>
        </w:tc>
      </w:tr>
      <w:tr>
        <w:trPr>
          <w:trHeight w:val="354"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技术开发及服</w:t>
            </w: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3"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314" w:lineRule="auto" w:before="11"/>
              <w:ind w:left="24" w:right="75"/>
              <w:jc w:val="left"/>
              <w:rPr>
                <w:rFonts w:ascii="宋体" w:hAnsi="宋体" w:cs="宋体" w:eastAsia="宋体" w:hint="default"/>
                <w:sz w:val="18"/>
                <w:szCs w:val="18"/>
              </w:rPr>
            </w:pPr>
            <w:r>
              <w:rPr>
                <w:rFonts w:ascii="宋体" w:hAnsi="宋体" w:cs="宋体" w:eastAsia="宋体" w:hint="default"/>
                <w:sz w:val="18"/>
                <w:szCs w:val="18"/>
              </w:rPr>
              <w:t>北京中科金财软 件技术有限公司</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6" w:right="70"/>
              <w:jc w:val="left"/>
              <w:rPr>
                <w:rFonts w:ascii="宋体" w:hAnsi="宋体" w:cs="宋体" w:eastAsia="宋体" w:hint="default"/>
                <w:sz w:val="18"/>
                <w:szCs w:val="18"/>
              </w:rPr>
            </w:pPr>
            <w:r>
              <w:rPr>
                <w:rFonts w:ascii="宋体" w:hAnsi="宋体" w:cs="宋体" w:eastAsia="宋体" w:hint="default"/>
                <w:sz w:val="18"/>
                <w:szCs w:val="18"/>
              </w:rPr>
              <w:t>务，计算机软、 硬件及电子产品</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60"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投资管理；资产</w:t>
            </w:r>
          </w:p>
        </w:tc>
        <w:tc>
          <w:tcPr>
            <w:tcW w:w="1368" w:type="dxa"/>
            <w:vMerge w:val="restart"/>
            <w:tcBorders>
              <w:top w:val="single" w:sz="4" w:space="0" w:color="000000"/>
              <w:left w:val="single" w:sz="4" w:space="0" w:color="000000"/>
              <w:right w:val="single" w:sz="4" w:space="0" w:color="000000"/>
            </w:tcBorders>
          </w:tcPr>
          <w:p>
            <w:pPr>
              <w:pStyle w:val="TableParagraph"/>
              <w:spacing w:line="624" w:lineRule="exact"/>
              <w:ind w:left="2" w:right="-50"/>
              <w:jc w:val="left"/>
              <w:rPr>
                <w:rFonts w:ascii="宋体" w:hAnsi="宋体" w:cs="宋体" w:eastAsia="宋体" w:hint="default"/>
                <w:sz w:val="20"/>
                <w:szCs w:val="20"/>
              </w:rPr>
            </w:pPr>
            <w:r>
              <w:rPr>
                <w:rFonts w:ascii="宋体" w:hAnsi="宋体" w:cs="宋体" w:eastAsia="宋体" w:hint="default"/>
                <w:position w:val="-11"/>
                <w:sz w:val="20"/>
                <w:szCs w:val="20"/>
              </w:rPr>
              <w:pict>
                <v:group style="width:67.8pt;height:31.2pt;mso-position-horizontal-relative:char;mso-position-vertical-relative:line" coordorigin="0,0" coordsize="1356,624">
                  <v:group style="position:absolute;left:0;top:0;width:1356;height:624" coordorigin="0,0" coordsize="1356,624">
                    <v:shape style="position:absolute;left:0;top:0;width:1356;height:624" coordorigin="0,0" coordsize="1356,624" path="m0,624l1356,624,1356,0,0,0,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0"/>
                <w:szCs w:val="10"/>
              </w:rPr>
            </w:pPr>
          </w:p>
          <w:p>
            <w:pPr>
              <w:pStyle w:val="TableParagraph"/>
              <w:spacing w:line="624" w:lineRule="exact"/>
              <w:ind w:left="2" w:right="-50"/>
              <w:jc w:val="left"/>
              <w:rPr>
                <w:rFonts w:ascii="宋体" w:hAnsi="宋体" w:cs="宋体" w:eastAsia="宋体" w:hint="default"/>
                <w:sz w:val="20"/>
                <w:szCs w:val="20"/>
              </w:rPr>
            </w:pPr>
            <w:r>
              <w:rPr>
                <w:rFonts w:ascii="宋体" w:hAnsi="宋体" w:cs="宋体" w:eastAsia="宋体" w:hint="default"/>
                <w:position w:val="-11"/>
                <w:sz w:val="20"/>
                <w:szCs w:val="20"/>
              </w:rPr>
              <w:pict>
                <v:group style="width:67.8pt;height:31.2pt;mso-position-horizontal-relative:char;mso-position-vertical-relative:line" coordorigin="0,0" coordsize="1356,624">
                  <v:group style="position:absolute;left:0;top:0;width:1356;height:624" coordorigin="0,0" coordsize="1356,624">
                    <v:shape style="position:absolute;left:0;top:0;width:1356;height:624" coordorigin="0,0" coordsize="1356,624" path="m0,624l1356,624,1356,0,0,0,0,624xe" filled="true" fillcolor="#ffffff" stroked="false">
                      <v:path arrowok="t"/>
                      <v:fill type="solid"/>
                    </v:shape>
                  </v:group>
                </v:group>
              </w:pict>
            </w:r>
            <w:r>
              <w:rPr>
                <w:rFonts w:ascii="宋体" w:hAnsi="宋体" w:cs="宋体" w:eastAsia="宋体" w:hint="default"/>
                <w:position w:val="-11"/>
                <w:sz w:val="20"/>
                <w:szCs w:val="20"/>
              </w:rPr>
            </w: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北京中科金财投 资管理有限公司</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70"/>
              <w:jc w:val="left"/>
              <w:rPr>
                <w:rFonts w:ascii="宋体" w:hAnsi="宋体" w:cs="宋体" w:eastAsia="宋体" w:hint="default"/>
                <w:sz w:val="18"/>
                <w:szCs w:val="18"/>
              </w:rPr>
            </w:pPr>
            <w:r>
              <w:rPr>
                <w:rFonts w:ascii="宋体" w:hAnsi="宋体" w:cs="宋体" w:eastAsia="宋体" w:hint="default"/>
                <w:sz w:val="18"/>
                <w:szCs w:val="18"/>
              </w:rPr>
              <w:t>管理； 技术转让、技术 服务、</w:t>
            </w: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60"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计算机技术培训</w:t>
            </w:r>
          </w:p>
        </w:tc>
        <w:tc>
          <w:tcPr>
            <w:tcW w:w="1368"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天津壬辰软件开 发有限公司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技术开发服务、 电子产品销售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大连鼎运企业管 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辽宁省大连市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辽宁省大连市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企业管理及咨询 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子公司设立</w:t>
            </w:r>
          </w:p>
        </w:tc>
      </w:tr>
      <w:tr>
        <w:trPr>
          <w:trHeight w:val="354" w:hRule="exact"/>
        </w:trPr>
        <w:tc>
          <w:tcPr>
            <w:tcW w:w="13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中科金财</w:t>
            </w:r>
          </w:p>
        </w:tc>
        <w:tc>
          <w:tcPr>
            <w:tcW w:w="1369" w:type="dxa"/>
            <w:tcBorders>
              <w:top w:val="single" w:sz="4" w:space="0" w:color="000000"/>
              <w:left w:val="single" w:sz="4" w:space="0" w:color="000000"/>
              <w:bottom w:val="nil" w:sz="6" w:space="0" w:color="auto"/>
              <w:right w:val="single" w:sz="4" w:space="0" w:color="000000"/>
            </w:tcBorders>
          </w:tcPr>
          <w:p>
            <w:pPr>
              <w:pStyle w:val="TableParagraph"/>
              <w:spacing w:line="312" w:lineRule="exact"/>
              <w:ind w:left="2"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67.850pt;height:15.6pt;mso-position-horizontal-relative:char;mso-position-vertical-relative:line" coordorigin="0,0" coordsize="1357,312">
                  <v:group style="position:absolute;left:0;top:0;width:1357;height:312" coordorigin="0,0" coordsize="1357,312">
                    <v:shape style="position:absolute;left:0;top:0;width:1357;height:312" coordorigin="0,0" coordsize="1357,312" path="m0,312l1356,312,1356,0,0,0,0,312xe" filled="true" fillcolor="#ffffff" stroked="false">
                      <v:path arrowok="t"/>
                      <v:fill type="solid"/>
                    </v:shape>
                  </v:group>
                </v:group>
              </w:pict>
            </w:r>
            <w:r>
              <w:rPr>
                <w:rFonts w:ascii="宋体" w:hAnsi="宋体" w:cs="宋体" w:eastAsia="宋体" w:hint="default"/>
                <w:position w:val="-5"/>
                <w:sz w:val="20"/>
                <w:szCs w:val="20"/>
              </w:rPr>
            </w: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金融信息服务、</w:t>
            </w:r>
          </w:p>
        </w:tc>
        <w:tc>
          <w:tcPr>
            <w:tcW w:w="1368"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互联网金融信息</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6" w:right="0"/>
              <w:jc w:val="left"/>
              <w:rPr>
                <w:rFonts w:ascii="宋体" w:hAnsi="宋体" w:cs="宋体" w:eastAsia="宋体" w:hint="default"/>
                <w:sz w:val="18"/>
                <w:szCs w:val="18"/>
              </w:rPr>
            </w:pPr>
            <w:r>
              <w:rPr>
                <w:rFonts w:ascii="宋体" w:hAnsi="宋体" w:cs="宋体" w:eastAsia="宋体" w:hint="default"/>
                <w:sz w:val="18"/>
                <w:szCs w:val="18"/>
              </w:rPr>
              <w:t>金融类应用软件</w:t>
            </w: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4" w:hRule="exact"/>
        </w:trPr>
        <w:tc>
          <w:tcPr>
            <w:tcW w:w="13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服务有限公司</w:t>
            </w:r>
          </w:p>
        </w:tc>
        <w:tc>
          <w:tcPr>
            <w:tcW w:w="1369"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6" w:right="0"/>
              <w:jc w:val="left"/>
              <w:rPr>
                <w:rFonts w:ascii="宋体" w:hAnsi="宋体" w:cs="宋体" w:eastAsia="宋体" w:hint="default"/>
                <w:sz w:val="18"/>
                <w:szCs w:val="18"/>
              </w:rPr>
            </w:pPr>
            <w:r>
              <w:rPr>
                <w:rFonts w:ascii="宋体" w:hAnsi="宋体" w:cs="宋体" w:eastAsia="宋体" w:hint="default"/>
                <w:sz w:val="18"/>
                <w:szCs w:val="18"/>
              </w:rPr>
              <w:t>开发等</w:t>
            </w:r>
          </w:p>
        </w:tc>
        <w:tc>
          <w:tcPr>
            <w:tcW w:w="1368"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3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北京国信金泽投</w:t>
            </w:r>
          </w:p>
        </w:tc>
        <w:tc>
          <w:tcPr>
            <w:tcW w:w="1369"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资中心（有限合</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资产管理</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64.35%</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1.00%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5" w:hRule="exact"/>
        </w:trPr>
        <w:tc>
          <w:tcPr>
            <w:tcW w:w="13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伙）</w:t>
            </w:r>
          </w:p>
        </w:tc>
        <w:tc>
          <w:tcPr>
            <w:tcW w:w="1369"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华缔资产管理</w:t>
            </w:r>
          </w:p>
          <w:p>
            <w:pPr>
              <w:pStyle w:val="TableParagraph"/>
              <w:spacing w:line="316" w:lineRule="auto" w:before="74"/>
              <w:ind w:left="24" w:right="75"/>
              <w:jc w:val="left"/>
              <w:rPr>
                <w:rFonts w:ascii="宋体" w:hAnsi="宋体" w:cs="宋体" w:eastAsia="宋体" w:hint="default"/>
                <w:sz w:val="18"/>
                <w:szCs w:val="18"/>
              </w:rPr>
            </w:pPr>
            <w:r>
              <w:rPr>
                <w:rFonts w:ascii="宋体" w:hAnsi="宋体" w:cs="宋体" w:eastAsia="宋体" w:hint="default"/>
                <w:sz w:val="18"/>
                <w:szCs w:val="18"/>
              </w:rPr>
              <w:t>（北京）有限公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投资管理；资产 管理等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非同一控制合并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香港中科金财科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计算机系统集成 及服务等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4"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金融信息咨询、</w:t>
            </w: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3"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314" w:lineRule="auto" w:before="11"/>
              <w:ind w:left="24" w:right="75"/>
              <w:jc w:val="left"/>
              <w:rPr>
                <w:rFonts w:ascii="宋体" w:hAnsi="宋体" w:cs="宋体" w:eastAsia="宋体" w:hint="default"/>
                <w:sz w:val="18"/>
                <w:szCs w:val="18"/>
              </w:rPr>
            </w:pPr>
            <w:r>
              <w:rPr>
                <w:rFonts w:ascii="宋体" w:hAnsi="宋体" w:cs="宋体" w:eastAsia="宋体" w:hint="default"/>
                <w:sz w:val="18"/>
                <w:szCs w:val="18"/>
              </w:rPr>
              <w:t>深圳中金财富科 技有限公司</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6" w:right="70"/>
              <w:jc w:val="left"/>
              <w:rPr>
                <w:rFonts w:ascii="宋体" w:hAnsi="宋体" w:cs="宋体" w:eastAsia="宋体" w:hint="default"/>
                <w:sz w:val="18"/>
                <w:szCs w:val="18"/>
              </w:rPr>
            </w:pPr>
            <w:r>
              <w:rPr>
                <w:rFonts w:ascii="宋体" w:hAnsi="宋体" w:cs="宋体" w:eastAsia="宋体" w:hint="default"/>
                <w:sz w:val="18"/>
                <w:szCs w:val="18"/>
              </w:rPr>
              <w:t>金融软件的技术 开发及相关技术</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非同一控制合并</w:t>
            </w:r>
          </w:p>
        </w:tc>
      </w:tr>
      <w:tr>
        <w:trPr>
          <w:trHeight w:val="360"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咨询</w:t>
            </w: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4" w:right="75"/>
              <w:jc w:val="left"/>
              <w:rPr>
                <w:rFonts w:ascii="宋体" w:hAnsi="宋体" w:cs="宋体" w:eastAsia="宋体" w:hint="default"/>
                <w:sz w:val="18"/>
                <w:szCs w:val="18"/>
              </w:rPr>
            </w:pPr>
            <w:r>
              <w:rPr>
                <w:rFonts w:ascii="宋体" w:hAnsi="宋体" w:cs="宋体" w:eastAsia="宋体" w:hint="default"/>
                <w:sz w:val="18"/>
                <w:szCs w:val="18"/>
              </w:rPr>
              <w:t>中科金财保险经 纪有限公司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河南省郑州市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河南省郑州市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为投保人拟定投 保方案、选择保 险公司以及办理 投保手续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深圳前海中科金 财金控投资有限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both"/>
              <w:rPr>
                <w:rFonts w:ascii="宋体" w:hAnsi="宋体" w:cs="宋体" w:eastAsia="宋体" w:hint="default"/>
                <w:sz w:val="18"/>
                <w:szCs w:val="18"/>
              </w:rPr>
            </w:pPr>
            <w:r>
              <w:rPr>
                <w:rFonts w:ascii="宋体" w:hAnsi="宋体" w:cs="宋体" w:eastAsia="宋体" w:hint="default"/>
                <w:sz w:val="18"/>
                <w:szCs w:val="18"/>
              </w:rPr>
              <w:t>投资兴办实业、 企业收购兼并策 划咨询等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北京志东方科技 有限责任公司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技术开发、技术 推广、技术转让 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非同一控制合并</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北京中科金财智 能技术有限公司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技术开发、技术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240" w:lineRule="auto" w:before="33"/>
        <w:ind w:right="1133"/>
        <w:jc w:val="left"/>
      </w:pPr>
      <w:r>
        <w:rPr/>
        <w:t>对于纳入合并范围的重要的结构化主体，控制的依据：</w:t>
      </w:r>
    </w:p>
    <w:p>
      <w:pPr>
        <w:spacing w:line="240" w:lineRule="auto" w:before="5"/>
        <w:rPr>
          <w:rFonts w:ascii="宋体" w:hAnsi="宋体" w:cs="宋体" w:eastAsia="宋体" w:hint="default"/>
          <w:sz w:val="7"/>
          <w:szCs w:val="7"/>
        </w:rPr>
      </w:pPr>
    </w:p>
    <w:tbl>
      <w:tblPr>
        <w:tblW w:w="0" w:type="auto"/>
        <w:jc w:val="left"/>
        <w:tblInd w:w="486" w:type="dxa"/>
        <w:tblLayout w:type="fixed"/>
        <w:tblCellMar>
          <w:top w:w="0" w:type="dxa"/>
          <w:left w:w="0" w:type="dxa"/>
          <w:bottom w:w="0" w:type="dxa"/>
          <w:right w:w="0" w:type="dxa"/>
        </w:tblCellMar>
        <w:tblLook w:val="01E0"/>
      </w:tblPr>
      <w:tblGrid>
        <w:gridCol w:w="1939"/>
        <w:gridCol w:w="1621"/>
        <w:gridCol w:w="1980"/>
        <w:gridCol w:w="1620"/>
        <w:gridCol w:w="1801"/>
      </w:tblGrid>
      <w:tr>
        <w:trPr>
          <w:trHeight w:val="655"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765" w:right="63" w:hanging="699"/>
              <w:jc w:val="left"/>
              <w:rPr>
                <w:rFonts w:ascii="宋体" w:hAnsi="宋体" w:cs="宋体" w:eastAsia="宋体" w:hint="default"/>
                <w:sz w:val="20"/>
                <w:szCs w:val="20"/>
              </w:rPr>
            </w:pPr>
            <w:r>
              <w:rPr>
                <w:rFonts w:ascii="宋体" w:hAnsi="宋体" w:cs="宋体" w:eastAsia="宋体" w:hint="default"/>
                <w:sz w:val="20"/>
                <w:szCs w:val="20"/>
              </w:rPr>
              <w:t>持有信托产品子公司</w:t>
            </w:r>
            <w:r>
              <w:rPr>
                <w:rFonts w:ascii="宋体" w:hAnsi="宋体" w:cs="宋体" w:eastAsia="宋体" w:hint="default"/>
                <w:w w:val="99"/>
                <w:sz w:val="20"/>
                <w:szCs w:val="20"/>
              </w:rPr>
              <w:t> </w:t>
            </w:r>
            <w:r>
              <w:rPr>
                <w:rFonts w:ascii="宋体" w:hAnsi="宋体" w:cs="宋体" w:eastAsia="宋体" w:hint="default"/>
                <w:sz w:val="20"/>
                <w:szCs w:val="20"/>
              </w:rPr>
              <w:t>名称</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06" w:right="0"/>
              <w:jc w:val="left"/>
              <w:rPr>
                <w:rFonts w:ascii="宋体" w:hAnsi="宋体" w:cs="宋体" w:eastAsia="宋体" w:hint="default"/>
                <w:sz w:val="20"/>
                <w:szCs w:val="20"/>
              </w:rPr>
            </w:pPr>
            <w:r>
              <w:rPr>
                <w:rFonts w:ascii="宋体" w:hAnsi="宋体" w:cs="宋体" w:eastAsia="宋体" w:hint="default"/>
                <w:sz w:val="20"/>
                <w:szCs w:val="20"/>
              </w:rPr>
              <w:t>信托产品名称</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 w:right="0"/>
              <w:jc w:val="center"/>
              <w:rPr>
                <w:rFonts w:ascii="宋体" w:hAnsi="宋体" w:cs="宋体" w:eastAsia="宋体" w:hint="default"/>
                <w:sz w:val="20"/>
                <w:szCs w:val="20"/>
              </w:rPr>
            </w:pPr>
            <w:r>
              <w:rPr>
                <w:rFonts w:ascii="宋体" w:hAnsi="宋体" w:cs="宋体" w:eastAsia="宋体" w:hint="default"/>
                <w:sz w:val="20"/>
                <w:szCs w:val="20"/>
              </w:rPr>
              <w:t>信托公司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0"/>
                <w:szCs w:val="20"/>
              </w:rPr>
            </w:pPr>
            <w:r>
              <w:rPr>
                <w:rFonts w:ascii="宋体" w:hAnsi="宋体" w:cs="宋体" w:eastAsia="宋体" w:hint="default"/>
                <w:sz w:val="20"/>
                <w:szCs w:val="20"/>
              </w:rPr>
              <w:t>信托产品存续期</w:t>
            </w:r>
          </w:p>
          <w:p>
            <w:pPr>
              <w:pStyle w:val="TableParagraph"/>
              <w:spacing w:line="240" w:lineRule="auto" w:before="50"/>
              <w:ind w:right="0"/>
              <w:jc w:val="center"/>
              <w:rPr>
                <w:rFonts w:ascii="宋体" w:hAnsi="宋体" w:cs="宋体" w:eastAsia="宋体" w:hint="default"/>
                <w:sz w:val="20"/>
                <w:szCs w:val="20"/>
              </w:rPr>
            </w:pPr>
            <w:r>
              <w:rPr>
                <w:rFonts w:ascii="宋体" w:hAnsi="宋体" w:cs="宋体" w:eastAsia="宋体" w:hint="default"/>
                <w:sz w:val="20"/>
                <w:szCs w:val="20"/>
              </w:rPr>
              <w:t>（年）</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center"/>
              <w:rPr>
                <w:rFonts w:ascii="宋体" w:hAnsi="宋体" w:cs="宋体" w:eastAsia="宋体" w:hint="default"/>
                <w:sz w:val="20"/>
                <w:szCs w:val="20"/>
              </w:rPr>
            </w:pPr>
            <w:r>
              <w:rPr>
                <w:rFonts w:ascii="宋体" w:hAnsi="宋体" w:cs="宋体" w:eastAsia="宋体" w:hint="default"/>
                <w:sz w:val="20"/>
                <w:szCs w:val="20"/>
              </w:rPr>
              <w:t>截止</w:t>
            </w:r>
            <w:r>
              <w:rPr>
                <w:rFonts w:ascii="Times New Roman" w:hAnsi="Times New Roman" w:cs="Times New Roman" w:eastAsia="Times New Roman" w:hint="default"/>
                <w:sz w:val="20"/>
                <w:szCs w:val="20"/>
              </w:rPr>
              <w:t>2019.12.31</w:t>
            </w:r>
            <w:r>
              <w:rPr>
                <w:rFonts w:ascii="宋体" w:hAnsi="宋体" w:cs="宋体" w:eastAsia="宋体" w:hint="default"/>
                <w:sz w:val="20"/>
                <w:szCs w:val="20"/>
              </w:rPr>
              <w:t>信托</w:t>
            </w:r>
          </w:p>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产品余额（元）</w:t>
            </w:r>
          </w:p>
        </w:tc>
      </w:tr>
      <w:tr>
        <w:trPr>
          <w:trHeight w:val="653"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7" w:right="-17"/>
              <w:jc w:val="left"/>
              <w:rPr>
                <w:rFonts w:ascii="宋体" w:hAnsi="宋体" w:cs="宋体" w:eastAsia="宋体" w:hint="default"/>
                <w:sz w:val="20"/>
                <w:szCs w:val="20"/>
              </w:rPr>
            </w:pPr>
            <w:r>
              <w:rPr>
                <w:rFonts w:ascii="宋体" w:hAnsi="宋体" w:cs="宋体" w:eastAsia="宋体" w:hint="default"/>
                <w:spacing w:val="-6"/>
                <w:sz w:val="20"/>
                <w:szCs w:val="20"/>
              </w:rPr>
              <w:t>华缔资产管理（北京）</w:t>
            </w:r>
            <w:r>
              <w:rPr>
                <w:rFonts w:ascii="宋体" w:hAnsi="宋体" w:cs="宋体" w:eastAsia="宋体" w:hint="default"/>
                <w:spacing w:val="-60"/>
                <w:w w:val="99"/>
                <w:sz w:val="20"/>
                <w:szCs w:val="20"/>
              </w:rPr>
              <w:t> </w:t>
            </w:r>
            <w:r>
              <w:rPr>
                <w:rFonts w:ascii="宋体" w:hAnsi="宋体" w:cs="宋体" w:eastAsia="宋体" w:hint="default"/>
                <w:sz w:val="20"/>
                <w:szCs w:val="20"/>
              </w:rPr>
              <w:t>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1"/>
              <w:ind w:left="7" w:right="36"/>
              <w:jc w:val="left"/>
              <w:rPr>
                <w:rFonts w:ascii="宋体" w:hAnsi="宋体" w:cs="宋体" w:eastAsia="宋体" w:hint="default"/>
                <w:sz w:val="20"/>
                <w:szCs w:val="20"/>
              </w:rPr>
            </w:pPr>
            <w:r>
              <w:rPr>
                <w:rFonts w:ascii="宋体" w:hAnsi="宋体" w:cs="宋体" w:eastAsia="宋体" w:hint="default"/>
                <w:sz w:val="20"/>
                <w:szCs w:val="20"/>
              </w:rPr>
              <w:t>西藏信托</w:t>
            </w:r>
            <w:r>
              <w:rPr>
                <w:rFonts w:ascii="Times New Roman" w:hAnsi="Times New Roman" w:cs="Times New Roman" w:eastAsia="Times New Roman" w:hint="default"/>
                <w:sz w:val="20"/>
                <w:szCs w:val="20"/>
              </w:rPr>
              <w:t>-</w:t>
            </w:r>
            <w:r>
              <w:rPr>
                <w:rFonts w:ascii="宋体" w:hAnsi="宋体" w:cs="宋体" w:eastAsia="宋体" w:hint="default"/>
                <w:sz w:val="20"/>
                <w:szCs w:val="20"/>
              </w:rPr>
              <w:t>乐家</w:t>
            </w:r>
            <w:r>
              <w:rPr>
                <w:rFonts w:ascii="Times New Roman" w:hAnsi="Times New Roman" w:cs="Times New Roman" w:eastAsia="Times New Roman" w:hint="default"/>
                <w:sz w:val="20"/>
                <w:szCs w:val="20"/>
              </w:rPr>
              <w:t>1</w:t>
            </w:r>
            <w:r>
              <w:rPr>
                <w:rFonts w:ascii="宋体" w:hAnsi="宋体" w:cs="宋体" w:eastAsia="宋体" w:hint="default"/>
                <w:sz w:val="20"/>
                <w:szCs w:val="20"/>
              </w:rPr>
              <w:t>号</w:t>
            </w:r>
            <w:r>
              <w:rPr>
                <w:rFonts w:ascii="宋体" w:hAnsi="宋体" w:cs="宋体" w:eastAsia="宋体" w:hint="default"/>
                <w:w w:val="99"/>
                <w:sz w:val="20"/>
                <w:szCs w:val="20"/>
              </w:rPr>
              <w:t> </w:t>
            </w:r>
            <w:r>
              <w:rPr>
                <w:rFonts w:ascii="宋体" w:hAnsi="宋体" w:cs="宋体" w:eastAsia="宋体" w:hint="default"/>
                <w:sz w:val="20"/>
                <w:szCs w:val="20"/>
              </w:rPr>
              <w:t>单一资金信托</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 w:right="0"/>
              <w:jc w:val="center"/>
              <w:rPr>
                <w:rFonts w:ascii="宋体" w:hAnsi="宋体" w:cs="宋体" w:eastAsia="宋体" w:hint="default"/>
                <w:sz w:val="20"/>
                <w:szCs w:val="20"/>
              </w:rPr>
            </w:pPr>
            <w:r>
              <w:rPr>
                <w:rFonts w:ascii="宋体" w:hAnsi="宋体" w:cs="宋体" w:eastAsia="宋体" w:hint="default"/>
                <w:sz w:val="20"/>
                <w:szCs w:val="20"/>
              </w:rPr>
              <w:t>西藏信托有限公司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755" w:right="0"/>
              <w:jc w:val="left"/>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w w:val="95"/>
                <w:sz w:val="20"/>
              </w:rPr>
              <w:t>45,731,366.47</w:t>
            </w:r>
            <w:r>
              <w:rPr>
                <w:rFonts w:ascii="Times New Roman"/>
                <w:sz w:val="20"/>
              </w:rPr>
            </w:r>
          </w:p>
        </w:tc>
      </w:tr>
      <w:tr>
        <w:trPr>
          <w:trHeight w:val="655"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7" w:right="-17"/>
              <w:jc w:val="left"/>
              <w:rPr>
                <w:rFonts w:ascii="宋体" w:hAnsi="宋体" w:cs="宋体" w:eastAsia="宋体" w:hint="default"/>
                <w:sz w:val="20"/>
                <w:szCs w:val="20"/>
              </w:rPr>
            </w:pPr>
            <w:r>
              <w:rPr>
                <w:rFonts w:ascii="宋体" w:hAnsi="宋体" w:cs="宋体" w:eastAsia="宋体" w:hint="default"/>
                <w:spacing w:val="-6"/>
                <w:sz w:val="20"/>
                <w:szCs w:val="20"/>
              </w:rPr>
              <w:t>华缔资产管理（北京）</w:t>
            </w:r>
            <w:r>
              <w:rPr>
                <w:rFonts w:ascii="宋体" w:hAnsi="宋体" w:cs="宋体" w:eastAsia="宋体" w:hint="default"/>
                <w:spacing w:val="-60"/>
                <w:w w:val="99"/>
                <w:sz w:val="20"/>
                <w:szCs w:val="20"/>
              </w:rPr>
              <w:t> </w:t>
            </w:r>
            <w:r>
              <w:rPr>
                <w:rFonts w:ascii="宋体" w:hAnsi="宋体" w:cs="宋体" w:eastAsia="宋体" w:hint="default"/>
                <w:sz w:val="20"/>
                <w:szCs w:val="20"/>
              </w:rPr>
              <w:t>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4"/>
              <w:ind w:left="7" w:right="36"/>
              <w:jc w:val="left"/>
              <w:rPr>
                <w:rFonts w:ascii="宋体" w:hAnsi="宋体" w:cs="宋体" w:eastAsia="宋体" w:hint="default"/>
                <w:sz w:val="20"/>
                <w:szCs w:val="20"/>
              </w:rPr>
            </w:pPr>
            <w:r>
              <w:rPr>
                <w:rFonts w:ascii="宋体" w:hAnsi="宋体" w:cs="宋体" w:eastAsia="宋体" w:hint="default"/>
                <w:sz w:val="20"/>
                <w:szCs w:val="20"/>
              </w:rPr>
              <w:t>西藏信托</w:t>
            </w:r>
            <w:r>
              <w:rPr>
                <w:rFonts w:ascii="Times New Roman" w:hAnsi="Times New Roman" w:cs="Times New Roman" w:eastAsia="Times New Roman" w:hint="default"/>
                <w:sz w:val="20"/>
                <w:szCs w:val="20"/>
              </w:rPr>
              <w:t>-</w:t>
            </w:r>
            <w:r>
              <w:rPr>
                <w:rFonts w:ascii="宋体" w:hAnsi="宋体" w:cs="宋体" w:eastAsia="宋体" w:hint="default"/>
                <w:sz w:val="20"/>
                <w:szCs w:val="20"/>
              </w:rPr>
              <w:t>乐家</w:t>
            </w:r>
            <w:r>
              <w:rPr>
                <w:rFonts w:ascii="Times New Roman" w:hAnsi="Times New Roman" w:cs="Times New Roman" w:eastAsia="Times New Roman" w:hint="default"/>
                <w:sz w:val="20"/>
                <w:szCs w:val="20"/>
              </w:rPr>
              <w:t>2</w:t>
            </w:r>
            <w:r>
              <w:rPr>
                <w:rFonts w:ascii="宋体" w:hAnsi="宋体" w:cs="宋体" w:eastAsia="宋体" w:hint="default"/>
                <w:sz w:val="20"/>
                <w:szCs w:val="20"/>
              </w:rPr>
              <w:t>号</w:t>
            </w:r>
            <w:r>
              <w:rPr>
                <w:rFonts w:ascii="宋体" w:hAnsi="宋体" w:cs="宋体" w:eastAsia="宋体" w:hint="default"/>
                <w:w w:val="99"/>
                <w:sz w:val="20"/>
                <w:szCs w:val="20"/>
              </w:rPr>
              <w:t> </w:t>
            </w:r>
            <w:r>
              <w:rPr>
                <w:rFonts w:ascii="宋体" w:hAnsi="宋体" w:cs="宋体" w:eastAsia="宋体" w:hint="default"/>
                <w:sz w:val="20"/>
                <w:szCs w:val="20"/>
              </w:rPr>
              <w:t>单一资金信托</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 w:right="0"/>
              <w:jc w:val="center"/>
              <w:rPr>
                <w:rFonts w:ascii="宋体" w:hAnsi="宋体" w:cs="宋体" w:eastAsia="宋体" w:hint="default"/>
                <w:sz w:val="20"/>
                <w:szCs w:val="20"/>
              </w:rPr>
            </w:pPr>
            <w:r>
              <w:rPr>
                <w:rFonts w:ascii="宋体" w:hAnsi="宋体" w:cs="宋体" w:eastAsia="宋体" w:hint="default"/>
                <w:sz w:val="20"/>
                <w:szCs w:val="20"/>
              </w:rPr>
              <w:t>西藏信托有限公司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55" w:right="0"/>
              <w:jc w:val="left"/>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w w:val="95"/>
                <w:sz w:val="20"/>
              </w:rPr>
              <w:t>13,405,000.00</w:t>
            </w:r>
            <w:r>
              <w:rPr>
                <w:rFonts w:ascii="Times New Roman"/>
                <w:sz w:val="20"/>
              </w:rPr>
            </w:r>
          </w:p>
        </w:tc>
      </w:tr>
      <w:tr>
        <w:trPr>
          <w:trHeight w:val="653"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7" w:right="-17"/>
              <w:jc w:val="left"/>
              <w:rPr>
                <w:rFonts w:ascii="宋体" w:hAnsi="宋体" w:cs="宋体" w:eastAsia="宋体" w:hint="default"/>
                <w:sz w:val="20"/>
                <w:szCs w:val="20"/>
              </w:rPr>
            </w:pPr>
            <w:r>
              <w:rPr>
                <w:rFonts w:ascii="宋体" w:hAnsi="宋体" w:cs="宋体" w:eastAsia="宋体" w:hint="default"/>
                <w:spacing w:val="-6"/>
                <w:sz w:val="20"/>
                <w:szCs w:val="20"/>
              </w:rPr>
              <w:t>华缔资产管理（北京）</w:t>
            </w:r>
            <w:r>
              <w:rPr>
                <w:rFonts w:ascii="宋体" w:hAnsi="宋体" w:cs="宋体" w:eastAsia="宋体" w:hint="default"/>
                <w:spacing w:val="-60"/>
                <w:w w:val="99"/>
                <w:sz w:val="20"/>
                <w:szCs w:val="20"/>
              </w:rPr>
              <w:t> </w:t>
            </w:r>
            <w:r>
              <w:rPr>
                <w:rFonts w:ascii="宋体" w:hAnsi="宋体" w:cs="宋体" w:eastAsia="宋体" w:hint="default"/>
                <w:sz w:val="20"/>
                <w:szCs w:val="20"/>
              </w:rPr>
              <w:t>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1"/>
              <w:ind w:left="7" w:right="3"/>
              <w:jc w:val="left"/>
              <w:rPr>
                <w:rFonts w:ascii="宋体" w:hAnsi="宋体" w:cs="宋体" w:eastAsia="宋体" w:hint="default"/>
                <w:sz w:val="20"/>
                <w:szCs w:val="20"/>
              </w:rPr>
            </w:pPr>
            <w:r>
              <w:rPr>
                <w:rFonts w:ascii="宋体" w:hAnsi="宋体" w:cs="宋体" w:eastAsia="宋体" w:hint="default"/>
                <w:sz w:val="20"/>
                <w:szCs w:val="20"/>
              </w:rPr>
              <w:t>西藏信托</w:t>
            </w:r>
            <w:r>
              <w:rPr>
                <w:rFonts w:ascii="Times New Roman" w:hAnsi="Times New Roman" w:cs="Times New Roman" w:eastAsia="Times New Roman" w:hint="default"/>
                <w:sz w:val="20"/>
                <w:szCs w:val="20"/>
              </w:rPr>
              <w:t>-</w:t>
            </w:r>
            <w:r>
              <w:rPr>
                <w:rFonts w:ascii="宋体" w:hAnsi="宋体" w:cs="宋体" w:eastAsia="宋体" w:hint="default"/>
                <w:sz w:val="20"/>
                <w:szCs w:val="20"/>
              </w:rPr>
              <w:t>宜家</w:t>
            </w:r>
            <w:r>
              <w:rPr>
                <w:rFonts w:ascii="Times New Roman" w:hAnsi="Times New Roman" w:cs="Times New Roman" w:eastAsia="Times New Roman" w:hint="default"/>
                <w:sz w:val="20"/>
                <w:szCs w:val="20"/>
              </w:rPr>
              <w:t>1</w:t>
            </w:r>
            <w:r>
              <w:rPr>
                <w:rFonts w:ascii="宋体" w:hAnsi="宋体" w:cs="宋体" w:eastAsia="宋体" w:hint="default"/>
                <w:sz w:val="20"/>
                <w:szCs w:val="20"/>
              </w:rPr>
              <w:t>号</w:t>
            </w:r>
            <w:r>
              <w:rPr>
                <w:rFonts w:ascii="宋体" w:hAnsi="宋体" w:cs="宋体" w:eastAsia="宋体" w:hint="default"/>
                <w:w w:val="99"/>
                <w:sz w:val="20"/>
                <w:szCs w:val="20"/>
              </w:rPr>
              <w:t> </w:t>
            </w:r>
            <w:r>
              <w:rPr>
                <w:rFonts w:ascii="宋体" w:hAnsi="宋体" w:cs="宋体" w:eastAsia="宋体" w:hint="default"/>
                <w:sz w:val="20"/>
                <w:szCs w:val="20"/>
              </w:rPr>
              <w:t>集合资金信托计划</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 w:right="0"/>
              <w:jc w:val="center"/>
              <w:rPr>
                <w:rFonts w:ascii="宋体" w:hAnsi="宋体" w:cs="宋体" w:eastAsia="宋体" w:hint="default"/>
                <w:sz w:val="20"/>
                <w:szCs w:val="20"/>
              </w:rPr>
            </w:pPr>
            <w:r>
              <w:rPr>
                <w:rFonts w:ascii="宋体" w:hAnsi="宋体" w:cs="宋体" w:eastAsia="宋体" w:hint="default"/>
                <w:sz w:val="20"/>
                <w:szCs w:val="20"/>
              </w:rPr>
              <w:t>西藏信托有限公司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755" w:right="0"/>
              <w:jc w:val="left"/>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w w:val="95"/>
                <w:sz w:val="20"/>
              </w:rPr>
              <w:t>7,750,000.00</w:t>
            </w:r>
            <w:r>
              <w:rPr>
                <w:rFonts w:ascii="Times New Roman"/>
                <w:sz w:val="20"/>
              </w:rPr>
            </w:r>
          </w:p>
        </w:tc>
      </w:tr>
      <w:tr>
        <w:trPr>
          <w:trHeight w:val="656"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7" w:right="-17"/>
              <w:jc w:val="left"/>
              <w:rPr>
                <w:rFonts w:ascii="宋体" w:hAnsi="宋体" w:cs="宋体" w:eastAsia="宋体" w:hint="default"/>
                <w:sz w:val="20"/>
                <w:szCs w:val="20"/>
              </w:rPr>
            </w:pPr>
            <w:r>
              <w:rPr>
                <w:rFonts w:ascii="宋体" w:hAnsi="宋体" w:cs="宋体" w:eastAsia="宋体" w:hint="default"/>
                <w:spacing w:val="-6"/>
                <w:sz w:val="20"/>
                <w:szCs w:val="20"/>
              </w:rPr>
              <w:t>华缔资产管理（北京）</w:t>
            </w:r>
            <w:r>
              <w:rPr>
                <w:rFonts w:ascii="宋体" w:hAnsi="宋体" w:cs="宋体" w:eastAsia="宋体" w:hint="default"/>
                <w:spacing w:val="-60"/>
                <w:w w:val="99"/>
                <w:sz w:val="20"/>
                <w:szCs w:val="20"/>
              </w:rPr>
              <w:t> </w:t>
            </w:r>
            <w:r>
              <w:rPr>
                <w:rFonts w:ascii="宋体" w:hAnsi="宋体" w:cs="宋体" w:eastAsia="宋体" w:hint="default"/>
                <w:sz w:val="20"/>
                <w:szCs w:val="20"/>
              </w:rPr>
              <w:t>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4"/>
              <w:ind w:left="7" w:right="134"/>
              <w:jc w:val="left"/>
              <w:rPr>
                <w:rFonts w:ascii="宋体" w:hAnsi="宋体" w:cs="宋体" w:eastAsia="宋体" w:hint="default"/>
                <w:sz w:val="20"/>
                <w:szCs w:val="20"/>
              </w:rPr>
            </w:pPr>
            <w:r>
              <w:rPr>
                <w:rFonts w:ascii="宋体" w:hAnsi="宋体" w:cs="宋体" w:eastAsia="宋体" w:hint="default"/>
                <w:sz w:val="20"/>
                <w:szCs w:val="20"/>
              </w:rPr>
              <w:t>华鑫信托</w:t>
            </w:r>
            <w:r>
              <w:rPr>
                <w:rFonts w:ascii="Times New Roman" w:hAnsi="Times New Roman" w:cs="Times New Roman" w:eastAsia="Times New Roman" w:hint="default"/>
                <w:sz w:val="20"/>
                <w:szCs w:val="20"/>
              </w:rPr>
              <w:t>·</w:t>
            </w:r>
            <w:r>
              <w:rPr>
                <w:rFonts w:ascii="宋体" w:hAnsi="宋体" w:cs="宋体" w:eastAsia="宋体" w:hint="default"/>
                <w:sz w:val="20"/>
                <w:szCs w:val="20"/>
              </w:rPr>
              <w:t>睿科</w:t>
            </w:r>
            <w:r>
              <w:rPr>
                <w:rFonts w:ascii="Times New Roman" w:hAnsi="Times New Roman" w:cs="Times New Roman" w:eastAsia="Times New Roman" w:hint="default"/>
                <w:sz w:val="20"/>
                <w:szCs w:val="20"/>
              </w:rPr>
              <w:t>42</w:t>
            </w:r>
            <w:r>
              <w:rPr>
                <w:rFonts w:ascii="Times New Roman" w:hAnsi="Times New Roman" w:cs="Times New Roman" w:eastAsia="Times New Roman" w:hint="default"/>
                <w:spacing w:val="1"/>
                <w:w w:val="99"/>
                <w:sz w:val="20"/>
                <w:szCs w:val="20"/>
              </w:rPr>
              <w:t> </w:t>
            </w:r>
            <w:r>
              <w:rPr>
                <w:rFonts w:ascii="宋体" w:hAnsi="宋体" w:cs="宋体" w:eastAsia="宋体" w:hint="default"/>
                <w:sz w:val="20"/>
                <w:szCs w:val="20"/>
              </w:rPr>
              <w:t>号单一资金信托</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887" w:right="85" w:hanging="802"/>
              <w:jc w:val="left"/>
              <w:rPr>
                <w:rFonts w:ascii="宋体" w:hAnsi="宋体" w:cs="宋体" w:eastAsia="宋体" w:hint="default"/>
                <w:sz w:val="20"/>
                <w:szCs w:val="20"/>
              </w:rPr>
            </w:pPr>
            <w:r>
              <w:rPr>
                <w:rFonts w:ascii="宋体" w:hAnsi="宋体" w:cs="宋体" w:eastAsia="宋体" w:hint="default"/>
                <w:sz w:val="20"/>
                <w:szCs w:val="20"/>
              </w:rPr>
              <w:t>华鑫国际信托有限公</w:t>
            </w:r>
            <w:r>
              <w:rPr>
                <w:rFonts w:ascii="宋体" w:hAnsi="宋体" w:cs="宋体" w:eastAsia="宋体" w:hint="default"/>
                <w:w w:val="99"/>
                <w:sz w:val="20"/>
                <w:szCs w:val="20"/>
              </w:rPr>
              <w:t> </w:t>
            </w:r>
            <w:r>
              <w:rPr>
                <w:rFonts w:ascii="宋体" w:hAnsi="宋体" w:cs="宋体" w:eastAsia="宋体" w:hint="default"/>
                <w:sz w:val="20"/>
                <w:szCs w:val="20"/>
              </w:rPr>
              <w:t>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55" w:right="0"/>
              <w:jc w:val="lef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w w:val="95"/>
                <w:sz w:val="20"/>
              </w:rPr>
              <w:t>200,000,000.00</w:t>
            </w:r>
            <w:r>
              <w:rPr>
                <w:rFonts w:ascii="Times New Roman"/>
                <w:sz w:val="20"/>
              </w:rPr>
            </w:r>
          </w:p>
        </w:tc>
      </w:tr>
      <w:tr>
        <w:trPr>
          <w:trHeight w:val="653"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7" w:right="-17"/>
              <w:jc w:val="left"/>
              <w:rPr>
                <w:rFonts w:ascii="宋体" w:hAnsi="宋体" w:cs="宋体" w:eastAsia="宋体" w:hint="default"/>
                <w:sz w:val="20"/>
                <w:szCs w:val="20"/>
              </w:rPr>
            </w:pPr>
            <w:r>
              <w:rPr>
                <w:rFonts w:ascii="宋体" w:hAnsi="宋体" w:cs="宋体" w:eastAsia="宋体" w:hint="default"/>
                <w:spacing w:val="-6"/>
                <w:sz w:val="20"/>
                <w:szCs w:val="20"/>
              </w:rPr>
              <w:t>华缔资产管理（北京）</w:t>
            </w:r>
            <w:r>
              <w:rPr>
                <w:rFonts w:ascii="宋体" w:hAnsi="宋体" w:cs="宋体" w:eastAsia="宋体" w:hint="default"/>
                <w:spacing w:val="-60"/>
                <w:w w:val="99"/>
                <w:sz w:val="20"/>
                <w:szCs w:val="20"/>
              </w:rPr>
              <w:t> </w:t>
            </w:r>
            <w:r>
              <w:rPr>
                <w:rFonts w:ascii="宋体" w:hAnsi="宋体" w:cs="宋体" w:eastAsia="宋体" w:hint="default"/>
                <w:sz w:val="20"/>
                <w:szCs w:val="20"/>
              </w:rPr>
              <w:t>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1"/>
              <w:ind w:left="7" w:right="134"/>
              <w:jc w:val="left"/>
              <w:rPr>
                <w:rFonts w:ascii="宋体" w:hAnsi="宋体" w:cs="宋体" w:eastAsia="宋体" w:hint="default"/>
                <w:sz w:val="20"/>
                <w:szCs w:val="20"/>
              </w:rPr>
            </w:pPr>
            <w:r>
              <w:rPr>
                <w:rFonts w:ascii="宋体" w:hAnsi="宋体" w:cs="宋体" w:eastAsia="宋体" w:hint="default"/>
                <w:sz w:val="20"/>
                <w:szCs w:val="20"/>
              </w:rPr>
              <w:t>华鑫信托</w:t>
            </w:r>
            <w:r>
              <w:rPr>
                <w:rFonts w:ascii="Times New Roman" w:hAnsi="Times New Roman" w:cs="Times New Roman" w:eastAsia="Times New Roman" w:hint="default"/>
                <w:sz w:val="20"/>
                <w:szCs w:val="20"/>
              </w:rPr>
              <w:t>·</w:t>
            </w:r>
            <w:r>
              <w:rPr>
                <w:rFonts w:ascii="宋体" w:hAnsi="宋体" w:cs="宋体" w:eastAsia="宋体" w:hint="default"/>
                <w:sz w:val="20"/>
                <w:szCs w:val="20"/>
              </w:rPr>
              <w:t>睿科</w:t>
            </w:r>
            <w:r>
              <w:rPr>
                <w:rFonts w:ascii="Times New Roman" w:hAnsi="Times New Roman" w:cs="Times New Roman" w:eastAsia="Times New Roman" w:hint="default"/>
                <w:sz w:val="20"/>
                <w:szCs w:val="20"/>
              </w:rPr>
              <w:t>46</w:t>
            </w:r>
            <w:r>
              <w:rPr>
                <w:rFonts w:ascii="Times New Roman" w:hAnsi="Times New Roman" w:cs="Times New Roman" w:eastAsia="Times New Roman" w:hint="default"/>
                <w:spacing w:val="1"/>
                <w:w w:val="99"/>
                <w:sz w:val="20"/>
                <w:szCs w:val="20"/>
              </w:rPr>
              <w:t> </w:t>
            </w:r>
            <w:r>
              <w:rPr>
                <w:rFonts w:ascii="宋体" w:hAnsi="宋体" w:cs="宋体" w:eastAsia="宋体" w:hint="default"/>
                <w:sz w:val="20"/>
                <w:szCs w:val="20"/>
              </w:rPr>
              <w:t>号单一资金信托</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887" w:right="85" w:hanging="802"/>
              <w:jc w:val="left"/>
              <w:rPr>
                <w:rFonts w:ascii="宋体" w:hAnsi="宋体" w:cs="宋体" w:eastAsia="宋体" w:hint="default"/>
                <w:sz w:val="20"/>
                <w:szCs w:val="20"/>
              </w:rPr>
            </w:pPr>
            <w:r>
              <w:rPr>
                <w:rFonts w:ascii="宋体" w:hAnsi="宋体" w:cs="宋体" w:eastAsia="宋体" w:hint="default"/>
                <w:sz w:val="20"/>
                <w:szCs w:val="20"/>
              </w:rPr>
              <w:t>华鑫国际信托有限公</w:t>
            </w:r>
            <w:r>
              <w:rPr>
                <w:rFonts w:ascii="宋体" w:hAnsi="宋体" w:cs="宋体" w:eastAsia="宋体" w:hint="default"/>
                <w:w w:val="99"/>
                <w:sz w:val="20"/>
                <w:szCs w:val="20"/>
              </w:rPr>
              <w:t> </w:t>
            </w:r>
            <w:r>
              <w:rPr>
                <w:rFonts w:ascii="宋体" w:hAnsi="宋体" w:cs="宋体" w:eastAsia="宋体" w:hint="default"/>
                <w:sz w:val="20"/>
                <w:szCs w:val="20"/>
              </w:rPr>
              <w:t>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755" w:right="0"/>
              <w:jc w:val="lef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w w:val="95"/>
                <w:sz w:val="20"/>
              </w:rPr>
              <w:t>200,000,000.00</w:t>
            </w:r>
            <w:r>
              <w:rPr>
                <w:rFonts w:ascii="Times New Roman"/>
                <w:sz w:val="20"/>
              </w:rPr>
            </w:r>
          </w:p>
        </w:tc>
      </w:tr>
      <w:tr>
        <w:trPr>
          <w:trHeight w:val="655"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7" w:right="-17"/>
              <w:jc w:val="left"/>
              <w:rPr>
                <w:rFonts w:ascii="宋体" w:hAnsi="宋体" w:cs="宋体" w:eastAsia="宋体" w:hint="default"/>
                <w:sz w:val="20"/>
                <w:szCs w:val="20"/>
              </w:rPr>
            </w:pPr>
            <w:r>
              <w:rPr>
                <w:rFonts w:ascii="宋体" w:hAnsi="宋体" w:cs="宋体" w:eastAsia="宋体" w:hint="default"/>
                <w:spacing w:val="-6"/>
                <w:sz w:val="20"/>
                <w:szCs w:val="20"/>
              </w:rPr>
              <w:t>华缔资产管理（北京）</w:t>
            </w:r>
            <w:r>
              <w:rPr>
                <w:rFonts w:ascii="宋体" w:hAnsi="宋体" w:cs="宋体" w:eastAsia="宋体" w:hint="default"/>
                <w:spacing w:val="-60"/>
                <w:w w:val="99"/>
                <w:sz w:val="20"/>
                <w:szCs w:val="20"/>
              </w:rPr>
              <w:t> </w:t>
            </w:r>
            <w:r>
              <w:rPr>
                <w:rFonts w:ascii="宋体" w:hAnsi="宋体" w:cs="宋体" w:eastAsia="宋体" w:hint="default"/>
                <w:sz w:val="20"/>
                <w:szCs w:val="20"/>
              </w:rPr>
              <w:t>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4"/>
              <w:ind w:left="7" w:right="134"/>
              <w:jc w:val="left"/>
              <w:rPr>
                <w:rFonts w:ascii="宋体" w:hAnsi="宋体" w:cs="宋体" w:eastAsia="宋体" w:hint="default"/>
                <w:sz w:val="20"/>
                <w:szCs w:val="20"/>
              </w:rPr>
            </w:pPr>
            <w:r>
              <w:rPr>
                <w:rFonts w:ascii="宋体" w:hAnsi="宋体" w:cs="宋体" w:eastAsia="宋体" w:hint="default"/>
                <w:sz w:val="20"/>
                <w:szCs w:val="20"/>
              </w:rPr>
              <w:t>华鑫信托</w:t>
            </w:r>
            <w:r>
              <w:rPr>
                <w:rFonts w:ascii="Times New Roman" w:hAnsi="Times New Roman" w:cs="Times New Roman" w:eastAsia="Times New Roman" w:hint="default"/>
                <w:sz w:val="20"/>
                <w:szCs w:val="20"/>
              </w:rPr>
              <w:t>·</w:t>
            </w:r>
            <w:r>
              <w:rPr>
                <w:rFonts w:ascii="宋体" w:hAnsi="宋体" w:cs="宋体" w:eastAsia="宋体" w:hint="default"/>
                <w:sz w:val="20"/>
                <w:szCs w:val="20"/>
              </w:rPr>
              <w:t>睿科</w:t>
            </w:r>
            <w:r>
              <w:rPr>
                <w:rFonts w:ascii="Times New Roman" w:hAnsi="Times New Roman" w:cs="Times New Roman" w:eastAsia="Times New Roman" w:hint="default"/>
                <w:sz w:val="20"/>
                <w:szCs w:val="20"/>
              </w:rPr>
              <w:t>64</w:t>
            </w:r>
            <w:r>
              <w:rPr>
                <w:rFonts w:ascii="Times New Roman" w:hAnsi="Times New Roman" w:cs="Times New Roman" w:eastAsia="Times New Roman" w:hint="default"/>
                <w:spacing w:val="1"/>
                <w:w w:val="99"/>
                <w:sz w:val="20"/>
                <w:szCs w:val="20"/>
              </w:rPr>
              <w:t> </w:t>
            </w:r>
            <w:r>
              <w:rPr>
                <w:rFonts w:ascii="宋体" w:hAnsi="宋体" w:cs="宋体" w:eastAsia="宋体" w:hint="default"/>
                <w:sz w:val="20"/>
                <w:szCs w:val="20"/>
              </w:rPr>
              <w:t>号单一资金信托</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887" w:right="85" w:hanging="802"/>
              <w:jc w:val="left"/>
              <w:rPr>
                <w:rFonts w:ascii="宋体" w:hAnsi="宋体" w:cs="宋体" w:eastAsia="宋体" w:hint="default"/>
                <w:sz w:val="20"/>
                <w:szCs w:val="20"/>
              </w:rPr>
            </w:pPr>
            <w:r>
              <w:rPr>
                <w:rFonts w:ascii="宋体" w:hAnsi="宋体" w:cs="宋体" w:eastAsia="宋体" w:hint="default"/>
                <w:sz w:val="20"/>
                <w:szCs w:val="20"/>
              </w:rPr>
              <w:t>华鑫国际信托有限公</w:t>
            </w:r>
            <w:r>
              <w:rPr>
                <w:rFonts w:ascii="宋体" w:hAnsi="宋体" w:cs="宋体" w:eastAsia="宋体" w:hint="default"/>
                <w:w w:val="99"/>
                <w:sz w:val="20"/>
                <w:szCs w:val="20"/>
              </w:rPr>
              <w:t> </w:t>
            </w:r>
            <w:r>
              <w:rPr>
                <w:rFonts w:ascii="宋体" w:hAnsi="宋体" w:cs="宋体" w:eastAsia="宋体" w:hint="default"/>
                <w:sz w:val="20"/>
                <w:szCs w:val="20"/>
              </w:rPr>
              <w:t>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55" w:right="0"/>
              <w:jc w:val="lef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w w:val="95"/>
                <w:sz w:val="20"/>
              </w:rPr>
              <w:t>199,980,000.00</w:t>
            </w:r>
            <w:r>
              <w:rPr>
                <w:rFonts w:ascii="Times New Roman"/>
                <w:sz w:val="20"/>
              </w:rPr>
            </w:r>
          </w:p>
        </w:tc>
      </w:tr>
      <w:tr>
        <w:trPr>
          <w:trHeight w:val="653"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7" w:right="123"/>
              <w:jc w:val="left"/>
              <w:rPr>
                <w:rFonts w:ascii="宋体" w:hAnsi="宋体" w:cs="宋体" w:eastAsia="宋体" w:hint="default"/>
                <w:sz w:val="20"/>
                <w:szCs w:val="20"/>
              </w:rPr>
            </w:pPr>
            <w:r>
              <w:rPr>
                <w:rFonts w:ascii="宋体" w:hAnsi="宋体" w:cs="宋体" w:eastAsia="宋体" w:hint="default"/>
                <w:sz w:val="20"/>
                <w:szCs w:val="20"/>
              </w:rPr>
              <w:t>深圳中金财富科技有</w:t>
            </w:r>
            <w:r>
              <w:rPr>
                <w:rFonts w:ascii="宋体" w:hAnsi="宋体" w:cs="宋体" w:eastAsia="宋体" w:hint="default"/>
                <w:w w:val="99"/>
                <w:sz w:val="20"/>
                <w:szCs w:val="20"/>
              </w:rPr>
              <w:t> </w:t>
            </w:r>
            <w:r>
              <w:rPr>
                <w:rFonts w:ascii="宋体" w:hAnsi="宋体" w:cs="宋体" w:eastAsia="宋体" w:hint="default"/>
                <w:sz w:val="20"/>
                <w:szCs w:val="20"/>
              </w:rPr>
              <w:t>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1"/>
              <w:ind w:left="7" w:right="3"/>
              <w:jc w:val="left"/>
              <w:rPr>
                <w:rFonts w:ascii="宋体" w:hAnsi="宋体" w:cs="宋体" w:eastAsia="宋体" w:hint="default"/>
                <w:sz w:val="20"/>
                <w:szCs w:val="20"/>
              </w:rPr>
            </w:pPr>
            <w:r>
              <w:rPr>
                <w:rFonts w:ascii="宋体" w:hAnsi="宋体" w:cs="宋体" w:eastAsia="宋体" w:hint="default"/>
                <w:sz w:val="20"/>
                <w:szCs w:val="20"/>
              </w:rPr>
              <w:t>西藏信托</w:t>
            </w:r>
            <w:r>
              <w:rPr>
                <w:rFonts w:ascii="Times New Roman" w:hAnsi="Times New Roman" w:cs="Times New Roman" w:eastAsia="Times New Roman" w:hint="default"/>
                <w:sz w:val="20"/>
                <w:szCs w:val="20"/>
              </w:rPr>
              <w:t>-</w:t>
            </w:r>
            <w:r>
              <w:rPr>
                <w:rFonts w:ascii="宋体" w:hAnsi="宋体" w:cs="宋体" w:eastAsia="宋体" w:hint="default"/>
                <w:sz w:val="20"/>
                <w:szCs w:val="20"/>
              </w:rPr>
              <w:t>开放式</w:t>
            </w:r>
            <w:r>
              <w:rPr>
                <w:rFonts w:ascii="宋体" w:hAnsi="宋体" w:cs="宋体" w:eastAsia="宋体" w:hint="default"/>
                <w:w w:val="99"/>
                <w:sz w:val="20"/>
                <w:szCs w:val="20"/>
              </w:rPr>
              <w:t> </w:t>
            </w:r>
            <w:r>
              <w:rPr>
                <w:rFonts w:ascii="宋体" w:hAnsi="宋体" w:cs="宋体" w:eastAsia="宋体" w:hint="default"/>
                <w:sz w:val="20"/>
                <w:szCs w:val="20"/>
              </w:rPr>
              <w:t>单一资金信托计划</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 w:right="0"/>
              <w:jc w:val="center"/>
              <w:rPr>
                <w:rFonts w:ascii="宋体" w:hAnsi="宋体" w:cs="宋体" w:eastAsia="宋体" w:hint="default"/>
                <w:sz w:val="20"/>
                <w:szCs w:val="20"/>
              </w:rPr>
            </w:pPr>
            <w:r>
              <w:rPr>
                <w:rFonts w:ascii="宋体" w:hAnsi="宋体" w:cs="宋体" w:eastAsia="宋体" w:hint="default"/>
                <w:sz w:val="20"/>
                <w:szCs w:val="20"/>
              </w:rPr>
              <w:t>西藏信托有限公司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755" w:right="0"/>
              <w:jc w:val="left"/>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w w:val="95"/>
                <w:sz w:val="20"/>
              </w:rPr>
              <w:t>3,350,000.00</w:t>
            </w:r>
            <w:r>
              <w:rPr>
                <w:rFonts w:ascii="Times New Roman"/>
                <w:sz w:val="20"/>
              </w:rPr>
            </w:r>
          </w:p>
        </w:tc>
      </w:tr>
      <w:tr>
        <w:trPr>
          <w:trHeight w:val="343"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61"/>
                <w:sz w:val="20"/>
                <w:szCs w:val="20"/>
              </w:rPr>
              <w:t> </w:t>
            </w:r>
            <w:r>
              <w:rPr>
                <w:rFonts w:ascii="宋体" w:hAnsi="宋体" w:cs="宋体" w:eastAsia="宋体" w:hint="default"/>
                <w:sz w:val="20"/>
                <w:szCs w:val="20"/>
              </w:rPr>
              <w:t>计</w:t>
            </w:r>
          </w:p>
        </w:tc>
        <w:tc>
          <w:tcPr>
            <w:tcW w:w="1621"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670,216,366.47</w:t>
            </w:r>
            <w:r>
              <w:rPr>
                <w:rFonts w:ascii="Times New Roman"/>
                <w:sz w:val="20"/>
              </w:rPr>
            </w:r>
          </w:p>
        </w:tc>
      </w:tr>
    </w:tbl>
    <w:p>
      <w:pPr>
        <w:pStyle w:val="BodyText"/>
        <w:spacing w:line="429" w:lineRule="auto" w:before="71"/>
        <w:ind w:right="1133" w:firstLine="401"/>
        <w:jc w:val="left"/>
      </w:pPr>
      <w:r>
        <w:rPr/>
        <w:t>对于纳入合并范围的重要的结构化主体，控制的依据：拥有对被投资方的权利，通过参与被投资方的相关</w:t>
      </w:r>
      <w:r>
        <w:rPr>
          <w:w w:val="99"/>
        </w:rPr>
        <w:t> </w:t>
      </w:r>
      <w:r>
        <w:rPr/>
        <w:t>活动而享有可变回报，并且有能力运用对被投资方的权利影响其回报金额。</w:t>
      </w:r>
    </w:p>
    <w:p>
      <w:pPr>
        <w:spacing w:line="240" w:lineRule="auto" w:before="3"/>
        <w:rPr>
          <w:rFonts w:ascii="宋体" w:hAnsi="宋体" w:cs="宋体" w:eastAsia="宋体" w:hint="default"/>
          <w:sz w:val="20"/>
          <w:szCs w:val="20"/>
        </w:rPr>
      </w:pPr>
    </w:p>
    <w:p>
      <w:pPr>
        <w:pStyle w:val="Heading3"/>
        <w:spacing w:line="240" w:lineRule="auto"/>
        <w:ind w:right="1133"/>
        <w:jc w:val="left"/>
        <w:rPr>
          <w:b w:val="0"/>
          <w:bCs w:val="0"/>
        </w:rPr>
      </w:pPr>
      <w:bookmarkStart w:name="2、在合营安排或联营企业中的权益" w:id="333"/>
      <w:bookmarkEnd w:id="333"/>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重要的合营企业或联营企业" w:id="334"/>
      <w:bookmarkEnd w:id="334"/>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403"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0"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安粮期货股份有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商品、金融期货 经纪</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bookmarkStart w:name="（2）重要联营企业的主要财务信息" w:id="335"/>
      <w:bookmarkEnd w:id="335"/>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3"/>
      </w:tblGrid>
      <w:tr>
        <w:trPr>
          <w:trHeight w:val="40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01" w:right="0"/>
              <w:jc w:val="left"/>
              <w:rPr>
                <w:rFonts w:ascii="宋体" w:hAnsi="宋体" w:cs="宋体" w:eastAsia="宋体" w:hint="default"/>
                <w:sz w:val="18"/>
                <w:szCs w:val="18"/>
              </w:rPr>
            </w:pPr>
            <w:r>
              <w:rPr>
                <w:rFonts w:ascii="宋体" w:hAnsi="宋体" w:cs="宋体" w:eastAsia="宋体" w:hint="default"/>
                <w:sz w:val="18"/>
                <w:szCs w:val="18"/>
              </w:rPr>
              <w:t>安粮期货股份有限公司</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1" w:right="0"/>
              <w:jc w:val="left"/>
              <w:rPr>
                <w:rFonts w:ascii="宋体" w:hAnsi="宋体" w:cs="宋体" w:eastAsia="宋体" w:hint="default"/>
                <w:sz w:val="18"/>
                <w:szCs w:val="18"/>
              </w:rPr>
            </w:pPr>
            <w:r>
              <w:rPr>
                <w:rFonts w:ascii="宋体" w:hAnsi="宋体" w:cs="宋体" w:eastAsia="宋体" w:hint="default"/>
                <w:sz w:val="18"/>
                <w:szCs w:val="18"/>
              </w:rPr>
              <w:t>安粮期货股份有限公司</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2,373,545,510.35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1,631,719,195.67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199,465,425.33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178,977,144.64</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2,573,010,935.68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1,810,696,340.31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1,895,349,343.37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1,150,299,009.27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34,734,659.78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8,197,408.78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1,930,084,003.15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1,158,496,418.05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642,926,932.53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652,199,922.26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257,170,773.02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260,879,968.91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16,627,454.92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16,627,454.92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15,024,745.50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15,024,745.50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1,602,709.42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1,602,709.42</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273,798,227.94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277,507,423.83</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1,201,792,903.09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816,503,920.17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29,180,024.22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35,794,997.51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662,951.35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-334,873.94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29,842,975.57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35,460,123.57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15,240,000.00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3,863,800.00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不重要的合营企业和联营企业的汇总财务信息" w:id="336"/>
      <w:bookmarkEnd w:id="336"/>
      <w:r>
        <w:rPr>
          <w:b w:val="0"/>
          <w:bCs w:val="0"/>
        </w:rPr>
      </w:r>
      <w:r>
        <w:rPr/>
        <w:t>（</w:t>
      </w:r>
      <w:r>
        <w:rPr>
          <w:rFonts w:ascii="Times New Roman" w:hAnsi="Times New Roman" w:cs="Times New Roman" w:eastAsia="Times New Roman" w:hint="default"/>
        </w:rPr>
        <w:t>3</w:t>
      </w:r>
      <w:r>
        <w:rPr/>
        <w:t>）不重要的合营企业和联营企业的汇总财务信息</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99,527,410.84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38,860,824.52</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-4,936,648.42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-2,603,135.58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40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21" w:right="0"/>
              <w:jc w:val="left"/>
              <w:rPr>
                <w:rFonts w:ascii="Times New Roman" w:hAnsi="Times New Roman" w:cs="Times New Roman" w:eastAsia="Times New Roman" w:hint="default"/>
                <w:sz w:val="18"/>
                <w:szCs w:val="18"/>
              </w:rPr>
            </w:pPr>
            <w:r>
              <w:rPr>
                <w:rFonts w:ascii="Times New Roman"/>
                <w:sz w:val="18"/>
              </w:rPr>
              <w:t>-4,936,648.42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-2,603,135.58</w:t>
            </w:r>
          </w:p>
        </w:tc>
      </w:tr>
    </w:tbl>
    <w:p>
      <w:pPr>
        <w:spacing w:line="240" w:lineRule="auto" w:before="1"/>
        <w:rPr>
          <w:rFonts w:ascii="宋体" w:hAnsi="宋体" w:cs="宋体" w:eastAsia="宋体" w:hint="default"/>
          <w:sz w:val="18"/>
          <w:szCs w:val="18"/>
        </w:rPr>
      </w:pPr>
    </w:p>
    <w:p>
      <w:pPr>
        <w:pStyle w:val="Heading2"/>
        <w:spacing w:line="240" w:lineRule="auto" w:before="26"/>
        <w:ind w:right="0"/>
        <w:jc w:val="both"/>
        <w:rPr>
          <w:b w:val="0"/>
          <w:bCs w:val="0"/>
        </w:rPr>
      </w:pPr>
      <w:bookmarkStart w:name="十、与金融工具相关的风险" w:id="337"/>
      <w:bookmarkEnd w:id="337"/>
      <w:r>
        <w:rPr>
          <w:b w:val="0"/>
          <w:bCs w:val="0"/>
        </w:rPr>
      </w:r>
      <w:r>
        <w:rPr/>
        <w:t>十、与金融工具相关的风险</w:t>
      </w:r>
      <w:r>
        <w:rPr>
          <w:b w:val="0"/>
          <w:bCs w:val="0"/>
        </w:rPr>
      </w:r>
    </w:p>
    <w:p>
      <w:pPr>
        <w:spacing w:line="240" w:lineRule="auto" w:before="1"/>
        <w:rPr>
          <w:rFonts w:ascii="宋体" w:hAnsi="宋体" w:cs="宋体" w:eastAsia="宋体" w:hint="default"/>
          <w:b/>
          <w:bCs/>
          <w:sz w:val="31"/>
          <w:szCs w:val="31"/>
        </w:rPr>
      </w:pPr>
    </w:p>
    <w:p>
      <w:pPr>
        <w:pStyle w:val="BodyText"/>
        <w:spacing w:line="429" w:lineRule="auto"/>
        <w:ind w:right="1141" w:firstLine="401"/>
        <w:jc w:val="both"/>
        <w:rPr>
          <w:rFonts w:ascii="Times New Roman" w:hAnsi="Times New Roman" w:cs="Times New Roman" w:eastAsia="Times New Roman" w:hint="default"/>
        </w:rPr>
      </w:pPr>
      <w:r>
        <w:rPr/>
        <w:t>本公司的主要金融工具包括应收款项、应付款项等，各项金融工具的详细情况说明见本附注五。与这些金</w:t>
      </w:r>
      <w:r>
        <w:rPr>
          <w:w w:val="99"/>
        </w:rPr>
        <w:t> </w:t>
      </w:r>
      <w:r>
        <w:rPr/>
        <w:t>融工具有关的风险，以及本公司为降低这些风险所采取的的风险管理政策如下所述。本公司管理层对这些风险</w:t>
      </w:r>
      <w:r>
        <w:rPr>
          <w:spacing w:val="-77"/>
        </w:rPr>
        <w:t> </w:t>
      </w:r>
      <w:r>
        <w:rPr>
          <w:spacing w:val="-77"/>
        </w:rPr>
      </w:r>
      <w:r>
        <w:rPr/>
        <w:t>敞口进行管理和监控以确保将上述风险控制在限定的范围之内。各类风险的管理目标和政策</w:t>
      </w:r>
      <w:r>
        <w:rPr>
          <w:rFonts w:ascii="Times New Roman" w:hAnsi="Times New Roman" w:cs="Times New Roman" w:eastAsia="Times New Roman" w:hint="default"/>
        </w:rPr>
        <w:t>:</w:t>
      </w:r>
    </w:p>
    <w:p>
      <w:pPr>
        <w:pStyle w:val="BodyText"/>
        <w:spacing w:line="429" w:lineRule="auto" w:before="16"/>
        <w:ind w:right="1131" w:firstLine="401"/>
        <w:jc w:val="both"/>
      </w:pPr>
      <w:r>
        <w:rPr/>
        <w:t>本公司从事风险管理的目标是在风险和收益之间取得适当的平衡，将风险对本公司经营业绩的负面影响减</w:t>
      </w:r>
      <w:r>
        <w:rPr>
          <w:w w:val="99"/>
        </w:rPr>
        <w:t> </w:t>
      </w:r>
      <w:r>
        <w:rPr/>
        <w:t>低到最低水平，使股东及其他权益投资者的利益最大化。基于该风险管理目标，本公司风险管理的基本政策是</w:t>
      </w:r>
      <w:r>
        <w:rPr>
          <w:spacing w:val="-67"/>
        </w:rPr>
        <w:t> </w:t>
      </w:r>
      <w:r>
        <w:rPr>
          <w:spacing w:val="-67"/>
        </w:rPr>
      </w:r>
      <w:r>
        <w:rPr/>
        <w:t>确定和分析本公司所面临的各种风险，建立适当的风险承受底线并进行风险管理，并及时可靠地对各种风险进</w:t>
      </w:r>
      <w:r>
        <w:rPr>
          <w:spacing w:val="-77"/>
        </w:rPr>
        <w:t> </w:t>
      </w:r>
      <w:r>
        <w:rPr>
          <w:spacing w:val="-77"/>
        </w:rPr>
      </w:r>
      <w:r>
        <w:rPr/>
        <w:t>行监督，将风险控制在限定的范围之内。</w:t>
      </w:r>
    </w:p>
    <w:p>
      <w:pPr>
        <w:pStyle w:val="BodyText"/>
        <w:spacing w:line="240" w:lineRule="auto" w:before="48"/>
        <w:ind w:left="554" w:right="1133"/>
        <w:jc w:val="left"/>
      </w:pPr>
      <w:r>
        <w:rPr/>
        <w:t>本公司金融工具的风险主要是信用风险、市场风险、流动性风险。</w:t>
      </w:r>
    </w:p>
    <w:p>
      <w:pPr>
        <w:spacing w:line="240" w:lineRule="auto" w:before="10"/>
        <w:rPr>
          <w:rFonts w:ascii="宋体" w:hAnsi="宋体" w:cs="宋体" w:eastAsia="宋体" w:hint="default"/>
          <w:sz w:val="15"/>
          <w:szCs w:val="15"/>
        </w:rPr>
      </w:pPr>
    </w:p>
    <w:p>
      <w:pPr>
        <w:pStyle w:val="BodyText"/>
        <w:spacing w:line="429" w:lineRule="auto"/>
        <w:ind w:left="554" w:right="1133"/>
        <w:jc w:val="left"/>
      </w:pPr>
      <w:r>
        <w:rPr/>
        <w:t>（一）信用风险</w:t>
      </w:r>
      <w:r>
        <w:rPr>
          <w:w w:val="99"/>
        </w:rPr>
        <w:t> </w:t>
      </w:r>
      <w:r>
        <w:rPr/>
        <w:t>信用风险是指金融工具的一方不履行义务，造成另一方发生财务损失的风险。本公司主要面临赊销导致的</w:t>
      </w:r>
    </w:p>
    <w:p>
      <w:pPr>
        <w:pStyle w:val="BodyText"/>
        <w:spacing w:line="429" w:lineRule="auto" w:before="48"/>
        <w:ind w:right="1142"/>
        <w:jc w:val="both"/>
      </w:pPr>
      <w:r>
        <w:rPr/>
        <w:t>客户信用风险。在签订新合同之前，本公司会对新客户的信用风险进行评估，包括外部信用评级和在某些情况</w:t>
      </w:r>
      <w:r>
        <w:rPr>
          <w:spacing w:val="-77"/>
        </w:rPr>
        <w:t> </w:t>
      </w:r>
      <w:r>
        <w:rPr>
          <w:spacing w:val="-77"/>
        </w:rPr>
      </w:r>
      <w:r>
        <w:rPr/>
        <w:t>下的银行资信证明（当此信息可获取时）。公司对每一客户均设置了赊销限额，该限额为无需获得额外批准的</w:t>
      </w:r>
      <w:r>
        <w:rPr>
          <w:spacing w:val="-77"/>
        </w:rPr>
        <w:t> </w:t>
      </w:r>
      <w:r>
        <w:rPr>
          <w:spacing w:val="-77"/>
        </w:rPr>
      </w:r>
      <w:r>
        <w:rPr/>
        <w:t>最大额度。</w:t>
      </w:r>
    </w:p>
    <w:p>
      <w:pPr>
        <w:pStyle w:val="BodyText"/>
        <w:spacing w:line="422" w:lineRule="auto" w:before="48"/>
        <w:ind w:right="1128" w:firstLine="401"/>
        <w:jc w:val="both"/>
      </w:pPr>
      <w:r>
        <w:rPr/>
        <w:t>公司通过对已有客户信用评级的季度监控以及应收账款账龄分析的月度审核来确保公司的整体信用风险在</w:t>
      </w:r>
      <w:r>
        <w:rPr>
          <w:w w:val="99"/>
        </w:rPr>
        <w:t> </w:t>
      </w:r>
      <w:r>
        <w:rPr/>
        <w:t>可控的范围内。在监控客户的信用风险时，按照客户的信用特征对其分组。被评为</w:t>
      </w:r>
      <w:r>
        <w:rPr>
          <w:rFonts w:ascii="Times New Roman" w:hAnsi="Times New Roman" w:cs="Times New Roman" w:eastAsia="Times New Roman" w:hint="default"/>
        </w:rPr>
        <w:t>“</w:t>
      </w:r>
      <w:r>
        <w:rPr/>
        <w:t>高风险</w:t>
      </w:r>
      <w:r>
        <w:rPr>
          <w:rFonts w:ascii="Times New Roman" w:hAnsi="Times New Roman" w:cs="Times New Roman" w:eastAsia="Times New Roman" w:hint="default"/>
        </w:rPr>
        <w:t>”</w:t>
      </w:r>
      <w:r>
        <w:rPr/>
        <w:t>级别的客户会放在</w:t>
      </w:r>
      <w:r>
        <w:rPr>
          <w:spacing w:val="-53"/>
        </w:rPr>
        <w:t> </w:t>
      </w:r>
      <w:r>
        <w:rPr/>
        <w:t>受限制客户名单里，并且只有在额外批准的前提下，公司才可在未来期间内对其赊销，否则必须要求其提前支</w:t>
      </w:r>
      <w:r>
        <w:rPr>
          <w:spacing w:val="-77"/>
        </w:rPr>
        <w:t> </w:t>
      </w:r>
      <w:r>
        <w:rPr>
          <w:spacing w:val="-77"/>
        </w:rPr>
      </w:r>
      <w:r>
        <w:rPr/>
        <w:t>付相应款项。</w:t>
      </w:r>
    </w:p>
    <w:p>
      <w:pPr>
        <w:pStyle w:val="BodyText"/>
        <w:spacing w:line="429" w:lineRule="auto" w:before="54"/>
        <w:ind w:left="554" w:right="1133"/>
        <w:jc w:val="left"/>
      </w:pPr>
      <w:r>
        <w:rPr/>
        <w:t>（二）市场风险</w:t>
      </w:r>
      <w:r>
        <w:rPr>
          <w:w w:val="99"/>
        </w:rPr>
        <w:t> </w:t>
      </w:r>
      <w:r>
        <w:rPr/>
        <w:t>金融工具的市场风险，是指金融工具的公允价值或未来现金流量因市场价格变动而发生波动的风险，包括</w:t>
      </w:r>
    </w:p>
    <w:p>
      <w:pPr>
        <w:pStyle w:val="BodyText"/>
        <w:spacing w:line="240" w:lineRule="auto" w:before="48"/>
        <w:ind w:right="0"/>
        <w:jc w:val="both"/>
      </w:pPr>
      <w:r>
        <w:rPr/>
        <w:t>汇率风险、利率风险和其他价格风险。</w:t>
      </w:r>
    </w:p>
    <w:p>
      <w:pPr>
        <w:spacing w:line="240" w:lineRule="auto" w:before="10"/>
        <w:rPr>
          <w:rFonts w:ascii="宋体" w:hAnsi="宋体" w:cs="宋体" w:eastAsia="宋体" w:hint="default"/>
          <w:sz w:val="15"/>
          <w:szCs w:val="15"/>
        </w:rPr>
      </w:pPr>
    </w:p>
    <w:p>
      <w:pPr>
        <w:pStyle w:val="BodyText"/>
        <w:spacing w:line="405" w:lineRule="auto"/>
        <w:ind w:left="554" w:right="2552"/>
        <w:jc w:val="left"/>
      </w:pPr>
      <w:r>
        <w:rPr/>
        <w:t>（</w:t>
      </w:r>
      <w:r>
        <w:rPr>
          <w:rFonts w:ascii="Times New Roman" w:hAnsi="Times New Roman" w:cs="Times New Roman" w:eastAsia="Times New Roman" w:hint="default"/>
        </w:rPr>
        <w:t>1</w:t>
      </w:r>
      <w:r>
        <w:rPr/>
        <w:t>）利率风险</w:t>
      </w:r>
      <w:r>
        <w:rPr>
          <w:w w:val="99"/>
        </w:rPr>
        <w:t> </w:t>
      </w:r>
      <w:r>
        <w:rPr/>
        <w:t>利率风险，是指金融工具的公允价值或未来现金流量因市场利率变动而发生波动的风险。</w:t>
      </w:r>
    </w:p>
    <w:p>
      <w:pPr>
        <w:pStyle w:val="BodyText"/>
        <w:spacing w:line="417" w:lineRule="auto" w:before="68"/>
        <w:ind w:left="554" w:right="2552"/>
        <w:jc w:val="left"/>
      </w:pPr>
      <w:r>
        <w:rPr/>
        <w:t>（</w:t>
      </w:r>
      <w:r>
        <w:rPr>
          <w:rFonts w:ascii="Times New Roman" w:hAnsi="Times New Roman" w:cs="Times New Roman" w:eastAsia="Times New Roman" w:hint="default"/>
        </w:rPr>
        <w:t>2</w:t>
      </w:r>
      <w:r>
        <w:rPr/>
        <w:t>）汇率风险</w:t>
      </w:r>
      <w:r>
        <w:rPr>
          <w:w w:val="99"/>
        </w:rPr>
        <w:t> </w:t>
      </w:r>
      <w:r>
        <w:rPr>
          <w:w w:val="95"/>
        </w:rPr>
        <w:t>汇率风险，是指金融工具的公允价值或未来现金流量因外汇汇率变动而发生波动的风险。</w:t>
      </w:r>
      <w:r>
        <w:rPr>
          <w:spacing w:val="2"/>
          <w:w w:val="95"/>
        </w:rPr>
        <w:t> </w:t>
      </w:r>
      <w:r>
        <w:rPr>
          <w:spacing w:val="2"/>
          <w:w w:val="95"/>
        </w:rPr>
      </w:r>
      <w:r>
        <w:rPr/>
        <w:t>本公司本期以美元计价的金融资产和金融负债金额较小，无汇率风险。</w:t>
      </w:r>
    </w:p>
    <w:p>
      <w:pPr>
        <w:pStyle w:val="BodyText"/>
        <w:spacing w:line="240" w:lineRule="auto" w:before="58"/>
        <w:ind w:left="554" w:right="1133"/>
        <w:jc w:val="left"/>
      </w:pPr>
      <w:r>
        <w:rPr/>
        <w:t>（</w:t>
      </w:r>
      <w:r>
        <w:rPr>
          <w:rFonts w:ascii="Times New Roman" w:hAnsi="Times New Roman" w:cs="Times New Roman" w:eastAsia="Times New Roman" w:hint="default"/>
        </w:rPr>
        <w:t>3</w:t>
      </w:r>
      <w:r>
        <w:rPr/>
        <w:t>）其他价格风险</w:t>
      </w:r>
    </w:p>
    <w:p>
      <w:pPr>
        <w:spacing w:line="240" w:lineRule="auto" w:before="2"/>
        <w:rPr>
          <w:rFonts w:ascii="宋体" w:hAnsi="宋体" w:cs="宋体" w:eastAsia="宋体" w:hint="default"/>
          <w:sz w:val="9"/>
          <w:szCs w:val="9"/>
        </w:rPr>
      </w:pPr>
    </w:p>
    <w:tbl>
      <w:tblPr>
        <w:tblW w:w="0" w:type="auto"/>
        <w:jc w:val="left"/>
        <w:tblInd w:w="700" w:type="dxa"/>
        <w:tblLayout w:type="fixed"/>
        <w:tblCellMar>
          <w:top w:w="0" w:type="dxa"/>
          <w:left w:w="0" w:type="dxa"/>
          <w:bottom w:w="0" w:type="dxa"/>
          <w:right w:w="0" w:type="dxa"/>
        </w:tblCellMar>
        <w:tblLook w:val="01E0"/>
      </w:tblPr>
      <w:tblGrid>
        <w:gridCol w:w="3476"/>
        <w:gridCol w:w="2271"/>
        <w:gridCol w:w="2785"/>
      </w:tblGrid>
      <w:tr>
        <w:trPr>
          <w:trHeight w:val="427" w:hRule="exact"/>
        </w:trPr>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27" w:right="0"/>
              <w:jc w:val="left"/>
              <w:rPr>
                <w:rFonts w:ascii="宋体" w:hAnsi="宋体" w:cs="宋体" w:eastAsia="宋体" w:hint="default"/>
                <w:sz w:val="20"/>
                <w:szCs w:val="20"/>
              </w:rPr>
            </w:pPr>
            <w:r>
              <w:rPr>
                <w:rFonts w:ascii="宋体" w:hAnsi="宋体" w:cs="宋体" w:eastAsia="宋体" w:hint="default"/>
                <w:sz w:val="20"/>
                <w:szCs w:val="20"/>
              </w:rPr>
              <w:t>期末余额（元）</w:t>
            </w:r>
          </w:p>
        </w:tc>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84" w:right="0"/>
              <w:jc w:val="left"/>
              <w:rPr>
                <w:rFonts w:ascii="宋体" w:hAnsi="宋体" w:cs="宋体" w:eastAsia="宋体" w:hint="default"/>
                <w:sz w:val="20"/>
                <w:szCs w:val="20"/>
              </w:rPr>
            </w:pPr>
            <w:r>
              <w:rPr>
                <w:rFonts w:ascii="宋体" w:hAnsi="宋体" w:cs="宋体" w:eastAsia="宋体" w:hint="default"/>
                <w:sz w:val="20"/>
                <w:szCs w:val="20"/>
              </w:rPr>
              <w:t>上年年末余额（元）</w:t>
            </w:r>
          </w:p>
        </w:tc>
      </w:tr>
    </w:tbl>
    <w:p>
      <w:pPr>
        <w:spacing w:after="0" w:line="240" w:lineRule="auto"/>
        <w:jc w:val="left"/>
        <w:rPr>
          <w:rFonts w:ascii="宋体" w:hAnsi="宋体" w:cs="宋体" w:eastAsia="宋体" w:hint="default"/>
          <w:sz w:val="20"/>
          <w:szCs w:val="20"/>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700" w:type="dxa"/>
        <w:tblLayout w:type="fixed"/>
        <w:tblCellMar>
          <w:top w:w="0" w:type="dxa"/>
          <w:left w:w="0" w:type="dxa"/>
          <w:bottom w:w="0" w:type="dxa"/>
          <w:right w:w="0" w:type="dxa"/>
        </w:tblCellMar>
        <w:tblLook w:val="01E0"/>
      </w:tblPr>
      <w:tblGrid>
        <w:gridCol w:w="3476"/>
        <w:gridCol w:w="2271"/>
        <w:gridCol w:w="2785"/>
      </w:tblGrid>
      <w:tr>
        <w:trPr>
          <w:trHeight w:val="428" w:hRule="exact"/>
        </w:trPr>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4"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2271" w:type="dxa"/>
            <w:tcBorders>
              <w:top w:val="single" w:sz="6" w:space="0" w:color="000000"/>
              <w:left w:val="single" w:sz="6" w:space="0" w:color="000000"/>
              <w:bottom w:val="single" w:sz="6" w:space="0" w:color="000000"/>
              <w:right w:val="single" w:sz="6" w:space="0" w:color="000000"/>
            </w:tcBorders>
          </w:tcPr>
          <w:p>
            <w:pPr/>
          </w:p>
        </w:tc>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right"/>
              <w:rPr>
                <w:rFonts w:ascii="Times New Roman" w:hAnsi="Times New Roman" w:cs="Times New Roman" w:eastAsia="Times New Roman" w:hint="default"/>
                <w:sz w:val="20"/>
                <w:szCs w:val="20"/>
              </w:rPr>
            </w:pPr>
            <w:r>
              <w:rPr>
                <w:rFonts w:ascii="Times New Roman"/>
                <w:w w:val="95"/>
                <w:sz w:val="20"/>
              </w:rPr>
              <w:t>18,248,400.00</w:t>
            </w:r>
            <w:r>
              <w:rPr>
                <w:rFonts w:ascii="Times New Roman"/>
                <w:sz w:val="20"/>
              </w:rPr>
            </w:r>
          </w:p>
        </w:tc>
      </w:tr>
      <w:tr>
        <w:trPr>
          <w:trHeight w:val="427" w:hRule="exact"/>
        </w:trPr>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4" w:right="0"/>
              <w:jc w:val="left"/>
              <w:rPr>
                <w:rFonts w:ascii="宋体" w:hAnsi="宋体" w:cs="宋体" w:eastAsia="宋体" w:hint="default"/>
                <w:sz w:val="20"/>
                <w:szCs w:val="20"/>
              </w:rPr>
            </w:pPr>
            <w:r>
              <w:rPr>
                <w:rFonts w:ascii="宋体" w:hAnsi="宋体" w:cs="宋体" w:eastAsia="宋体" w:hint="default"/>
                <w:sz w:val="20"/>
                <w:szCs w:val="20"/>
              </w:rPr>
              <w:t>其他非流动金融资产</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right"/>
              <w:rPr>
                <w:rFonts w:ascii="Times New Roman" w:hAnsi="Times New Roman" w:cs="Times New Roman" w:eastAsia="Times New Roman" w:hint="default"/>
                <w:sz w:val="20"/>
                <w:szCs w:val="20"/>
              </w:rPr>
            </w:pPr>
            <w:r>
              <w:rPr>
                <w:rFonts w:ascii="Times New Roman"/>
                <w:w w:val="95"/>
                <w:sz w:val="20"/>
              </w:rPr>
              <w:t>15,810,830.00</w:t>
            </w:r>
            <w:r>
              <w:rPr>
                <w:rFonts w:ascii="Times New Roman"/>
                <w:sz w:val="20"/>
              </w:rPr>
            </w:r>
          </w:p>
        </w:tc>
        <w:tc>
          <w:tcPr>
            <w:tcW w:w="2785"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right"/>
              <w:rPr>
                <w:rFonts w:ascii="Times New Roman" w:hAnsi="Times New Roman" w:cs="Times New Roman" w:eastAsia="Times New Roman" w:hint="default"/>
                <w:sz w:val="20"/>
                <w:szCs w:val="20"/>
              </w:rPr>
            </w:pPr>
            <w:r>
              <w:rPr>
                <w:rFonts w:ascii="Times New Roman"/>
                <w:w w:val="95"/>
                <w:sz w:val="20"/>
              </w:rPr>
              <w:t>15,810,830.00</w:t>
            </w:r>
            <w:r>
              <w:rPr>
                <w:rFonts w:ascii="Times New Roman"/>
                <w:sz w:val="20"/>
              </w:rPr>
            </w:r>
          </w:p>
        </w:tc>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right"/>
              <w:rPr>
                <w:rFonts w:ascii="Times New Roman" w:hAnsi="Times New Roman" w:cs="Times New Roman" w:eastAsia="Times New Roman" w:hint="default"/>
                <w:sz w:val="20"/>
                <w:szCs w:val="20"/>
              </w:rPr>
            </w:pPr>
            <w:r>
              <w:rPr>
                <w:rFonts w:ascii="Times New Roman"/>
                <w:w w:val="95"/>
                <w:sz w:val="20"/>
              </w:rPr>
              <w:t>18,248,400.00</w:t>
            </w:r>
            <w:r>
              <w:rPr>
                <w:rFonts w:ascii="Times New Roman"/>
                <w:sz w:val="20"/>
              </w:rPr>
            </w:r>
          </w:p>
        </w:tc>
      </w:tr>
    </w:tbl>
    <w:p>
      <w:pPr>
        <w:pStyle w:val="BodyText"/>
        <w:spacing w:line="429" w:lineRule="auto" w:before="71"/>
        <w:ind w:left="554" w:right="1133" w:firstLine="100"/>
        <w:jc w:val="left"/>
      </w:pPr>
      <w:r>
        <w:rPr/>
        <w:t>（三）流动性风险</w:t>
      </w:r>
      <w:r>
        <w:rPr>
          <w:w w:val="99"/>
        </w:rPr>
        <w:t> </w:t>
      </w:r>
      <w:r>
        <w:rPr/>
        <w:t>流动性风险，是指企业在履行以交付现金或其他金融资产的方式结算的义务时发生资金短缺的风险。本公</w:t>
      </w:r>
    </w:p>
    <w:p>
      <w:pPr>
        <w:pStyle w:val="BodyText"/>
        <w:spacing w:line="429" w:lineRule="auto" w:before="48"/>
        <w:ind w:right="1138"/>
        <w:jc w:val="both"/>
      </w:pPr>
      <w:r>
        <w:rPr/>
        <w:t>司的政策是确保拥有充足的现金以偿还到期债务。流动性风险由本公司的财务部门集中控制。财务部门通过监</w:t>
      </w:r>
      <w:r>
        <w:rPr>
          <w:spacing w:val="-77"/>
        </w:rPr>
        <w:t> </w:t>
      </w:r>
      <w:r>
        <w:rPr>
          <w:spacing w:val="-77"/>
        </w:rPr>
      </w:r>
      <w:r>
        <w:rPr/>
        <w:t>控现金余额、可随时变现的有价证券以及对未来</w:t>
      </w:r>
      <w:r>
        <w:rPr>
          <w:rFonts w:ascii="宋体" w:hAnsi="宋体" w:cs="宋体" w:eastAsia="宋体" w:hint="default"/>
        </w:rPr>
        <w:t>12</w:t>
      </w:r>
      <w:r>
        <w:rPr/>
        <w:t>个月现金流量的滚动预测，确保公司在所有合理预测的情况</w:t>
      </w:r>
      <w:r>
        <w:rPr>
          <w:spacing w:val="-74"/>
        </w:rPr>
        <w:t> </w:t>
      </w:r>
      <w:r>
        <w:rPr>
          <w:spacing w:val="-74"/>
        </w:rPr>
      </w:r>
      <w:r>
        <w:rPr/>
        <w:t>下拥有充足的资金偿还债务。</w:t>
      </w:r>
    </w:p>
    <w:p>
      <w:pPr>
        <w:pStyle w:val="BodyText"/>
        <w:spacing w:line="240" w:lineRule="auto" w:before="49"/>
        <w:ind w:left="554" w:right="1133"/>
        <w:jc w:val="left"/>
      </w:pPr>
      <w:r>
        <w:rPr/>
        <w:t>本公司各项金融负债以未折现的合同现金流量按到期日列示如下：</w:t>
      </w:r>
    </w:p>
    <w:p>
      <w:pPr>
        <w:spacing w:line="240" w:lineRule="auto" w:before="4"/>
        <w:rPr>
          <w:rFonts w:ascii="宋体" w:hAnsi="宋体" w:cs="宋体" w:eastAsia="宋体" w:hint="default"/>
          <w:sz w:val="10"/>
          <w:szCs w:val="10"/>
        </w:rPr>
      </w:pPr>
    </w:p>
    <w:tbl>
      <w:tblPr>
        <w:tblW w:w="0" w:type="auto"/>
        <w:jc w:val="left"/>
        <w:tblInd w:w="755" w:type="dxa"/>
        <w:tblLayout w:type="fixed"/>
        <w:tblCellMar>
          <w:top w:w="0" w:type="dxa"/>
          <w:left w:w="0" w:type="dxa"/>
          <w:bottom w:w="0" w:type="dxa"/>
          <w:right w:w="0" w:type="dxa"/>
        </w:tblCellMar>
        <w:tblLook w:val="01E0"/>
      </w:tblPr>
      <w:tblGrid>
        <w:gridCol w:w="2595"/>
        <w:gridCol w:w="2638"/>
        <w:gridCol w:w="2487"/>
      </w:tblGrid>
      <w:tr>
        <w:trPr>
          <w:trHeight w:val="341" w:hRule="exact"/>
        </w:trPr>
        <w:tc>
          <w:tcPr>
            <w:tcW w:w="2595" w:type="dxa"/>
            <w:vMerge w:val="restart"/>
            <w:tcBorders>
              <w:top w:val="single" w:sz="4" w:space="0" w:color="000000"/>
              <w:left w:val="single" w:sz="4" w:space="0" w:color="000000"/>
              <w:right w:val="single" w:sz="4" w:space="0" w:color="000000"/>
            </w:tcBorders>
          </w:tcPr>
          <w:p>
            <w:pPr>
              <w:pStyle w:val="TableParagraph"/>
              <w:spacing w:line="240" w:lineRule="auto" w:before="174"/>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51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
              <w:jc w:val="center"/>
              <w:rPr>
                <w:rFonts w:ascii="宋体" w:hAnsi="宋体" w:cs="宋体" w:eastAsia="宋体" w:hint="default"/>
                <w:sz w:val="20"/>
                <w:szCs w:val="20"/>
              </w:rPr>
            </w:pPr>
            <w:r>
              <w:rPr>
                <w:rFonts w:ascii="宋体" w:hAnsi="宋体" w:cs="宋体" w:eastAsia="宋体" w:hint="default"/>
                <w:sz w:val="20"/>
                <w:szCs w:val="20"/>
              </w:rPr>
              <w:t>期末余额（元）</w:t>
            </w:r>
          </w:p>
        </w:tc>
      </w:tr>
      <w:tr>
        <w:trPr>
          <w:trHeight w:val="343" w:hRule="exact"/>
        </w:trPr>
        <w:tc>
          <w:tcPr>
            <w:tcW w:w="2595" w:type="dxa"/>
            <w:vMerge/>
            <w:tcBorders>
              <w:left w:val="single" w:sz="4" w:space="0" w:color="000000"/>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
              <w:jc w:val="center"/>
              <w:rPr>
                <w:rFonts w:ascii="宋体" w:hAnsi="宋体" w:cs="宋体" w:eastAsia="宋体" w:hint="default"/>
                <w:sz w:val="20"/>
                <w:szCs w:val="20"/>
              </w:rPr>
            </w:pPr>
            <w:r>
              <w:rPr>
                <w:rFonts w:ascii="宋体" w:hAnsi="宋体" w:cs="宋体" w:eastAsia="宋体" w:hint="default"/>
                <w:sz w:val="20"/>
                <w:szCs w:val="20"/>
              </w:rPr>
              <w:t>合计</w:t>
            </w:r>
          </w:p>
        </w:tc>
      </w:tr>
      <w:tr>
        <w:trPr>
          <w:trHeight w:val="34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6"/>
              <w:jc w:val="right"/>
              <w:rPr>
                <w:rFonts w:ascii="Times New Roman" w:hAnsi="Times New Roman" w:cs="Times New Roman" w:eastAsia="Times New Roman" w:hint="default"/>
                <w:sz w:val="20"/>
                <w:szCs w:val="20"/>
              </w:rPr>
            </w:pPr>
            <w:r>
              <w:rPr>
                <w:rFonts w:ascii="Times New Roman"/>
                <w:w w:val="95"/>
                <w:sz w:val="20"/>
              </w:rPr>
              <w:t>126,157,746.00</w:t>
            </w:r>
            <w:r>
              <w:rPr>
                <w:rFonts w:ascii="Times New Roman"/>
                <w:sz w:val="20"/>
              </w:rPr>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w w:val="95"/>
                <w:sz w:val="20"/>
              </w:rPr>
              <w:t>126,157,746.00</w:t>
            </w:r>
            <w:r>
              <w:rPr>
                <w:rFonts w:ascii="Times New Roman"/>
                <w:sz w:val="20"/>
              </w:rPr>
            </w:r>
          </w:p>
        </w:tc>
      </w:tr>
      <w:tr>
        <w:trPr>
          <w:trHeight w:val="34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
              <w:jc w:val="right"/>
              <w:rPr>
                <w:rFonts w:ascii="Times New Roman" w:hAnsi="Times New Roman" w:cs="Times New Roman" w:eastAsia="Times New Roman" w:hint="default"/>
                <w:sz w:val="20"/>
                <w:szCs w:val="20"/>
              </w:rPr>
            </w:pPr>
            <w:r>
              <w:rPr>
                <w:rFonts w:ascii="Times New Roman"/>
                <w:w w:val="95"/>
                <w:sz w:val="20"/>
              </w:rPr>
              <w:t>358,495,549.74</w:t>
            </w:r>
            <w:r>
              <w:rPr>
                <w:rFonts w:ascii="Times New Roman"/>
                <w:sz w:val="20"/>
              </w:rPr>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w w:val="95"/>
                <w:sz w:val="20"/>
              </w:rPr>
              <w:t>358,495,549.74</w:t>
            </w:r>
            <w:r>
              <w:rPr>
                <w:rFonts w:ascii="Times New Roman"/>
                <w:sz w:val="20"/>
              </w:rPr>
            </w:r>
          </w:p>
        </w:tc>
      </w:tr>
      <w:tr>
        <w:trPr>
          <w:trHeight w:val="34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6"/>
              <w:jc w:val="right"/>
              <w:rPr>
                <w:rFonts w:ascii="Times New Roman" w:hAnsi="Times New Roman" w:cs="Times New Roman" w:eastAsia="Times New Roman" w:hint="default"/>
                <w:sz w:val="20"/>
                <w:szCs w:val="20"/>
              </w:rPr>
            </w:pPr>
            <w:r>
              <w:rPr>
                <w:rFonts w:ascii="Times New Roman"/>
                <w:w w:val="95"/>
                <w:sz w:val="20"/>
              </w:rPr>
              <w:t>22,783,207.29</w:t>
            </w:r>
            <w:r>
              <w:rPr>
                <w:rFonts w:ascii="Times New Roman"/>
                <w:sz w:val="20"/>
              </w:rPr>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w w:val="95"/>
                <w:sz w:val="20"/>
              </w:rPr>
              <w:t>22,783,207.29</w:t>
            </w:r>
            <w:r>
              <w:rPr>
                <w:rFonts w:ascii="Times New Roman"/>
                <w:sz w:val="20"/>
              </w:rPr>
            </w:r>
          </w:p>
        </w:tc>
      </w:tr>
      <w:tr>
        <w:trPr>
          <w:trHeight w:val="34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
              <w:jc w:val="right"/>
              <w:rPr>
                <w:rFonts w:ascii="Times New Roman" w:hAnsi="Times New Roman" w:cs="Times New Roman" w:eastAsia="Times New Roman" w:hint="default"/>
                <w:sz w:val="20"/>
                <w:szCs w:val="20"/>
              </w:rPr>
            </w:pPr>
            <w:r>
              <w:rPr>
                <w:rFonts w:ascii="Times New Roman"/>
                <w:w w:val="95"/>
                <w:sz w:val="20"/>
              </w:rPr>
              <w:t>54,485,675.11</w:t>
            </w:r>
            <w:r>
              <w:rPr>
                <w:rFonts w:ascii="Times New Roman"/>
                <w:sz w:val="20"/>
              </w:rPr>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w w:val="95"/>
                <w:sz w:val="20"/>
              </w:rPr>
              <w:t>54,485,675.11</w:t>
            </w:r>
            <w:r>
              <w:rPr>
                <w:rFonts w:ascii="Times New Roman"/>
                <w:sz w:val="20"/>
              </w:rPr>
            </w:r>
          </w:p>
        </w:tc>
      </w:tr>
      <w:tr>
        <w:trPr>
          <w:trHeight w:val="34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0"/>
                <w:szCs w:val="20"/>
              </w:rPr>
            </w:pPr>
            <w:r>
              <w:rPr>
                <w:rFonts w:ascii="宋体" w:hAnsi="宋体" w:cs="宋体" w:eastAsia="宋体" w:hint="default"/>
                <w:sz w:val="20"/>
                <w:szCs w:val="20"/>
              </w:rPr>
              <w:t>合计</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6"/>
              <w:jc w:val="right"/>
              <w:rPr>
                <w:rFonts w:ascii="Times New Roman" w:hAnsi="Times New Roman" w:cs="Times New Roman" w:eastAsia="Times New Roman" w:hint="default"/>
                <w:sz w:val="20"/>
                <w:szCs w:val="20"/>
              </w:rPr>
            </w:pPr>
            <w:r>
              <w:rPr>
                <w:rFonts w:ascii="Times New Roman"/>
                <w:w w:val="95"/>
                <w:sz w:val="20"/>
              </w:rPr>
              <w:t>561,922,178.14</w:t>
            </w:r>
            <w:r>
              <w:rPr>
                <w:rFonts w:ascii="Times New Roman"/>
                <w:sz w:val="20"/>
              </w:rPr>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w w:val="95"/>
                <w:sz w:val="20"/>
              </w:rPr>
              <w:t>561,922,178.14</w:t>
            </w:r>
            <w:r>
              <w:rPr>
                <w:rFonts w:ascii="Times New Roman"/>
                <w:sz w:val="20"/>
              </w:rPr>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十一、公允价值的披露" w:id="338"/>
      <w:bookmarkEnd w:id="338"/>
      <w:r>
        <w:rPr>
          <w:b w:val="0"/>
          <w:bCs w:val="0"/>
        </w:rPr>
      </w:r>
      <w:r>
        <w:rPr/>
        <w:t>十一、公允价值的披露</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以公允价值计量的资产和负债的期末公允价值" w:id="339"/>
      <w:bookmarkEnd w:id="339"/>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966"/>
        <w:gridCol w:w="1980"/>
        <w:gridCol w:w="1981"/>
        <w:gridCol w:w="1651"/>
      </w:tblGrid>
      <w:tr>
        <w:trPr>
          <w:trHeight w:val="205"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7578"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92"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8"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9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9" w:right="0"/>
              <w:jc w:val="left"/>
              <w:rPr>
                <w:rFonts w:ascii="宋体" w:hAnsi="宋体" w:cs="宋体" w:eastAsia="宋体" w:hint="default"/>
                <w:sz w:val="18"/>
                <w:szCs w:val="18"/>
              </w:rPr>
            </w:pPr>
            <w:r>
              <w:rPr>
                <w:rFonts w:ascii="宋体" w:hAnsi="宋体" w:cs="宋体" w:eastAsia="宋体" w:hint="default"/>
                <w:sz w:val="18"/>
                <w:szCs w:val="18"/>
              </w:rPr>
              <w:t>第一层次公允价值计量</w:t>
            </w:r>
          </w:p>
        </w:tc>
        <w:tc>
          <w:tcPr>
            <w:tcW w:w="19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6"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6"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6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5"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66" w:type="dxa"/>
            <w:vMerge/>
            <w:tcBorders>
              <w:left w:val="single" w:sz="4" w:space="0" w:color="000000"/>
              <w:bottom w:val="single" w:sz="4" w:space="0" w:color="000000"/>
              <w:right w:val="single" w:sz="4" w:space="0" w:color="000000"/>
            </w:tcBorders>
            <w:shd w:val="clear" w:color="auto" w:fill="D2D2D2"/>
          </w:tcPr>
          <w:p>
            <w:pPr/>
          </w:p>
        </w:tc>
        <w:tc>
          <w:tcPr>
            <w:tcW w:w="1980" w:type="dxa"/>
            <w:vMerge/>
            <w:tcBorders>
              <w:left w:val="single" w:sz="4" w:space="0" w:color="000000"/>
              <w:bottom w:val="single" w:sz="4" w:space="0" w:color="000000"/>
              <w:right w:val="single" w:sz="4" w:space="0" w:color="000000"/>
            </w:tcBorders>
            <w:shd w:val="clear" w:color="auto" w:fill="D2D2D2"/>
          </w:tcPr>
          <w:p>
            <w:pPr/>
          </w:p>
        </w:tc>
        <w:tc>
          <w:tcPr>
            <w:tcW w:w="1981" w:type="dxa"/>
            <w:vMerge/>
            <w:tcBorders>
              <w:left w:val="single" w:sz="4" w:space="0" w:color="000000"/>
              <w:bottom w:val="single" w:sz="4" w:space="0" w:color="000000"/>
              <w:right w:val="single" w:sz="4" w:space="0" w:color="000000"/>
            </w:tcBorders>
            <w:shd w:val="clear" w:color="auto" w:fill="D2D2D2"/>
          </w:tcPr>
          <w:p>
            <w:pPr/>
          </w:p>
        </w:tc>
        <w:tc>
          <w:tcPr>
            <w:tcW w:w="165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966" w:type="dxa"/>
            <w:tcBorders>
              <w:top w:val="single" w:sz="4" w:space="0" w:color="000000"/>
              <w:left w:val="single" w:sz="9" w:space="0" w:color="D2D2D2"/>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464,245,168.51</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464,245,168.51</w:t>
            </w:r>
          </w:p>
        </w:tc>
      </w:tr>
      <w:tr>
        <w:trPr>
          <w:trHeight w:val="1027"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 动计入当期损益的金融 资产</w:t>
            </w:r>
          </w:p>
        </w:tc>
        <w:tc>
          <w:tcPr>
            <w:tcW w:w="1966" w:type="dxa"/>
            <w:tcBorders>
              <w:top w:val="single" w:sz="4" w:space="0" w:color="000000"/>
              <w:left w:val="single" w:sz="9" w:space="0" w:color="D2D2D2"/>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464,245,168.51</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464,245,168.51</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966" w:type="dxa"/>
            <w:tcBorders>
              <w:top w:val="single" w:sz="4" w:space="0" w:color="000000"/>
              <w:left w:val="single" w:sz="9" w:space="0" w:color="D2D2D2"/>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464,245,168.51</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464,245,168.51</w:t>
            </w:r>
          </w:p>
        </w:tc>
      </w:tr>
      <w:tr>
        <w:trPr>
          <w:trHeight w:val="715"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pacing w:val="-4"/>
                <w:sz w:val="18"/>
                <w:szCs w:val="18"/>
              </w:rPr>
              <w:t>（二）其他非流动金融资</w:t>
            </w:r>
            <w:r>
              <w:rPr>
                <w:rFonts w:ascii="宋体" w:hAnsi="宋体" w:cs="宋体" w:eastAsia="宋体" w:hint="default"/>
                <w:sz w:val="18"/>
                <w:szCs w:val="18"/>
              </w:rPr>
              <w:t> 产</w:t>
            </w:r>
          </w:p>
        </w:tc>
        <w:tc>
          <w:tcPr>
            <w:tcW w:w="1966"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15,810,830.00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15,810,830.00</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966" w:type="dxa"/>
            <w:tcBorders>
              <w:top w:val="single" w:sz="4" w:space="0" w:color="000000"/>
              <w:left w:val="single" w:sz="9" w:space="0" w:color="D2D2D2"/>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480,055,998.51</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480,055,998.51</w:t>
            </w:r>
          </w:p>
        </w:tc>
      </w:tr>
      <w:tr>
        <w:trPr>
          <w:trHeight w:val="16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4"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9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5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95" w:type="dxa"/>
            <w:vMerge/>
            <w:tcBorders>
              <w:left w:val="single" w:sz="4" w:space="0" w:color="000000"/>
              <w:right w:val="single" w:sz="4" w:space="0" w:color="000000"/>
            </w:tcBorders>
            <w:shd w:val="clear" w:color="auto" w:fill="D2D2D2"/>
          </w:tcPr>
          <w:p>
            <w:pPr/>
          </w:p>
        </w:tc>
        <w:tc>
          <w:tcPr>
            <w:tcW w:w="19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6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9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9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651"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2、持续和非持续第三层次公允价值计量项目，采用的估值技术和重要参数的定性及定量信" w:id="340"/>
      <w:bookmarkEnd w:id="340"/>
      <w:r>
        <w:rPr>
          <w:b w:val="0"/>
          <w:bCs w:val="0"/>
        </w:rPr>
      </w:r>
      <w:r>
        <w:rPr>
          <w:rFonts w:ascii="Times New Roman" w:hAnsi="Times New Roman" w:cs="Times New Roman" w:eastAsia="Times New Roman" w:hint="default"/>
        </w:rPr>
        <w:t>2</w:t>
      </w:r>
      <w:r>
        <w:rPr/>
        <w:t>、持续和非持续第三层次公允价值计量项目，采用的估值技术和重要参数的定性及定量信息</w:t>
      </w:r>
      <w:r>
        <w:rPr>
          <w:b w:val="0"/>
          <w:bCs w:val="0"/>
        </w:rPr>
      </w:r>
    </w:p>
    <w:p>
      <w:pPr>
        <w:spacing w:line="240" w:lineRule="auto" w:before="2"/>
        <w:rPr>
          <w:rFonts w:ascii="宋体" w:hAnsi="宋体" w:cs="宋体" w:eastAsia="宋体" w:hint="default"/>
          <w:b/>
          <w:bCs/>
          <w:sz w:val="31"/>
          <w:szCs w:val="31"/>
        </w:rPr>
      </w:pPr>
    </w:p>
    <w:p>
      <w:pPr>
        <w:pStyle w:val="BodyText"/>
        <w:spacing w:line="429" w:lineRule="auto"/>
        <w:ind w:right="1133" w:firstLine="401"/>
        <w:jc w:val="left"/>
      </w:pPr>
      <w:r>
        <w:rPr/>
        <w:t>交易性金融资产为公司持有的理财产品，按照本金及预计收益金额作为公允价值。其他非流动金融资产为</w:t>
      </w:r>
      <w:r>
        <w:rPr>
          <w:w w:val="99"/>
        </w:rPr>
        <w:t> </w:t>
      </w:r>
      <w:r>
        <w:rPr/>
        <w:t>公司持有的权益投资，采用成本计量，除非该项成本计量不可靠。</w:t>
      </w:r>
    </w:p>
    <w:p>
      <w:pPr>
        <w:spacing w:line="240" w:lineRule="auto" w:before="3"/>
        <w:rPr>
          <w:rFonts w:ascii="宋体" w:hAnsi="宋体" w:cs="宋体" w:eastAsia="宋体" w:hint="default"/>
          <w:sz w:val="20"/>
          <w:szCs w:val="20"/>
        </w:rPr>
      </w:pPr>
    </w:p>
    <w:p>
      <w:pPr>
        <w:pStyle w:val="Heading3"/>
        <w:spacing w:line="240" w:lineRule="auto"/>
        <w:ind w:right="1133"/>
        <w:jc w:val="left"/>
        <w:rPr>
          <w:b w:val="0"/>
          <w:bCs w:val="0"/>
        </w:rPr>
      </w:pPr>
      <w:bookmarkStart w:name="3、不以公允价值计量的金融资产和金融负债的公允价值情况" w:id="341"/>
      <w:bookmarkEnd w:id="341"/>
      <w:r>
        <w:rPr>
          <w:b w:val="0"/>
          <w:bCs w:val="0"/>
        </w:rPr>
      </w:r>
      <w:r>
        <w:rPr>
          <w:rFonts w:ascii="Times New Roman" w:hAnsi="Times New Roman" w:cs="Times New Roman" w:eastAsia="Times New Roman" w:hint="default"/>
        </w:rPr>
        <w:t>3</w:t>
      </w:r>
      <w:r>
        <w:rPr/>
        <w:t>、不以公允价值计量的金融资产和金融负债的公允价值情况</w:t>
      </w:r>
      <w:r>
        <w:rPr>
          <w:b w:val="0"/>
          <w:bCs w:val="0"/>
        </w:rPr>
      </w:r>
    </w:p>
    <w:p>
      <w:pPr>
        <w:spacing w:line="240" w:lineRule="auto" w:before="12"/>
        <w:rPr>
          <w:rFonts w:ascii="宋体" w:hAnsi="宋体" w:cs="宋体" w:eastAsia="宋体" w:hint="default"/>
          <w:b/>
          <w:bCs/>
          <w:sz w:val="30"/>
          <w:szCs w:val="30"/>
        </w:rPr>
      </w:pPr>
    </w:p>
    <w:p>
      <w:pPr>
        <w:pStyle w:val="BodyText"/>
        <w:spacing w:line="429" w:lineRule="auto"/>
        <w:ind w:right="1133" w:firstLine="401"/>
        <w:jc w:val="left"/>
      </w:pPr>
      <w:r>
        <w:rPr>
          <w:spacing w:val="-1"/>
          <w:w w:val="95"/>
        </w:rPr>
        <w:t>不以公允价值计量的金融资产和负债主要包括：货币资金、应收票据、应收账款、其他应收款、短期借款、</w:t>
      </w:r>
      <w:r>
        <w:rPr>
          <w:spacing w:val="-47"/>
          <w:w w:val="95"/>
        </w:rPr>
        <w:t> </w:t>
      </w:r>
      <w:r>
        <w:rPr>
          <w:spacing w:val="-47"/>
          <w:w w:val="95"/>
        </w:rPr>
      </w:r>
      <w:r>
        <w:rPr/>
        <w:t>应付票据、应付账款、其他应付款和长期应付款等。</w:t>
      </w:r>
    </w:p>
    <w:p>
      <w:pPr>
        <w:pStyle w:val="BodyText"/>
        <w:spacing w:line="240" w:lineRule="auto" w:before="48"/>
        <w:ind w:left="554" w:right="1133"/>
        <w:jc w:val="left"/>
      </w:pPr>
      <w:r>
        <w:rPr/>
        <w:t>不以公允价值计量的金融资产和负债的账面价值与公允价值相差很小。</w:t>
      </w:r>
    </w:p>
    <w:p>
      <w:pPr>
        <w:spacing w:line="240" w:lineRule="auto" w:before="0"/>
        <w:rPr>
          <w:rFonts w:ascii="宋体" w:hAnsi="宋体" w:cs="宋体" w:eastAsia="宋体" w:hint="default"/>
          <w:sz w:val="20"/>
          <w:szCs w:val="20"/>
        </w:rPr>
      </w:pPr>
    </w:p>
    <w:p>
      <w:pPr>
        <w:pStyle w:val="Heading2"/>
        <w:spacing w:line="240" w:lineRule="auto" w:before="136"/>
        <w:ind w:right="1133"/>
        <w:jc w:val="left"/>
        <w:rPr>
          <w:b w:val="0"/>
          <w:bCs w:val="0"/>
        </w:rPr>
      </w:pPr>
      <w:bookmarkStart w:name="十二、关联方及关联交易" w:id="342"/>
      <w:bookmarkEnd w:id="342"/>
      <w:r>
        <w:rPr>
          <w:b w:val="0"/>
          <w:bCs w:val="0"/>
        </w:rPr>
      </w:r>
      <w:r>
        <w:rPr/>
        <w:t>十二、关联方及关联交易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本企业的母公司情况" w:id="343"/>
      <w:bookmarkEnd w:id="343"/>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2"/>
        <w:rPr>
          <w:rFonts w:ascii="宋体" w:hAnsi="宋体" w:cs="宋体" w:eastAsia="宋体" w:hint="default"/>
          <w:b/>
          <w:bCs/>
          <w:sz w:val="24"/>
          <w:szCs w:val="24"/>
        </w:rPr>
      </w:pPr>
    </w:p>
    <w:p>
      <w:pPr>
        <w:pStyle w:val="BodyText"/>
        <w:spacing w:line="324" w:lineRule="auto"/>
        <w:ind w:right="7154"/>
        <w:jc w:val="left"/>
      </w:pPr>
      <w:r>
        <w:rPr/>
        <w:t>本企业最终控制方是沈飒、朱烨东夫妇。</w:t>
      </w:r>
      <w:r>
        <w:rPr>
          <w:w w:val="99"/>
        </w:rPr>
        <w:t> </w:t>
      </w:r>
      <w:r>
        <w:rPr/>
        <w:t>其他说明：</w:t>
      </w:r>
    </w:p>
    <w:p>
      <w:pPr>
        <w:pStyle w:val="BodyText"/>
        <w:spacing w:line="240" w:lineRule="auto" w:before="98"/>
        <w:ind w:left="554" w:right="1129"/>
        <w:jc w:val="left"/>
      </w:pPr>
      <w:r>
        <w:rPr/>
        <w:t>公司实际控制人为沈飒、朱烨东夫妇，本公司第一大股东为自然人沈飒，沈飒、朱烨东夫妇直接持有公司</w:t>
      </w:r>
    </w:p>
    <w:p>
      <w:pPr>
        <w:spacing w:line="240" w:lineRule="auto" w:before="10"/>
        <w:rPr>
          <w:rFonts w:ascii="宋体" w:hAnsi="宋体" w:cs="宋体" w:eastAsia="宋体" w:hint="default"/>
          <w:sz w:val="15"/>
          <w:szCs w:val="15"/>
        </w:rPr>
      </w:pPr>
    </w:p>
    <w:p>
      <w:pPr>
        <w:pStyle w:val="BodyText"/>
        <w:spacing w:line="240" w:lineRule="auto"/>
        <w:ind w:right="1133"/>
        <w:jc w:val="left"/>
      </w:pPr>
      <w:r>
        <w:rPr>
          <w:rFonts w:ascii="Times New Roman" w:hAnsi="Times New Roman" w:cs="Times New Roman" w:eastAsia="Times New Roman" w:hint="default"/>
        </w:rPr>
        <w:t>15.8949%</w:t>
      </w:r>
      <w:r>
        <w:rPr/>
        <w:t>的股份。陈绪华持有公司</w:t>
      </w:r>
      <w:r>
        <w:rPr>
          <w:rFonts w:ascii="Times New Roman" w:hAnsi="Times New Roman" w:cs="Times New Roman" w:eastAsia="Times New Roman" w:hint="default"/>
        </w:rPr>
        <w:t>0.002%</w:t>
      </w:r>
      <w:r>
        <w:rPr/>
        <w:t>的股份，沈飒、朱烨东、陈绪华为公司一致行动人。</w:t>
      </w:r>
    </w:p>
    <w:p>
      <w:pPr>
        <w:spacing w:line="240" w:lineRule="auto" w:before="0"/>
        <w:rPr>
          <w:rFonts w:ascii="宋体" w:hAnsi="宋体" w:cs="宋体" w:eastAsia="宋体" w:hint="default"/>
          <w:sz w:val="20"/>
          <w:szCs w:val="20"/>
        </w:rPr>
      </w:pPr>
    </w:p>
    <w:p>
      <w:pPr>
        <w:spacing w:line="535" w:lineRule="auto" w:before="146"/>
        <w:ind w:left="152" w:right="3752" w:firstLine="0"/>
        <w:jc w:val="left"/>
        <w:rPr>
          <w:rFonts w:ascii="宋体" w:hAnsi="宋体" w:cs="宋体" w:eastAsia="宋体" w:hint="default"/>
          <w:sz w:val="21"/>
          <w:szCs w:val="21"/>
        </w:rPr>
      </w:pPr>
      <w:bookmarkStart w:name="2、本企业的子公司情况" w:id="344"/>
      <w:bookmarkEnd w:id="34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20"/>
          <w:szCs w:val="20"/>
        </w:rPr>
        <w:t>本企业子公司的情况详见附注九、在其他主体中的权益。</w:t>
      </w:r>
      <w:r>
        <w:rPr>
          <w:rFonts w:ascii="宋体" w:hAnsi="宋体" w:cs="宋体" w:eastAsia="宋体" w:hint="default"/>
          <w:w w:val="99"/>
          <w:sz w:val="20"/>
          <w:szCs w:val="20"/>
        </w:rPr>
        <w:t> </w:t>
      </w:r>
      <w:bookmarkStart w:name="3、本企业合营和联营企业情况" w:id="345"/>
      <w:bookmarkEnd w:id="345"/>
      <w:r>
        <w:rPr>
          <w:rFonts w:ascii="宋体" w:hAnsi="宋体" w:cs="宋体" w:eastAsia="宋体" w:hint="default"/>
          <w:w w:val="99"/>
          <w:sz w:val="20"/>
          <w:szCs w:val="20"/>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21" w:lineRule="auto" w:before="42"/>
        <w:ind w:right="1133"/>
        <w:jc w:val="left"/>
      </w:pPr>
      <w:r>
        <w:rPr/>
        <w:t>本企业重要的合营或联营企业详见附注九、在其他主体中的权益。</w:t>
      </w:r>
      <w:r>
        <w:rPr>
          <w:w w:val="99"/>
        </w:rPr>
        <w:t> </w:t>
      </w:r>
      <w:r>
        <w:rPr>
          <w:w w:val="95"/>
        </w:rPr>
        <w:t>本期与本公司发生关联方交易，或前期与本公司发生关联方交易形成余额的其他合营或联营企业情况如下：</w:t>
      </w:r>
      <w:r>
        <w:rPr/>
      </w:r>
    </w:p>
    <w:p>
      <w:pPr>
        <w:spacing w:line="240" w:lineRule="auto" w:before="5"/>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深圳市金方达信息技术有限公司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北京中关村互联网金融信息服务中心有限公司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其他关联方情况" w:id="346"/>
      <w:bookmarkEnd w:id="346"/>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北京国信新网通讯技术有限公司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北京奥金智策传媒科技有限公司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报告期末已处置的联营企业</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6"/>
        <w:ind w:right="1133"/>
        <w:jc w:val="left"/>
        <w:rPr>
          <w:b w:val="0"/>
          <w:bCs w:val="0"/>
        </w:rPr>
      </w:pPr>
      <w:bookmarkStart w:name="5、关联交易情况" w:id="347"/>
      <w:bookmarkEnd w:id="347"/>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购销商品、提供和接受劳务的关联交易" w:id="348"/>
      <w:bookmarkEnd w:id="348"/>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37"/>
        <w:ind w:right="0"/>
        <w:jc w:val="left"/>
      </w:pPr>
      <w:r>
        <w:rPr>
          <w:w w:val="95"/>
        </w:rPr>
        <w:t>采购商品</w:t>
      </w:r>
      <w:r>
        <w:rPr>
          <w:rFonts w:ascii="Times New Roman" w:hAnsi="Times New Roman" w:cs="Times New Roman" w:eastAsia="Times New Roman" w:hint="default"/>
          <w:w w:val="95"/>
        </w:rPr>
        <w:t>/</w:t>
      </w:r>
      <w:r>
        <w:rPr>
          <w:w w:val="95"/>
        </w:rPr>
        <w:t>接受劳务情况表</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407" w:space="6422"/>
            <w:col w:w="210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2"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深圳市金方达信息 技术有限公司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设备采购</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2,437,755.78</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77,644.40</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北京国信新网通讯 技术有限公司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设备采购</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2,433,568.38</w:t>
            </w: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北京奥金智策传媒 科技有限公司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43,787.92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33"/>
        <w:ind w:right="0"/>
        <w:jc w:val="left"/>
      </w:pPr>
      <w:r>
        <w:rPr>
          <w:w w:val="95"/>
        </w:rPr>
        <w:t>出售商品</w:t>
      </w:r>
      <w:r>
        <w:rPr>
          <w:rFonts w:ascii="Times New Roman" w:hAnsi="Times New Roman" w:cs="Times New Roman" w:eastAsia="Times New Roman" w:hint="default"/>
          <w:w w:val="95"/>
        </w:rPr>
        <w:t>/</w:t>
      </w:r>
      <w:r>
        <w:rPr>
          <w:w w:val="95"/>
        </w:rPr>
        <w:t>提供劳务情况表</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407" w:space="6422"/>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北京中关村互联网金融信息服 务中心有限公司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243,811.32</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94,339.62</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北京奥金智策传媒科技有限公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47,169.81</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安粮期货股份有限公司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260,377.36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关联担保情况" w:id="349"/>
      <w:bookmarkEnd w:id="349"/>
      <w:r>
        <w:rPr>
          <w:b w:val="0"/>
          <w:bCs w:val="0"/>
        </w:rPr>
      </w:r>
      <w:r>
        <w:rPr/>
        <w:t>（</w:t>
      </w:r>
      <w:r>
        <w:rPr>
          <w:rFonts w:ascii="Times New Roman" w:hAnsi="Times New Roman" w:cs="Times New Roman" w:eastAsia="Times New Roman" w:hint="default"/>
        </w:rPr>
        <w:t>2</w:t>
      </w:r>
      <w:r>
        <w:rPr/>
        <w:t>）关联担保情况</w:t>
      </w:r>
      <w:r>
        <w:rPr>
          <w:b w:val="0"/>
          <w:bCs w:val="0"/>
        </w:rPr>
      </w:r>
    </w:p>
    <w:p>
      <w:pPr>
        <w:spacing w:line="240" w:lineRule="auto" w:before="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0"/>
        </w:sectPr>
      </w:pPr>
    </w:p>
    <w:p>
      <w:pPr>
        <w:pStyle w:val="BodyText"/>
        <w:spacing w:line="240" w:lineRule="auto" w:before="37"/>
        <w:ind w:right="0"/>
        <w:jc w:val="left"/>
      </w:pPr>
      <w:r>
        <w:rPr>
          <w:w w:val="95"/>
        </w:rPr>
        <w:t>本公司作为被担保方</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0" w:space="6879"/>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29,437,781.46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29,437,781.46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29,437,781.46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29,442,390.55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沈飒、朱烨东、北京中 科金财信息科技有限公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1,475,307.00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沈飒、朱烨东、北京中 科金财信息科技有限公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102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沈飒、朱烨东、北京中 科金财信息科技有限公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5,722,723.20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5,775,004.24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17,602,684.40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沈飒、朱烨东、北京中 科金财信息科技有限公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沈飒、朱烨东、北京中 科金财信息科技有限公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沈飒、朱烨东、北京中 科金财信息科技有限公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沈飒、朱烨东、北京中 科金财信息科技有限公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沈飒、朱烨东、北京中 科金财信息科技有限公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沈飒、朱烨东、北京中 科金财信息科技有限公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沈飒、朱烨东、北京中 科金财信息科技有限公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沈飒、朱烨东、北京中 科金财信息科技有限公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102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沈飒、朱烨东、北京中 科金财信息科技有限公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11,890,000.00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沈飒、朱烨东、北京中 科金财信息科技有限公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33,667,746.00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沈飒、朱烨东、北京中 科金财信息科技有限公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沈飒、朱烨东、北京中 科金财信息科技有限公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3）关键管理人员报酬" w:id="350"/>
      <w:bookmarkEnd w:id="350"/>
      <w:r>
        <w:rPr>
          <w:b w:val="0"/>
          <w:bCs w:val="0"/>
        </w:rPr>
      </w:r>
      <w:r>
        <w:rPr/>
        <w:t>（</w:t>
      </w:r>
      <w:r>
        <w:rPr>
          <w:rFonts w:ascii="Times New Roman" w:hAnsi="Times New Roman" w:cs="Times New Roman" w:eastAsia="Times New Roman" w:hint="default"/>
        </w:rPr>
        <w:t>3</w:t>
      </w:r>
      <w:r>
        <w:rPr/>
        <w:t>）关键管理人员报酬</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8,202,091.04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6,587,712.98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6、关联方应收应付款项" w:id="351"/>
      <w:bookmarkEnd w:id="351"/>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应收项目" w:id="352"/>
      <w:bookmarkEnd w:id="352"/>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深圳市金方达信息 技术有限公司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1,213,906.88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北京奥金智策传媒 科技有限公司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333,570.56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应付项目" w:id="353"/>
      <w:bookmarkEnd w:id="353"/>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深圳市金方达信息技术有限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626,088.12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北京国信新网通讯技术有限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737,292.41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737,292.41</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北京国信新网通讯技术有限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2,469,930.00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107,500.00</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十三、承诺及或有事项" w:id="354"/>
      <w:bookmarkEnd w:id="354"/>
      <w:r>
        <w:rPr>
          <w:b w:val="0"/>
          <w:bCs w:val="0"/>
        </w:rPr>
      </w:r>
      <w:r>
        <w:rPr/>
        <w:t>十三、承诺及或有事项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重要承诺事项" w:id="355"/>
      <w:bookmarkEnd w:id="355"/>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133"/>
        <w:jc w:val="left"/>
      </w:pPr>
      <w:r>
        <w:rPr/>
        <w:t>资产负债表日存在的重要承诺</w:t>
      </w:r>
    </w:p>
    <w:p>
      <w:pPr>
        <w:pStyle w:val="BodyText"/>
        <w:spacing w:line="405" w:lineRule="auto" w:before="170"/>
        <w:ind w:right="1128" w:firstLine="401"/>
        <w:jc w:val="both"/>
      </w:pPr>
      <w:r>
        <w:rPr>
          <w:rFonts w:ascii="Times New Roman" w:hAnsi="Times New Roman" w:cs="Times New Roman" w:eastAsia="Times New Roman" w:hint="default"/>
          <w:w w:val="95"/>
        </w:rPr>
        <w:t>2018</w:t>
      </w:r>
      <w:r>
        <w:rPr>
          <w:w w:val="95"/>
        </w:rPr>
        <w:t>年</w:t>
      </w:r>
      <w:r>
        <w:rPr>
          <w:rFonts w:ascii="Times New Roman" w:hAnsi="Times New Roman" w:cs="Times New Roman" w:eastAsia="Times New Roman" w:hint="default"/>
          <w:w w:val="95"/>
        </w:rPr>
        <w:t>4</w:t>
      </w:r>
      <w:r>
        <w:rPr>
          <w:w w:val="95"/>
        </w:rPr>
        <w:t>月</w:t>
      </w:r>
      <w:r>
        <w:rPr>
          <w:rFonts w:ascii="Times New Roman" w:hAnsi="Times New Roman" w:cs="Times New Roman" w:eastAsia="Times New Roman" w:hint="default"/>
          <w:w w:val="95"/>
        </w:rPr>
        <w:t>28</w:t>
      </w:r>
      <w:r>
        <w:rPr>
          <w:w w:val="95"/>
        </w:rPr>
        <w:t>日，公司与北京北航科技园有限公司签订了编号为</w:t>
      </w:r>
      <w:r>
        <w:rPr>
          <w:rFonts w:ascii="Times New Roman" w:hAnsi="Times New Roman" w:cs="Times New Roman" w:eastAsia="Times New Roman" w:hint="default"/>
          <w:w w:val="95"/>
        </w:rPr>
        <w:t>KJWSHT-2018004</w:t>
      </w:r>
      <w:r>
        <w:rPr>
          <w:w w:val="95"/>
        </w:rPr>
        <w:t>的房屋租赁合同，租赁北</w:t>
      </w:r>
      <w:r>
        <w:rPr>
          <w:spacing w:val="-61"/>
          <w:w w:val="95"/>
        </w:rPr>
        <w:t> </w:t>
      </w:r>
      <w:r>
        <w:rPr>
          <w:spacing w:val="-61"/>
          <w:w w:val="95"/>
        </w:rPr>
      </w:r>
      <w:r>
        <w:rPr>
          <w:w w:val="95"/>
        </w:rPr>
        <w:t>京航空航天大学拥有的北京市海淀区学院路</w:t>
      </w:r>
      <w:r>
        <w:rPr>
          <w:rFonts w:ascii="Times New Roman" w:hAnsi="Times New Roman" w:cs="Times New Roman" w:eastAsia="Times New Roman" w:hint="default"/>
          <w:w w:val="95"/>
        </w:rPr>
        <w:t>39</w:t>
      </w:r>
      <w:r>
        <w:rPr>
          <w:w w:val="95"/>
        </w:rPr>
        <w:t>号</w:t>
      </w:r>
      <w:r>
        <w:rPr>
          <w:rFonts w:ascii="Times New Roman" w:hAnsi="Times New Roman" w:cs="Times New Roman" w:eastAsia="Times New Roman" w:hint="default"/>
          <w:w w:val="95"/>
        </w:rPr>
        <w:t>“</w:t>
      </w:r>
      <w:r>
        <w:rPr>
          <w:w w:val="95"/>
        </w:rPr>
        <w:t>唯实大厦</w:t>
      </w:r>
      <w:r>
        <w:rPr>
          <w:rFonts w:ascii="Times New Roman" w:hAnsi="Times New Roman" w:cs="Times New Roman" w:eastAsia="Times New Roman" w:hint="default"/>
          <w:w w:val="95"/>
        </w:rPr>
        <w:t>”</w:t>
      </w:r>
      <w:r>
        <w:rPr>
          <w:w w:val="95"/>
        </w:rPr>
        <w:t>十层的物业为公司总部办公场所。租期自</w:t>
      </w:r>
      <w:r>
        <w:rPr>
          <w:rFonts w:ascii="Times New Roman" w:hAnsi="Times New Roman" w:cs="Times New Roman" w:eastAsia="Times New Roman" w:hint="default"/>
          <w:w w:val="95"/>
        </w:rPr>
        <w:t>2018</w:t>
      </w:r>
      <w:r>
        <w:rPr>
          <w:w w:val="95"/>
        </w:rPr>
        <w:t>年</w:t>
      </w:r>
      <w:r>
        <w:rPr>
          <w:rFonts w:ascii="Times New Roman" w:hAnsi="Times New Roman" w:cs="Times New Roman" w:eastAsia="Times New Roman" w:hint="default"/>
          <w:w w:val="95"/>
        </w:rPr>
        <w:t>7</w:t>
      </w:r>
      <w:r>
        <w:rPr>
          <w:w w:val="95"/>
        </w:rPr>
        <w:t>月</w:t>
      </w:r>
      <w:r>
        <w:rPr>
          <w:spacing w:val="61"/>
          <w:w w:val="95"/>
        </w:rPr>
        <w:t> </w:t>
      </w:r>
      <w:r>
        <w:rPr>
          <w:rFonts w:ascii="Times New Roman" w:hAnsi="Times New Roman" w:cs="Times New Roman" w:eastAsia="Times New Roman" w:hint="default"/>
          <w:w w:val="95"/>
        </w:rPr>
        <w:t>1</w:t>
      </w:r>
      <w:r>
        <w:rPr>
          <w:w w:val="95"/>
        </w:rPr>
        <w:t>日起至</w:t>
      </w:r>
      <w:r>
        <w:rPr>
          <w:rFonts w:ascii="Times New Roman" w:hAnsi="Times New Roman" w:cs="Times New Roman" w:eastAsia="Times New Roman" w:hint="default"/>
          <w:w w:val="95"/>
        </w:rPr>
        <w:t>2020</w:t>
      </w:r>
      <w:r>
        <w:rPr>
          <w:w w:val="95"/>
        </w:rPr>
        <w:t>年</w:t>
      </w:r>
      <w:r>
        <w:rPr>
          <w:rFonts w:ascii="Times New Roman" w:hAnsi="Times New Roman" w:cs="Times New Roman" w:eastAsia="Times New Roman" w:hint="default"/>
          <w:w w:val="95"/>
        </w:rPr>
        <w:t>6</w:t>
      </w:r>
      <w:r>
        <w:rPr>
          <w:w w:val="95"/>
        </w:rPr>
        <w:t>月</w:t>
      </w:r>
      <w:r>
        <w:rPr>
          <w:rFonts w:ascii="Times New Roman" w:hAnsi="Times New Roman" w:cs="Times New Roman" w:eastAsia="Times New Roman" w:hint="default"/>
          <w:w w:val="95"/>
        </w:rPr>
        <w:t>30</w:t>
      </w:r>
      <w:r>
        <w:rPr>
          <w:w w:val="95"/>
        </w:rPr>
        <w:t>日止，租赁建筑面积为</w:t>
      </w:r>
      <w:r>
        <w:rPr>
          <w:rFonts w:ascii="Times New Roman" w:hAnsi="Times New Roman" w:cs="Times New Roman" w:eastAsia="Times New Roman" w:hint="default"/>
          <w:w w:val="95"/>
        </w:rPr>
        <w:t>2,655.41</w:t>
      </w:r>
      <w:r>
        <w:rPr>
          <w:w w:val="95"/>
        </w:rPr>
        <w:t>平方米，租金标准为</w:t>
      </w:r>
      <w:r>
        <w:rPr>
          <w:rFonts w:ascii="Times New Roman" w:hAnsi="Times New Roman" w:cs="Times New Roman" w:eastAsia="Times New Roman" w:hint="default"/>
          <w:w w:val="95"/>
        </w:rPr>
        <w:t>7.5</w:t>
      </w:r>
      <w:r>
        <w:rPr>
          <w:w w:val="95"/>
        </w:rPr>
        <w:t>元</w:t>
      </w:r>
      <w:r>
        <w:rPr>
          <w:rFonts w:ascii="Times New Roman" w:hAnsi="Times New Roman" w:cs="Times New Roman" w:eastAsia="Times New Roman" w:hint="default"/>
          <w:w w:val="95"/>
        </w:rPr>
        <w:t>/</w:t>
      </w:r>
      <w:r>
        <w:rPr>
          <w:w w:val="95"/>
        </w:rPr>
        <w:t>建筑平方米</w:t>
      </w:r>
      <w:r>
        <w:rPr>
          <w:rFonts w:ascii="Times New Roman" w:hAnsi="Times New Roman" w:cs="Times New Roman" w:eastAsia="Times New Roman" w:hint="default"/>
          <w:w w:val="95"/>
        </w:rPr>
        <w:t>/</w:t>
      </w:r>
      <w:r>
        <w:rPr>
          <w:w w:val="95"/>
        </w:rPr>
        <w:t>日，物业管理费收费</w:t>
      </w:r>
      <w:r>
        <w:rPr>
          <w:spacing w:val="69"/>
          <w:w w:val="95"/>
        </w:rPr>
        <w:t> </w:t>
      </w:r>
      <w:r>
        <w:rPr>
          <w:spacing w:val="69"/>
          <w:w w:val="95"/>
        </w:rPr>
      </w:r>
      <w:r>
        <w:rPr/>
        <w:t>标准为</w:t>
      </w:r>
      <w:r>
        <w:rPr>
          <w:rFonts w:ascii="Times New Roman" w:hAnsi="Times New Roman" w:cs="Times New Roman" w:eastAsia="Times New Roman" w:hint="default"/>
        </w:rPr>
        <w:t>1.0</w:t>
      </w:r>
      <w:r>
        <w:rPr/>
        <w:t>元</w:t>
      </w:r>
      <w:r>
        <w:rPr>
          <w:rFonts w:ascii="Times New Roman" w:hAnsi="Times New Roman" w:cs="Times New Roman" w:eastAsia="Times New Roman" w:hint="default"/>
        </w:rPr>
        <w:t>/</w:t>
      </w:r>
      <w:r>
        <w:rPr/>
        <w:t>建筑平方米</w:t>
      </w:r>
      <w:r>
        <w:rPr>
          <w:rFonts w:ascii="Times New Roman" w:hAnsi="Times New Roman" w:cs="Times New Roman" w:eastAsia="Times New Roman" w:hint="default"/>
        </w:rPr>
        <w:t>/</w:t>
      </w:r>
      <w:r>
        <w:rPr/>
        <w:t>日。</w:t>
      </w:r>
    </w:p>
    <w:p>
      <w:pPr>
        <w:spacing w:line="240" w:lineRule="auto" w:before="6"/>
        <w:rPr>
          <w:rFonts w:ascii="宋体" w:hAnsi="宋体" w:cs="宋体" w:eastAsia="宋体" w:hint="default"/>
          <w:sz w:val="19"/>
          <w:szCs w:val="19"/>
        </w:rPr>
      </w:pPr>
    </w:p>
    <w:p>
      <w:pPr>
        <w:pStyle w:val="Heading3"/>
        <w:spacing w:line="240" w:lineRule="auto"/>
        <w:ind w:right="1133"/>
        <w:jc w:val="left"/>
        <w:rPr>
          <w:b w:val="0"/>
          <w:bCs w:val="0"/>
        </w:rPr>
      </w:pPr>
      <w:bookmarkStart w:name="2、或有事项" w:id="356"/>
      <w:bookmarkEnd w:id="356"/>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公司没有需要披露的重要或有事项，也应予以说明" w:id="357"/>
      <w:bookmarkEnd w:id="357"/>
      <w:r>
        <w:rPr>
          <w:b w:val="0"/>
          <w:bCs w:val="0"/>
        </w:rPr>
      </w:r>
      <w:r>
        <w:rPr/>
        <w:t>（</w:t>
      </w:r>
      <w:r>
        <w:rPr>
          <w:rFonts w:ascii="Times New Roman" w:hAnsi="Times New Roman" w:cs="Times New Roman" w:eastAsia="Times New Roman" w:hint="default"/>
        </w:rPr>
        <w:t>1</w:t>
      </w:r>
      <w:r>
        <w:rPr/>
        <w:t>）公司没有需要披露的重要或有事项，也应予以说明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t>公司不存在需要披露的重要或有事项。</w:t>
      </w:r>
    </w:p>
    <w:p>
      <w:pPr>
        <w:spacing w:line="240" w:lineRule="auto" w:before="6"/>
        <w:rPr>
          <w:rFonts w:ascii="宋体" w:hAnsi="宋体" w:cs="宋体" w:eastAsia="宋体" w:hint="default"/>
          <w:sz w:val="26"/>
          <w:szCs w:val="26"/>
        </w:rPr>
      </w:pPr>
    </w:p>
    <w:p>
      <w:pPr>
        <w:pStyle w:val="Heading3"/>
        <w:spacing w:line="240" w:lineRule="auto"/>
        <w:ind w:right="1133"/>
        <w:jc w:val="left"/>
        <w:rPr>
          <w:b w:val="0"/>
          <w:bCs w:val="0"/>
        </w:rPr>
      </w:pPr>
      <w:bookmarkStart w:name="3、其他" w:id="358"/>
      <w:bookmarkEnd w:id="358"/>
      <w:r>
        <w:rPr>
          <w:b w:val="0"/>
          <w:bCs w:val="0"/>
        </w:rPr>
      </w:r>
      <w:r>
        <w:rPr>
          <w:rFonts w:ascii="Times New Roman" w:hAnsi="Times New Roman" w:cs="Times New Roman" w:eastAsia="Times New Roman" w:hint="default"/>
        </w:rPr>
        <w:t>3</w:t>
      </w:r>
      <w:r>
        <w:rPr/>
        <w:t>、其他</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日，公司尚有未到期的由银行为公司提供的保函担保，明细见下表：</w:t>
      </w:r>
    </w:p>
    <w:p>
      <w:pPr>
        <w:spacing w:line="240" w:lineRule="auto" w:before="4"/>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3061"/>
        <w:gridCol w:w="1080"/>
        <w:gridCol w:w="1220"/>
        <w:gridCol w:w="1702"/>
        <w:gridCol w:w="1359"/>
      </w:tblGrid>
      <w:tr>
        <w:trPr>
          <w:trHeight w:val="34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hAnsi="宋体" w:cs="宋体" w:eastAsia="宋体" w:hint="default"/>
                <w:sz w:val="20"/>
                <w:szCs w:val="20"/>
              </w:rPr>
              <w:t>担保银行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币种</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担保份数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89" w:right="0"/>
              <w:jc w:val="left"/>
              <w:rPr>
                <w:rFonts w:ascii="宋体" w:hAnsi="宋体" w:cs="宋体" w:eastAsia="宋体" w:hint="default"/>
                <w:sz w:val="20"/>
                <w:szCs w:val="20"/>
              </w:rPr>
            </w:pPr>
            <w:r>
              <w:rPr>
                <w:rFonts w:ascii="宋体" w:hAnsi="宋体" w:cs="宋体" w:eastAsia="宋体" w:hint="default"/>
                <w:sz w:val="20"/>
                <w:szCs w:val="20"/>
              </w:rPr>
              <w:t>担保金额（元）</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
              <w:jc w:val="center"/>
              <w:rPr>
                <w:rFonts w:ascii="宋体" w:hAnsi="宋体" w:cs="宋体" w:eastAsia="宋体" w:hint="default"/>
                <w:sz w:val="20"/>
                <w:szCs w:val="20"/>
              </w:rPr>
            </w:pPr>
            <w:r>
              <w:rPr>
                <w:rFonts w:ascii="宋体" w:hAnsi="宋体" w:cs="宋体" w:eastAsia="宋体" w:hint="default"/>
                <w:sz w:val="20"/>
                <w:szCs w:val="20"/>
              </w:rPr>
              <w:t>担保事由</w:t>
            </w:r>
          </w:p>
        </w:tc>
      </w:tr>
      <w:tr>
        <w:trPr>
          <w:trHeight w:val="34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北京银行中关村科技园支行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hAnsi="宋体" w:cs="宋体" w:eastAsia="宋体" w:hint="default"/>
                <w:sz w:val="20"/>
                <w:szCs w:val="20"/>
              </w:rPr>
              <w:t>人民币</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20"/>
                <w:szCs w:val="20"/>
              </w:rPr>
            </w:pPr>
            <w:r>
              <w:rPr>
                <w:rFonts w:ascii="Times New Roman"/>
                <w:sz w:val="20"/>
              </w:rPr>
              <w:t>22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6,931,811.03</w:t>
            </w:r>
            <w:r>
              <w:rPr>
                <w:rFonts w:ascii="Times New Roman"/>
                <w:sz w:val="20"/>
              </w:rPr>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
              <w:jc w:val="center"/>
              <w:rPr>
                <w:rFonts w:ascii="宋体" w:hAnsi="宋体" w:cs="宋体" w:eastAsia="宋体" w:hint="default"/>
                <w:sz w:val="20"/>
                <w:szCs w:val="20"/>
              </w:rPr>
            </w:pPr>
            <w:r>
              <w:rPr>
                <w:rFonts w:ascii="宋体" w:hAnsi="宋体" w:cs="宋体" w:eastAsia="宋体" w:hint="default"/>
                <w:sz w:val="20"/>
                <w:szCs w:val="20"/>
              </w:rPr>
              <w:t>保函</w:t>
            </w:r>
          </w:p>
        </w:tc>
      </w:tr>
      <w:tr>
        <w:trPr>
          <w:trHeight w:val="34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中国民生银行北京昌平支行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hAnsi="宋体" w:cs="宋体" w:eastAsia="宋体" w:hint="default"/>
                <w:sz w:val="20"/>
                <w:szCs w:val="20"/>
              </w:rPr>
              <w:t>人民币</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1,379,959.00</w:t>
            </w:r>
            <w:r>
              <w:rPr>
                <w:rFonts w:ascii="Times New Roman"/>
                <w:sz w:val="20"/>
              </w:rPr>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
              <w:jc w:val="center"/>
              <w:rPr>
                <w:rFonts w:ascii="宋体" w:hAnsi="宋体" w:cs="宋体" w:eastAsia="宋体" w:hint="default"/>
                <w:sz w:val="20"/>
                <w:szCs w:val="20"/>
              </w:rPr>
            </w:pPr>
            <w:r>
              <w:rPr>
                <w:rFonts w:ascii="宋体" w:hAnsi="宋体" w:cs="宋体" w:eastAsia="宋体" w:hint="default"/>
                <w:sz w:val="20"/>
                <w:szCs w:val="20"/>
              </w:rPr>
              <w:t>保函</w:t>
            </w:r>
          </w:p>
        </w:tc>
      </w:tr>
      <w:tr>
        <w:trPr>
          <w:trHeight w:val="34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宁波银行北京分行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hAnsi="宋体" w:cs="宋体" w:eastAsia="宋体" w:hint="default"/>
                <w:sz w:val="20"/>
                <w:szCs w:val="20"/>
              </w:rPr>
              <w:t>人民币</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20"/>
                <w:szCs w:val="20"/>
              </w:rPr>
            </w:pPr>
            <w:r>
              <w:rPr>
                <w:rFonts w:ascii="Times New Roman"/>
                <w:sz w:val="20"/>
              </w:rPr>
              <w:t>96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spacing w:val="-1"/>
                <w:sz w:val="20"/>
              </w:rPr>
              <w:t>32,305,913.19</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
              <w:jc w:val="center"/>
              <w:rPr>
                <w:rFonts w:ascii="宋体" w:hAnsi="宋体" w:cs="宋体" w:eastAsia="宋体" w:hint="default"/>
                <w:sz w:val="20"/>
                <w:szCs w:val="20"/>
              </w:rPr>
            </w:pPr>
            <w:r>
              <w:rPr>
                <w:rFonts w:ascii="宋体" w:hAnsi="宋体" w:cs="宋体" w:eastAsia="宋体" w:hint="default"/>
                <w:sz w:val="20"/>
                <w:szCs w:val="20"/>
              </w:rPr>
              <w:t>保函</w:t>
            </w:r>
          </w:p>
        </w:tc>
      </w:tr>
      <w:tr>
        <w:trPr>
          <w:trHeight w:val="34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招商银行北京大运村支行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hAnsi="宋体" w:cs="宋体" w:eastAsia="宋体" w:hint="default"/>
                <w:sz w:val="20"/>
                <w:szCs w:val="20"/>
              </w:rPr>
              <w:t>人民币</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4,124,000.00</w:t>
            </w:r>
            <w:r>
              <w:rPr>
                <w:rFonts w:ascii="Times New Roman"/>
                <w:sz w:val="20"/>
              </w:rPr>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
              <w:jc w:val="center"/>
              <w:rPr>
                <w:rFonts w:ascii="宋体" w:hAnsi="宋体" w:cs="宋体" w:eastAsia="宋体" w:hint="default"/>
                <w:sz w:val="20"/>
                <w:szCs w:val="20"/>
              </w:rPr>
            </w:pPr>
            <w:r>
              <w:rPr>
                <w:rFonts w:ascii="宋体" w:hAnsi="宋体" w:cs="宋体" w:eastAsia="宋体" w:hint="default"/>
                <w:sz w:val="20"/>
                <w:szCs w:val="20"/>
              </w:rPr>
              <w:t>保函</w:t>
            </w:r>
          </w:p>
        </w:tc>
      </w:tr>
      <w:tr>
        <w:trPr>
          <w:trHeight w:val="34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浙商银行北京分行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hAnsi="宋体" w:cs="宋体" w:eastAsia="宋体" w:hint="default"/>
                <w:sz w:val="20"/>
                <w:szCs w:val="20"/>
              </w:rPr>
              <w:t>人民币</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1,343,736.16</w:t>
            </w:r>
            <w:r>
              <w:rPr>
                <w:rFonts w:ascii="Times New Roman"/>
                <w:sz w:val="20"/>
              </w:rPr>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
              <w:jc w:val="center"/>
              <w:rPr>
                <w:rFonts w:ascii="宋体" w:hAnsi="宋体" w:cs="宋体" w:eastAsia="宋体" w:hint="default"/>
                <w:sz w:val="20"/>
                <w:szCs w:val="20"/>
              </w:rPr>
            </w:pPr>
            <w:r>
              <w:rPr>
                <w:rFonts w:ascii="宋体" w:hAnsi="宋体" w:cs="宋体" w:eastAsia="宋体" w:hint="default"/>
                <w:sz w:val="20"/>
                <w:szCs w:val="20"/>
              </w:rPr>
              <w:t>保函</w:t>
            </w:r>
          </w:p>
        </w:tc>
      </w:tr>
      <w:tr>
        <w:trPr>
          <w:trHeight w:val="34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中国建设银行北京安华支行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hAnsi="宋体" w:cs="宋体" w:eastAsia="宋体" w:hint="default"/>
                <w:sz w:val="20"/>
                <w:szCs w:val="20"/>
              </w:rPr>
              <w:t>人民币</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2,234,544.27</w:t>
            </w:r>
            <w:r>
              <w:rPr>
                <w:rFonts w:ascii="Times New Roman"/>
                <w:sz w:val="20"/>
              </w:rPr>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
              <w:jc w:val="center"/>
              <w:rPr>
                <w:rFonts w:ascii="宋体" w:hAnsi="宋体" w:cs="宋体" w:eastAsia="宋体" w:hint="default"/>
                <w:sz w:val="20"/>
                <w:szCs w:val="20"/>
              </w:rPr>
            </w:pPr>
            <w:r>
              <w:rPr>
                <w:rFonts w:ascii="宋体" w:hAnsi="宋体" w:cs="宋体" w:eastAsia="宋体" w:hint="default"/>
                <w:sz w:val="20"/>
                <w:szCs w:val="20"/>
              </w:rPr>
              <w:t>保函</w:t>
            </w:r>
          </w:p>
        </w:tc>
      </w:tr>
      <w:tr>
        <w:trPr>
          <w:trHeight w:val="34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杭州银行北京上地支行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hAnsi="宋体" w:cs="宋体" w:eastAsia="宋体" w:hint="default"/>
                <w:sz w:val="20"/>
                <w:szCs w:val="20"/>
              </w:rPr>
              <w:t>人民币</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spacing w:val="-1"/>
                <w:sz w:val="20"/>
              </w:rPr>
              <w:t>464,000.00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
              <w:jc w:val="center"/>
              <w:rPr>
                <w:rFonts w:ascii="宋体" w:hAnsi="宋体" w:cs="宋体" w:eastAsia="宋体" w:hint="default"/>
                <w:sz w:val="20"/>
                <w:szCs w:val="20"/>
              </w:rPr>
            </w:pPr>
            <w:r>
              <w:rPr>
                <w:rFonts w:ascii="宋体" w:hAnsi="宋体" w:cs="宋体" w:eastAsia="宋体" w:hint="default"/>
                <w:sz w:val="20"/>
                <w:szCs w:val="20"/>
              </w:rPr>
              <w:t>保函</w:t>
            </w:r>
          </w:p>
        </w:tc>
      </w:tr>
      <w:tr>
        <w:trPr>
          <w:trHeight w:val="34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中信银行西山壹号院支行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0"/>
                <w:szCs w:val="20"/>
              </w:rPr>
            </w:pPr>
            <w:r>
              <w:rPr>
                <w:rFonts w:ascii="宋体" w:hAnsi="宋体" w:cs="宋体" w:eastAsia="宋体" w:hint="default"/>
                <w:sz w:val="20"/>
                <w:szCs w:val="20"/>
              </w:rPr>
              <w:t>人民币</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2,311,087.25</w:t>
            </w:r>
            <w:r>
              <w:rPr>
                <w:rFonts w:ascii="Times New Roman"/>
                <w:sz w:val="20"/>
              </w:rPr>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
              <w:jc w:val="center"/>
              <w:rPr>
                <w:rFonts w:ascii="宋体" w:hAnsi="宋体" w:cs="宋体" w:eastAsia="宋体" w:hint="default"/>
                <w:sz w:val="20"/>
                <w:szCs w:val="20"/>
              </w:rPr>
            </w:pPr>
            <w:r>
              <w:rPr>
                <w:rFonts w:ascii="宋体" w:hAnsi="宋体" w:cs="宋体" w:eastAsia="宋体" w:hint="default"/>
                <w:sz w:val="20"/>
                <w:szCs w:val="20"/>
              </w:rPr>
              <w:t>保函</w:t>
            </w:r>
          </w:p>
        </w:tc>
      </w:tr>
      <w:tr>
        <w:trPr>
          <w:trHeight w:val="34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厦门国际银行北京中关村支行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hAnsi="宋体" w:cs="宋体" w:eastAsia="宋体" w:hint="default"/>
                <w:sz w:val="20"/>
                <w:szCs w:val="20"/>
              </w:rPr>
              <w:t>人民币</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7,900,694.93</w:t>
            </w:r>
            <w:r>
              <w:rPr>
                <w:rFonts w:ascii="Times New Roman"/>
                <w:sz w:val="20"/>
              </w:rPr>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
              <w:jc w:val="center"/>
              <w:rPr>
                <w:rFonts w:ascii="宋体" w:hAnsi="宋体" w:cs="宋体" w:eastAsia="宋体" w:hint="default"/>
                <w:sz w:val="20"/>
                <w:szCs w:val="20"/>
              </w:rPr>
            </w:pPr>
            <w:r>
              <w:rPr>
                <w:rFonts w:ascii="宋体" w:hAnsi="宋体" w:cs="宋体" w:eastAsia="宋体" w:hint="default"/>
                <w:sz w:val="20"/>
                <w:szCs w:val="20"/>
              </w:rPr>
              <w:t>保函</w:t>
            </w:r>
          </w:p>
        </w:tc>
      </w:tr>
      <w:tr>
        <w:trPr>
          <w:trHeight w:val="34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Times New Roman" w:hAnsi="Times New Roman" w:cs="Times New Roman" w:eastAsia="Times New Roman" w:hint="default"/>
                <w:sz w:val="20"/>
                <w:szCs w:val="20"/>
              </w:rPr>
            </w:pPr>
            <w:r>
              <w:rPr>
                <w:rFonts w:ascii="Times New Roman"/>
                <w:sz w:val="20"/>
              </w:rPr>
              <w:t>148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right"/>
              <w:rPr>
                <w:rFonts w:ascii="Times New Roman" w:hAnsi="Times New Roman" w:cs="Times New Roman" w:eastAsia="Times New Roman" w:hint="default"/>
                <w:sz w:val="20"/>
                <w:szCs w:val="20"/>
              </w:rPr>
            </w:pPr>
            <w:r>
              <w:rPr>
                <w:rFonts w:ascii="Times New Roman"/>
                <w:spacing w:val="-1"/>
                <w:sz w:val="20"/>
              </w:rPr>
              <w:t>58,995,745.83</w:t>
            </w:r>
          </w:p>
        </w:tc>
        <w:tc>
          <w:tcPr>
            <w:tcW w:w="135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0"/>
          <w:szCs w:val="20"/>
        </w:rPr>
      </w:pPr>
    </w:p>
    <w:p>
      <w:pPr>
        <w:pStyle w:val="BodyText"/>
        <w:spacing w:line="240" w:lineRule="auto" w:before="37"/>
        <w:ind w:right="1133"/>
        <w:jc w:val="left"/>
      </w:pP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日，公司尚有已到期尚未撤销的由银行为公司提供的保函担保，明细见下表：</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701"/>
        <w:gridCol w:w="1099"/>
        <w:gridCol w:w="1222"/>
        <w:gridCol w:w="1880"/>
        <w:gridCol w:w="1561"/>
      </w:tblGrid>
      <w:tr>
        <w:trPr>
          <w:trHeight w:val="341"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hAnsi="宋体" w:cs="宋体" w:eastAsia="宋体" w:hint="default"/>
                <w:sz w:val="20"/>
                <w:szCs w:val="20"/>
              </w:rPr>
              <w:t>担保银行</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币种</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担保份数</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76" w:right="0"/>
              <w:jc w:val="left"/>
              <w:rPr>
                <w:rFonts w:ascii="宋体" w:hAnsi="宋体" w:cs="宋体" w:eastAsia="宋体" w:hint="default"/>
                <w:sz w:val="20"/>
                <w:szCs w:val="20"/>
              </w:rPr>
            </w:pPr>
            <w:r>
              <w:rPr>
                <w:rFonts w:ascii="宋体" w:hAnsi="宋体" w:cs="宋体" w:eastAsia="宋体" w:hint="default"/>
                <w:sz w:val="20"/>
                <w:szCs w:val="20"/>
              </w:rPr>
              <w:t>担保金额（元）</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担保事由</w:t>
            </w:r>
          </w:p>
        </w:tc>
      </w:tr>
      <w:tr>
        <w:trPr>
          <w:trHeight w:val="343"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宁波银行北京分行</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0"/>
                <w:szCs w:val="20"/>
              </w:rPr>
            </w:pPr>
            <w:r>
              <w:rPr>
                <w:rFonts w:ascii="宋体" w:hAnsi="宋体" w:cs="宋体" w:eastAsia="宋体" w:hint="default"/>
                <w:sz w:val="20"/>
                <w:szCs w:val="20"/>
              </w:rPr>
              <w:t>人民币</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4,141,535.45</w:t>
            </w:r>
            <w:r>
              <w:rPr>
                <w:rFonts w:ascii="Times New Roman"/>
                <w:sz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保函</w:t>
            </w:r>
          </w:p>
        </w:tc>
      </w:tr>
      <w:tr>
        <w:trPr>
          <w:trHeight w:val="341"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浙商银行北京分行</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hAnsi="宋体" w:cs="宋体" w:eastAsia="宋体" w:hint="default"/>
                <w:sz w:val="20"/>
                <w:szCs w:val="20"/>
              </w:rPr>
              <w:t>人民币</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spacing w:val="-1"/>
                <w:sz w:val="20"/>
              </w:rPr>
              <w:t>174,000.00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保函</w:t>
            </w:r>
          </w:p>
        </w:tc>
      </w:tr>
      <w:tr>
        <w:trPr>
          <w:trHeight w:val="343"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中信银行西山壹号院支行</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0"/>
                <w:szCs w:val="20"/>
              </w:rPr>
            </w:pPr>
            <w:r>
              <w:rPr>
                <w:rFonts w:ascii="宋体" w:hAnsi="宋体" w:cs="宋体" w:eastAsia="宋体" w:hint="default"/>
                <w:sz w:val="20"/>
                <w:szCs w:val="20"/>
              </w:rPr>
              <w:t>人民币</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2,965,110.42</w:t>
            </w:r>
            <w:r>
              <w:rPr>
                <w:rFonts w:ascii="Times New Roman"/>
                <w:sz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保函</w:t>
            </w:r>
          </w:p>
        </w:tc>
      </w:tr>
      <w:tr>
        <w:trPr>
          <w:trHeight w:val="343"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099"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20"/>
                <w:szCs w:val="20"/>
              </w:rPr>
            </w:pPr>
            <w:r>
              <w:rPr>
                <w:rFonts w:ascii="Times New Roman"/>
                <w:sz w:val="20"/>
              </w:rPr>
              <w:t>10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7,280,645.87</w:t>
            </w:r>
            <w:r>
              <w:rPr>
                <w:rFonts w:ascii="Times New Roman"/>
                <w:sz w:val="20"/>
              </w:rPr>
            </w:r>
          </w:p>
        </w:tc>
        <w:tc>
          <w:tcPr>
            <w:tcW w:w="15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0"/>
        <w:jc w:val="both"/>
        <w:rPr>
          <w:b w:val="0"/>
          <w:bCs w:val="0"/>
        </w:rPr>
      </w:pPr>
      <w:bookmarkStart w:name="十四、资产负债表日后事项" w:id="359"/>
      <w:bookmarkEnd w:id="359"/>
      <w:r>
        <w:rPr>
          <w:b w:val="0"/>
          <w:bCs w:val="0"/>
        </w:rPr>
      </w:r>
      <w:r>
        <w:rPr/>
        <w:t>十四、资产负债表日后事项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其他资产负债表日后事项说明" w:id="360"/>
      <w:bookmarkEnd w:id="360"/>
      <w:r>
        <w:rPr>
          <w:b w:val="0"/>
          <w:bCs w:val="0"/>
        </w:rPr>
      </w:r>
      <w:r>
        <w:rPr>
          <w:rFonts w:ascii="Times New Roman" w:hAnsi="Times New Roman" w:cs="Times New Roman" w:eastAsia="Times New Roman" w:hint="default"/>
        </w:rPr>
        <w:t>1</w:t>
      </w:r>
      <w:r>
        <w:rPr/>
        <w:t>、其他资产负债表日后事项说明</w:t>
      </w:r>
      <w:r>
        <w:rPr>
          <w:b w:val="0"/>
          <w:bCs w:val="0"/>
        </w:rPr>
      </w:r>
    </w:p>
    <w:p>
      <w:pPr>
        <w:spacing w:line="240" w:lineRule="auto" w:before="2"/>
        <w:rPr>
          <w:rFonts w:ascii="宋体" w:hAnsi="宋体" w:cs="宋体" w:eastAsia="宋体" w:hint="default"/>
          <w:b/>
          <w:bCs/>
          <w:sz w:val="31"/>
          <w:szCs w:val="31"/>
        </w:rPr>
      </w:pPr>
    </w:p>
    <w:p>
      <w:pPr>
        <w:pStyle w:val="BodyText"/>
        <w:spacing w:line="240" w:lineRule="auto"/>
        <w:ind w:left="554" w:right="1133"/>
        <w:jc w:val="left"/>
      </w:pPr>
      <w:r>
        <w:rPr/>
        <w:t>（</w:t>
      </w:r>
      <w:r>
        <w:rPr>
          <w:rFonts w:ascii="Times New Roman" w:hAnsi="Times New Roman" w:cs="Times New Roman" w:eastAsia="Times New Roman" w:hint="default"/>
        </w:rPr>
        <w:t>1</w:t>
      </w:r>
      <w:r>
        <w:rPr/>
        <w:t>）利润分配情况</w:t>
      </w:r>
    </w:p>
    <w:p>
      <w:pPr>
        <w:spacing w:line="240" w:lineRule="auto" w:before="9"/>
        <w:rPr>
          <w:rFonts w:ascii="宋体" w:hAnsi="宋体" w:cs="宋体" w:eastAsia="宋体" w:hint="default"/>
          <w:sz w:val="14"/>
          <w:szCs w:val="14"/>
        </w:rPr>
      </w:pPr>
    </w:p>
    <w:p>
      <w:pPr>
        <w:pStyle w:val="BodyText"/>
        <w:spacing w:line="405" w:lineRule="auto"/>
        <w:ind w:right="1133" w:firstLine="401"/>
        <w:jc w:val="left"/>
      </w:pPr>
      <w:r>
        <w:rPr>
          <w:rFonts w:ascii="Times New Roman" w:hAnsi="Times New Roman" w:cs="Times New Roman" w:eastAsia="Times New Roman" w:hint="default"/>
          <w:spacing w:val="-1"/>
          <w:w w:val="95"/>
        </w:rPr>
        <w:t>2020</w:t>
      </w:r>
      <w:r>
        <w:rPr>
          <w:spacing w:val="-1"/>
          <w:w w:val="95"/>
        </w:rPr>
        <w:t>年</w:t>
      </w:r>
      <w:r>
        <w:rPr>
          <w:rFonts w:ascii="Times New Roman" w:hAnsi="Times New Roman" w:cs="Times New Roman" w:eastAsia="Times New Roman" w:hint="default"/>
          <w:spacing w:val="-1"/>
          <w:w w:val="95"/>
        </w:rPr>
        <w:t>4</w:t>
      </w:r>
      <w:r>
        <w:rPr>
          <w:spacing w:val="-1"/>
          <w:w w:val="95"/>
        </w:rPr>
        <w:t>月</w:t>
      </w:r>
      <w:r>
        <w:rPr>
          <w:rFonts w:ascii="Times New Roman" w:hAnsi="Times New Roman" w:cs="Times New Roman" w:eastAsia="Times New Roman" w:hint="default"/>
          <w:spacing w:val="-1"/>
          <w:w w:val="95"/>
        </w:rPr>
        <w:t>22</w:t>
      </w:r>
      <w:r>
        <w:rPr>
          <w:spacing w:val="-1"/>
          <w:w w:val="95"/>
        </w:rPr>
        <w:t>日，公司第五届董事会第九次会议决议通过拟</w:t>
      </w:r>
      <w:r>
        <w:rPr>
          <w:rFonts w:ascii="Times New Roman" w:hAnsi="Times New Roman" w:cs="Times New Roman" w:eastAsia="Times New Roman" w:hint="default"/>
          <w:spacing w:val="-1"/>
          <w:w w:val="95"/>
        </w:rPr>
        <w:t>2019</w:t>
      </w:r>
      <w:r>
        <w:rPr>
          <w:spacing w:val="-1"/>
          <w:w w:val="95"/>
        </w:rPr>
        <w:t>年度不派发现金红利，不送红股，不以资本</w:t>
      </w:r>
      <w:r>
        <w:rPr>
          <w:spacing w:val="-50"/>
          <w:w w:val="95"/>
        </w:rPr>
        <w:t> </w:t>
      </w:r>
      <w:r>
        <w:rPr>
          <w:spacing w:val="-50"/>
          <w:w w:val="95"/>
        </w:rPr>
      </w:r>
      <w:r>
        <w:rPr/>
        <w:t>公积转增股本。上述事项尚需股东大会审议批准。</w:t>
      </w:r>
    </w:p>
    <w:p>
      <w:pPr>
        <w:pStyle w:val="BodyText"/>
        <w:spacing w:line="405" w:lineRule="auto" w:before="68"/>
        <w:ind w:left="554" w:right="1133"/>
        <w:jc w:val="left"/>
      </w:pPr>
      <w:r>
        <w:rPr/>
        <w:t>（</w:t>
      </w:r>
      <w:r>
        <w:rPr>
          <w:rFonts w:ascii="Times New Roman" w:hAnsi="Times New Roman" w:cs="Times New Roman" w:eastAsia="Times New Roman" w:hint="default"/>
        </w:rPr>
        <w:t>2</w:t>
      </w:r>
      <w:r>
        <w:rPr/>
        <w:t>）对新冠肺炎疫情影响的评估</w:t>
      </w:r>
      <w:r>
        <w:rPr>
          <w:w w:val="99"/>
        </w:rPr>
        <w:t> </w:t>
      </w:r>
      <w:r>
        <w:rPr>
          <w:w w:val="95"/>
        </w:rPr>
        <w:t>新冠肺炎疫情自</w:t>
      </w:r>
      <w:r>
        <w:rPr>
          <w:rFonts w:ascii="Times New Roman" w:hAnsi="Times New Roman" w:cs="Times New Roman" w:eastAsia="Times New Roman" w:hint="default"/>
          <w:w w:val="95"/>
        </w:rPr>
        <w:t>2020</w:t>
      </w:r>
      <w:r>
        <w:rPr>
          <w:w w:val="95"/>
        </w:rPr>
        <w:t>年</w:t>
      </w:r>
      <w:r>
        <w:rPr>
          <w:rFonts w:ascii="Times New Roman" w:hAnsi="Times New Roman" w:cs="Times New Roman" w:eastAsia="Times New Roman" w:hint="default"/>
          <w:w w:val="95"/>
        </w:rPr>
        <w:t>1</w:t>
      </w:r>
      <w:r>
        <w:rPr>
          <w:w w:val="95"/>
        </w:rPr>
        <w:t>月在全国爆发以来，政府采取了各项措施推进疫情防控，疫情防控形势持续向好、</w:t>
      </w:r>
      <w:r>
        <w:rPr/>
      </w:r>
    </w:p>
    <w:p>
      <w:pPr>
        <w:pStyle w:val="BodyText"/>
        <w:spacing w:line="429" w:lineRule="auto" w:before="38"/>
        <w:ind w:right="1134"/>
        <w:jc w:val="both"/>
      </w:pPr>
      <w:r>
        <w:rPr/>
        <w:t>生产生活秩序加快恢复，但仍然面临境外疫情扩散蔓延和国内人员流动和聚集增加带来疫情反弹的风险。本公</w:t>
      </w:r>
      <w:r>
        <w:rPr>
          <w:spacing w:val="-70"/>
        </w:rPr>
        <w:t> </w:t>
      </w:r>
      <w:r>
        <w:rPr>
          <w:spacing w:val="-70"/>
        </w:rPr>
      </w:r>
      <w:r>
        <w:rPr/>
        <w:t>司积极响应并严格执行各级政府对新冠肺炎疫情的各项防控规定和要求，在做好疫情防控工作的基础上，有序</w:t>
      </w:r>
      <w:r>
        <w:rPr>
          <w:spacing w:val="-77"/>
        </w:rPr>
        <w:t> </w:t>
      </w:r>
      <w:r>
        <w:rPr>
          <w:spacing w:val="-77"/>
        </w:rPr>
      </w:r>
      <w:r>
        <w:rPr/>
        <w:t>地安排生产经营。此次新冠肺炎疫情将对公司的生产和经营造成一定的影响。本公司将继续密切关注新冠肺炎</w:t>
      </w:r>
      <w:r>
        <w:rPr>
          <w:spacing w:val="-77"/>
        </w:rPr>
        <w:t> </w:t>
      </w:r>
      <w:r>
        <w:rPr>
          <w:spacing w:val="-77"/>
        </w:rPr>
      </w:r>
      <w:r>
        <w:rPr/>
        <w:t>疫情发展情况。</w:t>
      </w:r>
    </w:p>
    <w:p>
      <w:pPr>
        <w:pStyle w:val="BodyText"/>
        <w:spacing w:line="240" w:lineRule="auto" w:before="48"/>
        <w:ind w:left="554" w:right="1133"/>
        <w:jc w:val="left"/>
      </w:pPr>
      <w:r>
        <w:rPr/>
        <w:t>（</w:t>
      </w:r>
      <w:r>
        <w:rPr>
          <w:rFonts w:ascii="Times New Roman" w:hAnsi="Times New Roman" w:cs="Times New Roman" w:eastAsia="Times New Roman" w:hint="default"/>
        </w:rPr>
        <w:t>3</w:t>
      </w:r>
      <w:r>
        <w:rPr/>
        <w:t>）其他资产负债表日后事项说明</w:t>
      </w:r>
    </w:p>
    <w:p>
      <w:pPr>
        <w:spacing w:line="240" w:lineRule="auto" w:before="8"/>
        <w:rPr>
          <w:rFonts w:ascii="宋体" w:hAnsi="宋体" w:cs="宋体" w:eastAsia="宋体" w:hint="default"/>
          <w:sz w:val="14"/>
          <w:szCs w:val="14"/>
        </w:rPr>
      </w:pPr>
    </w:p>
    <w:p>
      <w:pPr>
        <w:pStyle w:val="BodyText"/>
        <w:spacing w:line="405" w:lineRule="auto"/>
        <w:ind w:right="1133" w:firstLine="401"/>
        <w:jc w:val="left"/>
      </w:pPr>
      <w:r>
        <w:rPr>
          <w:rFonts w:ascii="Times New Roman" w:hAnsi="Times New Roman" w:cs="Times New Roman" w:eastAsia="Times New Roman" w:hint="default"/>
          <w:spacing w:val="-1"/>
          <w:w w:val="95"/>
        </w:rPr>
        <w:t>1</w:t>
      </w:r>
      <w:r>
        <w:rPr>
          <w:spacing w:val="-1"/>
          <w:w w:val="95"/>
        </w:rPr>
        <w:t>）</w:t>
      </w:r>
      <w:r>
        <w:rPr>
          <w:rFonts w:ascii="Times New Roman" w:hAnsi="Times New Roman" w:cs="Times New Roman" w:eastAsia="Times New Roman" w:hint="default"/>
          <w:spacing w:val="-1"/>
          <w:w w:val="95"/>
        </w:rPr>
        <w:t>2020</w:t>
      </w:r>
      <w:r>
        <w:rPr>
          <w:spacing w:val="-1"/>
          <w:w w:val="95"/>
        </w:rPr>
        <w:t>年</w:t>
      </w:r>
      <w:r>
        <w:rPr>
          <w:rFonts w:ascii="Times New Roman" w:hAnsi="Times New Roman" w:cs="Times New Roman" w:eastAsia="Times New Roman" w:hint="default"/>
          <w:spacing w:val="-1"/>
          <w:w w:val="95"/>
        </w:rPr>
        <w:t>2</w:t>
      </w:r>
      <w:r>
        <w:rPr>
          <w:spacing w:val="-1"/>
          <w:w w:val="95"/>
        </w:rPr>
        <w:t>月</w:t>
      </w:r>
      <w:r>
        <w:rPr>
          <w:rFonts w:ascii="Times New Roman" w:hAnsi="Times New Roman" w:cs="Times New Roman" w:eastAsia="Times New Roman" w:hint="default"/>
          <w:spacing w:val="-1"/>
          <w:w w:val="95"/>
        </w:rPr>
        <w:t>21</w:t>
      </w:r>
      <w:r>
        <w:rPr>
          <w:spacing w:val="-1"/>
          <w:w w:val="95"/>
        </w:rPr>
        <w:t>日，公司投资设立杭州中科金财科技有限公司，注册资本</w:t>
      </w:r>
      <w:r>
        <w:rPr>
          <w:rFonts w:ascii="Times New Roman" w:hAnsi="Times New Roman" w:cs="Times New Roman" w:eastAsia="Times New Roman" w:hint="default"/>
          <w:spacing w:val="-1"/>
          <w:w w:val="95"/>
        </w:rPr>
        <w:t>300</w:t>
      </w:r>
      <w:r>
        <w:rPr>
          <w:spacing w:val="-1"/>
          <w:w w:val="95"/>
        </w:rPr>
        <w:t>万元，公司于</w:t>
      </w:r>
      <w:r>
        <w:rPr>
          <w:rFonts w:ascii="Times New Roman" w:hAnsi="Times New Roman" w:cs="Times New Roman" w:eastAsia="Times New Roman" w:hint="default"/>
          <w:spacing w:val="-1"/>
          <w:w w:val="95"/>
        </w:rPr>
        <w:t>2020</w:t>
      </w:r>
      <w:r>
        <w:rPr>
          <w:spacing w:val="-1"/>
          <w:w w:val="95"/>
        </w:rPr>
        <w:t>年</w:t>
      </w:r>
      <w:r>
        <w:rPr>
          <w:rFonts w:ascii="Times New Roman" w:hAnsi="Times New Roman" w:cs="Times New Roman" w:eastAsia="Times New Roman" w:hint="default"/>
          <w:spacing w:val="-1"/>
          <w:w w:val="95"/>
        </w:rPr>
        <w:t>4</w:t>
      </w:r>
      <w:r>
        <w:rPr>
          <w:spacing w:val="-1"/>
          <w:w w:val="95"/>
        </w:rPr>
        <w:t>月</w:t>
      </w:r>
      <w:r>
        <w:rPr>
          <w:rFonts w:ascii="Times New Roman" w:hAnsi="Times New Roman" w:cs="Times New Roman" w:eastAsia="Times New Roman" w:hint="default"/>
          <w:spacing w:val="-1"/>
          <w:w w:val="95"/>
        </w:rPr>
        <w:t>1</w:t>
      </w:r>
      <w:r>
        <w:rPr>
          <w:spacing w:val="-1"/>
          <w:w w:val="95"/>
        </w:rPr>
        <w:t>日出</w:t>
      </w:r>
      <w:r>
        <w:rPr>
          <w:spacing w:val="-47"/>
          <w:w w:val="95"/>
        </w:rPr>
        <w:t> </w:t>
      </w:r>
      <w:r>
        <w:rPr/>
        <w:t>资</w:t>
      </w:r>
      <w:r>
        <w:rPr>
          <w:rFonts w:ascii="Times New Roman" w:hAnsi="Times New Roman" w:cs="Times New Roman" w:eastAsia="Times New Roman" w:hint="default"/>
        </w:rPr>
        <w:t>160</w:t>
      </w:r>
      <w:r>
        <w:rPr/>
        <w:t>万元。</w:t>
      </w:r>
    </w:p>
    <w:p>
      <w:pPr>
        <w:pStyle w:val="BodyText"/>
        <w:spacing w:line="240" w:lineRule="auto" w:before="38"/>
        <w:ind w:left="554" w:right="1129"/>
        <w:jc w:val="left"/>
        <w:rPr>
          <w:rFonts w:ascii="Times New Roman" w:hAnsi="Times New Roman" w:cs="Times New Roman" w:eastAsia="Times New Roman" w:hint="default"/>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w:t>
      </w:r>
      <w:r>
        <w:rPr/>
        <w:t>日，公司签署退伙协议从子公司北京国信金泽投资中心（有限合伙）退伙，公司于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p>
    <w:p>
      <w:pPr>
        <w:spacing w:line="240" w:lineRule="auto" w:before="7"/>
        <w:rPr>
          <w:rFonts w:ascii="Times New Roman" w:hAnsi="Times New Roman" w:cs="Times New Roman" w:eastAsia="Times New Roman" w:hint="default"/>
          <w:sz w:val="16"/>
          <w:szCs w:val="16"/>
        </w:rPr>
      </w:pPr>
    </w:p>
    <w:p>
      <w:pPr>
        <w:pStyle w:val="BodyText"/>
        <w:spacing w:line="240" w:lineRule="auto"/>
        <w:ind w:right="0"/>
        <w:jc w:val="both"/>
      </w:pPr>
      <w:r>
        <w:rPr/>
        <w:t>月</w:t>
      </w:r>
      <w:r>
        <w:rPr>
          <w:rFonts w:ascii="Times New Roman" w:hAnsi="Times New Roman" w:cs="Times New Roman" w:eastAsia="Times New Roman" w:hint="default"/>
        </w:rPr>
        <w:t>31</w:t>
      </w:r>
      <w:r>
        <w:rPr/>
        <w:t>日收到全部退伙返还的资金。</w:t>
      </w:r>
    </w:p>
    <w:p>
      <w:pPr>
        <w:spacing w:line="240" w:lineRule="auto" w:before="3"/>
        <w:rPr>
          <w:rFonts w:ascii="宋体" w:hAnsi="宋体" w:cs="宋体" w:eastAsia="宋体" w:hint="default"/>
          <w:sz w:val="29"/>
          <w:szCs w:val="29"/>
        </w:rPr>
      </w:pPr>
    </w:p>
    <w:p>
      <w:pPr>
        <w:pStyle w:val="Heading2"/>
        <w:spacing w:line="240" w:lineRule="auto"/>
        <w:ind w:right="0"/>
        <w:jc w:val="both"/>
        <w:rPr>
          <w:b w:val="0"/>
          <w:bCs w:val="0"/>
        </w:rPr>
      </w:pPr>
      <w:bookmarkStart w:name="十五、其他重要事项" w:id="361"/>
      <w:bookmarkEnd w:id="361"/>
      <w:r>
        <w:rPr>
          <w:b w:val="0"/>
          <w:bCs w:val="0"/>
        </w:rPr>
      </w:r>
      <w:r>
        <w:rPr/>
        <w:t>十五、其他重要事项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其他" w:id="362"/>
      <w:bookmarkEnd w:id="362"/>
      <w:r>
        <w:rPr>
          <w:b w:val="0"/>
          <w:bCs w:val="0"/>
        </w:rPr>
      </w:r>
      <w:r>
        <w:rPr>
          <w:rFonts w:ascii="Times New Roman" w:hAnsi="Times New Roman" w:cs="Times New Roman" w:eastAsia="Times New Roman" w:hint="default"/>
        </w:rPr>
        <w:t>1</w:t>
      </w:r>
      <w:r>
        <w:rPr/>
        <w:t>、其他</w:t>
      </w:r>
      <w:r>
        <w:rPr>
          <w:b w:val="0"/>
          <w:bCs w:val="0"/>
        </w:rPr>
      </w:r>
    </w:p>
    <w:p>
      <w:pPr>
        <w:spacing w:line="240" w:lineRule="auto" w:before="2"/>
        <w:rPr>
          <w:rFonts w:ascii="宋体" w:hAnsi="宋体" w:cs="宋体" w:eastAsia="宋体" w:hint="default"/>
          <w:b/>
          <w:bCs/>
          <w:sz w:val="31"/>
          <w:szCs w:val="31"/>
        </w:rPr>
      </w:pPr>
    </w:p>
    <w:p>
      <w:pPr>
        <w:pStyle w:val="BodyText"/>
        <w:spacing w:line="405" w:lineRule="auto"/>
        <w:ind w:right="1133" w:firstLine="401"/>
        <w:jc w:val="left"/>
      </w:pPr>
      <w:r>
        <w:rPr>
          <w:spacing w:val="-1"/>
          <w:w w:val="95"/>
        </w:rPr>
        <w:t>截至</w:t>
      </w:r>
      <w:r>
        <w:rPr>
          <w:rFonts w:ascii="Times New Roman" w:hAnsi="Times New Roman" w:cs="Times New Roman" w:eastAsia="Times New Roman" w:hint="default"/>
          <w:spacing w:val="-1"/>
          <w:w w:val="95"/>
        </w:rPr>
        <w:t>2019</w:t>
      </w:r>
      <w:r>
        <w:rPr>
          <w:spacing w:val="-1"/>
          <w:w w:val="95"/>
        </w:rPr>
        <w:t>年</w:t>
      </w:r>
      <w:r>
        <w:rPr>
          <w:rFonts w:ascii="Times New Roman" w:hAnsi="Times New Roman" w:cs="Times New Roman" w:eastAsia="Times New Roman" w:hint="default"/>
          <w:spacing w:val="-1"/>
          <w:w w:val="95"/>
        </w:rPr>
        <w:t>12</w:t>
      </w:r>
      <w:r>
        <w:rPr>
          <w:spacing w:val="-1"/>
          <w:w w:val="95"/>
        </w:rPr>
        <w:t>月</w:t>
      </w:r>
      <w:r>
        <w:rPr>
          <w:rFonts w:ascii="Times New Roman" w:hAnsi="Times New Roman" w:cs="Times New Roman" w:eastAsia="Times New Roman" w:hint="default"/>
          <w:spacing w:val="-1"/>
          <w:w w:val="95"/>
        </w:rPr>
        <w:t>31</w:t>
      </w:r>
      <w:r>
        <w:rPr>
          <w:spacing w:val="-1"/>
          <w:w w:val="95"/>
        </w:rPr>
        <w:t>日，公司第一大股东沈飒持有公司股份</w:t>
      </w:r>
      <w:r>
        <w:rPr>
          <w:rFonts w:ascii="Times New Roman" w:hAnsi="Times New Roman" w:cs="Times New Roman" w:eastAsia="Times New Roman" w:hint="default"/>
          <w:spacing w:val="-1"/>
          <w:w w:val="95"/>
        </w:rPr>
        <w:t>50,392,918</w:t>
      </w:r>
      <w:r>
        <w:rPr>
          <w:spacing w:val="-1"/>
          <w:w w:val="95"/>
        </w:rPr>
        <w:t>股，占公司总股本的</w:t>
      </w:r>
      <w:r>
        <w:rPr>
          <w:rFonts w:ascii="Times New Roman" w:hAnsi="Times New Roman" w:cs="Times New Roman" w:eastAsia="Times New Roman" w:hint="default"/>
          <w:spacing w:val="-1"/>
          <w:w w:val="95"/>
        </w:rPr>
        <w:t>14.93%</w:t>
      </w:r>
      <w:r>
        <w:rPr>
          <w:spacing w:val="-1"/>
          <w:w w:val="95"/>
        </w:rPr>
        <w:t>，其中质押</w:t>
      </w:r>
      <w:r>
        <w:rPr>
          <w:spacing w:val="-62"/>
          <w:w w:val="95"/>
        </w:rPr>
        <w:t> </w:t>
      </w:r>
      <w:r>
        <w:rPr>
          <w:spacing w:val="-62"/>
          <w:w w:val="95"/>
        </w:rPr>
      </w:r>
      <w:r>
        <w:rPr/>
        <w:t>公司股份</w:t>
      </w:r>
      <w:r>
        <w:rPr>
          <w:rFonts w:ascii="Times New Roman" w:hAnsi="Times New Roman" w:cs="Times New Roman" w:eastAsia="Times New Roman" w:hint="default"/>
        </w:rPr>
        <w:t>39,459,999</w:t>
      </w:r>
      <w:r>
        <w:rPr/>
        <w:t>股，占其持有公司股份总数的</w:t>
      </w:r>
      <w:r>
        <w:rPr>
          <w:rFonts w:ascii="Times New Roman" w:hAnsi="Times New Roman" w:cs="Times New Roman" w:eastAsia="Times New Roman" w:hint="default"/>
        </w:rPr>
        <w:t>78.30%</w:t>
      </w:r>
      <w:r>
        <w:rPr/>
        <w:t>，占公司总股本的</w:t>
      </w:r>
      <w:r>
        <w:rPr>
          <w:rFonts w:ascii="Times New Roman" w:hAnsi="Times New Roman" w:cs="Times New Roman" w:eastAsia="Times New Roman" w:hint="default"/>
        </w:rPr>
        <w:t>11.69%</w:t>
      </w:r>
      <w:r>
        <w:rPr/>
        <w:t>。</w:t>
      </w:r>
    </w:p>
    <w:p>
      <w:pPr>
        <w:spacing w:after="0" w:line="405"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十六、母公司财务报表主要项目注释" w:id="363"/>
      <w:bookmarkEnd w:id="363"/>
      <w:r>
        <w:rPr>
          <w:b w:val="0"/>
          <w:bCs w:val="0"/>
        </w:rPr>
      </w:r>
      <w:r>
        <w:rPr/>
        <w:t>十六、母公司财务报表主要项目注释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应收账款" w:id="364"/>
      <w:bookmarkEnd w:id="364"/>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应收账款分类披露" w:id="365"/>
      <w:bookmarkEnd w:id="365"/>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4"/>
        <w:gridCol w:w="761"/>
        <w:gridCol w:w="763"/>
        <w:gridCol w:w="790"/>
        <w:gridCol w:w="775"/>
        <w:gridCol w:w="797"/>
        <w:gridCol w:w="800"/>
        <w:gridCol w:w="790"/>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124,959,</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402.74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10,626,5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44.71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114,332,8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58.03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106,818,0</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61.54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8,778,985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98,039,076.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r>
      <w:tr>
        <w:trPr>
          <w:trHeight w:val="401"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124,959,</w:t>
            </w:r>
          </w:p>
          <w:p>
            <w:pPr>
              <w:pStyle w:val="TableParagraph"/>
              <w:spacing w:line="240" w:lineRule="auto" w:before="105"/>
              <w:ind w:left="227" w:right="0"/>
              <w:jc w:val="center"/>
              <w:rPr>
                <w:rFonts w:ascii="Times New Roman" w:hAnsi="Times New Roman" w:cs="Times New Roman" w:eastAsia="Times New Roman" w:hint="default"/>
                <w:sz w:val="18"/>
                <w:szCs w:val="18"/>
              </w:rPr>
            </w:pPr>
            <w:r>
              <w:rPr>
                <w:rFonts w:ascii="Times New Roman"/>
                <w:sz w:val="18"/>
              </w:rPr>
              <w:t>402.74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10,626,5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44.71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114,332,8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58.03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106,818,0</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61.54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8,778,985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98,039,076.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r>
      <w:tr>
        <w:trPr>
          <w:trHeight w:val="71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124,959,</w:t>
            </w:r>
          </w:p>
          <w:p>
            <w:pPr>
              <w:pStyle w:val="TableParagraph"/>
              <w:spacing w:line="240" w:lineRule="auto" w:before="105"/>
              <w:ind w:left="227" w:right="0"/>
              <w:jc w:val="center"/>
              <w:rPr>
                <w:rFonts w:ascii="Times New Roman" w:hAnsi="Times New Roman" w:cs="Times New Roman" w:eastAsia="Times New Roman" w:hint="default"/>
                <w:sz w:val="18"/>
                <w:szCs w:val="18"/>
              </w:rPr>
            </w:pPr>
            <w:r>
              <w:rPr>
                <w:rFonts w:ascii="Times New Roman"/>
                <w:sz w:val="18"/>
              </w:rPr>
              <w:t>402.74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10,626,5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44.71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114,332,8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58.03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106,818,0</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61.54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8,778,985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98,039,076.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33"/>
        <w:ind w:right="0"/>
        <w:jc w:val="left"/>
      </w:pPr>
      <w:r>
        <w:rPr>
          <w:w w:val="95"/>
        </w:rPr>
        <w:t>按组合计提坏账准备：账龄组合</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951" w:space="5878"/>
            <w:col w:w="210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103,540,028.44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5,177,001.42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 </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15,154,322.93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1,515,432.29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 </w:t>
            </w: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1,815,416.82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363,083.36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 </w:t>
            </w: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1,757,213.83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878,606.92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 </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2,692,420.72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2,692,420.72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124,959,402.74</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10,626,544.71</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85" w:lineRule="auto" w:before="33"/>
        <w:ind w:right="1154"/>
        <w:jc w:val="left"/>
      </w:pPr>
      <w:r>
        <w:rPr/>
        <w:t>如是按照预期信用损失一般模型计提应收账款坏账准备，请参照其他应收款的披露方式披露坏账准备的相关信</w:t>
      </w:r>
      <w:r>
        <w:rPr>
          <w:w w:val="99"/>
        </w:rPr>
        <w:t> </w:t>
      </w:r>
      <w:r>
        <w:rPr/>
        <w:t>息：</w:t>
      </w:r>
    </w:p>
    <w:p>
      <w:pPr>
        <w:pStyle w:val="BodyText"/>
        <w:spacing w:line="304" w:lineRule="auto" w:before="53"/>
        <w:ind w:right="89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r>
        <w:rPr>
          <w:w w:val="99"/>
        </w:rPr>
        <w:t> </w:t>
      </w:r>
      <w:r>
        <w:rPr/>
        <w:t>按账龄披露</w:t>
      </w:r>
    </w:p>
    <w:p>
      <w:pPr>
        <w:spacing w:before="5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103,540,028.44</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15,154,322.93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1,815,416.82</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4,449,634.55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1,757,213.83</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1,509,295.72</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1,183,125.00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124,959,402.74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本期计提、收回或转回的坏账准备情况" w:id="366"/>
      <w:bookmarkEnd w:id="36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37"/>
        <w:ind w:right="0"/>
        <w:jc w:val="left"/>
      </w:pPr>
      <w:r>
        <w:rPr>
          <w:w w:val="95"/>
        </w:rPr>
        <w:t>本期计提坏账准备情况：</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351" w:space="6478"/>
            <w:col w:w="2101"/>
          </w:cols>
        </w:sectPr>
      </w:pP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按组合计提坏账 准备的应收账款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8,778,985.50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1,847,559.21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10,626,544.71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8,778,985.50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1,847,559.21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10,626,544.71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按欠款方归集的期末余额前五名的应收账款情况" w:id="367"/>
      <w:bookmarkEnd w:id="367"/>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21" w:right="111"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36,742,341.68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2,013,674.03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6,502,913.79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325,145.69</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5,527,949.20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276,397.46</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3,995,836.00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199,791.80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3,271,853.10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163,592.66</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56,040,893.77</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z w:val="18"/>
              </w:rPr>
              <w:t>44.84%</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其他应收款" w:id="368"/>
      <w:bookmarkEnd w:id="368"/>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76,731,654.76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235,424,934.28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76,731,654.76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235,424,934.28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1）其他应收款" w:id="369"/>
      <w:bookmarkEnd w:id="369"/>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其他应收款按款项性质分类情况" w:id="370"/>
      <w:bookmarkEnd w:id="370"/>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44,458,661.56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48,425,169.95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30,149.03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30,149.03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房租物业押金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2,181,034.00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2,191,876.60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192,450,000.00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344,433.25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575,172.94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86,514,277.84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243,672,368.52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坏账准备计提情况" w:id="371"/>
      <w:bookmarkEnd w:id="371"/>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401"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8,247,434.24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8,247,434.24</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1,535,188.84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1,535,188.84</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9,782,623.08</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9,782,623.08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33"/>
        <w:ind w:right="0"/>
        <w:jc w:val="left"/>
      </w:pPr>
      <w:r>
        <w:rPr>
          <w:w w:val="95"/>
        </w:rPr>
        <w:t>损失准备本期变动金额重大的账面余额变动情况</w:t>
      </w:r>
      <w:r>
        <w:rPr/>
      </w:r>
    </w:p>
    <w:p>
      <w:pPr>
        <w:pStyle w:val="BodyText"/>
        <w:spacing w:line="304" w:lineRule="auto" w:before="88"/>
        <w:ind w:right="17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r>
        <w:rPr>
          <w:w w:val="99"/>
        </w:rPr>
        <w:t> </w:t>
      </w:r>
      <w:r>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351" w:space="4479"/>
            <w:col w:w="210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63,995,989.82</w:t>
            </w:r>
          </w:p>
        </w:tc>
      </w:tr>
      <w:tr>
        <w:trPr>
          <w:trHeight w:val="40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4,829,291.79</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9,743,254.30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7,945,741.93</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3,638,996.75</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819,692.10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3,487,053.08</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86,514,277.84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3）本期计提、收回或转回的坏账准备情况" w:id="372"/>
      <w:bookmarkEnd w:id="372"/>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37"/>
        <w:ind w:right="0"/>
        <w:jc w:val="left"/>
      </w:pPr>
      <w:r>
        <w:rPr>
          <w:w w:val="95"/>
        </w:rPr>
        <w:t>本期计提坏账准备情况：</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351" w:space="6478"/>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80"/>
        <w:gridCol w:w="1088"/>
        <w:gridCol w:w="1332"/>
        <w:gridCol w:w="1330"/>
        <w:gridCol w:w="1090"/>
        <w:gridCol w:w="1577"/>
        <w:gridCol w:w="1574"/>
      </w:tblGrid>
      <w:tr>
        <w:trPr>
          <w:trHeight w:val="402"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4"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5"/>
              <w:jc w:val="left"/>
              <w:rPr>
                <w:rFonts w:ascii="宋体" w:hAnsi="宋体" w:cs="宋体" w:eastAsia="宋体" w:hint="default"/>
                <w:sz w:val="18"/>
                <w:szCs w:val="18"/>
              </w:rPr>
            </w:pPr>
            <w:r>
              <w:rPr>
                <w:rFonts w:ascii="宋体" w:hAnsi="宋体" w:cs="宋体" w:eastAsia="宋体" w:hint="default"/>
                <w:sz w:val="18"/>
                <w:szCs w:val="18"/>
              </w:rPr>
              <w:t>按组合计提坏账准 备的其他应收款</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8,247,434.24</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1,535,188.84</w:t>
            </w: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9,782,623.08</w:t>
            </w:r>
          </w:p>
        </w:tc>
      </w:tr>
      <w:tr>
        <w:trPr>
          <w:trHeight w:val="403"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center"/>
              <w:rPr>
                <w:rFonts w:ascii="Times New Roman" w:hAnsi="Times New Roman" w:cs="Times New Roman" w:eastAsia="Times New Roman" w:hint="default"/>
                <w:sz w:val="18"/>
                <w:szCs w:val="18"/>
              </w:rPr>
            </w:pPr>
            <w:r>
              <w:rPr>
                <w:rFonts w:ascii="Times New Roman"/>
                <w:sz w:val="18"/>
              </w:rPr>
              <w:t>8,247,434.24</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1,535,188.84</w:t>
            </w: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9,782,623.08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按欠款方归集的期末余额前五名的其他应收款情况" w:id="373"/>
      <w:bookmarkEnd w:id="373"/>
      <w:r>
        <w:rPr>
          <w:b w:val="0"/>
          <w:bCs w:val="0"/>
        </w:rPr>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1"/>
              <w:jc w:val="left"/>
              <w:rPr>
                <w:rFonts w:ascii="宋体" w:hAnsi="宋体" w:cs="宋体" w:eastAsia="宋体" w:hint="default"/>
                <w:sz w:val="18"/>
                <w:szCs w:val="18"/>
              </w:rPr>
            </w:pPr>
            <w:r>
              <w:rPr>
                <w:rFonts w:ascii="宋体" w:hAnsi="宋体" w:cs="宋体" w:eastAsia="宋体" w:hint="default"/>
                <w:spacing w:val="-10"/>
                <w:sz w:val="18"/>
                <w:szCs w:val="18"/>
              </w:rPr>
              <w:t>华缔资产管理（北京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p>
            <w:pPr>
              <w:pStyle w:val="TableParagraph"/>
              <w:spacing w:line="559" w:lineRule="exact"/>
              <w:ind w:right="-37"/>
              <w:jc w:val="left"/>
              <w:rPr>
                <w:rFonts w:ascii="宋体" w:hAnsi="宋体" w:cs="宋体" w:eastAsia="宋体" w:hint="default"/>
                <w:sz w:val="20"/>
                <w:szCs w:val="20"/>
              </w:rPr>
            </w:pPr>
            <w:r>
              <w:rPr>
                <w:rFonts w:ascii="宋体" w:hAnsi="宋体" w:cs="宋体" w:eastAsia="宋体" w:hint="default"/>
                <w:position w:val="-10"/>
                <w:sz w:val="20"/>
                <w:szCs w:val="20"/>
              </w:rPr>
              <w:pict>
                <v:group style="width:77.1pt;height:28pt;mso-position-horizontal-relative:char;mso-position-vertical-relative:line" coordorigin="0,0" coordsize="1542,560">
                  <v:group style="position:absolute;left:0;top:0;width:1542;height:156" coordorigin="0,0" coordsize="1542,156">
                    <v:shape style="position:absolute;left:0;top:0;width:1542;height:156" coordorigin="0,0" coordsize="1542,156" path="m0,156l1541,156,1541,0,0,0,0,156xe" filled="true" fillcolor="#ffffff" stroked="false">
                      <v:path arrowok="t"/>
                      <v:fill type="solid"/>
                    </v:shape>
                  </v:group>
                  <v:group style="position:absolute;left:12;top:156;width:2;height:392" coordorigin="12,156" coordsize="2,392">
                    <v:shape style="position:absolute;left:12;top:156;width:2;height:392" coordorigin="12,156" coordsize="0,392" path="m12,156l12,547e" filled="false" stroked="true" strokeweight="1.2pt" strokecolor="#ffffff">
                      <v:path arrowok="t"/>
                    </v:shape>
                  </v:group>
                  <v:group style="position:absolute;left:24;top:156;width:1496;height:392" coordorigin="24,156" coordsize="1496,392">
                    <v:shape style="position:absolute;left:24;top:156;width:1496;height:392" coordorigin="24,156" coordsize="1496,392" path="m24,547l1520,547,1520,156,24,156,24,547xe" filled="true" fillcolor="#ffffff" stroked="false">
                      <v:path arrowok="t"/>
                      <v:fill type="solid"/>
                    </v:shape>
                  </v:group>
                </v:group>
              </w:pict>
            </w:r>
            <w:r>
              <w:rPr>
                <w:rFonts w:ascii="宋体" w:hAnsi="宋体" w:cs="宋体" w:eastAsia="宋体" w:hint="default"/>
                <w:position w:val="-10"/>
                <w:sz w:val="20"/>
                <w:szCs w:val="20"/>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25.43%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both"/>
              <w:rPr>
                <w:rFonts w:ascii="宋体" w:hAnsi="宋体" w:cs="宋体" w:eastAsia="宋体" w:hint="default"/>
                <w:sz w:val="18"/>
                <w:szCs w:val="18"/>
              </w:rPr>
            </w:pPr>
            <w:r>
              <w:rPr>
                <w:rFonts w:ascii="宋体" w:hAnsi="宋体" w:cs="宋体" w:eastAsia="宋体" w:hint="default"/>
                <w:sz w:val="18"/>
                <w:szCs w:val="18"/>
              </w:rPr>
              <w:t>中科金财（上海）互 联网金融信息服务有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20.23%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中科软科技股份有限 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8,845,260.05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10.22%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1,833,993.53</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北京北航科技园有限 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房租物业押金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2,059,602.00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375,574.35</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北京财贸职业学院</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1,910,044.00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1,907,074.00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52,314,906.05</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60.47%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4,116,641.88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长期股权投资" w:id="374"/>
      <w:bookmarkEnd w:id="374"/>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1,732,702,877.37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1,732,702,877.37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1,586,555,444.36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1,586,555,444.36</w:t>
            </w:r>
          </w:p>
        </w:tc>
      </w:tr>
      <w:tr>
        <w:trPr>
          <w:trHeight w:val="71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386,876,884.05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386,876,884.05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313,875,715.27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313,875,715.27</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2,119,579,761.42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2,119,579,761.42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1,900,431,159.63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1,900,431,159.63</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1）对子公司投资" w:id="375"/>
      <w:bookmarkEnd w:id="375"/>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403"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4"/>
              <w:ind w:left="278" w:right="9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4"/>
              <w:ind w:left="391"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1"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北京中科金财 信息科技有限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110,124,410.5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110,124,410.57</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北京中科金财 软件技术有限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天津中科金财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798,000,000.00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北京国信金泽 </w:t>
            </w:r>
            <w:r>
              <w:rPr>
                <w:rFonts w:ascii="宋体" w:hAnsi="宋体" w:cs="宋体" w:eastAsia="宋体" w:hint="default"/>
                <w:spacing w:val="-7"/>
                <w:sz w:val="18"/>
                <w:szCs w:val="18"/>
              </w:rPr>
              <w:t>投资中心（有限</w:t>
            </w:r>
            <w:r>
              <w:rPr>
                <w:rFonts w:ascii="宋体" w:hAnsi="宋体" w:cs="宋体" w:eastAsia="宋体" w:hint="default"/>
                <w:sz w:val="18"/>
                <w:szCs w:val="18"/>
              </w:rPr>
              <w:t> 合伙）</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1,299,870.00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1,299,870.00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深圳中金财富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200,210,236.4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200,210,236.43</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深圳前海中科 金财金控投资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霍尔果斯金财 科技服务有限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2,000,000.00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中科金财保险 经纪有限公司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香港中科金财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68,360.37</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68,360.37</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大连金融资产 交易所有限公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101,852,566.9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101,852,566.99</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北京志东方科 技有限责任公 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1,586,555,444.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36</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2,000,000.00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101,852,566.99</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1,732,702,877.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37</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对联营、合营企业投资" w:id="376"/>
      <w:bookmarkEnd w:id="376"/>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中科环嘉 电子商务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1,682,767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1,622,761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北京中关 村互联网 金融信息 服务中心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3,512,573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-776,493.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2,736,079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.94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安粮期货 股份有限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277,507,4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23.83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11,672,00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265,180.5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-406,386.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15,240,00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273,798,2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27.94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金网络</w:t>
            </w:r>
          </w:p>
          <w:p>
            <w:pPr>
              <w:pStyle w:val="TableParagraph"/>
              <w:spacing w:line="316" w:lineRule="auto" w:before="74"/>
              <w:ind w:left="24" w:right="41"/>
              <w:jc w:val="both"/>
              <w:rPr>
                <w:rFonts w:ascii="宋体" w:hAnsi="宋体" w:cs="宋体" w:eastAsia="宋体" w:hint="default"/>
                <w:sz w:val="18"/>
                <w:szCs w:val="18"/>
              </w:rPr>
            </w:pPr>
            <w:r>
              <w:rPr>
                <w:rFonts w:ascii="宋体" w:hAnsi="宋体" w:cs="宋体" w:eastAsia="宋体" w:hint="default"/>
                <w:sz w:val="18"/>
                <w:szCs w:val="18"/>
              </w:rPr>
              <w:t>（北京） 电子商务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10,298,54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8.79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10,298,54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8.79</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北京国信 新网通讯 技术有限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5,998,224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5,055,837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-942,386.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安金资产 管理有限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10,464,30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5.70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10,464,30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5.70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北京奥金 智策传媒 科技有限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1,648,553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1,115,825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-532,728.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41"/>
              <w:jc w:val="both"/>
              <w:rPr>
                <w:rFonts w:ascii="宋体" w:hAnsi="宋体" w:cs="宋体" w:eastAsia="宋体" w:hint="default"/>
                <w:sz w:val="18"/>
                <w:szCs w:val="18"/>
              </w:rPr>
            </w:pPr>
            <w:r>
              <w:rPr>
                <w:rFonts w:ascii="宋体" w:hAnsi="宋体" w:cs="宋体" w:eastAsia="宋体" w:hint="default"/>
                <w:sz w:val="18"/>
                <w:szCs w:val="18"/>
              </w:rPr>
              <w:t>深圳市金 方达信息 技术有限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2,747,291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-1,109,61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4.96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1,637,676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陕西金财 云商电子 商务有限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5" w:right="0"/>
              <w:jc w:val="left"/>
              <w:rPr>
                <w:rFonts w:ascii="Times New Roman" w:hAnsi="Times New Roman" w:cs="Times New Roman" w:eastAsia="Times New Roman" w:hint="default"/>
                <w:sz w:val="18"/>
                <w:szCs w:val="18"/>
              </w:rPr>
            </w:pPr>
            <w:r>
              <w:rPr>
                <w:rFonts w:ascii="Times New Roman"/>
                <w:sz w:val="18"/>
              </w:rPr>
              <w:t>16,027.39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5" w:right="0"/>
              <w:jc w:val="left"/>
              <w:rPr>
                <w:rFonts w:ascii="Times New Roman" w:hAnsi="Times New Roman" w:cs="Times New Roman" w:eastAsia="Times New Roman" w:hint="default"/>
                <w:sz w:val="18"/>
                <w:szCs w:val="18"/>
              </w:rPr>
            </w:pPr>
            <w:r>
              <w:rPr>
                <w:rFonts w:ascii="Times New Roman"/>
                <w:sz w:val="18"/>
              </w:rPr>
              <w:t>49,371.51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5" w:right="0"/>
              <w:jc w:val="left"/>
              <w:rPr>
                <w:rFonts w:ascii="Times New Roman" w:hAnsi="Times New Roman" w:cs="Times New Roman" w:eastAsia="Times New Roman" w:hint="default"/>
                <w:sz w:val="18"/>
                <w:szCs w:val="18"/>
              </w:rPr>
            </w:pPr>
            <w:r>
              <w:rPr>
                <w:rFonts w:ascii="Times New Roman"/>
                <w:sz w:val="18"/>
              </w:rPr>
              <w:t>65,398.90</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大连金融 资产交易 所有限公 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-1,608,45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2.21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108,625,1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91.33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107,016,7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39.12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313,875,7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15.27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26,934,51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7.06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6,691,700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265,180.5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-406,386.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15,240,00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108,625,1</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91.33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386,876,8</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84.05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313,875,7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15.27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26,934,51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7.06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6,691,700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265,180.5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-406,386.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15,240,00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108,625,1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91.33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386,876,8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84.05</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4、营业收入和营业成本" w:id="377"/>
      <w:bookmarkEnd w:id="377"/>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6"/>
      </w:tblGrid>
      <w:tr>
        <w:trPr>
          <w:trHeight w:val="206"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1,583,087,520.81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1,371,539,869.95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1,408,116,955.81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1,176,088,729.45</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46,586,912.61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43,221,160.80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4,278,647.72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3,899,690.37</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1,629,674,433.42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1,414,761,030.75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1,412,395,603.53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1,179,988,419.82</w:t>
            </w:r>
          </w:p>
        </w:tc>
      </w:tr>
    </w:tbl>
    <w:p>
      <w:pPr>
        <w:pStyle w:val="BodyText"/>
        <w:spacing w:line="240" w:lineRule="auto" w:before="33"/>
        <w:ind w:right="1133"/>
        <w:jc w:val="left"/>
      </w:pPr>
      <w:r>
        <w:rPr/>
        <w:t>是否已执行新收入准则</w:t>
      </w:r>
    </w:p>
    <w:p>
      <w:pPr>
        <w:pStyle w:val="BodyText"/>
        <w:spacing w:line="240" w:lineRule="auto" w:before="88"/>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否</w:t>
      </w:r>
    </w:p>
    <w:p>
      <w:pPr>
        <w:spacing w:line="240" w:lineRule="auto" w:before="4"/>
        <w:rPr>
          <w:rFonts w:ascii="宋体" w:hAnsi="宋体" w:cs="宋体" w:eastAsia="宋体" w:hint="default"/>
          <w:sz w:val="25"/>
          <w:szCs w:val="25"/>
        </w:rPr>
      </w:pPr>
    </w:p>
    <w:p>
      <w:pPr>
        <w:pStyle w:val="Heading3"/>
        <w:spacing w:line="240" w:lineRule="auto"/>
        <w:ind w:right="1133"/>
        <w:jc w:val="left"/>
        <w:rPr>
          <w:b w:val="0"/>
          <w:bCs w:val="0"/>
        </w:rPr>
      </w:pPr>
      <w:bookmarkStart w:name="5、投资收益" w:id="378"/>
      <w:bookmarkEnd w:id="378"/>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41,075,000.00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6,691,700.09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11,423,958.13</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2,131,987.37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-96,942.32</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37,225,885.19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处置其他非流动金融资产取得的投资收益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470,000.00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28,667,009.65</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股权被动稀释取得的投资收益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19,667,649.27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107,262,221.92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39,994,025.46</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十七、补充资料" w:id="379"/>
      <w:bookmarkEnd w:id="379"/>
      <w:r>
        <w:rPr>
          <w:b w:val="0"/>
          <w:bCs w:val="0"/>
        </w:rPr>
      </w:r>
      <w:r>
        <w:rPr/>
        <w:t>十七、补充资料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bookmarkStart w:name="1、当期非经常性损益明细表" w:id="380"/>
      <w:bookmarkEnd w:id="380"/>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37"/>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683" w:space="7147"/>
            <w:col w:w="2100"/>
          </w:cols>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1,778,466.33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7,507,093.70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59,862,815.08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-2,956,084.13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81,553,115.71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4,189,841.23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192,922.12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143,362,643.34</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33"/>
        <w:ind w:right="1133"/>
        <w:jc w:val="left"/>
      </w:pPr>
      <w:r>
        <w:rPr/>
        <w:t>对公司根据《公开发行证券的公司信息披露解释性公告第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非经常性损益》定义界定的非经常性损益项</w:t>
      </w:r>
    </w:p>
    <w:p>
      <w:pPr>
        <w:pStyle w:val="BodyText"/>
        <w:spacing w:line="271" w:lineRule="auto" w:before="32"/>
        <w:ind w:right="1159"/>
        <w:jc w:val="left"/>
      </w:pPr>
      <w:r>
        <w:rPr/>
        <w:t>目，以及把《公开发行证券的公司信息披露解释性公告第</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非经常性损益》中列举的非经常性损益项目</w:t>
      </w:r>
      <w:r>
        <w:rPr>
          <w:w w:val="99"/>
        </w:rPr>
        <w:t> </w:t>
      </w:r>
      <w:r>
        <w:rPr/>
        <w:t>界定为经常性损益的项目，应说明原因。</w:t>
      </w:r>
    </w:p>
    <w:p>
      <w:pPr>
        <w:pStyle w:val="BodyText"/>
        <w:spacing w:line="240" w:lineRule="auto" w:before="6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t>不适用</w:t>
      </w:r>
    </w:p>
    <w:p>
      <w:pPr>
        <w:spacing w:line="240" w:lineRule="auto" w:before="6"/>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5"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27"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软件增值税退税</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167,189.75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both"/>
              <w:rPr>
                <w:rFonts w:ascii="宋体" w:hAnsi="宋体" w:cs="宋体" w:eastAsia="宋体" w:hint="default"/>
                <w:sz w:val="18"/>
                <w:szCs w:val="18"/>
              </w:rPr>
            </w:pPr>
            <w:r>
              <w:rPr>
                <w:rFonts w:ascii="宋体" w:hAnsi="宋体" w:cs="宋体" w:eastAsia="宋体" w:hint="default"/>
                <w:sz w:val="18"/>
                <w:szCs w:val="18"/>
              </w:rPr>
              <w:t>该项政府补助系与公司正常经营业务密 切相关，符合国家政策规定、按照一定 标准定额和定量持续享受的政府补助。</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净资产收益率及每股收益" w:id="381"/>
      <w:bookmarkEnd w:id="381"/>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2"/>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4"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-0.83</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-1.26</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bookmarkStart w:name="3、其他" w:id="382"/>
      <w:bookmarkEnd w:id="382"/>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1635"/>
        <w:gridCol w:w="1801"/>
        <w:gridCol w:w="1800"/>
        <w:gridCol w:w="1080"/>
        <w:gridCol w:w="3332"/>
      </w:tblGrid>
      <w:tr>
        <w:trPr>
          <w:trHeight w:val="497"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51"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pacing w:val="1"/>
                <w:sz w:val="18"/>
                <w:szCs w:val="18"/>
              </w:rPr>
              <w:t> </w:t>
            </w:r>
            <w:r>
              <w:rPr>
                <w:rFonts w:ascii="宋体" w:hAnsi="宋体" w:cs="宋体" w:eastAsia="宋体" w:hint="default"/>
                <w:sz w:val="18"/>
                <w:szCs w:val="18"/>
              </w:rPr>
              <w:t>（元）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
              <w:jc w:val="right"/>
              <w:rPr>
                <w:rFonts w:ascii="宋体" w:hAnsi="宋体" w:cs="宋体" w:eastAsia="宋体" w:hint="default"/>
                <w:sz w:val="18"/>
                <w:szCs w:val="18"/>
              </w:rPr>
            </w:pPr>
            <w:r>
              <w:rPr>
                <w:rFonts w:ascii="宋体" w:hAnsi="宋体" w:cs="宋体" w:eastAsia="宋体" w:hint="default"/>
                <w:spacing w:val="-4"/>
                <w:w w:val="95"/>
                <w:sz w:val="18"/>
                <w:szCs w:val="18"/>
              </w:rPr>
              <w:t>上年年末余额（元）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75" w:right="0"/>
              <w:jc w:val="left"/>
              <w:rPr>
                <w:rFonts w:ascii="宋体" w:hAnsi="宋体" w:cs="宋体" w:eastAsia="宋体" w:hint="default"/>
                <w:sz w:val="18"/>
                <w:szCs w:val="18"/>
              </w:rPr>
            </w:pPr>
            <w:r>
              <w:rPr>
                <w:rFonts w:ascii="宋体" w:hAnsi="宋体" w:cs="宋体" w:eastAsia="宋体" w:hint="default"/>
                <w:sz w:val="18"/>
                <w:szCs w:val="18"/>
              </w:rPr>
              <w:t>变化比例</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4" w:right="0"/>
              <w:jc w:val="left"/>
              <w:rPr>
                <w:rFonts w:ascii="宋体" w:hAnsi="宋体" w:cs="宋体" w:eastAsia="宋体" w:hint="default"/>
                <w:sz w:val="18"/>
                <w:szCs w:val="18"/>
              </w:rPr>
            </w:pPr>
            <w:r>
              <w:rPr>
                <w:rFonts w:ascii="宋体"/>
                <w:sz w:val="18"/>
              </w:rPr>
              <w:t>625,177,481.72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389,651,012.22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7" w:right="0"/>
              <w:jc w:val="left"/>
              <w:rPr>
                <w:rFonts w:ascii="宋体" w:hAnsi="宋体" w:cs="宋体" w:eastAsia="宋体" w:hint="default"/>
                <w:sz w:val="18"/>
                <w:szCs w:val="18"/>
              </w:rPr>
            </w:pPr>
            <w:r>
              <w:rPr>
                <w:rFonts w:ascii="宋体"/>
                <w:sz w:val="18"/>
              </w:rPr>
              <w:t>60.45%</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主要系理财产品赎回所致</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1635"/>
        <w:gridCol w:w="1801"/>
        <w:gridCol w:w="1800"/>
        <w:gridCol w:w="1080"/>
        <w:gridCol w:w="3332"/>
      </w:tblGrid>
      <w:tr>
        <w:trPr>
          <w:trHeight w:val="1332" w:hRule="exact"/>
        </w:trPr>
        <w:tc>
          <w:tcPr>
            <w:tcW w:w="163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01"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464,245,168.51</w:t>
            </w:r>
          </w:p>
        </w:tc>
        <w:tc>
          <w:tcPr>
            <w:tcW w:w="180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宋体" w:hAnsi="宋体" w:cs="宋体" w:eastAsia="宋体" w:hint="default"/>
                <w:sz w:val="18"/>
                <w:szCs w:val="18"/>
              </w:rPr>
            </w:pPr>
            <w:r>
              <w:rPr>
                <w:rFonts w:ascii="宋体"/>
                <w:sz w:val="18"/>
              </w:rPr>
              <w:t>100.00%</w:t>
            </w:r>
          </w:p>
        </w:tc>
        <w:tc>
          <w:tcPr>
            <w:tcW w:w="3332" w:type="dxa"/>
            <w:tcBorders>
              <w:top w:val="nil" w:sz="6" w:space="0" w:color="auto"/>
              <w:left w:val="single" w:sz="4" w:space="0" w:color="000000"/>
              <w:bottom w:val="single" w:sz="4" w:space="0" w:color="000000"/>
              <w:right w:val="single" w:sz="4" w:space="0" w:color="000000"/>
            </w:tcBorders>
          </w:tcPr>
          <w:p>
            <w:pPr>
              <w:pStyle w:val="TableParagraph"/>
              <w:spacing w:line="319" w:lineRule="auto" w:before="49"/>
              <w:ind w:left="103" w:right="158"/>
              <w:jc w:val="both"/>
              <w:rPr>
                <w:rFonts w:ascii="宋体" w:hAnsi="宋体" w:cs="宋体" w:eastAsia="宋体" w:hint="default"/>
                <w:sz w:val="18"/>
                <w:szCs w:val="18"/>
              </w:rPr>
            </w:pPr>
            <w:r>
              <w:rPr>
                <w:rFonts w:ascii="宋体" w:hAnsi="宋体" w:cs="宋体" w:eastAsia="宋体" w:hint="default"/>
                <w:sz w:val="18"/>
                <w:szCs w:val="18"/>
              </w:rPr>
              <w:t>主要系本期执行新金融工具准则，以公 允价值计量且其变动计入当期损益的金 融资产由“其他流动资产”科目调整至 “交易性金融资产”科目列示所致</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14,786,262.48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28,821,652.00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-48.70%</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8"/>
              <w:jc w:val="left"/>
              <w:rPr>
                <w:rFonts w:ascii="宋体" w:hAnsi="宋体" w:cs="宋体" w:eastAsia="宋体" w:hint="default"/>
                <w:sz w:val="18"/>
                <w:szCs w:val="18"/>
              </w:rPr>
            </w:pPr>
            <w:r>
              <w:rPr>
                <w:rFonts w:ascii="宋体" w:hAnsi="宋体" w:cs="宋体" w:eastAsia="宋体" w:hint="default"/>
                <w:sz w:val="18"/>
                <w:szCs w:val="18"/>
              </w:rPr>
              <w:t>主要系本期收到的银行承兑汇票较上期 减少所致</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11,153,866.83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19,999,663.24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-44.23%</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8"/>
              <w:jc w:val="left"/>
              <w:rPr>
                <w:rFonts w:ascii="宋体" w:hAnsi="宋体" w:cs="宋体" w:eastAsia="宋体" w:hint="default"/>
                <w:sz w:val="18"/>
                <w:szCs w:val="18"/>
              </w:rPr>
            </w:pPr>
            <w:r>
              <w:rPr>
                <w:rFonts w:ascii="宋体" w:hAnsi="宋体" w:cs="宋体" w:eastAsia="宋体" w:hint="default"/>
                <w:sz w:val="18"/>
                <w:szCs w:val="18"/>
              </w:rPr>
              <w:t>主要系本期期末预付的采购款较上期期 末减少所致</w:t>
            </w:r>
          </w:p>
        </w:tc>
      </w:tr>
      <w:tr>
        <w:trPr>
          <w:trHeight w:val="449"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pacing w:val="-1"/>
                <w:sz w:val="18"/>
              </w:rPr>
              <w:t>45,245,672.88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pacing w:val="-1"/>
                <w:sz w:val="18"/>
              </w:rPr>
              <w:t>94,884,447.92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宋体" w:hAnsi="宋体" w:cs="宋体" w:eastAsia="宋体" w:hint="default"/>
                <w:sz w:val="18"/>
                <w:szCs w:val="18"/>
              </w:rPr>
            </w:pPr>
            <w:r>
              <w:rPr>
                <w:rFonts w:ascii="宋体"/>
                <w:sz w:val="18"/>
              </w:rPr>
              <w:t>-52.31%</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主要系本期合并范围变更所致</w:t>
            </w:r>
          </w:p>
        </w:tc>
      </w:tr>
      <w:tr>
        <w:trPr>
          <w:trHeight w:val="1337"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103" w:right="261"/>
              <w:jc w:val="left"/>
              <w:rPr>
                <w:rFonts w:ascii="宋体" w:hAnsi="宋体" w:cs="宋体" w:eastAsia="宋体" w:hint="default"/>
                <w:sz w:val="18"/>
                <w:szCs w:val="18"/>
              </w:rPr>
            </w:pPr>
            <w:r>
              <w:rPr>
                <w:rFonts w:ascii="宋体" w:hAnsi="宋体" w:cs="宋体" w:eastAsia="宋体" w:hint="default"/>
                <w:sz w:val="18"/>
                <w:szCs w:val="18"/>
              </w:rPr>
              <w:t>一年内到期的非 流动资产</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104"/>
              <w:jc w:val="right"/>
              <w:rPr>
                <w:rFonts w:ascii="宋体" w:hAnsi="宋体" w:cs="宋体" w:eastAsia="宋体" w:hint="default"/>
                <w:sz w:val="18"/>
                <w:szCs w:val="18"/>
              </w:rPr>
            </w:pPr>
            <w:r>
              <w:rPr>
                <w:rFonts w:ascii="宋体"/>
                <w:spacing w:val="-1"/>
                <w:sz w:val="18"/>
              </w:rPr>
              <w:t>396,000,000.00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100"/>
              <w:jc w:val="right"/>
              <w:rPr>
                <w:rFonts w:ascii="宋体" w:hAnsi="宋体" w:cs="宋体" w:eastAsia="宋体" w:hint="default"/>
                <w:sz w:val="18"/>
                <w:szCs w:val="18"/>
              </w:rPr>
            </w:pPr>
            <w:r>
              <w:rPr>
                <w:rFonts w:ascii="宋体"/>
                <w:sz w:val="18"/>
              </w:rPr>
              <w:t>100.00%</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2"/>
              <w:jc w:val="left"/>
              <w:rPr>
                <w:rFonts w:ascii="宋体" w:hAnsi="宋体" w:cs="宋体" w:eastAsia="宋体" w:hint="default"/>
                <w:sz w:val="18"/>
                <w:szCs w:val="18"/>
              </w:rPr>
            </w:pPr>
            <w:r>
              <w:rPr>
                <w:rFonts w:ascii="宋体" w:hAnsi="宋体" w:cs="宋体" w:eastAsia="宋体" w:hint="default"/>
                <w:sz w:val="18"/>
                <w:szCs w:val="18"/>
              </w:rPr>
              <w:t>主要系本期执行新金融工具准则，一年 </w:t>
            </w:r>
            <w:r>
              <w:rPr>
                <w:rFonts w:ascii="宋体" w:hAnsi="宋体" w:cs="宋体" w:eastAsia="宋体" w:hint="default"/>
                <w:spacing w:val="-2"/>
                <w:sz w:val="18"/>
                <w:szCs w:val="18"/>
              </w:rPr>
              <w:t>内到期的债权投资由“其他非流动资产”</w:t>
            </w:r>
            <w:r>
              <w:rPr>
                <w:rFonts w:ascii="宋体" w:hAnsi="宋体" w:cs="宋体" w:eastAsia="宋体" w:hint="default"/>
                <w:sz w:val="18"/>
                <w:szCs w:val="18"/>
              </w:rPr>
              <w:t> </w:t>
            </w:r>
            <w:r>
              <w:rPr>
                <w:rFonts w:ascii="宋体" w:hAnsi="宋体" w:cs="宋体" w:eastAsia="宋体" w:hint="default"/>
                <w:spacing w:val="-2"/>
                <w:sz w:val="18"/>
                <w:szCs w:val="18"/>
              </w:rPr>
              <w:t>科目调整至“一年内到期的非流动资产”</w:t>
            </w:r>
            <w:r>
              <w:rPr>
                <w:rFonts w:ascii="宋体" w:hAnsi="宋体" w:cs="宋体" w:eastAsia="宋体" w:hint="default"/>
                <w:sz w:val="18"/>
                <w:szCs w:val="18"/>
              </w:rPr>
              <w:t> 科目列示所致</w:t>
            </w:r>
          </w:p>
        </w:tc>
      </w:tr>
      <w:tr>
        <w:trPr>
          <w:trHeight w:val="1339"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1"/>
              <w:jc w:val="right"/>
              <w:rPr>
                <w:rFonts w:ascii="宋体" w:hAnsi="宋体" w:cs="宋体" w:eastAsia="宋体" w:hint="default"/>
                <w:sz w:val="18"/>
                <w:szCs w:val="18"/>
              </w:rPr>
            </w:pPr>
            <w:r>
              <w:rPr>
                <w:rFonts w:ascii="宋体"/>
                <w:spacing w:val="-1"/>
                <w:sz w:val="18"/>
              </w:rPr>
              <w:t>44,046,368.14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4"/>
              <w:jc w:val="right"/>
              <w:rPr>
                <w:rFonts w:ascii="宋体" w:hAnsi="宋体" w:cs="宋体" w:eastAsia="宋体" w:hint="default"/>
                <w:sz w:val="18"/>
                <w:szCs w:val="18"/>
              </w:rPr>
            </w:pPr>
            <w:r>
              <w:rPr>
                <w:rFonts w:ascii="宋体"/>
                <w:spacing w:val="-1"/>
                <w:sz w:val="18"/>
              </w:rPr>
              <w:t>1,285,451,694.38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0"/>
              <w:jc w:val="right"/>
              <w:rPr>
                <w:rFonts w:ascii="宋体" w:hAnsi="宋体" w:cs="宋体" w:eastAsia="宋体" w:hint="default"/>
                <w:sz w:val="18"/>
                <w:szCs w:val="18"/>
              </w:rPr>
            </w:pPr>
            <w:r>
              <w:rPr>
                <w:rFonts w:ascii="宋体"/>
                <w:sz w:val="18"/>
              </w:rPr>
              <w:t>-96.57%</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8"/>
              <w:jc w:val="both"/>
              <w:rPr>
                <w:rFonts w:ascii="宋体" w:hAnsi="宋体" w:cs="宋体" w:eastAsia="宋体" w:hint="default"/>
                <w:sz w:val="18"/>
                <w:szCs w:val="18"/>
              </w:rPr>
            </w:pPr>
            <w:r>
              <w:rPr>
                <w:rFonts w:ascii="宋体" w:hAnsi="宋体" w:cs="宋体" w:eastAsia="宋体" w:hint="default"/>
                <w:sz w:val="18"/>
                <w:szCs w:val="18"/>
              </w:rPr>
              <w:t>主要系本期执行新金融工具准则，以公 允价值计量且其变动计入当期损益的金 融资产由“其他流动资产”科目调整至 “交易性金融资产”科目列示所致</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4"/>
              <w:jc w:val="right"/>
              <w:rPr>
                <w:rFonts w:ascii="宋体" w:hAnsi="宋体" w:cs="宋体" w:eastAsia="宋体" w:hint="default"/>
                <w:sz w:val="18"/>
                <w:szCs w:val="18"/>
              </w:rPr>
            </w:pPr>
            <w:r>
              <w:rPr>
                <w:rFonts w:ascii="宋体"/>
                <w:spacing w:val="-1"/>
                <w:sz w:val="18"/>
              </w:rPr>
              <w:t>197,980,200.00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0"/>
              <w:jc w:val="right"/>
              <w:rPr>
                <w:rFonts w:ascii="宋体" w:hAnsi="宋体" w:cs="宋体" w:eastAsia="宋体" w:hint="default"/>
                <w:sz w:val="18"/>
                <w:szCs w:val="18"/>
              </w:rPr>
            </w:pPr>
            <w:r>
              <w:rPr>
                <w:rFonts w:ascii="宋体"/>
                <w:sz w:val="18"/>
              </w:rPr>
              <w:t>100.00%</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8"/>
              <w:jc w:val="both"/>
              <w:rPr>
                <w:rFonts w:ascii="宋体" w:hAnsi="宋体" w:cs="宋体" w:eastAsia="宋体" w:hint="default"/>
                <w:sz w:val="18"/>
                <w:szCs w:val="18"/>
              </w:rPr>
            </w:pPr>
            <w:r>
              <w:rPr>
                <w:rFonts w:ascii="宋体" w:hAnsi="宋体" w:cs="宋体" w:eastAsia="宋体" w:hint="default"/>
                <w:sz w:val="18"/>
                <w:szCs w:val="18"/>
              </w:rPr>
              <w:t>主要系本期执行新金融工具准则，长期 债权投资由“其他非流动资产”科目调 整至“债权投资”科目列示所致</w:t>
            </w:r>
          </w:p>
        </w:tc>
      </w:tr>
      <w:tr>
        <w:trPr>
          <w:trHeight w:val="1340"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103" w:right="261"/>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8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1"/>
              <w:jc w:val="right"/>
              <w:rPr>
                <w:rFonts w:ascii="宋体" w:hAnsi="宋体" w:cs="宋体" w:eastAsia="宋体" w:hint="default"/>
                <w:sz w:val="18"/>
                <w:szCs w:val="18"/>
              </w:rPr>
            </w:pPr>
            <w:r>
              <w:rPr>
                <w:rFonts w:ascii="宋体"/>
                <w:spacing w:val="-1"/>
                <w:sz w:val="18"/>
              </w:rPr>
              <w:t>18,248,400.00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0"/>
              <w:jc w:val="right"/>
              <w:rPr>
                <w:rFonts w:ascii="宋体" w:hAnsi="宋体" w:cs="宋体" w:eastAsia="宋体" w:hint="default"/>
                <w:sz w:val="18"/>
                <w:szCs w:val="18"/>
              </w:rPr>
            </w:pPr>
            <w:r>
              <w:rPr>
                <w:rFonts w:ascii="宋体"/>
                <w:spacing w:val="-1"/>
                <w:sz w:val="18"/>
              </w:rPr>
              <w:t>-100.00%</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8"/>
              <w:jc w:val="both"/>
              <w:rPr>
                <w:rFonts w:ascii="宋体" w:hAnsi="宋体" w:cs="宋体" w:eastAsia="宋体" w:hint="default"/>
                <w:sz w:val="18"/>
                <w:szCs w:val="18"/>
              </w:rPr>
            </w:pPr>
            <w:r>
              <w:rPr>
                <w:rFonts w:ascii="宋体" w:hAnsi="宋体" w:cs="宋体" w:eastAsia="宋体" w:hint="default"/>
                <w:sz w:val="18"/>
                <w:szCs w:val="18"/>
              </w:rPr>
              <w:t>主要系本期执行新金融工具准则，权益 投资由“可供出售金融资产”科目调整 至“其他非流动金融资产”科目列示所 致</w:t>
            </w:r>
          </w:p>
        </w:tc>
      </w:tr>
      <w:tr>
        <w:trPr>
          <w:trHeight w:val="1337"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261"/>
              <w:jc w:val="left"/>
              <w:rPr>
                <w:rFonts w:ascii="宋体" w:hAnsi="宋体" w:cs="宋体" w:eastAsia="宋体" w:hint="default"/>
                <w:sz w:val="18"/>
                <w:szCs w:val="18"/>
              </w:rPr>
            </w:pPr>
            <w:r>
              <w:rPr>
                <w:rFonts w:ascii="宋体" w:hAnsi="宋体" w:cs="宋体" w:eastAsia="宋体" w:hint="default"/>
                <w:sz w:val="18"/>
                <w:szCs w:val="18"/>
              </w:rPr>
              <w:t>其他非流动金融 资产</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15,810,830.00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宋体" w:hAnsi="宋体" w:cs="宋体" w:eastAsia="宋体" w:hint="default"/>
                <w:sz w:val="18"/>
                <w:szCs w:val="18"/>
              </w:rPr>
            </w:pPr>
            <w:r>
              <w:rPr>
                <w:rFonts w:ascii="宋体"/>
                <w:sz w:val="18"/>
              </w:rPr>
              <w:t>100.00%</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8"/>
              <w:jc w:val="both"/>
              <w:rPr>
                <w:rFonts w:ascii="宋体" w:hAnsi="宋体" w:cs="宋体" w:eastAsia="宋体" w:hint="default"/>
                <w:sz w:val="18"/>
                <w:szCs w:val="18"/>
              </w:rPr>
            </w:pPr>
            <w:r>
              <w:rPr>
                <w:rFonts w:ascii="宋体" w:hAnsi="宋体" w:cs="宋体" w:eastAsia="宋体" w:hint="default"/>
                <w:sz w:val="18"/>
                <w:szCs w:val="18"/>
              </w:rPr>
              <w:t>主要系本期公司执行新金融工具准则， 权益投资由“可供出售金融资产”科目 调整至“其他非流动金融资产”科目列 示</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92,541,089.09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44,061,762.58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z w:val="18"/>
              </w:rPr>
              <w:t>110.03%</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58"/>
              <w:jc w:val="left"/>
              <w:rPr>
                <w:rFonts w:ascii="宋体" w:hAnsi="宋体" w:cs="宋体" w:eastAsia="宋体" w:hint="default"/>
                <w:sz w:val="18"/>
                <w:szCs w:val="18"/>
              </w:rPr>
            </w:pPr>
            <w:r>
              <w:rPr>
                <w:rFonts w:ascii="宋体" w:hAnsi="宋体" w:cs="宋体" w:eastAsia="宋体" w:hint="default"/>
                <w:sz w:val="18"/>
                <w:szCs w:val="18"/>
              </w:rPr>
              <w:t>主要系研发项目完成结转至无形资产所 致</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68,098,288.60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8"/>
              <w:jc w:val="left"/>
              <w:rPr>
                <w:rFonts w:ascii="宋体" w:hAnsi="宋体" w:cs="宋体" w:eastAsia="宋体" w:hint="default"/>
                <w:sz w:val="18"/>
                <w:szCs w:val="18"/>
              </w:rPr>
            </w:pPr>
            <w:r>
              <w:rPr>
                <w:rFonts w:ascii="宋体" w:hAnsi="宋体" w:cs="宋体" w:eastAsia="宋体" w:hint="default"/>
                <w:sz w:val="18"/>
                <w:szCs w:val="18"/>
              </w:rPr>
              <w:t>主要系研发项目完成结转至无形资产所 致</w:t>
            </w: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193,578,999.56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285,022,670.05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z w:val="18"/>
              </w:rPr>
              <w:t>-32.08%</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103" w:right="158"/>
              <w:jc w:val="left"/>
              <w:rPr>
                <w:rFonts w:ascii="宋体" w:hAnsi="宋体" w:cs="宋体" w:eastAsia="宋体" w:hint="default"/>
                <w:sz w:val="18"/>
                <w:szCs w:val="18"/>
              </w:rPr>
            </w:pPr>
            <w:r>
              <w:rPr>
                <w:rFonts w:ascii="宋体" w:hAnsi="宋体" w:cs="宋体" w:eastAsia="宋体" w:hint="default"/>
                <w:sz w:val="18"/>
                <w:szCs w:val="18"/>
              </w:rPr>
              <w:t>主要系本期计提天津中科商誉减值，同 时确认北京志东方商誉所致</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76,281.13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658,393.79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z w:val="18"/>
              </w:rPr>
              <w:t>-88.41%</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主要系装修费本期摊销所致</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26,703,325.81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17,340,247.26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54.00%</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58"/>
              <w:jc w:val="left"/>
              <w:rPr>
                <w:rFonts w:ascii="宋体" w:hAnsi="宋体" w:cs="宋体" w:eastAsia="宋体" w:hint="default"/>
                <w:sz w:val="18"/>
                <w:szCs w:val="18"/>
              </w:rPr>
            </w:pPr>
            <w:r>
              <w:rPr>
                <w:rFonts w:ascii="宋体" w:hAnsi="宋体" w:cs="宋体" w:eastAsia="宋体" w:hint="default"/>
                <w:sz w:val="18"/>
                <w:szCs w:val="18"/>
              </w:rPr>
              <w:t>主要系本期可抵扣的暂时性差异增加所 致</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1635"/>
        <w:gridCol w:w="1801"/>
        <w:gridCol w:w="1800"/>
        <w:gridCol w:w="1080"/>
        <w:gridCol w:w="3332"/>
      </w:tblGrid>
      <w:tr>
        <w:trPr>
          <w:trHeight w:val="1956" w:hRule="exact"/>
        </w:trPr>
        <w:tc>
          <w:tcPr>
            <w:tcW w:w="163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01"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16,421,638.18</w:t>
            </w:r>
          </w:p>
        </w:tc>
        <w:tc>
          <w:tcPr>
            <w:tcW w:w="180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622,523,250.11</w:t>
            </w: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z w:val="18"/>
              </w:rPr>
              <w:t>-97.36%</w:t>
            </w:r>
          </w:p>
        </w:tc>
        <w:tc>
          <w:tcPr>
            <w:tcW w:w="3332"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49"/>
              <w:ind w:left="103" w:right="158"/>
              <w:jc w:val="both"/>
              <w:rPr>
                <w:rFonts w:ascii="宋体" w:hAnsi="宋体" w:cs="宋体" w:eastAsia="宋体" w:hint="default"/>
                <w:sz w:val="18"/>
                <w:szCs w:val="18"/>
              </w:rPr>
            </w:pPr>
            <w:r>
              <w:rPr>
                <w:rFonts w:ascii="宋体" w:hAnsi="宋体" w:cs="宋体" w:eastAsia="宋体" w:hint="default"/>
                <w:sz w:val="18"/>
                <w:szCs w:val="18"/>
              </w:rPr>
              <w:t>主要系本期执行新金融工具准则，权益 投资由“可供出售金融资产”科目调整 至“其他非流动金融资产”科目列示、 一年内到期的债权投资由“其他非流动 资产”科目调整至“一年内到期的非流 动资产”科目列示所致</w:t>
            </w:r>
          </w:p>
        </w:tc>
      </w:tr>
      <w:tr>
        <w:trPr>
          <w:trHeight w:val="1339"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937,919,747.34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1,391,414,618.80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宋体" w:hAnsi="宋体" w:cs="宋体" w:eastAsia="宋体" w:hint="default"/>
                <w:sz w:val="18"/>
                <w:szCs w:val="18"/>
              </w:rPr>
            </w:pPr>
            <w:r>
              <w:rPr>
                <w:rFonts w:ascii="宋体"/>
                <w:sz w:val="18"/>
              </w:rPr>
              <w:t>-32.59%</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4"/>
              <w:jc w:val="left"/>
              <w:rPr>
                <w:rFonts w:ascii="宋体" w:hAnsi="宋体" w:cs="宋体" w:eastAsia="宋体" w:hint="default"/>
                <w:sz w:val="18"/>
                <w:szCs w:val="18"/>
              </w:rPr>
            </w:pPr>
            <w:r>
              <w:rPr>
                <w:rFonts w:ascii="宋体" w:hAnsi="宋体" w:cs="宋体" w:eastAsia="宋体" w:hint="default"/>
                <w:sz w:val="18"/>
                <w:szCs w:val="18"/>
              </w:rPr>
              <w:t>主要系本期执行新金融工具准则，一年 </w:t>
            </w:r>
            <w:r>
              <w:rPr>
                <w:rFonts w:ascii="宋体" w:hAnsi="宋体" w:cs="宋体" w:eastAsia="宋体" w:hint="default"/>
                <w:spacing w:val="-2"/>
                <w:sz w:val="18"/>
                <w:szCs w:val="18"/>
              </w:rPr>
              <w:t>内到期的债权投资由“其他非流动资产”</w:t>
            </w:r>
            <w:r>
              <w:rPr>
                <w:rFonts w:ascii="宋体" w:hAnsi="宋体" w:cs="宋体" w:eastAsia="宋体" w:hint="default"/>
                <w:sz w:val="18"/>
                <w:szCs w:val="18"/>
              </w:rPr>
              <w:t> </w:t>
            </w:r>
            <w:r>
              <w:rPr>
                <w:rFonts w:ascii="宋体" w:hAnsi="宋体" w:cs="宋体" w:eastAsia="宋体" w:hint="default"/>
                <w:spacing w:val="-2"/>
                <w:sz w:val="18"/>
                <w:szCs w:val="18"/>
              </w:rPr>
              <w:t>科目调整至“一年内到期的非流动资产”</w:t>
            </w:r>
            <w:r>
              <w:rPr>
                <w:rFonts w:ascii="宋体" w:hAnsi="宋体" w:cs="宋体" w:eastAsia="宋体" w:hint="default"/>
                <w:sz w:val="18"/>
                <w:szCs w:val="18"/>
              </w:rPr>
              <w:t> 科目列示所致</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126,157,746.00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317,875,718.84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-60.31%</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8"/>
              <w:jc w:val="left"/>
              <w:rPr>
                <w:rFonts w:ascii="宋体" w:hAnsi="宋体" w:cs="宋体" w:eastAsia="宋体" w:hint="default"/>
                <w:sz w:val="18"/>
                <w:szCs w:val="18"/>
              </w:rPr>
            </w:pPr>
            <w:r>
              <w:rPr>
                <w:rFonts w:ascii="宋体" w:hAnsi="宋体" w:cs="宋体" w:eastAsia="宋体" w:hint="default"/>
                <w:sz w:val="18"/>
                <w:szCs w:val="18"/>
              </w:rPr>
              <w:t>主要系本期取得的银行借款较上期减少 所致</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426,324.80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8"/>
              <w:jc w:val="left"/>
              <w:rPr>
                <w:rFonts w:ascii="宋体" w:hAnsi="宋体" w:cs="宋体" w:eastAsia="宋体" w:hint="default"/>
                <w:sz w:val="18"/>
                <w:szCs w:val="18"/>
              </w:rPr>
            </w:pPr>
            <w:r>
              <w:rPr>
                <w:rFonts w:ascii="宋体" w:hAnsi="宋体" w:cs="宋体" w:eastAsia="宋体" w:hint="default"/>
                <w:sz w:val="18"/>
                <w:szCs w:val="18"/>
              </w:rPr>
              <w:t>主要系本期期末开具的银行承兑汇票较 上期减少所致</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3,467,290.32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24,464,522.57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-85.83%</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8"/>
              <w:jc w:val="left"/>
              <w:rPr>
                <w:rFonts w:ascii="宋体" w:hAnsi="宋体" w:cs="宋体" w:eastAsia="宋体" w:hint="default"/>
                <w:sz w:val="18"/>
                <w:szCs w:val="18"/>
              </w:rPr>
            </w:pPr>
            <w:r>
              <w:rPr>
                <w:rFonts w:ascii="宋体" w:hAnsi="宋体" w:cs="宋体" w:eastAsia="宋体" w:hint="default"/>
                <w:sz w:val="18"/>
                <w:szCs w:val="18"/>
              </w:rPr>
              <w:t>主要系本期期末应交增值税及所得税较 上期期末减少所致</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22,783,207.29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83,721,184.10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-72.79%</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8"/>
              <w:jc w:val="left"/>
              <w:rPr>
                <w:rFonts w:ascii="宋体" w:hAnsi="宋体" w:cs="宋体" w:eastAsia="宋体" w:hint="default"/>
                <w:sz w:val="18"/>
                <w:szCs w:val="18"/>
              </w:rPr>
            </w:pPr>
            <w:r>
              <w:rPr>
                <w:rFonts w:ascii="宋体" w:hAnsi="宋体" w:cs="宋体" w:eastAsia="宋体" w:hint="default"/>
                <w:sz w:val="18"/>
                <w:szCs w:val="18"/>
              </w:rPr>
              <w:t>主要系本期合并范围变更及退还保证金 所致</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1"/>
              <w:jc w:val="right"/>
              <w:rPr>
                <w:rFonts w:ascii="宋体" w:hAnsi="宋体" w:cs="宋体" w:eastAsia="宋体" w:hint="default"/>
                <w:sz w:val="18"/>
                <w:szCs w:val="18"/>
              </w:rPr>
            </w:pPr>
            <w:r>
              <w:rPr>
                <w:rFonts w:ascii="宋体"/>
                <w:spacing w:val="-1"/>
                <w:sz w:val="18"/>
              </w:rPr>
              <w:t>51,410,035.67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0"/>
              <w:jc w:val="right"/>
              <w:rPr>
                <w:rFonts w:ascii="宋体" w:hAnsi="宋体" w:cs="宋体" w:eastAsia="宋体" w:hint="default"/>
                <w:sz w:val="18"/>
                <w:szCs w:val="18"/>
              </w:rPr>
            </w:pPr>
            <w:r>
              <w:rPr>
                <w:rFonts w:ascii="宋体"/>
                <w:spacing w:val="-1"/>
                <w:sz w:val="18"/>
              </w:rPr>
              <w:t>-100.00%</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8"/>
              <w:jc w:val="both"/>
              <w:rPr>
                <w:rFonts w:ascii="宋体" w:hAnsi="宋体" w:cs="宋体" w:eastAsia="宋体" w:hint="default"/>
                <w:sz w:val="18"/>
                <w:szCs w:val="18"/>
              </w:rPr>
            </w:pPr>
            <w:r>
              <w:rPr>
                <w:rFonts w:ascii="宋体" w:hAnsi="宋体" w:cs="宋体" w:eastAsia="宋体" w:hint="default"/>
                <w:sz w:val="18"/>
                <w:szCs w:val="18"/>
              </w:rPr>
              <w:t>主要系一年内到期的“长期应付款”重 分类至“一年内到期的非流动负债”所 致</w:t>
            </w: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8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1,745,711.37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58"/>
              <w:jc w:val="left"/>
              <w:rPr>
                <w:rFonts w:ascii="宋体" w:hAnsi="宋体" w:cs="宋体" w:eastAsia="宋体" w:hint="default"/>
                <w:sz w:val="18"/>
                <w:szCs w:val="18"/>
              </w:rPr>
            </w:pPr>
            <w:r>
              <w:rPr>
                <w:rFonts w:ascii="宋体" w:hAnsi="宋体" w:cs="宋体" w:eastAsia="宋体" w:hint="default"/>
                <w:sz w:val="18"/>
                <w:szCs w:val="18"/>
              </w:rPr>
              <w:t>主要系与资产相关的政府补助本期确认 为其他收益所致</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1,656,106.29</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100.00%</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6"/>
              <w:jc w:val="left"/>
              <w:rPr>
                <w:rFonts w:ascii="宋体" w:hAnsi="宋体" w:cs="宋体" w:eastAsia="宋体" w:hint="default"/>
                <w:sz w:val="18"/>
                <w:szCs w:val="18"/>
              </w:rPr>
            </w:pPr>
            <w:r>
              <w:rPr>
                <w:rFonts w:ascii="宋体" w:hAnsi="宋体" w:cs="宋体" w:eastAsia="宋体" w:hint="default"/>
                <w:sz w:val="18"/>
                <w:szCs w:val="18"/>
              </w:rPr>
              <w:t>主要系本期并购北京志东方资产评估增 值所致</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4"/>
              <w:jc w:val="right"/>
              <w:rPr>
                <w:rFonts w:ascii="宋体" w:hAnsi="宋体" w:cs="宋体" w:eastAsia="宋体" w:hint="default"/>
                <w:sz w:val="18"/>
                <w:szCs w:val="18"/>
              </w:rPr>
            </w:pPr>
            <w:r>
              <w:rPr>
                <w:rFonts w:ascii="宋体"/>
                <w:spacing w:val="-1"/>
                <w:sz w:val="18"/>
              </w:rPr>
              <w:t>1,656,106.29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1"/>
              <w:jc w:val="right"/>
              <w:rPr>
                <w:rFonts w:ascii="宋体" w:hAnsi="宋体" w:cs="宋体" w:eastAsia="宋体" w:hint="default"/>
                <w:sz w:val="18"/>
                <w:szCs w:val="18"/>
              </w:rPr>
            </w:pPr>
            <w:r>
              <w:rPr>
                <w:rFonts w:ascii="宋体"/>
                <w:spacing w:val="-1"/>
                <w:sz w:val="18"/>
              </w:rPr>
              <w:t>53,155,747.04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0"/>
              <w:jc w:val="right"/>
              <w:rPr>
                <w:rFonts w:ascii="宋体" w:hAnsi="宋体" w:cs="宋体" w:eastAsia="宋体" w:hint="default"/>
                <w:sz w:val="18"/>
                <w:szCs w:val="18"/>
              </w:rPr>
            </w:pPr>
            <w:r>
              <w:rPr>
                <w:rFonts w:ascii="宋体"/>
                <w:sz w:val="18"/>
              </w:rPr>
              <w:t>-96.88%</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8"/>
              <w:jc w:val="both"/>
              <w:rPr>
                <w:rFonts w:ascii="宋体" w:hAnsi="宋体" w:cs="宋体" w:eastAsia="宋体" w:hint="default"/>
                <w:sz w:val="18"/>
                <w:szCs w:val="18"/>
              </w:rPr>
            </w:pPr>
            <w:r>
              <w:rPr>
                <w:rFonts w:ascii="宋体" w:hAnsi="宋体" w:cs="宋体" w:eastAsia="宋体" w:hint="default"/>
                <w:sz w:val="18"/>
                <w:szCs w:val="18"/>
              </w:rPr>
              <w:t>主要系一年内到期的“长期应付款”重 分类至“一年内到期的非流动负债”所 致</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268,295.70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2,451.07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10846.06%</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8"/>
              <w:jc w:val="left"/>
              <w:rPr>
                <w:rFonts w:ascii="宋体" w:hAnsi="宋体" w:cs="宋体" w:eastAsia="宋体" w:hint="default"/>
                <w:sz w:val="18"/>
                <w:szCs w:val="18"/>
              </w:rPr>
            </w:pPr>
            <w:r>
              <w:rPr>
                <w:rFonts w:ascii="宋体" w:hAnsi="宋体" w:cs="宋体" w:eastAsia="宋体" w:hint="default"/>
                <w:sz w:val="18"/>
                <w:szCs w:val="18"/>
              </w:rPr>
              <w:t>主要系联营企业安粮期货其他综合收益 变化所致</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65,826,227.25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346,231,552.50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z w:val="18"/>
              </w:rPr>
              <w:t>-80.99%</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主要系本期计提天津中科商誉减值所致</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873,867.72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15,196,074.21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z w:val="18"/>
              </w:rPr>
              <w:t>-94.25%</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主要系本期合并范围变更所致</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本期发生额（元）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上期发生额（元）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变化比例</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1,882,733.46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5,898,552.83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-68.08%</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8"/>
              <w:jc w:val="left"/>
              <w:rPr>
                <w:rFonts w:ascii="宋体" w:hAnsi="宋体" w:cs="宋体" w:eastAsia="宋体" w:hint="default"/>
                <w:sz w:val="18"/>
                <w:szCs w:val="18"/>
              </w:rPr>
            </w:pPr>
            <w:r>
              <w:rPr>
                <w:rFonts w:ascii="宋体" w:hAnsi="宋体" w:cs="宋体" w:eastAsia="宋体" w:hint="default"/>
                <w:sz w:val="18"/>
                <w:szCs w:val="18"/>
              </w:rPr>
              <w:t>主要系本期应交城建税及教育费附加较 上期减少所致</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4"/>
              <w:jc w:val="right"/>
              <w:rPr>
                <w:rFonts w:ascii="宋体" w:hAnsi="宋体" w:cs="宋体" w:eastAsia="宋体" w:hint="default"/>
                <w:sz w:val="18"/>
                <w:szCs w:val="18"/>
              </w:rPr>
            </w:pPr>
            <w:r>
              <w:rPr>
                <w:rFonts w:ascii="宋体"/>
                <w:spacing w:val="-1"/>
                <w:sz w:val="18"/>
              </w:rPr>
              <w:t>165,940,500.19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5"/>
              <w:jc w:val="right"/>
              <w:rPr>
                <w:rFonts w:ascii="宋体" w:hAnsi="宋体" w:cs="宋体" w:eastAsia="宋体" w:hint="default"/>
                <w:sz w:val="18"/>
                <w:szCs w:val="18"/>
              </w:rPr>
            </w:pPr>
            <w:r>
              <w:rPr>
                <w:rFonts w:ascii="宋体"/>
                <w:spacing w:val="-1"/>
                <w:sz w:val="18"/>
              </w:rPr>
              <w:t>109,670,963.17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0"/>
              <w:jc w:val="right"/>
              <w:rPr>
                <w:rFonts w:ascii="宋体" w:hAnsi="宋体" w:cs="宋体" w:eastAsia="宋体" w:hint="default"/>
                <w:sz w:val="18"/>
                <w:szCs w:val="18"/>
              </w:rPr>
            </w:pPr>
            <w:r>
              <w:rPr>
                <w:rFonts w:ascii="宋体"/>
                <w:spacing w:val="-1"/>
                <w:sz w:val="18"/>
              </w:rPr>
              <w:t>51.31%</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8"/>
              <w:jc w:val="left"/>
              <w:rPr>
                <w:rFonts w:ascii="宋体" w:hAnsi="宋体" w:cs="宋体" w:eastAsia="宋体" w:hint="default"/>
                <w:sz w:val="18"/>
                <w:szCs w:val="18"/>
              </w:rPr>
            </w:pPr>
            <w:r>
              <w:rPr>
                <w:rFonts w:ascii="宋体" w:hAnsi="宋体" w:cs="宋体" w:eastAsia="宋体" w:hint="default"/>
                <w:sz w:val="18"/>
                <w:szCs w:val="18"/>
              </w:rPr>
              <w:t>主要系本期不再将大金所纳入合并范 围，所持股权按公允价值重新计量产生 的利得较大所致</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公允价值变动收</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-2,572,094.86</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-100.00%</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主要系会计政策变更所致</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1635"/>
        <w:gridCol w:w="1801"/>
        <w:gridCol w:w="1800"/>
        <w:gridCol w:w="1080"/>
        <w:gridCol w:w="3332"/>
      </w:tblGrid>
      <w:tr>
        <w:trPr>
          <w:trHeight w:val="358" w:hRule="exact"/>
        </w:trPr>
        <w:tc>
          <w:tcPr>
            <w:tcW w:w="16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801" w:type="dxa"/>
            <w:tcBorders>
              <w:top w:val="nil" w:sz="6" w:space="0" w:color="auto"/>
              <w:left w:val="single" w:sz="4" w:space="0" w:color="000000"/>
              <w:bottom w:val="single" w:sz="4" w:space="0" w:color="000000"/>
              <w:right w:val="single" w:sz="4" w:space="0" w:color="000000"/>
            </w:tcBorders>
          </w:tcPr>
          <w:p>
            <w:pPr/>
          </w:p>
        </w:tc>
        <w:tc>
          <w:tcPr>
            <w:tcW w:w="180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3332" w:type="dxa"/>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spacing w:val="-1"/>
                <w:sz w:val="18"/>
              </w:rPr>
              <w:t>-45,098,994.17</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-100.00%</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主要系会计政策变更所致</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-334,490,312.86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-78,514,253.49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-326.02%</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主要系本期计提天津中科商誉减值所致</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-377,633.40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-1,071,335.81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64.75%</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58"/>
              <w:jc w:val="left"/>
              <w:rPr>
                <w:rFonts w:ascii="宋体" w:hAnsi="宋体" w:cs="宋体" w:eastAsia="宋体" w:hint="default"/>
                <w:sz w:val="18"/>
                <w:szCs w:val="18"/>
              </w:rPr>
            </w:pPr>
            <w:r>
              <w:rPr>
                <w:rFonts w:ascii="宋体" w:hAnsi="宋体" w:cs="宋体" w:eastAsia="宋体" w:hint="default"/>
                <w:sz w:val="18"/>
                <w:szCs w:val="18"/>
              </w:rPr>
              <w:t>主要系本期处置固定资产损失较上期减 少所致</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-288,231,930.59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-2,890,164.02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-9872.86%</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主要系本期计提天津中科商誉减值所致</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161,070.55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3,668,758.95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z w:val="18"/>
              </w:rPr>
              <w:t>-95.61%</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主要系上期收到客户违约金所致</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spacing w:val="-1"/>
                <w:sz w:val="18"/>
              </w:rPr>
              <w:t>3,117,154.68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10,725,936.93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z w:val="18"/>
              </w:rPr>
              <w:t>-70.94%</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主要系上期存货处置所致</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-291,188,014.72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-9,947,342.00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-2827.29%</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主要系本期计提天津中科商誉减值所致</w:t>
            </w: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-8,165,602.28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3,002,723.59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-371.94%</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58"/>
              <w:jc w:val="left"/>
              <w:rPr>
                <w:rFonts w:ascii="宋体" w:hAnsi="宋体" w:cs="宋体" w:eastAsia="宋体" w:hint="default"/>
                <w:sz w:val="18"/>
                <w:szCs w:val="18"/>
              </w:rPr>
            </w:pPr>
            <w:r>
              <w:rPr>
                <w:rFonts w:ascii="宋体" w:hAnsi="宋体" w:cs="宋体" w:eastAsia="宋体" w:hint="default"/>
                <w:sz w:val="18"/>
                <w:szCs w:val="18"/>
              </w:rPr>
              <w:t>主要系本期应纳税额所得额较上年同期 减少所致</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-283,022,412.44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-12,950,065.59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-2085.49%</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主要系本期计提天津中科商誉减值所致</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持续经营净利润</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-282,912,468.10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-12,950,065.59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-2084.64%</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主要系本期计提天津中科商誉减值所致</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261"/>
              <w:jc w:val="left"/>
              <w:rPr>
                <w:rFonts w:ascii="宋体" w:hAnsi="宋体" w:cs="宋体" w:eastAsia="宋体" w:hint="default"/>
                <w:sz w:val="18"/>
                <w:szCs w:val="18"/>
              </w:rPr>
            </w:pPr>
            <w:r>
              <w:rPr>
                <w:rFonts w:ascii="宋体" w:hAnsi="宋体" w:cs="宋体" w:eastAsia="宋体" w:hint="default"/>
                <w:sz w:val="18"/>
                <w:szCs w:val="18"/>
              </w:rPr>
              <w:t>归属于母公司所 有者的净利润</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-281,841,963.94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8,209,514.73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-3533.11%</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主要系本期计提天津中科商誉减值所致</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-1,180,448.50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-21,159,580.32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94.42%</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主要系本期合并范围变更所致</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1"/>
              <w:jc w:val="both"/>
              <w:rPr>
                <w:rFonts w:ascii="宋体" w:hAnsi="宋体" w:cs="宋体" w:eastAsia="宋体" w:hint="default"/>
                <w:sz w:val="18"/>
                <w:szCs w:val="18"/>
              </w:rPr>
            </w:pPr>
            <w:r>
              <w:rPr>
                <w:rFonts w:ascii="宋体" w:hAnsi="宋体" w:cs="宋体" w:eastAsia="宋体" w:hint="default"/>
                <w:sz w:val="18"/>
                <w:szCs w:val="18"/>
              </w:rPr>
              <w:t>归属母公司所有 者的其他综合收 益的税后净额</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3"/>
              <w:jc w:val="right"/>
              <w:rPr>
                <w:rFonts w:ascii="宋体" w:hAnsi="宋体" w:cs="宋体" w:eastAsia="宋体" w:hint="default"/>
                <w:sz w:val="18"/>
                <w:szCs w:val="18"/>
              </w:rPr>
            </w:pPr>
            <w:r>
              <w:rPr>
                <w:rFonts w:ascii="宋体"/>
                <w:spacing w:val="-1"/>
                <w:sz w:val="18"/>
              </w:rPr>
              <w:t>265,844.63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3"/>
              <w:jc w:val="right"/>
              <w:rPr>
                <w:rFonts w:ascii="宋体" w:hAnsi="宋体" w:cs="宋体" w:eastAsia="宋体" w:hint="default"/>
                <w:sz w:val="18"/>
                <w:szCs w:val="18"/>
              </w:rPr>
            </w:pPr>
            <w:r>
              <w:rPr>
                <w:rFonts w:ascii="宋体"/>
                <w:spacing w:val="-1"/>
                <w:sz w:val="18"/>
              </w:rPr>
              <w:t>1,329.12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0"/>
              <w:jc w:val="right"/>
              <w:rPr>
                <w:rFonts w:ascii="宋体" w:hAnsi="宋体" w:cs="宋体" w:eastAsia="宋体" w:hint="default"/>
                <w:sz w:val="18"/>
                <w:szCs w:val="18"/>
              </w:rPr>
            </w:pPr>
            <w:r>
              <w:rPr>
                <w:rFonts w:ascii="宋体"/>
                <w:spacing w:val="-1"/>
                <w:sz w:val="18"/>
              </w:rPr>
              <w:t>19901.55%</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103" w:right="158"/>
              <w:jc w:val="left"/>
              <w:rPr>
                <w:rFonts w:ascii="宋体" w:hAnsi="宋体" w:cs="宋体" w:eastAsia="宋体" w:hint="default"/>
                <w:sz w:val="18"/>
                <w:szCs w:val="18"/>
              </w:rPr>
            </w:pPr>
            <w:r>
              <w:rPr>
                <w:rFonts w:ascii="宋体" w:hAnsi="宋体" w:cs="宋体" w:eastAsia="宋体" w:hint="default"/>
                <w:sz w:val="18"/>
                <w:szCs w:val="18"/>
              </w:rPr>
              <w:t>主要系联营企业安粮期货其他综合收益 变化所致</w:t>
            </w:r>
          </w:p>
        </w:tc>
      </w:tr>
      <w:tr>
        <w:trPr>
          <w:trHeight w:val="404"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z w:val="18"/>
              </w:rPr>
              <w:t>-0.83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z w:val="18"/>
              </w:rPr>
              <w:t>0.02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-4250.00%</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主要系本期计提天津中科商誉减值所致</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本期发生额（元）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上期发生额（元）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变化比例</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167,189.75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2,959,500.56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-94.35%</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8"/>
              <w:jc w:val="left"/>
              <w:rPr>
                <w:rFonts w:ascii="宋体" w:hAnsi="宋体" w:cs="宋体" w:eastAsia="宋体" w:hint="default"/>
                <w:sz w:val="18"/>
                <w:szCs w:val="18"/>
              </w:rPr>
            </w:pPr>
            <w:r>
              <w:rPr>
                <w:rFonts w:ascii="宋体" w:hAnsi="宋体" w:cs="宋体" w:eastAsia="宋体" w:hint="default"/>
                <w:sz w:val="18"/>
                <w:szCs w:val="18"/>
              </w:rPr>
              <w:t>主要系本期收到的增值税返还较上期减 少所致</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21,343,736.86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54,466,081.56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-60.81%</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58"/>
              <w:jc w:val="left"/>
              <w:rPr>
                <w:rFonts w:ascii="宋体" w:hAnsi="宋体" w:cs="宋体" w:eastAsia="宋体" w:hint="default"/>
                <w:sz w:val="18"/>
                <w:szCs w:val="18"/>
              </w:rPr>
            </w:pPr>
            <w:r>
              <w:rPr>
                <w:rFonts w:ascii="宋体" w:hAnsi="宋体" w:cs="宋体" w:eastAsia="宋体" w:hint="default"/>
                <w:sz w:val="18"/>
                <w:szCs w:val="18"/>
              </w:rPr>
              <w:t>主要系本期支付的增值税及所得税较上 期减少所致</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1"/>
              <w:jc w:val="left"/>
              <w:rPr>
                <w:rFonts w:ascii="宋体" w:hAnsi="宋体" w:cs="宋体" w:eastAsia="宋体" w:hint="default"/>
                <w:sz w:val="18"/>
                <w:szCs w:val="18"/>
              </w:rPr>
            </w:pPr>
            <w:r>
              <w:rPr>
                <w:rFonts w:ascii="宋体" w:hAnsi="宋体" w:cs="宋体" w:eastAsia="宋体" w:hint="default"/>
                <w:sz w:val="18"/>
                <w:szCs w:val="18"/>
              </w:rPr>
              <w:t>经营活动产生的 现金流量净额</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-136,562,562.86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-28,251,608.70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-383.38%</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8"/>
              <w:jc w:val="left"/>
              <w:rPr>
                <w:rFonts w:ascii="宋体" w:hAnsi="宋体" w:cs="宋体" w:eastAsia="宋体" w:hint="default"/>
                <w:sz w:val="18"/>
                <w:szCs w:val="18"/>
              </w:rPr>
            </w:pPr>
            <w:r>
              <w:rPr>
                <w:rFonts w:ascii="宋体" w:hAnsi="宋体" w:cs="宋体" w:eastAsia="宋体" w:hint="default"/>
                <w:sz w:val="18"/>
                <w:szCs w:val="18"/>
              </w:rPr>
              <w:t>主要系本期因业务增长支付的采购款较 上期增加所致</w:t>
            </w:r>
          </w:p>
        </w:tc>
      </w:tr>
      <w:tr>
        <w:trPr>
          <w:trHeight w:val="1337"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pacing w:val="-3"/>
                <w:sz w:val="18"/>
                <w:szCs w:val="18"/>
              </w:rPr>
              <w:t>处置固定资产、无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形资产和其他长 期资产收回的现 金净额</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641,394.14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288,529.06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宋体" w:hAnsi="宋体" w:cs="宋体" w:eastAsia="宋体" w:hint="default"/>
                <w:sz w:val="18"/>
                <w:szCs w:val="18"/>
              </w:rPr>
            </w:pPr>
            <w:r>
              <w:rPr>
                <w:rFonts w:ascii="宋体"/>
                <w:sz w:val="18"/>
              </w:rPr>
              <w:t>122.30%</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4"/>
              <w:ind w:left="103" w:right="158"/>
              <w:jc w:val="left"/>
              <w:rPr>
                <w:rFonts w:ascii="宋体" w:hAnsi="宋体" w:cs="宋体" w:eastAsia="宋体" w:hint="default"/>
                <w:sz w:val="18"/>
                <w:szCs w:val="18"/>
              </w:rPr>
            </w:pPr>
            <w:r>
              <w:rPr>
                <w:rFonts w:ascii="宋体" w:hAnsi="宋体" w:cs="宋体" w:eastAsia="宋体" w:hint="default"/>
                <w:sz w:val="18"/>
                <w:szCs w:val="18"/>
              </w:rPr>
              <w:t>主要系本期处置固定资产收到的现金较 上期增加所致</w:t>
            </w:r>
          </w:p>
        </w:tc>
      </w:tr>
      <w:tr>
        <w:trPr>
          <w:trHeight w:val="1339"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pacing w:val="-3"/>
                <w:sz w:val="18"/>
                <w:szCs w:val="18"/>
              </w:rPr>
              <w:t>购建固定资产、无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形资产和其他长 期资产支付的现 金</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9,656,793.64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32,344,175.39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宋体" w:hAnsi="宋体" w:cs="宋体" w:eastAsia="宋体" w:hint="default"/>
                <w:sz w:val="18"/>
                <w:szCs w:val="18"/>
              </w:rPr>
            </w:pPr>
            <w:r>
              <w:rPr>
                <w:rFonts w:ascii="宋体"/>
                <w:sz w:val="18"/>
              </w:rPr>
              <w:t>-70.14%</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58"/>
              <w:jc w:val="left"/>
              <w:rPr>
                <w:rFonts w:ascii="宋体" w:hAnsi="宋体" w:cs="宋体" w:eastAsia="宋体" w:hint="default"/>
                <w:sz w:val="18"/>
                <w:szCs w:val="18"/>
              </w:rPr>
            </w:pPr>
            <w:r>
              <w:rPr>
                <w:rFonts w:ascii="宋体" w:hAnsi="宋体" w:cs="宋体" w:eastAsia="宋体" w:hint="default"/>
                <w:sz w:val="18"/>
                <w:szCs w:val="18"/>
              </w:rPr>
              <w:t>主要系本期计入开发支出的研发投入较 上期减少所致</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1"/>
              <w:jc w:val="both"/>
              <w:rPr>
                <w:rFonts w:ascii="宋体" w:hAnsi="宋体" w:cs="宋体" w:eastAsia="宋体" w:hint="default"/>
                <w:sz w:val="18"/>
                <w:szCs w:val="18"/>
              </w:rPr>
            </w:pPr>
            <w:r>
              <w:rPr>
                <w:rFonts w:ascii="宋体" w:hAnsi="宋体" w:cs="宋体" w:eastAsia="宋体" w:hint="default"/>
                <w:sz w:val="18"/>
                <w:szCs w:val="18"/>
              </w:rPr>
              <w:t>取得子公司及其 他营业单位支付 的现金净额</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4"/>
              <w:jc w:val="right"/>
              <w:rPr>
                <w:rFonts w:ascii="宋体" w:hAnsi="宋体" w:cs="宋体" w:eastAsia="宋体" w:hint="default"/>
                <w:sz w:val="18"/>
                <w:szCs w:val="18"/>
              </w:rPr>
            </w:pPr>
            <w:r>
              <w:rPr>
                <w:rFonts w:ascii="宋体"/>
                <w:spacing w:val="-1"/>
                <w:sz w:val="18"/>
              </w:rPr>
              <w:t>226,630,742.90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0"/>
              <w:jc w:val="right"/>
              <w:rPr>
                <w:rFonts w:ascii="宋体" w:hAnsi="宋体" w:cs="宋体" w:eastAsia="宋体" w:hint="default"/>
                <w:sz w:val="18"/>
                <w:szCs w:val="18"/>
              </w:rPr>
            </w:pPr>
            <w:r>
              <w:rPr>
                <w:rFonts w:ascii="宋体"/>
                <w:sz w:val="18"/>
              </w:rPr>
              <w:t>100.00%</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主要系本期并购北京志东方所致</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1635"/>
        <w:gridCol w:w="1801"/>
        <w:gridCol w:w="1800"/>
        <w:gridCol w:w="1080"/>
        <w:gridCol w:w="3332"/>
      </w:tblGrid>
      <w:tr>
        <w:trPr>
          <w:trHeight w:val="708" w:hRule="exact"/>
        </w:trPr>
        <w:tc>
          <w:tcPr>
            <w:tcW w:w="1635" w:type="dxa"/>
            <w:tcBorders>
              <w:top w:val="nil" w:sz="6" w:space="0" w:color="auto"/>
              <w:left w:val="single" w:sz="4" w:space="0" w:color="000000"/>
              <w:bottom w:val="single" w:sz="4" w:space="0" w:color="000000"/>
              <w:right w:val="single" w:sz="4" w:space="0" w:color="000000"/>
            </w:tcBorders>
          </w:tcPr>
          <w:p>
            <w:pPr>
              <w:pStyle w:val="TableParagraph"/>
              <w:spacing w:line="319" w:lineRule="auto" w:before="49"/>
              <w:ind w:left="103" w:right="261"/>
              <w:jc w:val="left"/>
              <w:rPr>
                <w:rFonts w:ascii="宋体" w:hAnsi="宋体" w:cs="宋体" w:eastAsia="宋体" w:hint="default"/>
                <w:sz w:val="18"/>
                <w:szCs w:val="18"/>
              </w:rPr>
            </w:pPr>
            <w:r>
              <w:rPr>
                <w:rFonts w:ascii="宋体" w:hAnsi="宋体" w:cs="宋体" w:eastAsia="宋体" w:hint="default"/>
                <w:sz w:val="18"/>
                <w:szCs w:val="18"/>
              </w:rPr>
              <w:t>支付其他与投资 活动有关的现金</w:t>
            </w:r>
          </w:p>
        </w:tc>
        <w:tc>
          <w:tcPr>
            <w:tcW w:w="18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5,205,269.58</w:t>
            </w:r>
          </w:p>
        </w:tc>
        <w:tc>
          <w:tcPr>
            <w:tcW w:w="180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100.00%</w:t>
            </w:r>
          </w:p>
        </w:tc>
        <w:tc>
          <w:tcPr>
            <w:tcW w:w="3332" w:type="dxa"/>
            <w:tcBorders>
              <w:top w:val="nil" w:sz="6" w:space="0" w:color="auto"/>
              <w:left w:val="single" w:sz="4" w:space="0" w:color="000000"/>
              <w:bottom w:val="single" w:sz="4" w:space="0" w:color="000000"/>
              <w:right w:val="single" w:sz="4" w:space="0" w:color="000000"/>
            </w:tcBorders>
          </w:tcPr>
          <w:p>
            <w:pPr>
              <w:pStyle w:val="TableParagraph"/>
              <w:spacing w:line="319" w:lineRule="auto" w:before="49"/>
              <w:ind w:left="103" w:right="158"/>
              <w:jc w:val="left"/>
              <w:rPr>
                <w:rFonts w:ascii="宋体" w:hAnsi="宋体" w:cs="宋体" w:eastAsia="宋体" w:hint="default"/>
                <w:sz w:val="18"/>
                <w:szCs w:val="18"/>
              </w:rPr>
            </w:pPr>
            <w:r>
              <w:rPr>
                <w:rFonts w:ascii="宋体" w:hAnsi="宋体" w:cs="宋体" w:eastAsia="宋体" w:hint="default"/>
                <w:sz w:val="18"/>
                <w:szCs w:val="18"/>
              </w:rPr>
              <w:t>主要系本期不再将大金所纳入合并范围 所致</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1"/>
              <w:jc w:val="left"/>
              <w:rPr>
                <w:rFonts w:ascii="宋体" w:hAnsi="宋体" w:cs="宋体" w:eastAsia="宋体" w:hint="default"/>
                <w:sz w:val="18"/>
                <w:szCs w:val="18"/>
              </w:rPr>
            </w:pPr>
            <w:r>
              <w:rPr>
                <w:rFonts w:ascii="宋体" w:hAnsi="宋体" w:cs="宋体" w:eastAsia="宋体" w:hint="default"/>
                <w:sz w:val="18"/>
                <w:szCs w:val="18"/>
              </w:rPr>
              <w:t>投资活动产生的 现金流量净额</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666,550,391.66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477,540,708.80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39.58%</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主要系本期赎回理财较上期增加所致</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9"/>
              <w:jc w:val="left"/>
              <w:rPr>
                <w:rFonts w:ascii="宋体" w:hAnsi="宋体" w:cs="宋体" w:eastAsia="宋体" w:hint="default"/>
                <w:sz w:val="18"/>
                <w:szCs w:val="18"/>
              </w:rPr>
            </w:pPr>
            <w:r>
              <w:rPr>
                <w:rFonts w:ascii="宋体" w:hAnsi="宋体" w:cs="宋体" w:eastAsia="宋体" w:hint="default"/>
                <w:sz w:val="18"/>
                <w:szCs w:val="18"/>
              </w:rPr>
              <w:t>取得借款收到的 现金</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177,157,746.00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385,266,649.23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-54.02%</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8"/>
              <w:jc w:val="left"/>
              <w:rPr>
                <w:rFonts w:ascii="宋体" w:hAnsi="宋体" w:cs="宋体" w:eastAsia="宋体" w:hint="default"/>
                <w:sz w:val="18"/>
                <w:szCs w:val="18"/>
              </w:rPr>
            </w:pPr>
            <w:r>
              <w:rPr>
                <w:rFonts w:ascii="宋体" w:hAnsi="宋体" w:cs="宋体" w:eastAsia="宋体" w:hint="default"/>
                <w:sz w:val="18"/>
                <w:szCs w:val="18"/>
              </w:rPr>
              <w:t>主要系本期取得的银行借款较上期减少 所致</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1"/>
              <w:jc w:val="left"/>
              <w:rPr>
                <w:rFonts w:ascii="宋体" w:hAnsi="宋体" w:cs="宋体" w:eastAsia="宋体" w:hint="default"/>
                <w:sz w:val="18"/>
                <w:szCs w:val="18"/>
              </w:rPr>
            </w:pPr>
            <w:r>
              <w:rPr>
                <w:rFonts w:ascii="宋体" w:hAnsi="宋体" w:cs="宋体" w:eastAsia="宋体" w:hint="default"/>
                <w:sz w:val="18"/>
                <w:szCs w:val="18"/>
              </w:rPr>
              <w:t>收到其他与筹资 活动有关的现金</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234,596.45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4,770,189.90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-95.08%</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8"/>
              <w:jc w:val="left"/>
              <w:rPr>
                <w:rFonts w:ascii="宋体" w:hAnsi="宋体" w:cs="宋体" w:eastAsia="宋体" w:hint="default"/>
                <w:sz w:val="18"/>
                <w:szCs w:val="18"/>
              </w:rPr>
            </w:pPr>
            <w:r>
              <w:rPr>
                <w:rFonts w:ascii="宋体" w:hAnsi="宋体" w:cs="宋体" w:eastAsia="宋体" w:hint="default"/>
                <w:sz w:val="18"/>
                <w:szCs w:val="18"/>
              </w:rPr>
              <w:t>主要系上期收到融资租赁项目贷款贴息 所致</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1"/>
              <w:jc w:val="left"/>
              <w:rPr>
                <w:rFonts w:ascii="宋体" w:hAnsi="宋体" w:cs="宋体" w:eastAsia="宋体" w:hint="default"/>
                <w:sz w:val="18"/>
                <w:szCs w:val="18"/>
              </w:rPr>
            </w:pPr>
            <w:r>
              <w:rPr>
                <w:rFonts w:ascii="宋体" w:hAnsi="宋体" w:cs="宋体" w:eastAsia="宋体" w:hint="default"/>
                <w:sz w:val="18"/>
                <w:szCs w:val="18"/>
              </w:rPr>
              <w:t>筹资活动现金流 入小计</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177,392,342.45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390,036,839.13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-54.52%</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8"/>
              <w:jc w:val="left"/>
              <w:rPr>
                <w:rFonts w:ascii="宋体" w:hAnsi="宋体" w:cs="宋体" w:eastAsia="宋体" w:hint="default"/>
                <w:sz w:val="18"/>
                <w:szCs w:val="18"/>
              </w:rPr>
            </w:pPr>
            <w:r>
              <w:rPr>
                <w:rFonts w:ascii="宋体" w:hAnsi="宋体" w:cs="宋体" w:eastAsia="宋体" w:hint="default"/>
                <w:sz w:val="18"/>
                <w:szCs w:val="18"/>
              </w:rPr>
              <w:t>主要系本期新增银行借款较上期减少所 致</w:t>
            </w: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61"/>
              <w:jc w:val="left"/>
              <w:rPr>
                <w:rFonts w:ascii="宋体" w:hAnsi="宋体" w:cs="宋体" w:eastAsia="宋体" w:hint="default"/>
                <w:sz w:val="18"/>
                <w:szCs w:val="18"/>
              </w:rPr>
            </w:pPr>
            <w:r>
              <w:rPr>
                <w:rFonts w:ascii="宋体" w:hAnsi="宋体" w:cs="宋体" w:eastAsia="宋体" w:hint="default"/>
                <w:sz w:val="18"/>
                <w:szCs w:val="18"/>
              </w:rPr>
              <w:t>偿还债务支付的 现金</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422,150,984.60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999,675,994.86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-57.77%</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58"/>
              <w:jc w:val="left"/>
              <w:rPr>
                <w:rFonts w:ascii="宋体" w:hAnsi="宋体" w:cs="宋体" w:eastAsia="宋体" w:hint="default"/>
                <w:sz w:val="18"/>
                <w:szCs w:val="18"/>
              </w:rPr>
            </w:pPr>
            <w:r>
              <w:rPr>
                <w:rFonts w:ascii="宋体" w:hAnsi="宋体" w:cs="宋体" w:eastAsia="宋体" w:hint="default"/>
                <w:sz w:val="18"/>
                <w:szCs w:val="18"/>
              </w:rPr>
              <w:t>主要系上期偿还公司债及信托收益权融 资本金所致</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pacing w:val="-3"/>
                <w:sz w:val="18"/>
                <w:szCs w:val="18"/>
              </w:rPr>
              <w:t>分配股利、利润或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偿付利息支付的 现金</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1"/>
              <w:jc w:val="right"/>
              <w:rPr>
                <w:rFonts w:ascii="宋体" w:hAnsi="宋体" w:cs="宋体" w:eastAsia="宋体" w:hint="default"/>
                <w:sz w:val="18"/>
                <w:szCs w:val="18"/>
              </w:rPr>
            </w:pPr>
            <w:r>
              <w:rPr>
                <w:rFonts w:ascii="宋体"/>
                <w:spacing w:val="-1"/>
                <w:sz w:val="18"/>
              </w:rPr>
              <w:t>20,022,367.95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1"/>
              <w:jc w:val="right"/>
              <w:rPr>
                <w:rFonts w:ascii="宋体" w:hAnsi="宋体" w:cs="宋体" w:eastAsia="宋体" w:hint="default"/>
                <w:sz w:val="18"/>
                <w:szCs w:val="18"/>
              </w:rPr>
            </w:pPr>
            <w:r>
              <w:rPr>
                <w:rFonts w:ascii="宋体"/>
                <w:spacing w:val="-1"/>
                <w:sz w:val="18"/>
              </w:rPr>
              <w:t>57,664,522.55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0"/>
              <w:jc w:val="right"/>
              <w:rPr>
                <w:rFonts w:ascii="宋体" w:hAnsi="宋体" w:cs="宋体" w:eastAsia="宋体" w:hint="default"/>
                <w:sz w:val="18"/>
                <w:szCs w:val="18"/>
              </w:rPr>
            </w:pPr>
            <w:r>
              <w:rPr>
                <w:rFonts w:ascii="宋体"/>
                <w:sz w:val="18"/>
              </w:rPr>
              <w:t>-65.28%</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8"/>
              <w:jc w:val="left"/>
              <w:rPr>
                <w:rFonts w:ascii="宋体" w:hAnsi="宋体" w:cs="宋体" w:eastAsia="宋体" w:hint="default"/>
                <w:sz w:val="18"/>
                <w:szCs w:val="18"/>
              </w:rPr>
            </w:pPr>
            <w:r>
              <w:rPr>
                <w:rFonts w:ascii="宋体" w:hAnsi="宋体" w:cs="宋体" w:eastAsia="宋体" w:hint="default"/>
                <w:sz w:val="18"/>
                <w:szCs w:val="18"/>
              </w:rPr>
              <w:t>主要系上期偿还公司债及信托收益权融 资利息所致</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1"/>
              <w:jc w:val="left"/>
              <w:rPr>
                <w:rFonts w:ascii="宋体" w:hAnsi="宋体" w:cs="宋体" w:eastAsia="宋体" w:hint="default"/>
                <w:sz w:val="18"/>
                <w:szCs w:val="18"/>
              </w:rPr>
            </w:pPr>
            <w:r>
              <w:rPr>
                <w:rFonts w:ascii="宋体" w:hAnsi="宋体" w:cs="宋体" w:eastAsia="宋体" w:hint="default"/>
                <w:sz w:val="18"/>
                <w:szCs w:val="18"/>
              </w:rPr>
              <w:t>支付其他与筹资 活动有关的现金</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2,477.11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11,810.73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-79.03%</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8"/>
              <w:jc w:val="left"/>
              <w:rPr>
                <w:rFonts w:ascii="宋体" w:hAnsi="宋体" w:cs="宋体" w:eastAsia="宋体" w:hint="default"/>
                <w:sz w:val="18"/>
                <w:szCs w:val="18"/>
              </w:rPr>
            </w:pPr>
            <w:r>
              <w:rPr>
                <w:rFonts w:ascii="宋体" w:hAnsi="宋体" w:cs="宋体" w:eastAsia="宋体" w:hint="default"/>
                <w:sz w:val="18"/>
                <w:szCs w:val="18"/>
              </w:rPr>
              <w:t>主要系上期支付公司债到期兑付手续费 所致</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1"/>
              <w:jc w:val="left"/>
              <w:rPr>
                <w:rFonts w:ascii="宋体" w:hAnsi="宋体" w:cs="宋体" w:eastAsia="宋体" w:hint="default"/>
                <w:sz w:val="18"/>
                <w:szCs w:val="18"/>
              </w:rPr>
            </w:pPr>
            <w:r>
              <w:rPr>
                <w:rFonts w:ascii="宋体" w:hAnsi="宋体" w:cs="宋体" w:eastAsia="宋体" w:hint="default"/>
                <w:sz w:val="18"/>
                <w:szCs w:val="18"/>
              </w:rPr>
              <w:t>筹资活动现金流 出小计</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442,175,829.66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1,057,352,328.14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-58.18%</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8"/>
              <w:jc w:val="left"/>
              <w:rPr>
                <w:rFonts w:ascii="宋体" w:hAnsi="宋体" w:cs="宋体" w:eastAsia="宋体" w:hint="default"/>
                <w:sz w:val="18"/>
                <w:szCs w:val="18"/>
              </w:rPr>
            </w:pPr>
            <w:r>
              <w:rPr>
                <w:rFonts w:ascii="宋体" w:hAnsi="宋体" w:cs="宋体" w:eastAsia="宋体" w:hint="default"/>
                <w:sz w:val="18"/>
                <w:szCs w:val="18"/>
              </w:rPr>
              <w:t>主要系上期偿还公司债、信托收益权融 资本金及利息所致</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1"/>
              <w:jc w:val="left"/>
              <w:rPr>
                <w:rFonts w:ascii="宋体" w:hAnsi="宋体" w:cs="宋体" w:eastAsia="宋体" w:hint="default"/>
                <w:sz w:val="18"/>
                <w:szCs w:val="18"/>
              </w:rPr>
            </w:pPr>
            <w:r>
              <w:rPr>
                <w:rFonts w:ascii="宋体" w:hAnsi="宋体" w:cs="宋体" w:eastAsia="宋体" w:hint="default"/>
                <w:sz w:val="18"/>
                <w:szCs w:val="18"/>
              </w:rPr>
              <w:t>筹资活动产生的 现金流量净额</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-264,783,487.21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-667,315,489.01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60.32%</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8"/>
              <w:jc w:val="left"/>
              <w:rPr>
                <w:rFonts w:ascii="宋体" w:hAnsi="宋体" w:cs="宋体" w:eastAsia="宋体" w:hint="default"/>
                <w:sz w:val="18"/>
                <w:szCs w:val="18"/>
              </w:rPr>
            </w:pPr>
            <w:r>
              <w:rPr>
                <w:rFonts w:ascii="宋体" w:hAnsi="宋体" w:cs="宋体" w:eastAsia="宋体" w:hint="default"/>
                <w:sz w:val="18"/>
                <w:szCs w:val="18"/>
              </w:rPr>
              <w:t>主要系上期偿还公司债、信托收益权融 资本金及利息所致</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7"/>
        <w:ind w:left="3285" w:right="1133"/>
        <w:jc w:val="left"/>
        <w:rPr>
          <w:b w:val="0"/>
          <w:bCs w:val="0"/>
        </w:rPr>
      </w:pPr>
      <w:bookmarkStart w:name="_TOC_250000" w:id="383"/>
      <w:bookmarkStart w:name="第十三节 备查文件目录" w:id="384"/>
      <w:r>
        <w:rPr>
          <w:b w:val="0"/>
          <w:bCs w:val="0"/>
        </w:rPr>
      </w:r>
      <w:r>
        <w:rPr/>
        <w:t>第十三节</w:t>
      </w:r>
      <w:r>
        <w:rPr>
          <w:spacing w:val="-6"/>
        </w:rPr>
        <w:t> </w:t>
      </w:r>
      <w:r>
        <w:rPr/>
        <w:t>备查文件目录</w:t>
      </w:r>
      <w:bookmarkEnd w:id="383"/>
      <w:r>
        <w:rPr>
          <w:b w:val="0"/>
          <w:bCs w:val="0"/>
        </w:rPr>
      </w:r>
    </w:p>
    <w:p>
      <w:pPr>
        <w:spacing w:line="240" w:lineRule="auto" w:before="4"/>
        <w:rPr>
          <w:rFonts w:ascii="宋体" w:hAnsi="宋体" w:cs="宋体" w:eastAsia="宋体" w:hint="default"/>
          <w:b/>
          <w:bCs/>
          <w:sz w:val="47"/>
          <w:szCs w:val="47"/>
        </w:rPr>
      </w:pPr>
    </w:p>
    <w:p>
      <w:pPr>
        <w:pStyle w:val="BodyText"/>
        <w:spacing w:line="240" w:lineRule="auto"/>
        <w:ind w:left="554" w:right="1133"/>
        <w:jc w:val="left"/>
      </w:pPr>
      <w:r>
        <w:rPr>
          <w:rFonts w:ascii="Times New Roman" w:hAnsi="Times New Roman" w:cs="Times New Roman" w:eastAsia="Times New Roman" w:hint="default"/>
        </w:rPr>
        <w:t>1.</w:t>
      </w:r>
      <w:r>
        <w:rPr/>
        <w:t>载有法定代表人、财务负责人、会计机构负责人签名并盖章的财务报表。</w:t>
      </w:r>
    </w:p>
    <w:p>
      <w:pPr>
        <w:spacing w:line="240" w:lineRule="auto" w:before="8"/>
        <w:rPr>
          <w:rFonts w:ascii="宋体" w:hAnsi="宋体" w:cs="宋体" w:eastAsia="宋体" w:hint="default"/>
          <w:sz w:val="14"/>
          <w:szCs w:val="14"/>
        </w:rPr>
      </w:pPr>
    </w:p>
    <w:p>
      <w:pPr>
        <w:pStyle w:val="BodyText"/>
        <w:spacing w:line="240" w:lineRule="auto"/>
        <w:ind w:left="554" w:right="1133"/>
        <w:jc w:val="left"/>
      </w:pPr>
      <w:r>
        <w:rPr>
          <w:rFonts w:ascii="Times New Roman" w:hAnsi="Times New Roman" w:cs="Times New Roman" w:eastAsia="Times New Roman" w:hint="default"/>
        </w:rPr>
        <w:t>2.</w:t>
      </w:r>
      <w:r>
        <w:rPr/>
        <w:t>载有会计师事务所盖章、注册会计师签名并盖章的审计报告原件。</w:t>
      </w:r>
    </w:p>
    <w:p>
      <w:pPr>
        <w:spacing w:line="240" w:lineRule="auto" w:before="8"/>
        <w:rPr>
          <w:rFonts w:ascii="宋体" w:hAnsi="宋体" w:cs="宋体" w:eastAsia="宋体" w:hint="default"/>
          <w:sz w:val="14"/>
          <w:szCs w:val="14"/>
        </w:rPr>
      </w:pPr>
    </w:p>
    <w:p>
      <w:pPr>
        <w:pStyle w:val="BodyText"/>
        <w:spacing w:line="240" w:lineRule="auto"/>
        <w:ind w:left="554" w:right="1133"/>
        <w:jc w:val="left"/>
      </w:pPr>
      <w:r>
        <w:rPr>
          <w:rFonts w:ascii="Times New Roman" w:hAnsi="Times New Roman" w:cs="Times New Roman" w:eastAsia="Times New Roman" w:hint="default"/>
        </w:rPr>
        <w:t>3.</w:t>
      </w:r>
      <w:r>
        <w:rPr/>
        <w:t>报告期内在中国证监会指定报纸上公开披露过的所有公司文件的正本及公告原稿。</w:t>
      </w:r>
    </w:p>
    <w:p>
      <w:pPr>
        <w:spacing w:line="240" w:lineRule="auto" w:before="8"/>
        <w:rPr>
          <w:rFonts w:ascii="宋体" w:hAnsi="宋体" w:cs="宋体" w:eastAsia="宋体" w:hint="default"/>
          <w:sz w:val="14"/>
          <w:szCs w:val="14"/>
        </w:rPr>
      </w:pPr>
    </w:p>
    <w:p>
      <w:pPr>
        <w:pStyle w:val="BodyText"/>
        <w:spacing w:line="240" w:lineRule="auto"/>
        <w:ind w:left="554" w:right="1133"/>
        <w:jc w:val="left"/>
      </w:pPr>
      <w:r>
        <w:rPr>
          <w:rFonts w:ascii="Times New Roman" w:hAnsi="Times New Roman" w:cs="Times New Roman" w:eastAsia="Times New Roman" w:hint="default"/>
        </w:rPr>
        <w:t>4.</w:t>
      </w:r>
      <w:r>
        <w:rPr/>
        <w:t>载有董事长签名的</w:t>
      </w:r>
      <w:r>
        <w:rPr>
          <w:rFonts w:ascii="Times New Roman" w:hAnsi="Times New Roman" w:cs="Times New Roman" w:eastAsia="Times New Roman" w:hint="default"/>
        </w:rPr>
        <w:t>2019</w:t>
      </w:r>
      <w:r>
        <w:rPr/>
        <w:t>年年度报告文本原件。</w:t>
      </w:r>
    </w:p>
    <w:p>
      <w:pPr>
        <w:spacing w:line="240" w:lineRule="auto" w:before="8"/>
        <w:rPr>
          <w:rFonts w:ascii="宋体" w:hAnsi="宋体" w:cs="宋体" w:eastAsia="宋体" w:hint="default"/>
          <w:sz w:val="14"/>
          <w:szCs w:val="14"/>
        </w:rPr>
      </w:pPr>
    </w:p>
    <w:p>
      <w:pPr>
        <w:pStyle w:val="BodyText"/>
        <w:spacing w:line="240" w:lineRule="auto"/>
        <w:ind w:left="554" w:right="1133"/>
        <w:jc w:val="left"/>
      </w:pPr>
      <w:r>
        <w:rPr>
          <w:rFonts w:ascii="Times New Roman" w:hAnsi="Times New Roman" w:cs="Times New Roman" w:eastAsia="Times New Roman" w:hint="default"/>
        </w:rPr>
        <w:t>5.</w:t>
      </w:r>
      <w:r>
        <w:rPr/>
        <w:t>以上备查文件的备置地点：公司董事会办公室。</w:t>
      </w:r>
    </w:p>
    <w:sectPr>
      <w:pgSz w:w="11910" w:h="16840"/>
      <w:pgMar w:header="745" w:footer="980"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06008" type="#_x0000_t75" stroked="false">
          <v:imagedata r:id="rId1" o:title=""/>
        </v:shape>
      </w:pict>
    </w:r>
    <w:r>
      <w:rPr/>
      <w:pict>
        <v:shape style="position:absolute;margin-left:533.099976pt;margin-top:795.637939pt;width:6.5pt;height:11pt;mso-position-horizontal-relative:page;mso-position-vertical-relative:page;z-index:-11059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05960" type="#_x0000_t75" stroked="false">
          <v:imagedata r:id="rId1" o:title=""/>
        </v:shape>
      </w:pict>
    </w:r>
    <w:r>
      <w:rPr/>
      <w:pict>
        <v:shape style="position:absolute;margin-left:527.659973pt;margin-top:781.933899pt;width:13.15pt;height:11pt;mso-position-horizontal-relative:page;mso-position-vertical-relative:page;z-index:-11059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05912" type="#_x0000_t75" stroked="false">
          <v:imagedata r:id="rId1" o:title=""/>
        </v:shape>
      </w:pict>
    </w:r>
    <w:r>
      <w:rPr/>
      <w:pict>
        <v:shape style="position:absolute;margin-left:524.099976pt;margin-top:781.933899pt;width:15.7pt;height:11pt;mso-position-horizontal-relative:page;mso-position-vertical-relative:page;z-index:-11058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05864" type="#_x0000_t75" stroked="false">
          <v:imagedata r:id="rId1" o:title=""/>
        </v:shape>
      </w:pict>
    </w:r>
    <w:r>
      <w:rPr/>
      <w:pict>
        <v:shape style="position:absolute;margin-left:523.099976pt;margin-top:781.933899pt;width:17.7pt;height:11pt;mso-position-horizontal-relative:page;mso-position-vertical-relative:page;z-index:-11058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05816" type="#_x0000_t75" stroked="false">
          <v:imagedata r:id="rId1" o:title=""/>
        </v:shape>
      </w:pict>
    </w:r>
    <w:r>
      <w:rPr/>
      <w:pict>
        <v:shape style="position:absolute;margin-left:523.460022pt;margin-top:781.933899pt;width:17.3pt;height:11pt;mso-position-horizontal-relative:page;mso-position-vertical-relative:page;z-index:-1105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05768" type="#_x0000_t75" stroked="false">
          <v:imagedata r:id="rId1" o:title=""/>
        </v:shape>
      </w:pict>
    </w:r>
    <w:r>
      <w:rPr/>
      <w:pict>
        <v:shape style="position:absolute;margin-left:523.099976pt;margin-top:781.933899pt;width:17.7pt;height:11pt;mso-position-horizontal-relative:page;mso-position-vertical-relative:page;z-index:-11057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70007pt;margin-top:36.265610pt;width:213.75pt;height:11.5pt;mso-position-horizontal-relative:page;mso-position-vertical-relative:page;z-index:-11060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北京中科金财科技股份有限公司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20"/>
      <w:szCs w:val="20"/>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spacing w:before="36"/>
      <w:ind w:left="152"/>
      <w:outlineLvl w:val="4"/>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sinodata.net.cn/" TargetMode="External"/><Relationship Id="rId10" Type="http://schemas.openxmlformats.org/officeDocument/2006/relationships/hyperlink" Target="mailto:zkjc@sinodata.net.cn" TargetMode="External"/><Relationship Id="rId11" Type="http://schemas.openxmlformats.org/officeDocument/2006/relationships/hyperlink" Target="http://www.cninfo.com.cn/" TargetMode="External"/><Relationship Id="rId12" Type="http://schemas.openxmlformats.org/officeDocument/2006/relationships/hyperlink" Target="http://www/" TargetMode="External"/><Relationship Id="rId13" Type="http://schemas.openxmlformats.org/officeDocument/2006/relationships/image" Target="media/image3.jpeg"/><Relationship Id="rId14" Type="http://schemas.openxmlformats.org/officeDocument/2006/relationships/hyperlink" Target="http://www.cninfo.co/" TargetMode="Externa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北京中科金财科技股份有限公司</dc:creator>
  <dc:title>北京中科金财科技股份有限公司2019年年度报告全文</dc:title>
  <dcterms:created xsi:type="dcterms:W3CDTF">2020-05-19T06:22:47Z</dcterms:created>
  <dcterms:modified xsi:type="dcterms:W3CDTF">2020-05-19T06:22:47Z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2020-04-23T00:00:00Z</vt:filetime>
  </property>
  <property fmtid="{D5CDD505-2E9C-101B-9397-08002B2CF9AE}" pid="3" name="Creator">
    <vt:lpwstr>Microsoft® Office Word 2007</vt:lpwstr>
  </property>
  <property fmtid="{D5CDD505-2E9C-101B-9397-08002B2CF9AE}" pid="4" name="LastSaved">
    <vt:filetime>2020-05-18T00:00:00Z</vt:filetime>
  </property>
</Properties>
</file>